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6981" w14:textId="77777777" w:rsidR="00D83818" w:rsidRDefault="00D83818" w:rsidP="00F809BD">
      <w:pPr>
        <w:jc w:val="center"/>
        <w:rPr>
          <w:sz w:val="36"/>
          <w:szCs w:val="36"/>
        </w:rPr>
      </w:pPr>
    </w:p>
    <w:p w14:paraId="64C6C670" w14:textId="77BC31DE" w:rsidR="00D83818" w:rsidRDefault="00D83818" w:rsidP="00D83818">
      <w:pPr>
        <w:jc w:val="right"/>
        <w:rPr>
          <w:sz w:val="36"/>
          <w:szCs w:val="36"/>
        </w:rPr>
      </w:pPr>
      <w:r>
        <w:rPr>
          <w:noProof/>
          <w:sz w:val="36"/>
          <w:szCs w:val="36"/>
        </w:rPr>
        <w:drawing>
          <wp:inline distT="0" distB="0" distL="0" distR="0" wp14:anchorId="03788BFC" wp14:editId="2DE9E9D7">
            <wp:extent cx="847725" cy="1030605"/>
            <wp:effectExtent l="0" t="0" r="9525" b="0"/>
            <wp:docPr id="1" name="Picture 1" descr="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030605"/>
                    </a:xfrm>
                    <a:prstGeom prst="rect">
                      <a:avLst/>
                    </a:prstGeom>
                    <a:noFill/>
                  </pic:spPr>
                </pic:pic>
              </a:graphicData>
            </a:graphic>
          </wp:inline>
        </w:drawing>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tab/>
      </w:r>
      <w:r>
        <w:rPr>
          <w:noProof/>
          <w:sz w:val="36"/>
          <w:szCs w:val="36"/>
        </w:rPr>
        <w:drawing>
          <wp:inline distT="0" distB="0" distL="0" distR="0" wp14:anchorId="76AA8325" wp14:editId="5461C5BF">
            <wp:extent cx="1524000" cy="871855"/>
            <wp:effectExtent l="0" t="0" r="0" b="4445"/>
            <wp:docPr id="4" name="Picture 4" descr="MassHealth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ssHealth 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871855"/>
                    </a:xfrm>
                    <a:prstGeom prst="rect">
                      <a:avLst/>
                    </a:prstGeom>
                    <a:noFill/>
                  </pic:spPr>
                </pic:pic>
              </a:graphicData>
            </a:graphic>
          </wp:inline>
        </w:drawing>
      </w:r>
    </w:p>
    <w:p w14:paraId="105CC9B1" w14:textId="77777777" w:rsidR="00D83818" w:rsidRDefault="00D83818" w:rsidP="00F809BD">
      <w:pPr>
        <w:jc w:val="center"/>
        <w:rPr>
          <w:sz w:val="36"/>
          <w:szCs w:val="36"/>
        </w:rPr>
      </w:pPr>
    </w:p>
    <w:p w14:paraId="5FF3EE26" w14:textId="14B25297" w:rsidR="00F809BD" w:rsidRPr="00AD6B7A" w:rsidRDefault="00F809BD" w:rsidP="000434B7">
      <w:pPr>
        <w:pStyle w:val="Heading1"/>
        <w:numPr>
          <w:ilvl w:val="0"/>
          <w:numId w:val="0"/>
        </w:numPr>
        <w:ind w:left="-990"/>
        <w:jc w:val="center"/>
      </w:pPr>
      <w:bookmarkStart w:id="0" w:name="_Toc147244400"/>
      <w:r w:rsidRPr="00AD6B7A">
        <w:t>MassHealth</w:t>
      </w:r>
      <w:r w:rsidR="00127AE0">
        <w:br/>
      </w:r>
      <w:r w:rsidR="00127AE0">
        <w:br/>
      </w:r>
      <w:r w:rsidRPr="00AD6B7A">
        <w:t>Comprehensive Quality Strategy</w:t>
      </w:r>
      <w:r w:rsidR="00127AE0">
        <w:br/>
      </w:r>
      <w:r w:rsidR="00127AE0">
        <w:br/>
      </w:r>
      <w:r w:rsidRPr="00AD6B7A">
        <w:t>Effectiveness Evaluation</w:t>
      </w:r>
      <w:bookmarkEnd w:id="0"/>
    </w:p>
    <w:p w14:paraId="2C0407CA" w14:textId="77777777" w:rsidR="00F809BD" w:rsidRDefault="00F809BD" w:rsidP="000434B7">
      <w:pPr>
        <w:jc w:val="center"/>
      </w:pPr>
    </w:p>
    <w:p w14:paraId="31AB9E02" w14:textId="77777777" w:rsidR="00F809BD" w:rsidRDefault="00F809BD" w:rsidP="00F809BD"/>
    <w:p w14:paraId="1FD99376" w14:textId="77777777" w:rsidR="00F809BD" w:rsidRPr="009870A2" w:rsidRDefault="00F809BD" w:rsidP="000434B7">
      <w:pPr>
        <w:jc w:val="center"/>
        <w:rPr>
          <w:color w:val="1F497D"/>
          <w:sz w:val="36"/>
          <w:szCs w:val="36"/>
        </w:rPr>
      </w:pPr>
      <w:r w:rsidRPr="009870A2">
        <w:rPr>
          <w:color w:val="1F497D"/>
          <w:sz w:val="36"/>
          <w:szCs w:val="36"/>
        </w:rPr>
        <w:t>Commonwealth of Massachusetts</w:t>
      </w:r>
    </w:p>
    <w:p w14:paraId="78FADC72" w14:textId="77777777" w:rsidR="00F809BD" w:rsidRPr="009870A2" w:rsidRDefault="00F809BD" w:rsidP="000434B7">
      <w:pPr>
        <w:jc w:val="center"/>
        <w:rPr>
          <w:color w:val="1F497D"/>
          <w:sz w:val="36"/>
          <w:szCs w:val="36"/>
        </w:rPr>
      </w:pPr>
      <w:r w:rsidRPr="009870A2">
        <w:rPr>
          <w:color w:val="1F497D"/>
          <w:sz w:val="36"/>
          <w:szCs w:val="36"/>
        </w:rPr>
        <w:t>Executive Office of Health and Human Services</w:t>
      </w:r>
    </w:p>
    <w:p w14:paraId="4AE805AA" w14:textId="77777777" w:rsidR="00F809BD" w:rsidRDefault="00F809BD" w:rsidP="000434B7">
      <w:pPr>
        <w:spacing w:after="360"/>
        <w:jc w:val="center"/>
        <w:rPr>
          <w:color w:val="1F497D"/>
          <w:sz w:val="36"/>
          <w:szCs w:val="36"/>
        </w:rPr>
      </w:pPr>
      <w:r w:rsidRPr="009870A2">
        <w:rPr>
          <w:color w:val="1F497D"/>
          <w:sz w:val="36"/>
          <w:szCs w:val="36"/>
        </w:rPr>
        <w:t>Office of Medicaid</w:t>
      </w:r>
    </w:p>
    <w:p w14:paraId="422E1529" w14:textId="28EA3EC3" w:rsidR="00AC2D09" w:rsidRDefault="0049725B" w:rsidP="000434B7">
      <w:pPr>
        <w:jc w:val="center"/>
        <w:rPr>
          <w:color w:val="1F497D"/>
          <w:sz w:val="36"/>
          <w:szCs w:val="36"/>
        </w:rPr>
      </w:pPr>
      <w:r>
        <w:rPr>
          <w:color w:val="1F497D"/>
          <w:sz w:val="36"/>
          <w:szCs w:val="36"/>
        </w:rPr>
        <w:t>August</w:t>
      </w:r>
      <w:r w:rsidRPr="33B8EE5E">
        <w:rPr>
          <w:color w:val="1F497D"/>
          <w:sz w:val="36"/>
          <w:szCs w:val="36"/>
        </w:rPr>
        <w:t xml:space="preserve"> </w:t>
      </w:r>
      <w:r w:rsidR="00F809BD" w:rsidRPr="33B8EE5E">
        <w:rPr>
          <w:color w:val="1F497D"/>
          <w:sz w:val="36"/>
          <w:szCs w:val="36"/>
        </w:rPr>
        <w:t>2023</w:t>
      </w:r>
    </w:p>
    <w:p w14:paraId="716E1771" w14:textId="77777777" w:rsidR="00AC2D09" w:rsidRDefault="00AC2D09" w:rsidP="000434B7">
      <w:pPr>
        <w:jc w:val="center"/>
        <w:rPr>
          <w:color w:val="1F497D"/>
          <w:sz w:val="36"/>
          <w:szCs w:val="36"/>
        </w:rPr>
      </w:pPr>
      <w:r>
        <w:rPr>
          <w:color w:val="1F497D"/>
          <w:sz w:val="36"/>
          <w:szCs w:val="36"/>
        </w:rPr>
        <w:br w:type="page"/>
      </w:r>
    </w:p>
    <w:sdt>
      <w:sdtPr>
        <w:rPr>
          <w:rFonts w:eastAsia="Calibri"/>
          <w:b w:val="0"/>
          <w:bCs w:val="0"/>
          <w:color w:val="auto"/>
          <w:sz w:val="22"/>
          <w:szCs w:val="22"/>
          <w:lang w:eastAsia="en-US"/>
        </w:rPr>
        <w:id w:val="1947958413"/>
        <w:docPartObj>
          <w:docPartGallery w:val="Table of Contents"/>
          <w:docPartUnique/>
        </w:docPartObj>
      </w:sdtPr>
      <w:sdtEndPr>
        <w:rPr>
          <w:noProof/>
        </w:rPr>
      </w:sdtEndPr>
      <w:sdtContent>
        <w:p w14:paraId="3D68EAB4" w14:textId="408499D1" w:rsidR="00AC2D09" w:rsidRDefault="00AC2D09" w:rsidP="00AC2D09">
          <w:pPr>
            <w:pStyle w:val="TOCHeading"/>
            <w:numPr>
              <w:ilvl w:val="0"/>
              <w:numId w:val="0"/>
            </w:numPr>
            <w:ind w:left="3690"/>
          </w:pPr>
          <w:r>
            <w:t>Table of Contents</w:t>
          </w:r>
        </w:p>
        <w:p w14:paraId="39D1F3BE" w14:textId="03A5BB58" w:rsidR="00B63FB7" w:rsidRDefault="00AC2D0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47244400" w:history="1">
            <w:r w:rsidR="00B63FB7" w:rsidRPr="00F12AAE">
              <w:rPr>
                <w:rStyle w:val="Hyperlink"/>
                <w:noProof/>
              </w:rPr>
              <w:t>MassHealth  Comprehensive Quality Strategy Effectiveness Evaluation</w:t>
            </w:r>
            <w:r w:rsidR="00B63FB7">
              <w:rPr>
                <w:noProof/>
                <w:webHidden/>
              </w:rPr>
              <w:tab/>
            </w:r>
            <w:r w:rsidR="00B63FB7">
              <w:rPr>
                <w:noProof/>
                <w:webHidden/>
              </w:rPr>
              <w:fldChar w:fldCharType="begin"/>
            </w:r>
            <w:r w:rsidR="00B63FB7">
              <w:rPr>
                <w:noProof/>
                <w:webHidden/>
              </w:rPr>
              <w:instrText xml:space="preserve"> PAGEREF _Toc147244400 \h </w:instrText>
            </w:r>
            <w:r w:rsidR="00B63FB7">
              <w:rPr>
                <w:noProof/>
                <w:webHidden/>
              </w:rPr>
            </w:r>
            <w:r w:rsidR="00B63FB7">
              <w:rPr>
                <w:noProof/>
                <w:webHidden/>
              </w:rPr>
              <w:fldChar w:fldCharType="separate"/>
            </w:r>
            <w:r w:rsidR="00385C01">
              <w:rPr>
                <w:noProof/>
                <w:webHidden/>
              </w:rPr>
              <w:t>0</w:t>
            </w:r>
            <w:r w:rsidR="00B63FB7">
              <w:rPr>
                <w:noProof/>
                <w:webHidden/>
              </w:rPr>
              <w:fldChar w:fldCharType="end"/>
            </w:r>
          </w:hyperlink>
        </w:p>
        <w:p w14:paraId="468082A2" w14:textId="23708A10" w:rsidR="00B63FB7" w:rsidRDefault="00AD22ED" w:rsidP="00DD74F9">
          <w:pPr>
            <w:pStyle w:val="TOC2"/>
            <w:rPr>
              <w:rFonts w:asciiTheme="minorHAnsi" w:eastAsiaTheme="minorEastAsia" w:hAnsiTheme="minorHAnsi" w:cstheme="minorBidi"/>
              <w:noProof/>
            </w:rPr>
          </w:pPr>
          <w:hyperlink w:anchor="_Toc147244401" w:history="1">
            <w:r w:rsidR="00B63FB7" w:rsidRPr="00F12AAE">
              <w:rPr>
                <w:rStyle w:val="Hyperlink"/>
                <w:noProof/>
              </w:rPr>
              <w:t>Introduction</w:t>
            </w:r>
            <w:r w:rsidR="00B63FB7">
              <w:rPr>
                <w:noProof/>
                <w:webHidden/>
              </w:rPr>
              <w:tab/>
            </w:r>
            <w:r w:rsidR="00B63FB7">
              <w:rPr>
                <w:noProof/>
                <w:webHidden/>
              </w:rPr>
              <w:fldChar w:fldCharType="begin"/>
            </w:r>
            <w:r w:rsidR="00B63FB7">
              <w:rPr>
                <w:noProof/>
                <w:webHidden/>
              </w:rPr>
              <w:instrText xml:space="preserve"> PAGEREF _Toc147244401 \h </w:instrText>
            </w:r>
            <w:r w:rsidR="00B63FB7">
              <w:rPr>
                <w:noProof/>
                <w:webHidden/>
              </w:rPr>
            </w:r>
            <w:r w:rsidR="00B63FB7">
              <w:rPr>
                <w:noProof/>
                <w:webHidden/>
              </w:rPr>
              <w:fldChar w:fldCharType="separate"/>
            </w:r>
            <w:r w:rsidR="00385C01">
              <w:rPr>
                <w:noProof/>
                <w:webHidden/>
              </w:rPr>
              <w:t>2</w:t>
            </w:r>
            <w:r w:rsidR="00B63FB7">
              <w:rPr>
                <w:noProof/>
                <w:webHidden/>
              </w:rPr>
              <w:fldChar w:fldCharType="end"/>
            </w:r>
          </w:hyperlink>
        </w:p>
        <w:p w14:paraId="4B206D0C" w14:textId="0C88578F" w:rsidR="00B63FB7" w:rsidRDefault="00AD22ED" w:rsidP="00DD74F9">
          <w:pPr>
            <w:pStyle w:val="TOC2"/>
            <w:rPr>
              <w:rFonts w:asciiTheme="minorHAnsi" w:eastAsiaTheme="minorEastAsia" w:hAnsiTheme="minorHAnsi" w:cstheme="minorBidi"/>
              <w:noProof/>
            </w:rPr>
          </w:pPr>
          <w:hyperlink w:anchor="_Toc147244402" w:history="1">
            <w:r w:rsidR="00B63FB7" w:rsidRPr="00F12AAE">
              <w:rPr>
                <w:rStyle w:val="Hyperlink"/>
                <w:noProof/>
              </w:rPr>
              <w:t>MassHealth Managed Care Programs</w:t>
            </w:r>
            <w:r w:rsidR="00B63FB7">
              <w:rPr>
                <w:noProof/>
                <w:webHidden/>
              </w:rPr>
              <w:tab/>
            </w:r>
            <w:r w:rsidR="00B63FB7">
              <w:rPr>
                <w:noProof/>
                <w:webHidden/>
              </w:rPr>
              <w:fldChar w:fldCharType="begin"/>
            </w:r>
            <w:r w:rsidR="00B63FB7">
              <w:rPr>
                <w:noProof/>
                <w:webHidden/>
              </w:rPr>
              <w:instrText xml:space="preserve"> PAGEREF _Toc147244402 \h </w:instrText>
            </w:r>
            <w:r w:rsidR="00B63FB7">
              <w:rPr>
                <w:noProof/>
                <w:webHidden/>
              </w:rPr>
            </w:r>
            <w:r w:rsidR="00B63FB7">
              <w:rPr>
                <w:noProof/>
                <w:webHidden/>
              </w:rPr>
              <w:fldChar w:fldCharType="separate"/>
            </w:r>
            <w:r w:rsidR="00385C01">
              <w:rPr>
                <w:noProof/>
                <w:webHidden/>
              </w:rPr>
              <w:t>2</w:t>
            </w:r>
            <w:r w:rsidR="00B63FB7">
              <w:rPr>
                <w:noProof/>
                <w:webHidden/>
              </w:rPr>
              <w:fldChar w:fldCharType="end"/>
            </w:r>
          </w:hyperlink>
        </w:p>
        <w:p w14:paraId="36044A4A" w14:textId="6F9F340B" w:rsidR="00B63FB7" w:rsidRDefault="00AD22ED" w:rsidP="00DD74F9">
          <w:pPr>
            <w:pStyle w:val="TOC2"/>
            <w:rPr>
              <w:rFonts w:asciiTheme="minorHAnsi" w:eastAsiaTheme="minorEastAsia" w:hAnsiTheme="minorHAnsi" w:cstheme="minorBidi"/>
              <w:noProof/>
            </w:rPr>
          </w:pPr>
          <w:hyperlink w:anchor="_Toc147244403" w:history="1">
            <w:r w:rsidR="00B63FB7" w:rsidRPr="00F12AAE">
              <w:rPr>
                <w:rStyle w:val="Hyperlink"/>
                <w:noProof/>
              </w:rPr>
              <w:t>Evaluation Methodology</w:t>
            </w:r>
            <w:r w:rsidR="00B63FB7">
              <w:rPr>
                <w:noProof/>
                <w:webHidden/>
              </w:rPr>
              <w:tab/>
            </w:r>
            <w:r w:rsidR="00B63FB7">
              <w:rPr>
                <w:noProof/>
                <w:webHidden/>
              </w:rPr>
              <w:fldChar w:fldCharType="begin"/>
            </w:r>
            <w:r w:rsidR="00B63FB7">
              <w:rPr>
                <w:noProof/>
                <w:webHidden/>
              </w:rPr>
              <w:instrText xml:space="preserve"> PAGEREF _Toc147244403 \h </w:instrText>
            </w:r>
            <w:r w:rsidR="00B63FB7">
              <w:rPr>
                <w:noProof/>
                <w:webHidden/>
              </w:rPr>
            </w:r>
            <w:r w:rsidR="00B63FB7">
              <w:rPr>
                <w:noProof/>
                <w:webHidden/>
              </w:rPr>
              <w:fldChar w:fldCharType="separate"/>
            </w:r>
            <w:r w:rsidR="00385C01">
              <w:rPr>
                <w:noProof/>
                <w:webHidden/>
              </w:rPr>
              <w:t>4</w:t>
            </w:r>
            <w:r w:rsidR="00B63FB7">
              <w:rPr>
                <w:noProof/>
                <w:webHidden/>
              </w:rPr>
              <w:fldChar w:fldCharType="end"/>
            </w:r>
          </w:hyperlink>
        </w:p>
        <w:p w14:paraId="5DA2C60F" w14:textId="13523097" w:rsidR="00B63FB7" w:rsidRDefault="00AD22ED" w:rsidP="00DD74F9">
          <w:pPr>
            <w:pStyle w:val="TOC2"/>
            <w:rPr>
              <w:rFonts w:asciiTheme="minorHAnsi" w:eastAsiaTheme="minorEastAsia" w:hAnsiTheme="minorHAnsi" w:cstheme="minorBidi"/>
              <w:noProof/>
            </w:rPr>
          </w:pPr>
          <w:hyperlink w:anchor="_Toc147244404" w:history="1">
            <w:r w:rsidR="00B63FB7" w:rsidRPr="00F12AAE">
              <w:rPr>
                <w:rStyle w:val="Hyperlink"/>
                <w:noProof/>
              </w:rPr>
              <w:t>MassHealth CQS Quality Goals and Measures</w:t>
            </w:r>
            <w:r w:rsidR="00B63FB7">
              <w:rPr>
                <w:noProof/>
                <w:webHidden/>
              </w:rPr>
              <w:tab/>
            </w:r>
            <w:r w:rsidR="00B63FB7">
              <w:rPr>
                <w:noProof/>
                <w:webHidden/>
              </w:rPr>
              <w:fldChar w:fldCharType="begin"/>
            </w:r>
            <w:r w:rsidR="00B63FB7">
              <w:rPr>
                <w:noProof/>
                <w:webHidden/>
              </w:rPr>
              <w:instrText xml:space="preserve"> PAGEREF _Toc147244404 \h </w:instrText>
            </w:r>
            <w:r w:rsidR="00B63FB7">
              <w:rPr>
                <w:noProof/>
                <w:webHidden/>
              </w:rPr>
            </w:r>
            <w:r w:rsidR="00B63FB7">
              <w:rPr>
                <w:noProof/>
                <w:webHidden/>
              </w:rPr>
              <w:fldChar w:fldCharType="separate"/>
            </w:r>
            <w:r w:rsidR="00385C01">
              <w:rPr>
                <w:noProof/>
                <w:webHidden/>
              </w:rPr>
              <w:t>5</w:t>
            </w:r>
            <w:r w:rsidR="00B63FB7">
              <w:rPr>
                <w:noProof/>
                <w:webHidden/>
              </w:rPr>
              <w:fldChar w:fldCharType="end"/>
            </w:r>
          </w:hyperlink>
        </w:p>
        <w:p w14:paraId="48950ABC" w14:textId="60784A5D" w:rsidR="00B63FB7" w:rsidRDefault="00AD22ED">
          <w:pPr>
            <w:pStyle w:val="TOC3"/>
            <w:rPr>
              <w:rFonts w:asciiTheme="minorHAnsi" w:eastAsiaTheme="minorEastAsia" w:hAnsiTheme="minorHAnsi" w:cstheme="minorBidi"/>
              <w:noProof/>
            </w:rPr>
          </w:pPr>
          <w:hyperlink w:anchor="_Toc147244405" w:history="1">
            <w:r w:rsidR="00B63FB7" w:rsidRPr="00F12AAE">
              <w:rPr>
                <w:rStyle w:val="Hyperlink"/>
                <w:noProof/>
              </w:rPr>
              <w:t xml:space="preserve">Quality Goal 1: </w:t>
            </w:r>
            <w:r w:rsidR="00B63FB7" w:rsidRPr="00F12AAE">
              <w:rPr>
                <w:rStyle w:val="Hyperlink"/>
                <w:rFonts w:cstheme="minorHAnsi"/>
                <w:i/>
                <w:iCs/>
                <w:noProof/>
              </w:rPr>
              <w:t>Transform to a member-centered culture of care focused on engaging members in their health.</w:t>
            </w:r>
            <w:r w:rsidR="00B63FB7">
              <w:rPr>
                <w:noProof/>
                <w:webHidden/>
              </w:rPr>
              <w:tab/>
            </w:r>
            <w:r w:rsidR="00B63FB7">
              <w:rPr>
                <w:noProof/>
                <w:webHidden/>
              </w:rPr>
              <w:fldChar w:fldCharType="begin"/>
            </w:r>
            <w:r w:rsidR="00B63FB7">
              <w:rPr>
                <w:noProof/>
                <w:webHidden/>
              </w:rPr>
              <w:instrText xml:space="preserve"> PAGEREF _Toc147244405 \h </w:instrText>
            </w:r>
            <w:r w:rsidR="00B63FB7">
              <w:rPr>
                <w:noProof/>
                <w:webHidden/>
              </w:rPr>
            </w:r>
            <w:r w:rsidR="00B63FB7">
              <w:rPr>
                <w:noProof/>
                <w:webHidden/>
              </w:rPr>
              <w:fldChar w:fldCharType="separate"/>
            </w:r>
            <w:r w:rsidR="00385C01">
              <w:rPr>
                <w:noProof/>
                <w:webHidden/>
              </w:rPr>
              <w:t>6</w:t>
            </w:r>
            <w:r w:rsidR="00B63FB7">
              <w:rPr>
                <w:noProof/>
                <w:webHidden/>
              </w:rPr>
              <w:fldChar w:fldCharType="end"/>
            </w:r>
          </w:hyperlink>
        </w:p>
        <w:p w14:paraId="18C9AD9C" w14:textId="35F70F2E" w:rsidR="00B63FB7" w:rsidRDefault="00AD22ED">
          <w:pPr>
            <w:pStyle w:val="TOC3"/>
            <w:rPr>
              <w:rFonts w:asciiTheme="minorHAnsi" w:eastAsiaTheme="minorEastAsia" w:hAnsiTheme="minorHAnsi" w:cstheme="minorBidi"/>
              <w:noProof/>
            </w:rPr>
          </w:pPr>
          <w:hyperlink w:anchor="_Toc147244406" w:history="1">
            <w:r w:rsidR="00B63FB7" w:rsidRPr="00F12AAE">
              <w:rPr>
                <w:rStyle w:val="Hyperlink"/>
                <w:noProof/>
              </w:rPr>
              <w:t xml:space="preserve">Quality Goal 2: </w:t>
            </w:r>
            <w:r w:rsidR="00B63FB7" w:rsidRPr="00F12AAE">
              <w:rPr>
                <w:rStyle w:val="Hyperlink"/>
                <w:rFonts w:cstheme="minorHAnsi"/>
                <w:i/>
                <w:iCs/>
                <w:noProof/>
              </w:rPr>
              <w:t>Improve communication, coordination, and care integration</w:t>
            </w:r>
            <w:r w:rsidR="00B63FB7" w:rsidRPr="00F12AAE">
              <w:rPr>
                <w:rStyle w:val="Hyperlink"/>
                <w:noProof/>
              </w:rPr>
              <w:t>.</w:t>
            </w:r>
            <w:r w:rsidR="00B63FB7">
              <w:rPr>
                <w:noProof/>
                <w:webHidden/>
              </w:rPr>
              <w:tab/>
            </w:r>
            <w:r w:rsidR="00B63FB7">
              <w:rPr>
                <w:noProof/>
                <w:webHidden/>
              </w:rPr>
              <w:fldChar w:fldCharType="begin"/>
            </w:r>
            <w:r w:rsidR="00B63FB7">
              <w:rPr>
                <w:noProof/>
                <w:webHidden/>
              </w:rPr>
              <w:instrText xml:space="preserve"> PAGEREF _Toc147244406 \h </w:instrText>
            </w:r>
            <w:r w:rsidR="00B63FB7">
              <w:rPr>
                <w:noProof/>
                <w:webHidden/>
              </w:rPr>
            </w:r>
            <w:r w:rsidR="00B63FB7">
              <w:rPr>
                <w:noProof/>
                <w:webHidden/>
              </w:rPr>
              <w:fldChar w:fldCharType="separate"/>
            </w:r>
            <w:r w:rsidR="00385C01">
              <w:rPr>
                <w:noProof/>
                <w:webHidden/>
              </w:rPr>
              <w:t>6</w:t>
            </w:r>
            <w:r w:rsidR="00B63FB7">
              <w:rPr>
                <w:noProof/>
                <w:webHidden/>
              </w:rPr>
              <w:fldChar w:fldCharType="end"/>
            </w:r>
          </w:hyperlink>
        </w:p>
        <w:p w14:paraId="0C15EEF3" w14:textId="527F1A34" w:rsidR="00B63FB7" w:rsidRDefault="00AD22ED">
          <w:pPr>
            <w:pStyle w:val="TOC3"/>
            <w:rPr>
              <w:rFonts w:asciiTheme="minorHAnsi" w:eastAsiaTheme="minorEastAsia" w:hAnsiTheme="minorHAnsi" w:cstheme="minorBidi"/>
              <w:noProof/>
            </w:rPr>
          </w:pPr>
          <w:hyperlink w:anchor="_Toc147244407" w:history="1">
            <w:r w:rsidR="00B63FB7" w:rsidRPr="00F12AAE">
              <w:rPr>
                <w:rStyle w:val="Hyperlink"/>
                <w:noProof/>
              </w:rPr>
              <w:t xml:space="preserve">Quality Goal 3: </w:t>
            </w:r>
            <w:r w:rsidR="00B63FB7" w:rsidRPr="00F12AAE">
              <w:rPr>
                <w:rStyle w:val="Hyperlink"/>
                <w:i/>
                <w:iCs/>
                <w:noProof/>
              </w:rPr>
              <w:t>Focus on preventive, patient-centered primary care, and community-based services and supports.</w:t>
            </w:r>
            <w:r w:rsidR="00B63FB7">
              <w:rPr>
                <w:noProof/>
                <w:webHidden/>
              </w:rPr>
              <w:tab/>
            </w:r>
            <w:r w:rsidR="00B63FB7">
              <w:rPr>
                <w:noProof/>
                <w:webHidden/>
              </w:rPr>
              <w:fldChar w:fldCharType="begin"/>
            </w:r>
            <w:r w:rsidR="00B63FB7">
              <w:rPr>
                <w:noProof/>
                <w:webHidden/>
              </w:rPr>
              <w:instrText xml:space="preserve"> PAGEREF _Toc147244407 \h </w:instrText>
            </w:r>
            <w:r w:rsidR="00B63FB7">
              <w:rPr>
                <w:noProof/>
                <w:webHidden/>
              </w:rPr>
            </w:r>
            <w:r w:rsidR="00B63FB7">
              <w:rPr>
                <w:noProof/>
                <w:webHidden/>
              </w:rPr>
              <w:fldChar w:fldCharType="separate"/>
            </w:r>
            <w:r w:rsidR="00385C01">
              <w:rPr>
                <w:noProof/>
                <w:webHidden/>
              </w:rPr>
              <w:t>8</w:t>
            </w:r>
            <w:r w:rsidR="00B63FB7">
              <w:rPr>
                <w:noProof/>
                <w:webHidden/>
              </w:rPr>
              <w:fldChar w:fldCharType="end"/>
            </w:r>
          </w:hyperlink>
        </w:p>
        <w:p w14:paraId="407C995F" w14:textId="0470D070" w:rsidR="00B63FB7" w:rsidRDefault="00AD22ED">
          <w:pPr>
            <w:pStyle w:val="TOC3"/>
            <w:rPr>
              <w:rFonts w:asciiTheme="minorHAnsi" w:eastAsiaTheme="minorEastAsia" w:hAnsiTheme="minorHAnsi" w:cstheme="minorBidi"/>
              <w:noProof/>
            </w:rPr>
          </w:pPr>
          <w:hyperlink w:anchor="_Toc147244408" w:history="1">
            <w:r w:rsidR="00B63FB7" w:rsidRPr="00F12AAE">
              <w:rPr>
                <w:rStyle w:val="Hyperlink"/>
                <w:noProof/>
              </w:rPr>
              <w:t xml:space="preserve">Quality Goal 4: </w:t>
            </w:r>
            <w:r w:rsidR="00B63FB7" w:rsidRPr="00F12AAE">
              <w:rPr>
                <w:rStyle w:val="Hyperlink"/>
                <w:rFonts w:cstheme="minorHAnsi"/>
                <w:i/>
                <w:iCs/>
                <w:noProof/>
              </w:rPr>
              <w:t>Promote effective prevention and treatment to address chronic diseases or priority conditions.</w:t>
            </w:r>
            <w:r w:rsidR="00B63FB7">
              <w:rPr>
                <w:noProof/>
                <w:webHidden/>
              </w:rPr>
              <w:tab/>
            </w:r>
            <w:r w:rsidR="00B63FB7">
              <w:rPr>
                <w:noProof/>
                <w:webHidden/>
              </w:rPr>
              <w:fldChar w:fldCharType="begin"/>
            </w:r>
            <w:r w:rsidR="00B63FB7">
              <w:rPr>
                <w:noProof/>
                <w:webHidden/>
              </w:rPr>
              <w:instrText xml:space="preserve"> PAGEREF _Toc147244408 \h </w:instrText>
            </w:r>
            <w:r w:rsidR="00B63FB7">
              <w:rPr>
                <w:noProof/>
                <w:webHidden/>
              </w:rPr>
            </w:r>
            <w:r w:rsidR="00B63FB7">
              <w:rPr>
                <w:noProof/>
                <w:webHidden/>
              </w:rPr>
              <w:fldChar w:fldCharType="separate"/>
            </w:r>
            <w:r w:rsidR="00385C01">
              <w:rPr>
                <w:noProof/>
                <w:webHidden/>
              </w:rPr>
              <w:t>9</w:t>
            </w:r>
            <w:r w:rsidR="00B63FB7">
              <w:rPr>
                <w:noProof/>
                <w:webHidden/>
              </w:rPr>
              <w:fldChar w:fldCharType="end"/>
            </w:r>
          </w:hyperlink>
        </w:p>
        <w:p w14:paraId="0714BB17" w14:textId="49940D1B" w:rsidR="00B63FB7" w:rsidRDefault="00AD22ED">
          <w:pPr>
            <w:pStyle w:val="TOC3"/>
            <w:rPr>
              <w:rFonts w:asciiTheme="minorHAnsi" w:eastAsiaTheme="minorEastAsia" w:hAnsiTheme="minorHAnsi" w:cstheme="minorBidi"/>
              <w:noProof/>
            </w:rPr>
          </w:pPr>
          <w:hyperlink w:anchor="_Toc147244409" w:history="1">
            <w:r w:rsidR="00B63FB7" w:rsidRPr="00F12AAE">
              <w:rPr>
                <w:rStyle w:val="Hyperlink"/>
                <w:noProof/>
              </w:rPr>
              <w:t xml:space="preserve">Quality Goal 5: </w:t>
            </w:r>
            <w:r w:rsidR="00B63FB7" w:rsidRPr="00F12AAE">
              <w:rPr>
                <w:rStyle w:val="Hyperlink"/>
                <w:rFonts w:cstheme="minorHAnsi"/>
                <w:i/>
                <w:iCs/>
                <w:noProof/>
              </w:rPr>
              <w:t>Engage communities through population health and best practices for healthy living.</w:t>
            </w:r>
            <w:r w:rsidR="00B63FB7">
              <w:rPr>
                <w:noProof/>
                <w:webHidden/>
              </w:rPr>
              <w:tab/>
            </w:r>
            <w:r w:rsidR="00B63FB7">
              <w:rPr>
                <w:noProof/>
                <w:webHidden/>
              </w:rPr>
              <w:fldChar w:fldCharType="begin"/>
            </w:r>
            <w:r w:rsidR="00B63FB7">
              <w:rPr>
                <w:noProof/>
                <w:webHidden/>
              </w:rPr>
              <w:instrText xml:space="preserve"> PAGEREF _Toc147244409 \h </w:instrText>
            </w:r>
            <w:r w:rsidR="00B63FB7">
              <w:rPr>
                <w:noProof/>
                <w:webHidden/>
              </w:rPr>
            </w:r>
            <w:r w:rsidR="00B63FB7">
              <w:rPr>
                <w:noProof/>
                <w:webHidden/>
              </w:rPr>
              <w:fldChar w:fldCharType="separate"/>
            </w:r>
            <w:r w:rsidR="00385C01">
              <w:rPr>
                <w:noProof/>
                <w:webHidden/>
              </w:rPr>
              <w:t>10</w:t>
            </w:r>
            <w:r w:rsidR="00B63FB7">
              <w:rPr>
                <w:noProof/>
                <w:webHidden/>
              </w:rPr>
              <w:fldChar w:fldCharType="end"/>
            </w:r>
          </w:hyperlink>
        </w:p>
        <w:p w14:paraId="415A1235" w14:textId="36AE2888" w:rsidR="00B63FB7" w:rsidRDefault="00AD22ED">
          <w:pPr>
            <w:pStyle w:val="TOC3"/>
            <w:rPr>
              <w:rFonts w:asciiTheme="minorHAnsi" w:eastAsiaTheme="minorEastAsia" w:hAnsiTheme="minorHAnsi" w:cstheme="minorBidi"/>
              <w:noProof/>
            </w:rPr>
          </w:pPr>
          <w:hyperlink w:anchor="_Toc147244410" w:history="1">
            <w:r w:rsidR="00B63FB7" w:rsidRPr="00F12AAE">
              <w:rPr>
                <w:rStyle w:val="Hyperlink"/>
                <w:noProof/>
              </w:rPr>
              <w:t xml:space="preserve">Quality Goal 6: </w:t>
            </w:r>
            <w:r w:rsidR="00B63FB7" w:rsidRPr="00F12AAE">
              <w:rPr>
                <w:rStyle w:val="Hyperlink"/>
                <w:rFonts w:cstheme="minorHAnsi"/>
                <w:i/>
                <w:iCs/>
                <w:noProof/>
              </w:rPr>
              <w:t>Identify and address health disparities to provide equitable care.</w:t>
            </w:r>
            <w:r w:rsidR="00B63FB7">
              <w:rPr>
                <w:noProof/>
                <w:webHidden/>
              </w:rPr>
              <w:tab/>
            </w:r>
            <w:r w:rsidR="00B63FB7">
              <w:rPr>
                <w:noProof/>
                <w:webHidden/>
              </w:rPr>
              <w:fldChar w:fldCharType="begin"/>
            </w:r>
            <w:r w:rsidR="00B63FB7">
              <w:rPr>
                <w:noProof/>
                <w:webHidden/>
              </w:rPr>
              <w:instrText xml:space="preserve"> PAGEREF _Toc147244410 \h </w:instrText>
            </w:r>
            <w:r w:rsidR="00B63FB7">
              <w:rPr>
                <w:noProof/>
                <w:webHidden/>
              </w:rPr>
            </w:r>
            <w:r w:rsidR="00B63FB7">
              <w:rPr>
                <w:noProof/>
                <w:webHidden/>
              </w:rPr>
              <w:fldChar w:fldCharType="separate"/>
            </w:r>
            <w:r w:rsidR="00385C01">
              <w:rPr>
                <w:noProof/>
                <w:webHidden/>
              </w:rPr>
              <w:t>11</w:t>
            </w:r>
            <w:r w:rsidR="00B63FB7">
              <w:rPr>
                <w:noProof/>
                <w:webHidden/>
              </w:rPr>
              <w:fldChar w:fldCharType="end"/>
            </w:r>
          </w:hyperlink>
        </w:p>
        <w:p w14:paraId="37796594" w14:textId="3DAEEAE4" w:rsidR="00B63FB7" w:rsidRDefault="00AD22ED" w:rsidP="00DD74F9">
          <w:pPr>
            <w:pStyle w:val="TOC2"/>
            <w:rPr>
              <w:rFonts w:asciiTheme="minorHAnsi" w:eastAsiaTheme="minorEastAsia" w:hAnsiTheme="minorHAnsi" w:cstheme="minorBidi"/>
              <w:noProof/>
            </w:rPr>
          </w:pPr>
          <w:hyperlink w:anchor="_Toc147244411" w:history="1">
            <w:r w:rsidR="00B63FB7" w:rsidRPr="00F12AAE">
              <w:rPr>
                <w:rStyle w:val="Hyperlink"/>
                <w:noProof/>
              </w:rPr>
              <w:t>CMS Child and Adult Core Set Performance</w:t>
            </w:r>
            <w:r w:rsidR="00B63FB7">
              <w:rPr>
                <w:noProof/>
                <w:webHidden/>
              </w:rPr>
              <w:tab/>
            </w:r>
            <w:r w:rsidR="00B63FB7">
              <w:rPr>
                <w:noProof/>
                <w:webHidden/>
              </w:rPr>
              <w:fldChar w:fldCharType="begin"/>
            </w:r>
            <w:r w:rsidR="00B63FB7">
              <w:rPr>
                <w:noProof/>
                <w:webHidden/>
              </w:rPr>
              <w:instrText xml:space="preserve"> PAGEREF _Toc147244411 \h </w:instrText>
            </w:r>
            <w:r w:rsidR="00B63FB7">
              <w:rPr>
                <w:noProof/>
                <w:webHidden/>
              </w:rPr>
            </w:r>
            <w:r w:rsidR="00B63FB7">
              <w:rPr>
                <w:noProof/>
                <w:webHidden/>
              </w:rPr>
              <w:fldChar w:fldCharType="separate"/>
            </w:r>
            <w:r w:rsidR="00385C01">
              <w:rPr>
                <w:noProof/>
                <w:webHidden/>
              </w:rPr>
              <w:t>12</w:t>
            </w:r>
            <w:r w:rsidR="00B63FB7">
              <w:rPr>
                <w:noProof/>
                <w:webHidden/>
              </w:rPr>
              <w:fldChar w:fldCharType="end"/>
            </w:r>
          </w:hyperlink>
        </w:p>
        <w:p w14:paraId="473AAEF0" w14:textId="195E48AA" w:rsidR="00B63FB7" w:rsidRDefault="00AD22ED" w:rsidP="00DD74F9">
          <w:pPr>
            <w:pStyle w:val="TOC2"/>
            <w:rPr>
              <w:rFonts w:asciiTheme="minorHAnsi" w:eastAsiaTheme="minorEastAsia" w:hAnsiTheme="minorHAnsi" w:cstheme="minorBidi"/>
              <w:noProof/>
            </w:rPr>
          </w:pPr>
          <w:hyperlink w:anchor="_Toc147244412" w:history="1">
            <w:r w:rsidR="00B63FB7" w:rsidRPr="00F12AAE">
              <w:rPr>
                <w:rStyle w:val="Hyperlink"/>
                <w:noProof/>
              </w:rPr>
              <w:t>State Responsiveness to External Quality Review Organization (EQRO) Recommendations</w:t>
            </w:r>
            <w:r w:rsidR="00B63FB7">
              <w:rPr>
                <w:noProof/>
                <w:webHidden/>
              </w:rPr>
              <w:tab/>
            </w:r>
            <w:r w:rsidR="00B63FB7">
              <w:rPr>
                <w:noProof/>
                <w:webHidden/>
              </w:rPr>
              <w:fldChar w:fldCharType="begin"/>
            </w:r>
            <w:r w:rsidR="00B63FB7">
              <w:rPr>
                <w:noProof/>
                <w:webHidden/>
              </w:rPr>
              <w:instrText xml:space="preserve"> PAGEREF _Toc147244412 \h </w:instrText>
            </w:r>
            <w:r w:rsidR="00B63FB7">
              <w:rPr>
                <w:noProof/>
                <w:webHidden/>
              </w:rPr>
            </w:r>
            <w:r w:rsidR="00B63FB7">
              <w:rPr>
                <w:noProof/>
                <w:webHidden/>
              </w:rPr>
              <w:fldChar w:fldCharType="separate"/>
            </w:r>
            <w:r w:rsidR="00385C01">
              <w:rPr>
                <w:noProof/>
                <w:webHidden/>
              </w:rPr>
              <w:t>12</w:t>
            </w:r>
            <w:r w:rsidR="00B63FB7">
              <w:rPr>
                <w:noProof/>
                <w:webHidden/>
              </w:rPr>
              <w:fldChar w:fldCharType="end"/>
            </w:r>
          </w:hyperlink>
        </w:p>
        <w:p w14:paraId="315614AA" w14:textId="6074B49B" w:rsidR="00B63FB7" w:rsidRDefault="00AD22ED">
          <w:pPr>
            <w:pStyle w:val="TOC3"/>
            <w:rPr>
              <w:rFonts w:asciiTheme="minorHAnsi" w:eastAsiaTheme="minorEastAsia" w:hAnsiTheme="minorHAnsi" w:cstheme="minorBidi"/>
              <w:noProof/>
            </w:rPr>
          </w:pPr>
          <w:hyperlink w:anchor="_Toc147244413" w:history="1">
            <w:r w:rsidR="00B63FB7" w:rsidRPr="00F12AAE">
              <w:rPr>
                <w:rStyle w:val="Hyperlink"/>
                <w:noProof/>
              </w:rPr>
              <w:t>EQR Recommendations and MassHealth Responses</w:t>
            </w:r>
            <w:r w:rsidR="00B63FB7">
              <w:rPr>
                <w:noProof/>
                <w:webHidden/>
              </w:rPr>
              <w:tab/>
            </w:r>
            <w:r w:rsidR="00B63FB7">
              <w:rPr>
                <w:noProof/>
                <w:webHidden/>
              </w:rPr>
              <w:fldChar w:fldCharType="begin"/>
            </w:r>
            <w:r w:rsidR="00B63FB7">
              <w:rPr>
                <w:noProof/>
                <w:webHidden/>
              </w:rPr>
              <w:instrText xml:space="preserve"> PAGEREF _Toc147244413 \h </w:instrText>
            </w:r>
            <w:r w:rsidR="00B63FB7">
              <w:rPr>
                <w:noProof/>
                <w:webHidden/>
              </w:rPr>
            </w:r>
            <w:r w:rsidR="00B63FB7">
              <w:rPr>
                <w:noProof/>
                <w:webHidden/>
              </w:rPr>
              <w:fldChar w:fldCharType="separate"/>
            </w:r>
            <w:r w:rsidR="00385C01">
              <w:rPr>
                <w:noProof/>
                <w:webHidden/>
              </w:rPr>
              <w:t>12</w:t>
            </w:r>
            <w:r w:rsidR="00B63FB7">
              <w:rPr>
                <w:noProof/>
                <w:webHidden/>
              </w:rPr>
              <w:fldChar w:fldCharType="end"/>
            </w:r>
          </w:hyperlink>
        </w:p>
        <w:p w14:paraId="4E6391AD" w14:textId="051DBF4A" w:rsidR="00B63FB7" w:rsidRDefault="00AD22ED" w:rsidP="00DD74F9">
          <w:pPr>
            <w:pStyle w:val="TOC2"/>
            <w:rPr>
              <w:rFonts w:asciiTheme="minorHAnsi" w:eastAsiaTheme="minorEastAsia" w:hAnsiTheme="minorHAnsi" w:cstheme="minorBidi"/>
              <w:noProof/>
            </w:rPr>
          </w:pPr>
          <w:hyperlink w:anchor="_Toc147244414" w:history="1">
            <w:r w:rsidR="00B63FB7" w:rsidRPr="00F12AAE">
              <w:rPr>
                <w:rStyle w:val="Hyperlink"/>
                <w:noProof/>
              </w:rPr>
              <w:t>Progress On Quality Strategy Goals and Objectives and Goal Revision</w:t>
            </w:r>
            <w:r w:rsidR="00B63FB7">
              <w:rPr>
                <w:noProof/>
                <w:webHidden/>
              </w:rPr>
              <w:tab/>
            </w:r>
            <w:r w:rsidR="00B63FB7">
              <w:rPr>
                <w:noProof/>
                <w:webHidden/>
              </w:rPr>
              <w:fldChar w:fldCharType="begin"/>
            </w:r>
            <w:r w:rsidR="00B63FB7">
              <w:rPr>
                <w:noProof/>
                <w:webHidden/>
              </w:rPr>
              <w:instrText xml:space="preserve"> PAGEREF _Toc147244414 \h </w:instrText>
            </w:r>
            <w:r w:rsidR="00B63FB7">
              <w:rPr>
                <w:noProof/>
                <w:webHidden/>
              </w:rPr>
            </w:r>
            <w:r w:rsidR="00B63FB7">
              <w:rPr>
                <w:noProof/>
                <w:webHidden/>
              </w:rPr>
              <w:fldChar w:fldCharType="separate"/>
            </w:r>
            <w:r w:rsidR="00385C01">
              <w:rPr>
                <w:noProof/>
                <w:webHidden/>
              </w:rPr>
              <w:t>15</w:t>
            </w:r>
            <w:r w:rsidR="00B63FB7">
              <w:rPr>
                <w:noProof/>
                <w:webHidden/>
              </w:rPr>
              <w:fldChar w:fldCharType="end"/>
            </w:r>
          </w:hyperlink>
        </w:p>
        <w:p w14:paraId="5CD88478" w14:textId="73A0908B" w:rsidR="00B63FB7" w:rsidRDefault="00AD22ED" w:rsidP="00DD74F9">
          <w:pPr>
            <w:pStyle w:val="TOC2"/>
            <w:rPr>
              <w:rFonts w:asciiTheme="minorHAnsi" w:eastAsiaTheme="minorEastAsia" w:hAnsiTheme="minorHAnsi" w:cstheme="minorBidi"/>
              <w:noProof/>
            </w:rPr>
          </w:pPr>
          <w:hyperlink w:anchor="_Toc147244415" w:history="1">
            <w:r w:rsidR="00B63FB7" w:rsidRPr="00F12AAE">
              <w:rPr>
                <w:rStyle w:val="Hyperlink"/>
                <w:noProof/>
              </w:rPr>
              <w:t>Appendices</w:t>
            </w:r>
            <w:r w:rsidR="00B63FB7">
              <w:rPr>
                <w:noProof/>
                <w:webHidden/>
              </w:rPr>
              <w:tab/>
            </w:r>
            <w:r w:rsidR="00B63FB7">
              <w:rPr>
                <w:noProof/>
                <w:webHidden/>
              </w:rPr>
              <w:fldChar w:fldCharType="begin"/>
            </w:r>
            <w:r w:rsidR="00B63FB7">
              <w:rPr>
                <w:noProof/>
                <w:webHidden/>
              </w:rPr>
              <w:instrText xml:space="preserve"> PAGEREF _Toc147244415 \h </w:instrText>
            </w:r>
            <w:r w:rsidR="00B63FB7">
              <w:rPr>
                <w:noProof/>
                <w:webHidden/>
              </w:rPr>
            </w:r>
            <w:r w:rsidR="00B63FB7">
              <w:rPr>
                <w:noProof/>
                <w:webHidden/>
              </w:rPr>
              <w:fldChar w:fldCharType="separate"/>
            </w:r>
            <w:r w:rsidR="00385C01">
              <w:rPr>
                <w:noProof/>
                <w:webHidden/>
              </w:rPr>
              <w:t>16</w:t>
            </w:r>
            <w:r w:rsidR="00B63FB7">
              <w:rPr>
                <w:noProof/>
                <w:webHidden/>
              </w:rPr>
              <w:fldChar w:fldCharType="end"/>
            </w:r>
          </w:hyperlink>
        </w:p>
        <w:p w14:paraId="795EDBA3" w14:textId="3D1D11DD" w:rsidR="00B63FB7" w:rsidRDefault="00AD22ED">
          <w:pPr>
            <w:pStyle w:val="TOC3"/>
            <w:rPr>
              <w:rFonts w:asciiTheme="minorHAnsi" w:eastAsiaTheme="minorEastAsia" w:hAnsiTheme="minorHAnsi" w:cstheme="minorBidi"/>
              <w:noProof/>
            </w:rPr>
          </w:pPr>
          <w:hyperlink w:anchor="_Toc147244416" w:history="1">
            <w:r w:rsidR="00B63FB7" w:rsidRPr="00F12AAE">
              <w:rPr>
                <w:rStyle w:val="Hyperlink"/>
                <w:noProof/>
              </w:rPr>
              <w:t>Appendix A: MassHealth Managed Care Plans</w:t>
            </w:r>
            <w:r w:rsidR="00B63FB7">
              <w:rPr>
                <w:noProof/>
                <w:webHidden/>
              </w:rPr>
              <w:tab/>
            </w:r>
            <w:r w:rsidR="00B63FB7">
              <w:rPr>
                <w:noProof/>
                <w:webHidden/>
              </w:rPr>
              <w:fldChar w:fldCharType="begin"/>
            </w:r>
            <w:r w:rsidR="00B63FB7">
              <w:rPr>
                <w:noProof/>
                <w:webHidden/>
              </w:rPr>
              <w:instrText xml:space="preserve"> PAGEREF _Toc147244416 \h </w:instrText>
            </w:r>
            <w:r w:rsidR="00B63FB7">
              <w:rPr>
                <w:noProof/>
                <w:webHidden/>
              </w:rPr>
            </w:r>
            <w:r w:rsidR="00B63FB7">
              <w:rPr>
                <w:noProof/>
                <w:webHidden/>
              </w:rPr>
              <w:fldChar w:fldCharType="separate"/>
            </w:r>
            <w:r w:rsidR="00385C01">
              <w:rPr>
                <w:noProof/>
                <w:webHidden/>
              </w:rPr>
              <w:t>17</w:t>
            </w:r>
            <w:r w:rsidR="00B63FB7">
              <w:rPr>
                <w:noProof/>
                <w:webHidden/>
              </w:rPr>
              <w:fldChar w:fldCharType="end"/>
            </w:r>
          </w:hyperlink>
        </w:p>
        <w:p w14:paraId="471CF992" w14:textId="6E054D85" w:rsidR="00B63FB7" w:rsidRDefault="00AD22ED">
          <w:pPr>
            <w:pStyle w:val="TOC3"/>
            <w:rPr>
              <w:rFonts w:asciiTheme="minorHAnsi" w:eastAsiaTheme="minorEastAsia" w:hAnsiTheme="minorHAnsi" w:cstheme="minorBidi"/>
              <w:noProof/>
            </w:rPr>
          </w:pPr>
          <w:hyperlink w:anchor="_Toc147244417" w:history="1">
            <w:r w:rsidR="00B63FB7" w:rsidRPr="00F12AAE">
              <w:rPr>
                <w:rStyle w:val="Hyperlink"/>
                <w:noProof/>
              </w:rPr>
              <w:t>Appendix B:  Quality Measure Performance (Contract Level), 2018-2020</w:t>
            </w:r>
            <w:r w:rsidR="00B63FB7">
              <w:rPr>
                <w:noProof/>
                <w:webHidden/>
              </w:rPr>
              <w:tab/>
            </w:r>
            <w:r w:rsidR="00B63FB7">
              <w:rPr>
                <w:noProof/>
                <w:webHidden/>
              </w:rPr>
              <w:fldChar w:fldCharType="begin"/>
            </w:r>
            <w:r w:rsidR="00B63FB7">
              <w:rPr>
                <w:noProof/>
                <w:webHidden/>
              </w:rPr>
              <w:instrText xml:space="preserve"> PAGEREF _Toc147244417 \h </w:instrText>
            </w:r>
            <w:r w:rsidR="00B63FB7">
              <w:rPr>
                <w:noProof/>
                <w:webHidden/>
              </w:rPr>
            </w:r>
            <w:r w:rsidR="00B63FB7">
              <w:rPr>
                <w:noProof/>
                <w:webHidden/>
              </w:rPr>
              <w:fldChar w:fldCharType="separate"/>
            </w:r>
            <w:r w:rsidR="00385C01">
              <w:rPr>
                <w:noProof/>
                <w:webHidden/>
              </w:rPr>
              <w:t>18</w:t>
            </w:r>
            <w:r w:rsidR="00B63FB7">
              <w:rPr>
                <w:noProof/>
                <w:webHidden/>
              </w:rPr>
              <w:fldChar w:fldCharType="end"/>
            </w:r>
          </w:hyperlink>
        </w:p>
        <w:p w14:paraId="3D9F2B88" w14:textId="14A7D685" w:rsidR="00B63FB7" w:rsidRDefault="00AD22ED">
          <w:pPr>
            <w:pStyle w:val="TOC3"/>
            <w:rPr>
              <w:rFonts w:asciiTheme="minorHAnsi" w:eastAsiaTheme="minorEastAsia" w:hAnsiTheme="minorHAnsi" w:cstheme="minorBidi"/>
              <w:noProof/>
            </w:rPr>
          </w:pPr>
          <w:hyperlink w:anchor="_Toc147244418" w:history="1">
            <w:r w:rsidR="00B63FB7" w:rsidRPr="00F12AAE">
              <w:rPr>
                <w:rStyle w:val="Hyperlink"/>
                <w:noProof/>
              </w:rPr>
              <w:t>Appendix C: CMS Adult and Child Core Measure Sets Performance (Calculated and Reported by MassHealth)</w:t>
            </w:r>
            <w:r w:rsidR="00B63FB7">
              <w:rPr>
                <w:noProof/>
                <w:webHidden/>
              </w:rPr>
              <w:tab/>
            </w:r>
            <w:r w:rsidR="00B63FB7">
              <w:rPr>
                <w:noProof/>
                <w:webHidden/>
              </w:rPr>
              <w:fldChar w:fldCharType="begin"/>
            </w:r>
            <w:r w:rsidR="00B63FB7">
              <w:rPr>
                <w:noProof/>
                <w:webHidden/>
              </w:rPr>
              <w:instrText xml:space="preserve"> PAGEREF _Toc147244418 \h </w:instrText>
            </w:r>
            <w:r w:rsidR="00B63FB7">
              <w:rPr>
                <w:noProof/>
                <w:webHidden/>
              </w:rPr>
            </w:r>
            <w:r w:rsidR="00B63FB7">
              <w:rPr>
                <w:noProof/>
                <w:webHidden/>
              </w:rPr>
              <w:fldChar w:fldCharType="separate"/>
            </w:r>
            <w:r w:rsidR="00385C01">
              <w:rPr>
                <w:noProof/>
                <w:webHidden/>
              </w:rPr>
              <w:t>31</w:t>
            </w:r>
            <w:r w:rsidR="00B63FB7">
              <w:rPr>
                <w:noProof/>
                <w:webHidden/>
              </w:rPr>
              <w:fldChar w:fldCharType="end"/>
            </w:r>
          </w:hyperlink>
        </w:p>
        <w:p w14:paraId="1E55E3EA" w14:textId="1A34CEF6" w:rsidR="00B63FB7" w:rsidRDefault="00AD22ED">
          <w:pPr>
            <w:pStyle w:val="TOC3"/>
            <w:rPr>
              <w:rFonts w:asciiTheme="minorHAnsi" w:eastAsiaTheme="minorEastAsia" w:hAnsiTheme="minorHAnsi" w:cstheme="minorBidi"/>
              <w:noProof/>
            </w:rPr>
          </w:pPr>
          <w:hyperlink w:anchor="_Toc147244419" w:history="1">
            <w:r w:rsidR="00B63FB7" w:rsidRPr="00F12AAE">
              <w:rPr>
                <w:rStyle w:val="Hyperlink"/>
                <w:noProof/>
              </w:rPr>
              <w:t>Appendix D: 2020 EQR Performance Improvement Projects (PIPs)</w:t>
            </w:r>
            <w:r w:rsidR="00B63FB7">
              <w:rPr>
                <w:noProof/>
                <w:webHidden/>
              </w:rPr>
              <w:tab/>
            </w:r>
            <w:r w:rsidR="00B63FB7">
              <w:rPr>
                <w:noProof/>
                <w:webHidden/>
              </w:rPr>
              <w:fldChar w:fldCharType="begin"/>
            </w:r>
            <w:r w:rsidR="00B63FB7">
              <w:rPr>
                <w:noProof/>
                <w:webHidden/>
              </w:rPr>
              <w:instrText xml:space="preserve"> PAGEREF _Toc147244419 \h </w:instrText>
            </w:r>
            <w:r w:rsidR="00B63FB7">
              <w:rPr>
                <w:noProof/>
                <w:webHidden/>
              </w:rPr>
            </w:r>
            <w:r w:rsidR="00B63FB7">
              <w:rPr>
                <w:noProof/>
                <w:webHidden/>
              </w:rPr>
              <w:fldChar w:fldCharType="separate"/>
            </w:r>
            <w:r w:rsidR="00385C01">
              <w:rPr>
                <w:noProof/>
                <w:webHidden/>
              </w:rPr>
              <w:t>36</w:t>
            </w:r>
            <w:r w:rsidR="00B63FB7">
              <w:rPr>
                <w:noProof/>
                <w:webHidden/>
              </w:rPr>
              <w:fldChar w:fldCharType="end"/>
            </w:r>
          </w:hyperlink>
        </w:p>
        <w:p w14:paraId="7D00C5B7" w14:textId="601543E0" w:rsidR="00AC2D09" w:rsidRDefault="00AC2D09">
          <w:r>
            <w:rPr>
              <w:b/>
              <w:bCs/>
              <w:noProof/>
            </w:rPr>
            <w:fldChar w:fldCharType="end"/>
          </w:r>
        </w:p>
      </w:sdtContent>
    </w:sdt>
    <w:p w14:paraId="5ABE8D21" w14:textId="125D6575" w:rsidR="00AC2D09" w:rsidRDefault="00AC2D09">
      <w:pPr>
        <w:rPr>
          <w:color w:val="000000"/>
        </w:rPr>
      </w:pPr>
      <w:r>
        <w:rPr>
          <w:color w:val="000000"/>
        </w:rPr>
        <w:br w:type="page"/>
      </w:r>
    </w:p>
    <w:p w14:paraId="039AE097" w14:textId="03C898E4" w:rsidR="00F35AB3" w:rsidRDefault="00753CD6" w:rsidP="00730D03">
      <w:pPr>
        <w:pStyle w:val="Heading2"/>
        <w:numPr>
          <w:ilvl w:val="0"/>
          <w:numId w:val="0"/>
        </w:numPr>
        <w:spacing w:after="120"/>
      </w:pPr>
      <w:bookmarkStart w:id="1" w:name="_Toc147244401"/>
      <w:bookmarkStart w:id="2" w:name="_Hlk127206255"/>
      <w:r w:rsidRPr="00AD6B7A">
        <w:lastRenderedPageBreak/>
        <w:t>Introduction</w:t>
      </w:r>
      <w:bookmarkEnd w:id="1"/>
    </w:p>
    <w:p w14:paraId="359B1588" w14:textId="73C4E999" w:rsidR="00753CD6" w:rsidRDefault="105203B4" w:rsidP="00753CD6">
      <w:r>
        <w:t xml:space="preserve">The Commonwealth of Massachusetts, Executive Office of </w:t>
      </w:r>
      <w:proofErr w:type="gramStart"/>
      <w:r>
        <w:t>Health</w:t>
      </w:r>
      <w:proofErr w:type="gramEnd"/>
      <w:r>
        <w:t xml:space="preserve"> and Human Services </w:t>
      </w:r>
      <w:r w:rsidR="69DB1085">
        <w:t xml:space="preserve">(EOHHS) </w:t>
      </w:r>
      <w:r>
        <w:t xml:space="preserve">Office of Medicaid is pleased to submit the </w:t>
      </w:r>
      <w:r w:rsidRPr="21CA7F43">
        <w:rPr>
          <w:b/>
          <w:bCs/>
        </w:rPr>
        <w:t>Comprehensive Quality Strategy (CQS) Effectiveness Evaluation</w:t>
      </w:r>
      <w:r>
        <w:t xml:space="preserve"> </w:t>
      </w:r>
      <w:r w:rsidR="7CFFB67E">
        <w:t xml:space="preserve">(“Evaluation”) </w:t>
      </w:r>
      <w:r>
        <w:t xml:space="preserve">for the MassHealth </w:t>
      </w:r>
      <w:r w:rsidR="367AF09D">
        <w:t>CQS</w:t>
      </w:r>
      <w:r>
        <w:t xml:space="preserve"> published in November 2018 </w:t>
      </w:r>
      <w:r w:rsidR="47063BB4">
        <w:t>(</w:t>
      </w:r>
      <w:r w:rsidR="1BE3609A">
        <w:t>“</w:t>
      </w:r>
      <w:r w:rsidR="58C674FC">
        <w:t xml:space="preserve">2018 CQS”) </w:t>
      </w:r>
      <w:r>
        <w:t>and covering the three-year period of Calendar Years (CY) 2019 through 2021.</w:t>
      </w:r>
    </w:p>
    <w:p w14:paraId="1995E1CB" w14:textId="2EC8CDBB" w:rsidR="00753CD6" w:rsidRDefault="00753CD6" w:rsidP="00753CD6">
      <w:r>
        <w:t xml:space="preserve">In accordance with 42 CFR §438.340(c)(2), </w:t>
      </w:r>
      <w:r w:rsidR="00B80B4F">
        <w:t xml:space="preserve">EOHHS </w:t>
      </w:r>
      <w:r>
        <w:t xml:space="preserve">evaluates the effectiveness of the CQS at least every three years to assess whether MassHealth has met or made progress on its quality strategy goals. This </w:t>
      </w:r>
      <w:r w:rsidR="00D300AA">
        <w:t>E</w:t>
      </w:r>
      <w:r>
        <w:t>valuation will use data collected during CY 2019</w:t>
      </w:r>
      <w:r w:rsidR="00862C12">
        <w:t>–</w:t>
      </w:r>
      <w:r>
        <w:t xml:space="preserve">2021, reflecting a quality performance measurement period </w:t>
      </w:r>
      <w:r w:rsidR="0014678B">
        <w:t>for Measurement Year (MY) 2018 through 2020 (</w:t>
      </w:r>
      <w:r>
        <w:t xml:space="preserve">1/1/18 </w:t>
      </w:r>
      <w:r w:rsidR="0014678B">
        <w:t xml:space="preserve">– </w:t>
      </w:r>
      <w:r>
        <w:t>12/31/20</w:t>
      </w:r>
      <w:r w:rsidR="0014678B">
        <w:t>)</w:t>
      </w:r>
      <w:r>
        <w:t xml:space="preserve">. </w:t>
      </w:r>
    </w:p>
    <w:p w14:paraId="2603E4FE" w14:textId="7A2265E6" w:rsidR="00753CD6" w:rsidRDefault="105203B4" w:rsidP="00753CD6">
      <w:r>
        <w:t xml:space="preserve">Following the CMS guidance provided in the Medicaid and Children’s Health Insurance Program (CHIP) Managed Care Quality Strategy Toolkit published in June 2021, this </w:t>
      </w:r>
      <w:r w:rsidR="2EBE1D77">
        <w:t>E</w:t>
      </w:r>
      <w:r>
        <w:t>valuation will:</w:t>
      </w:r>
    </w:p>
    <w:p w14:paraId="7E74993F" w14:textId="77777777" w:rsidR="00753CD6" w:rsidRDefault="00753CD6">
      <w:pPr>
        <w:pStyle w:val="ListParagraph"/>
        <w:numPr>
          <w:ilvl w:val="0"/>
          <w:numId w:val="11"/>
        </w:numPr>
      </w:pPr>
      <w:r>
        <w:t>Describe the methodology used in the evaluation.</w:t>
      </w:r>
    </w:p>
    <w:p w14:paraId="5A27EFD6" w14:textId="47492ADA" w:rsidR="00753CD6" w:rsidRDefault="461D9FDE">
      <w:pPr>
        <w:pStyle w:val="ListParagraph"/>
        <w:numPr>
          <w:ilvl w:val="0"/>
          <w:numId w:val="11"/>
        </w:numPr>
      </w:pPr>
      <w:r>
        <w:t>List the quality goals laid out in the MassHealth CQS</w:t>
      </w:r>
      <w:r w:rsidR="00CD4625">
        <w:rPr>
          <w:rStyle w:val="CommentReference"/>
        </w:rPr>
        <w:t xml:space="preserve"> </w:t>
      </w:r>
      <w:r>
        <w:t>and the quality measures associated with each goal.</w:t>
      </w:r>
    </w:p>
    <w:p w14:paraId="4928B896" w14:textId="77777777" w:rsidR="00753CD6" w:rsidRDefault="00753CD6">
      <w:pPr>
        <w:pStyle w:val="ListParagraph"/>
        <w:numPr>
          <w:ilvl w:val="0"/>
          <w:numId w:val="11"/>
        </w:numPr>
      </w:pPr>
      <w:r>
        <w:t>Provide baseline and subsequent year data for each of the three years in the CQS period, indicating where improvements have been made, and where opportunities for improvement remain.</w:t>
      </w:r>
    </w:p>
    <w:p w14:paraId="3A3E3626" w14:textId="77777777" w:rsidR="00753CD6" w:rsidRDefault="00753CD6">
      <w:pPr>
        <w:pStyle w:val="ListParagraph"/>
        <w:numPr>
          <w:ilvl w:val="0"/>
          <w:numId w:val="11"/>
        </w:numPr>
      </w:pPr>
      <w:r>
        <w:t>Discuss areas where improvement goals have not been met, with reference to modifications in MassHealth’s quality strategy approach in the most recent CQS (submitted to CMS in June 2022).</w:t>
      </w:r>
    </w:p>
    <w:p w14:paraId="5FBDD887" w14:textId="4A85C477" w:rsidR="7537E018" w:rsidRDefault="7537E018">
      <w:pPr>
        <w:pStyle w:val="ListParagraph"/>
        <w:numPr>
          <w:ilvl w:val="0"/>
          <w:numId w:val="11"/>
        </w:numPr>
      </w:pPr>
      <w:r w:rsidRPr="692C77C9">
        <w:t>Assess the extent to which MassHealth’s CQS</w:t>
      </w:r>
      <w:r w:rsidR="3A38A6F2" w:rsidRPr="692C77C9">
        <w:t xml:space="preserve"> measures are consistent and a</w:t>
      </w:r>
      <w:r w:rsidR="4CB54535" w:rsidRPr="692C77C9">
        <w:t>ligned across goals, objectives, and programs.</w:t>
      </w:r>
    </w:p>
    <w:p w14:paraId="7358DF54" w14:textId="00F4A3E6" w:rsidR="4CB54535" w:rsidRDefault="4CB54535">
      <w:pPr>
        <w:pStyle w:val="ListParagraph"/>
        <w:numPr>
          <w:ilvl w:val="0"/>
          <w:numId w:val="11"/>
        </w:numPr>
      </w:pPr>
      <w:r w:rsidRPr="692C77C9">
        <w:t>Summarize MassHealth performance on the CMS Adult and Child Core Measure Sets</w:t>
      </w:r>
      <w:r w:rsidR="00F35A3B">
        <w:t>.</w:t>
      </w:r>
    </w:p>
    <w:p w14:paraId="7FB0199B" w14:textId="614A3B43" w:rsidR="00753CD6" w:rsidRDefault="16D4E3EE">
      <w:pPr>
        <w:pStyle w:val="ListParagraph"/>
        <w:numPr>
          <w:ilvl w:val="0"/>
          <w:numId w:val="11"/>
        </w:numPr>
      </w:pPr>
      <w:r w:rsidRPr="692C77C9">
        <w:t>Summarize the MassHealth responsiveness to EQR recommendations.</w:t>
      </w:r>
    </w:p>
    <w:p w14:paraId="5A4BB238" w14:textId="4C7C0C42" w:rsidR="00D83818" w:rsidRDefault="00D70792" w:rsidP="0020648E">
      <w:pPr>
        <w:pStyle w:val="Heading2"/>
        <w:spacing w:after="120"/>
      </w:pPr>
      <w:bookmarkStart w:id="3" w:name="_Toc147244402"/>
      <w:r>
        <w:t>MassHealth Managed Care Programs</w:t>
      </w:r>
      <w:bookmarkEnd w:id="3"/>
      <w:r>
        <w:t xml:space="preserve"> </w:t>
      </w:r>
    </w:p>
    <w:p w14:paraId="689A2150" w14:textId="00BA0675" w:rsidR="00D70792" w:rsidRDefault="00D70792" w:rsidP="00D70792">
      <w:pPr>
        <w:rPr>
          <w:rFonts w:cs="Calibri"/>
        </w:rPr>
      </w:pPr>
      <w:r w:rsidRPr="00821C14">
        <w:rPr>
          <w:rFonts w:cs="Calibri"/>
        </w:rPr>
        <w:t>MassHealth operate</w:t>
      </w:r>
      <w:r w:rsidR="0047111A">
        <w:rPr>
          <w:rFonts w:cs="Calibri"/>
        </w:rPr>
        <w:t>d</w:t>
      </w:r>
      <w:r w:rsidRPr="00821C14">
        <w:rPr>
          <w:rFonts w:cs="Calibri"/>
        </w:rPr>
        <w:t xml:space="preserve"> the</w:t>
      </w:r>
      <w:r>
        <w:rPr>
          <w:rFonts w:cs="Calibri"/>
        </w:rPr>
        <w:t xml:space="preserve"> </w:t>
      </w:r>
      <w:r w:rsidRPr="00821C14">
        <w:rPr>
          <w:rFonts w:cs="Calibri"/>
        </w:rPr>
        <w:t>managed care programs</w:t>
      </w:r>
      <w:r>
        <w:rPr>
          <w:rStyle w:val="FootnoteReference"/>
        </w:rPr>
        <w:footnoteReference w:id="2"/>
      </w:r>
      <w:r>
        <w:rPr>
          <w:rFonts w:cs="Calibri"/>
        </w:rPr>
        <w:t xml:space="preserve"> </w:t>
      </w:r>
      <w:r w:rsidR="00784816">
        <w:rPr>
          <w:rFonts w:cs="Calibri"/>
        </w:rPr>
        <w:t xml:space="preserve">or managed care plans </w:t>
      </w:r>
      <w:r>
        <w:rPr>
          <w:rFonts w:cs="Calibri"/>
        </w:rPr>
        <w:t>(MCPs)</w:t>
      </w:r>
      <w:r w:rsidR="00806B59">
        <w:rPr>
          <w:rFonts w:cs="Calibri"/>
        </w:rPr>
        <w:t xml:space="preserve"> </w:t>
      </w:r>
      <w:r w:rsidR="00142A4B">
        <w:rPr>
          <w:rFonts w:cs="Calibri"/>
        </w:rPr>
        <w:t xml:space="preserve">listed below </w:t>
      </w:r>
      <w:r w:rsidR="00806B59">
        <w:rPr>
          <w:rFonts w:cs="Calibri"/>
        </w:rPr>
        <w:t xml:space="preserve">during the </w:t>
      </w:r>
      <w:r w:rsidR="00FB5092">
        <w:rPr>
          <w:rFonts w:cs="Calibri"/>
        </w:rPr>
        <w:t>ti</w:t>
      </w:r>
      <w:r w:rsidR="00096AC8">
        <w:rPr>
          <w:rFonts w:cs="Calibri"/>
        </w:rPr>
        <w:t>me period covered by the 2018 CQS</w:t>
      </w:r>
      <w:r w:rsidR="00D94AA6">
        <w:rPr>
          <w:rFonts w:cs="Calibri"/>
        </w:rPr>
        <w:t>.  These MCPs</w:t>
      </w:r>
      <w:r>
        <w:rPr>
          <w:rFonts w:cs="Calibri"/>
        </w:rPr>
        <w:t xml:space="preserve"> are the focus of this Evaluation.</w:t>
      </w:r>
    </w:p>
    <w:p w14:paraId="7BFCD8EB" w14:textId="329C6422" w:rsidR="00D70792" w:rsidRPr="002635E3" w:rsidRDefault="00D70792" w:rsidP="00D70792">
      <w:pPr>
        <w:rPr>
          <w:u w:val="single"/>
        </w:rPr>
      </w:pPr>
      <w:r>
        <w:t xml:space="preserve">Detail on current programs is found in the 2022 Comprehensive Quality Strategy (CQS), available on the MassHealth quality reports and resources webpage: </w:t>
      </w:r>
      <w:hyperlink r:id="rId13">
        <w:r w:rsidR="00DB0D10">
          <w:rPr>
            <w:rStyle w:val="Hyperlink"/>
          </w:rPr>
          <w:t>www.mass.gov/info-details/masshealth-quality-reports-and-resources</w:t>
        </w:r>
      </w:hyperlink>
      <w:r w:rsidR="006A4AD6" w:rsidRPr="00DD74F9">
        <w:rPr>
          <w:rStyle w:val="Hyperlink"/>
          <w:u w:val="none"/>
        </w:rPr>
        <w:t xml:space="preserve">. </w:t>
      </w:r>
      <w:r w:rsidR="006A4AD6" w:rsidRPr="00DD74F9">
        <w:rPr>
          <w:rStyle w:val="Hyperlink"/>
          <w:color w:val="auto"/>
          <w:u w:val="none"/>
        </w:rPr>
        <w:t>The MCPs are as follows:</w:t>
      </w:r>
    </w:p>
    <w:p w14:paraId="2E1AADED" w14:textId="1CFDE9EC" w:rsidR="00D70792" w:rsidRPr="00923976" w:rsidRDefault="4836A08D" w:rsidP="00D70792">
      <w:pPr>
        <w:autoSpaceDE w:val="0"/>
        <w:autoSpaceDN w:val="0"/>
        <w:adjustRightInd w:val="0"/>
        <w:rPr>
          <w:rFonts w:cs="Calibri"/>
        </w:rPr>
      </w:pPr>
      <w:r w:rsidRPr="692C77C9">
        <w:rPr>
          <w:rFonts w:cs="Calibri"/>
          <w:b/>
          <w:bCs/>
        </w:rPr>
        <w:t>Accountable Care Organization</w:t>
      </w:r>
      <w:r w:rsidR="407F2277" w:rsidRPr="692C77C9">
        <w:rPr>
          <w:rFonts w:cs="Calibri"/>
          <w:b/>
          <w:bCs/>
        </w:rPr>
        <w:t>s</w:t>
      </w:r>
      <w:r w:rsidRPr="692C77C9">
        <w:rPr>
          <w:rFonts w:cs="Calibri"/>
          <w:b/>
          <w:bCs/>
        </w:rPr>
        <w:t xml:space="preserve"> (ACO)</w:t>
      </w:r>
      <w:r w:rsidR="407F2277" w:rsidRPr="692C77C9">
        <w:rPr>
          <w:rFonts w:cs="Calibri"/>
          <w:b/>
          <w:bCs/>
        </w:rPr>
        <w:t xml:space="preserve"> </w:t>
      </w:r>
      <w:r w:rsidRPr="692C77C9">
        <w:rPr>
          <w:rFonts w:cs="Calibri"/>
        </w:rPr>
        <w:t>–</w:t>
      </w:r>
      <w:r w:rsidR="233BB6C1" w:rsidRPr="692C77C9">
        <w:rPr>
          <w:rFonts w:cs="Calibri"/>
        </w:rPr>
        <w:t xml:space="preserve"> </w:t>
      </w:r>
      <w:r w:rsidRPr="692C77C9">
        <w:rPr>
          <w:rFonts w:cs="Calibri"/>
        </w:rPr>
        <w:t>ACOs are</w:t>
      </w:r>
      <w:r w:rsidR="136FCFFB" w:rsidRPr="692C77C9">
        <w:rPr>
          <w:rFonts w:cs="Calibri"/>
        </w:rPr>
        <w:t xml:space="preserve"> </w:t>
      </w:r>
      <w:r w:rsidRPr="692C77C9">
        <w:rPr>
          <w:rFonts w:cs="Calibri"/>
        </w:rPr>
        <w:t>provider</w:t>
      </w:r>
      <w:r w:rsidR="4DB65F24" w:rsidRPr="692C77C9">
        <w:rPr>
          <w:rFonts w:cs="Calibri"/>
        </w:rPr>
        <w:t>-led organizations that</w:t>
      </w:r>
      <w:r w:rsidRPr="692C77C9">
        <w:rPr>
          <w:rFonts w:cs="Calibri"/>
        </w:rPr>
        <w:t xml:space="preserve"> </w:t>
      </w:r>
      <w:r w:rsidR="136FCFFB" w:rsidRPr="692C77C9">
        <w:rPr>
          <w:rFonts w:asciiTheme="minorHAnsi" w:hAnsiTheme="minorHAnsi" w:cstheme="minorBidi"/>
        </w:rPr>
        <w:t xml:space="preserve">coordinate care, have an enhanced role for primary care, and are rewarded for the value of care provided, measured by better </w:t>
      </w:r>
      <w:proofErr w:type="gramStart"/>
      <w:r w:rsidR="136FCFFB" w:rsidRPr="692C77C9">
        <w:rPr>
          <w:rFonts w:asciiTheme="minorHAnsi" w:hAnsiTheme="minorHAnsi" w:cstheme="minorBidi"/>
        </w:rPr>
        <w:t>outcomes</w:t>
      </w:r>
      <w:proofErr w:type="gramEnd"/>
      <w:r w:rsidR="136FCFFB" w:rsidRPr="692C77C9">
        <w:rPr>
          <w:rFonts w:asciiTheme="minorHAnsi" w:hAnsiTheme="minorHAnsi" w:cstheme="minorBidi"/>
        </w:rPr>
        <w:t xml:space="preserve"> and reduced cost. </w:t>
      </w:r>
      <w:r w:rsidRPr="692C77C9">
        <w:rPr>
          <w:rFonts w:cs="Calibri"/>
        </w:rPr>
        <w:t>MassHealth ha</w:t>
      </w:r>
      <w:r w:rsidR="136FCFFB" w:rsidRPr="692C77C9">
        <w:rPr>
          <w:rFonts w:cs="Calibri"/>
        </w:rPr>
        <w:t>d</w:t>
      </w:r>
      <w:r w:rsidRPr="692C77C9">
        <w:rPr>
          <w:rFonts w:cs="Calibri"/>
        </w:rPr>
        <w:t xml:space="preserve"> three ACO delivery models.</w:t>
      </w:r>
    </w:p>
    <w:p w14:paraId="508F2EFE" w14:textId="04DE8EF8" w:rsidR="00D70792" w:rsidRPr="0019754B" w:rsidRDefault="00A91CF1">
      <w:pPr>
        <w:pStyle w:val="ListParagraph"/>
        <w:numPr>
          <w:ilvl w:val="0"/>
          <w:numId w:val="27"/>
        </w:numPr>
        <w:autoSpaceDE w:val="0"/>
        <w:autoSpaceDN w:val="0"/>
        <w:adjustRightInd w:val="0"/>
        <w:ind w:left="720"/>
        <w:contextualSpacing w:val="0"/>
        <w:rPr>
          <w:color w:val="000000" w:themeColor="text1"/>
        </w:rPr>
      </w:pPr>
      <w:r>
        <w:rPr>
          <w:rFonts w:asciiTheme="minorHAnsi" w:hAnsiTheme="minorHAnsi" w:cstheme="minorBidi"/>
        </w:rPr>
        <w:t xml:space="preserve"> </w:t>
      </w:r>
      <w:r w:rsidR="00D70792" w:rsidRPr="00686765">
        <w:rPr>
          <w:rFonts w:asciiTheme="minorHAnsi" w:hAnsiTheme="minorHAnsi" w:cstheme="minorBidi"/>
        </w:rPr>
        <w:t xml:space="preserve">Accountable Care Partnership Plan (ACPP): </w:t>
      </w:r>
      <w:r w:rsidR="00D70792">
        <w:rPr>
          <w:rFonts w:asciiTheme="minorHAnsi" w:hAnsiTheme="minorHAnsi" w:cstheme="minorBidi"/>
        </w:rPr>
        <w:t xml:space="preserve">ACPPs </w:t>
      </w:r>
      <w:r w:rsidR="005F0D40">
        <w:rPr>
          <w:rFonts w:asciiTheme="minorHAnsi" w:hAnsiTheme="minorHAnsi" w:cstheme="minorHAnsi"/>
        </w:rPr>
        <w:t>have</w:t>
      </w:r>
      <w:r w:rsidR="005F0D40" w:rsidRPr="00005AFB">
        <w:rPr>
          <w:rFonts w:asciiTheme="minorHAnsi" w:hAnsiTheme="minorHAnsi" w:cstheme="minorHAnsi"/>
        </w:rPr>
        <w:t xml:space="preserve"> </w:t>
      </w:r>
      <w:r w:rsidR="005F0D40">
        <w:rPr>
          <w:rFonts w:asciiTheme="minorHAnsi" w:hAnsiTheme="minorHAnsi" w:cstheme="minorHAnsi"/>
        </w:rPr>
        <w:t xml:space="preserve">a </w:t>
      </w:r>
      <w:r w:rsidR="005F0D40" w:rsidRPr="00005AFB">
        <w:rPr>
          <w:rFonts w:asciiTheme="minorHAnsi" w:hAnsiTheme="minorHAnsi" w:cstheme="minorHAnsi"/>
        </w:rPr>
        <w:t xml:space="preserve">network of PCPs who have exclusively partnered with an MCO to use their provider network to provide integrated and coordinated care for members.  Accountable Care Partnership Plans are paid a prospective capitation rate for all attributed members.  </w:t>
      </w:r>
      <w:r>
        <w:rPr>
          <w:rFonts w:asciiTheme="minorHAnsi" w:hAnsiTheme="minorHAnsi" w:cstheme="minorHAnsi"/>
        </w:rPr>
        <w:t xml:space="preserve">ACPPs </w:t>
      </w:r>
      <w:r w:rsidR="005F0D40" w:rsidRPr="00005AFB">
        <w:rPr>
          <w:rFonts w:asciiTheme="minorHAnsi" w:hAnsiTheme="minorHAnsi" w:cstheme="minorHAnsi"/>
        </w:rPr>
        <w:t xml:space="preserve">are responsible for all contractually covered services and take on </w:t>
      </w:r>
      <w:r w:rsidR="005F0D40" w:rsidRPr="00005AFB">
        <w:rPr>
          <w:rFonts w:asciiTheme="minorHAnsi" w:hAnsiTheme="minorHAnsi" w:cstheme="minorHAnsi"/>
        </w:rPr>
        <w:lastRenderedPageBreak/>
        <w:t>full insurance risk. Accountable Care Partnership Plans pay provider claims for all plan-covered services.</w:t>
      </w:r>
    </w:p>
    <w:p w14:paraId="200AB492" w14:textId="2A587962" w:rsidR="00D70792" w:rsidRDefault="00D70792">
      <w:pPr>
        <w:pStyle w:val="ListParagraph"/>
        <w:numPr>
          <w:ilvl w:val="0"/>
          <w:numId w:val="27"/>
        </w:numPr>
        <w:autoSpaceDE w:val="0"/>
        <w:autoSpaceDN w:val="0"/>
        <w:adjustRightInd w:val="0"/>
        <w:ind w:left="720"/>
        <w:contextualSpacing w:val="0"/>
      </w:pPr>
      <w:r w:rsidRPr="006F4C9F">
        <w:t xml:space="preserve">Primary Care ACO </w:t>
      </w:r>
      <w:r>
        <w:t xml:space="preserve">(PCACO): </w:t>
      </w:r>
      <w:r w:rsidR="00434E12">
        <w:t xml:space="preserve">A </w:t>
      </w:r>
      <w:r>
        <w:rPr>
          <w:color w:val="000000" w:themeColor="text1"/>
        </w:rPr>
        <w:t>PCACO</w:t>
      </w:r>
      <w:r w:rsidRPr="009011B4">
        <w:rPr>
          <w:color w:val="000000" w:themeColor="text1"/>
        </w:rPr>
        <w:t xml:space="preserve"> </w:t>
      </w:r>
      <w:r w:rsidR="00434E12" w:rsidRPr="006F4C9F">
        <w:t>is a network of PCPs who contract directly with MassHealth, using MassHealth’s provider network, including</w:t>
      </w:r>
      <w:r w:rsidR="00434E12">
        <w:t xml:space="preserve"> the </w:t>
      </w:r>
      <w:r w:rsidR="008A610F">
        <w:t>Behavioral Health (BH)</w:t>
      </w:r>
      <w:r w:rsidR="00434E12">
        <w:t xml:space="preserve"> Plan </w:t>
      </w:r>
      <w:r w:rsidR="00434E12" w:rsidRPr="006F4C9F">
        <w:t xml:space="preserve">to provide integrated and coordinated care for members. A </w:t>
      </w:r>
      <w:r w:rsidR="00434E12">
        <w:t>PC</w:t>
      </w:r>
      <w:r w:rsidR="00434E12" w:rsidRPr="006F4C9F">
        <w:t>ACO does not receive capitation payments for</w:t>
      </w:r>
      <w:r w:rsidR="00BC189B">
        <w:t xml:space="preserve"> </w:t>
      </w:r>
      <w:r w:rsidR="008C6B74">
        <w:t>providing services to</w:t>
      </w:r>
      <w:r w:rsidR="00434E12" w:rsidRPr="006F4C9F">
        <w:t xml:space="preserve"> attributed members. MassHealth pays providers on a fee for service basis directly. Behavioral </w:t>
      </w:r>
      <w:r w:rsidR="00142A4B">
        <w:t>h</w:t>
      </w:r>
      <w:r w:rsidR="00142A4B" w:rsidRPr="006F4C9F">
        <w:t xml:space="preserve">ealth </w:t>
      </w:r>
      <w:r w:rsidR="00434E12" w:rsidRPr="006F4C9F">
        <w:t xml:space="preserve">providers must enroll with </w:t>
      </w:r>
      <w:r w:rsidR="00434E12">
        <w:t>the BH Plan</w:t>
      </w:r>
      <w:r w:rsidR="00434E12" w:rsidRPr="006F4C9F">
        <w:t xml:space="preserve"> and ar</w:t>
      </w:r>
      <w:r w:rsidR="00434E12">
        <w:t>e paid in accordance with their BH Plan</w:t>
      </w:r>
      <w:r w:rsidR="00434E12" w:rsidRPr="006F4C9F">
        <w:t xml:space="preserve"> provider agreements. </w:t>
      </w:r>
      <w:r w:rsidR="00434E12">
        <w:rPr>
          <w:color w:val="000000" w:themeColor="text1"/>
        </w:rPr>
        <w:t>PC</w:t>
      </w:r>
      <w:r w:rsidR="00434E12" w:rsidRPr="006F4C9F">
        <w:rPr>
          <w:color w:val="000000" w:themeColor="text1"/>
        </w:rPr>
        <w:t>ACOs use the MassHealth network for specialty services and have the option of defining a Referral Circle. If a member</w:t>
      </w:r>
      <w:r w:rsidR="001458A2">
        <w:rPr>
          <w:color w:val="000000" w:themeColor="text1"/>
        </w:rPr>
        <w:t>’</w:t>
      </w:r>
      <w:r w:rsidR="00434E12" w:rsidRPr="006F4C9F">
        <w:rPr>
          <w:color w:val="000000" w:themeColor="text1"/>
        </w:rPr>
        <w:t xml:space="preserve">s specialist is part of the Referral Circle identified by the member’s </w:t>
      </w:r>
      <w:r w:rsidR="001458A2">
        <w:rPr>
          <w:color w:val="000000" w:themeColor="text1"/>
        </w:rPr>
        <w:t>PC</w:t>
      </w:r>
      <w:r w:rsidR="00434E12" w:rsidRPr="006F4C9F">
        <w:rPr>
          <w:color w:val="000000" w:themeColor="text1"/>
        </w:rPr>
        <w:t>ACO, the member will not need a referral to receive services from that specialist.</w:t>
      </w:r>
    </w:p>
    <w:p w14:paraId="55BE06E6" w14:textId="3B2AE64D" w:rsidR="00D70792" w:rsidRPr="0092443C" w:rsidRDefault="00D70792">
      <w:pPr>
        <w:pStyle w:val="ListParagraph"/>
        <w:numPr>
          <w:ilvl w:val="0"/>
          <w:numId w:val="27"/>
        </w:numPr>
        <w:autoSpaceDE w:val="0"/>
        <w:autoSpaceDN w:val="0"/>
        <w:adjustRightInd w:val="0"/>
        <w:ind w:left="720"/>
      </w:pPr>
      <w:r w:rsidRPr="000C1C11">
        <w:t>MCO-Administered ACO: a network of PCPs who contract with one or more MCOs and use the MCO provider networks to provide integrated and coordinated care for members. MCO-Administered AC</w:t>
      </w:r>
      <w:r>
        <w:t>Os</w:t>
      </w:r>
      <w:r w:rsidRPr="000C1C11">
        <w:t xml:space="preserve"> are not presented as an enrollment option because members will be enrolled with the MCO and attributed to the contracted ACO through the MCO they are enrolled with. </w:t>
      </w:r>
      <w:r w:rsidR="00911392">
        <w:t xml:space="preserve"> </w:t>
      </w:r>
      <w:r w:rsidR="00911392" w:rsidRPr="00A91CF1">
        <w:rPr>
          <w:rFonts w:asciiTheme="minorHAnsi" w:hAnsiTheme="minorHAnsi" w:cstheme="minorHAnsi"/>
        </w:rPr>
        <w:t>MCOs pay claims to providers in their networks.</w:t>
      </w:r>
    </w:p>
    <w:p w14:paraId="1BE4642B" w14:textId="77777777" w:rsidR="00A91CF1" w:rsidRDefault="00A91CF1" w:rsidP="002635E3">
      <w:pPr>
        <w:pStyle w:val="ListParagraph"/>
        <w:autoSpaceDE w:val="0"/>
        <w:autoSpaceDN w:val="0"/>
        <w:adjustRightInd w:val="0"/>
      </w:pPr>
    </w:p>
    <w:p w14:paraId="761B98CB" w14:textId="7A12A5E4" w:rsidR="00D70792" w:rsidRPr="004B1CBB" w:rsidRDefault="00D70792" w:rsidP="00D70792">
      <w:pPr>
        <w:pStyle w:val="ListParagraph"/>
        <w:autoSpaceDE w:val="0"/>
        <w:autoSpaceDN w:val="0"/>
        <w:adjustRightInd w:val="0"/>
        <w:spacing w:after="240"/>
        <w:ind w:left="0"/>
        <w:contextualSpacing w:val="0"/>
      </w:pPr>
      <w:r w:rsidRPr="004B1CBB">
        <w:rPr>
          <w:b/>
          <w:bCs/>
        </w:rPr>
        <w:t>Managed Care Organization (MCO) Program</w:t>
      </w:r>
      <w:r w:rsidRPr="004B1CBB">
        <w:t xml:space="preserve"> – a capitated model for managed care eligible members under the age of 65. Members are not eligible for managed care programs if they have any kind of third-party insurance. </w:t>
      </w:r>
      <w:r w:rsidR="00911392">
        <w:t xml:space="preserve"> </w:t>
      </w:r>
    </w:p>
    <w:p w14:paraId="1BC18B86" w14:textId="1035E7C1" w:rsidR="00D70792" w:rsidRPr="00AA38F7" w:rsidRDefault="00D70792" w:rsidP="00D70792">
      <w:pPr>
        <w:pStyle w:val="ListBullet2"/>
        <w:numPr>
          <w:ilvl w:val="0"/>
          <w:numId w:val="0"/>
        </w:numPr>
        <w:spacing w:after="240"/>
        <w:contextualSpacing w:val="0"/>
        <w:rPr>
          <w:rFonts w:cs="Calibri"/>
          <w:sz w:val="22"/>
        </w:rPr>
      </w:pPr>
      <w:r w:rsidRPr="0060643B">
        <w:rPr>
          <w:rFonts w:cs="Calibri"/>
          <w:b/>
          <w:bCs/>
          <w:sz w:val="22"/>
        </w:rPr>
        <w:t>Primary Care Clinician (PCC) Plan Program</w:t>
      </w:r>
      <w:r>
        <w:rPr>
          <w:rFonts w:cs="Calibri"/>
          <w:sz w:val="22"/>
        </w:rPr>
        <w:t xml:space="preserve"> – </w:t>
      </w:r>
      <w:r w:rsidRPr="00CE2033">
        <w:rPr>
          <w:rFonts w:cs="Calibri"/>
          <w:sz w:val="22"/>
        </w:rPr>
        <w:t xml:space="preserve">a primary care case management </w:t>
      </w:r>
      <w:r w:rsidR="0024179E">
        <w:rPr>
          <w:rFonts w:cs="Calibri"/>
          <w:sz w:val="22"/>
        </w:rPr>
        <w:t xml:space="preserve">(PCCM) </w:t>
      </w:r>
      <w:r w:rsidRPr="00CE2033">
        <w:rPr>
          <w:rFonts w:cs="Calibri"/>
          <w:sz w:val="22"/>
        </w:rPr>
        <w:t>model of managed care for members under age 65 without any third</w:t>
      </w:r>
      <w:r>
        <w:rPr>
          <w:rFonts w:cs="Calibri"/>
          <w:sz w:val="22"/>
        </w:rPr>
        <w:t>-</w:t>
      </w:r>
      <w:r w:rsidRPr="00CE2033">
        <w:rPr>
          <w:rFonts w:cs="Calibri"/>
          <w:sz w:val="22"/>
        </w:rPr>
        <w:t>party insuranc</w:t>
      </w:r>
      <w:r>
        <w:rPr>
          <w:rFonts w:cs="Calibri"/>
          <w:sz w:val="22"/>
        </w:rPr>
        <w:t>e, with a capitated BH P</w:t>
      </w:r>
      <w:r w:rsidRPr="00CE2033">
        <w:rPr>
          <w:rFonts w:cs="Calibri"/>
          <w:sz w:val="22"/>
        </w:rPr>
        <w:t>lan</w:t>
      </w:r>
      <w:r>
        <w:rPr>
          <w:rFonts w:cs="Calibri"/>
          <w:sz w:val="22"/>
        </w:rPr>
        <w:t xml:space="preserve">. </w:t>
      </w:r>
      <w:r w:rsidRPr="007C617B">
        <w:rPr>
          <w:rFonts w:cs="Calibri"/>
          <w:sz w:val="22"/>
        </w:rPr>
        <w:t>Though not required to comply with managed care rule</w:t>
      </w:r>
      <w:r>
        <w:rPr>
          <w:rFonts w:cs="Calibri"/>
          <w:sz w:val="22"/>
        </w:rPr>
        <w:t>s</w:t>
      </w:r>
      <w:r w:rsidRPr="007C617B">
        <w:rPr>
          <w:rFonts w:cs="Calibri"/>
          <w:sz w:val="22"/>
        </w:rPr>
        <w:t xml:space="preserve">, MassHealth includes the PCC Plan (a PCCM) in the managed care strategy </w:t>
      </w:r>
      <w:r>
        <w:rPr>
          <w:rFonts w:cs="Calibri"/>
          <w:sz w:val="22"/>
        </w:rPr>
        <w:t xml:space="preserve">and evaluation </w:t>
      </w:r>
      <w:r w:rsidRPr="007C617B">
        <w:rPr>
          <w:rFonts w:cs="Calibri"/>
          <w:sz w:val="22"/>
        </w:rPr>
        <w:t>where appropriate.</w:t>
      </w:r>
    </w:p>
    <w:p w14:paraId="6B125D2F" w14:textId="425760AB" w:rsidR="00D70792" w:rsidRDefault="00D70792" w:rsidP="00D70792">
      <w:pPr>
        <w:pStyle w:val="ListBullet2"/>
        <w:numPr>
          <w:ilvl w:val="0"/>
          <w:numId w:val="0"/>
        </w:numPr>
        <w:contextualSpacing w:val="0"/>
        <w:rPr>
          <w:sz w:val="22"/>
        </w:rPr>
      </w:pPr>
      <w:r w:rsidRPr="000C1C11">
        <w:rPr>
          <w:b/>
          <w:bCs/>
          <w:sz w:val="22"/>
        </w:rPr>
        <w:t>Behavioral Health Plan</w:t>
      </w:r>
      <w:r>
        <w:rPr>
          <w:sz w:val="22"/>
        </w:rPr>
        <w:t xml:space="preserve"> </w:t>
      </w:r>
      <w:r w:rsidRPr="000C1C11">
        <w:rPr>
          <w:sz w:val="22"/>
        </w:rPr>
        <w:t>– a capitated BH</w:t>
      </w:r>
      <w:r>
        <w:rPr>
          <w:sz w:val="22"/>
        </w:rPr>
        <w:t xml:space="preserve"> </w:t>
      </w:r>
      <w:r w:rsidRPr="000C1C11">
        <w:rPr>
          <w:sz w:val="22"/>
        </w:rPr>
        <w:t xml:space="preserve">model that provides </w:t>
      </w:r>
      <w:r w:rsidRPr="604BBF1C">
        <w:rPr>
          <w:sz w:val="22"/>
        </w:rPr>
        <w:t xml:space="preserve">and/or manages behavioral health services </w:t>
      </w:r>
      <w:r w:rsidRPr="000C1C11">
        <w:rPr>
          <w:sz w:val="22"/>
        </w:rPr>
        <w:t>to members of the PCC Plan</w:t>
      </w:r>
      <w:r w:rsidRPr="604BBF1C">
        <w:rPr>
          <w:sz w:val="22"/>
        </w:rPr>
        <w:t xml:space="preserve"> and </w:t>
      </w:r>
      <w:r>
        <w:rPr>
          <w:sz w:val="22"/>
        </w:rPr>
        <w:t>PCACO</w:t>
      </w:r>
      <w:r w:rsidRPr="000C1C11">
        <w:rPr>
          <w:sz w:val="22"/>
        </w:rPr>
        <w:t xml:space="preserve">, children </w:t>
      </w:r>
      <w:r w:rsidR="00591E8C" w:rsidRPr="008F1242">
        <w:rPr>
          <w:sz w:val="22"/>
        </w:rPr>
        <w:t xml:space="preserve">in the care and/or custody of the Department of Children and Families and the Department of Youth Services, or </w:t>
      </w:r>
      <w:r w:rsidR="00142A4B">
        <w:rPr>
          <w:sz w:val="22"/>
        </w:rPr>
        <w:t xml:space="preserve">members </w:t>
      </w:r>
      <w:r w:rsidR="00591E8C" w:rsidRPr="008F1242">
        <w:rPr>
          <w:sz w:val="22"/>
        </w:rPr>
        <w:t xml:space="preserve">who have third-party insurance or are </w:t>
      </w:r>
      <w:r w:rsidR="0024179E">
        <w:rPr>
          <w:color w:val="000000"/>
          <w:sz w:val="22"/>
          <w:shd w:val="clear" w:color="auto" w:fill="FFFFFF"/>
        </w:rPr>
        <w:t>eligible for Medicaid and Medicare (“</w:t>
      </w:r>
      <w:r w:rsidR="00591E8C" w:rsidRPr="008F1242">
        <w:rPr>
          <w:sz w:val="22"/>
        </w:rPr>
        <w:t>dually eligible</w:t>
      </w:r>
      <w:r w:rsidR="0024179E">
        <w:rPr>
          <w:sz w:val="22"/>
        </w:rPr>
        <w:t>”)</w:t>
      </w:r>
      <w:r>
        <w:rPr>
          <w:color w:val="000000"/>
          <w:sz w:val="22"/>
          <w:shd w:val="clear" w:color="auto" w:fill="FFFFFF"/>
        </w:rPr>
        <w:t>.</w:t>
      </w:r>
    </w:p>
    <w:p w14:paraId="3A8DB52F" w14:textId="622E455E" w:rsidR="00D70792" w:rsidRPr="00E300A9" w:rsidRDefault="00D70792" w:rsidP="00D70792">
      <w:pPr>
        <w:pStyle w:val="ListBullet2"/>
        <w:numPr>
          <w:ilvl w:val="0"/>
          <w:numId w:val="0"/>
        </w:numPr>
        <w:contextualSpacing w:val="0"/>
        <w:rPr>
          <w:color w:val="000000"/>
          <w:sz w:val="22"/>
          <w:shd w:val="clear" w:color="auto" w:fill="FFFFFF"/>
        </w:rPr>
      </w:pPr>
      <w:r w:rsidRPr="00E300A9">
        <w:rPr>
          <w:b/>
          <w:bCs/>
          <w:color w:val="000000"/>
          <w:sz w:val="22"/>
          <w:shd w:val="clear" w:color="auto" w:fill="FFFFFF"/>
        </w:rPr>
        <w:t xml:space="preserve">Integrated Care </w:t>
      </w:r>
      <w:r w:rsidRPr="559AEFB7">
        <w:rPr>
          <w:b/>
          <w:bCs/>
          <w:color w:val="000000"/>
          <w:sz w:val="22"/>
          <w:shd w:val="clear" w:color="auto" w:fill="FFFFFF"/>
        </w:rPr>
        <w:t>Program</w:t>
      </w:r>
      <w:r w:rsidRPr="53CACBC6">
        <w:rPr>
          <w:b/>
          <w:color w:val="000000" w:themeColor="text1"/>
          <w:sz w:val="22"/>
        </w:rPr>
        <w:t>s</w:t>
      </w:r>
      <w:r>
        <w:rPr>
          <w:color w:val="000000"/>
          <w:sz w:val="22"/>
          <w:shd w:val="clear" w:color="auto" w:fill="FFFFFF"/>
        </w:rPr>
        <w:t xml:space="preserve"> T</w:t>
      </w:r>
      <w:r w:rsidRPr="0050004C">
        <w:rPr>
          <w:color w:val="000000"/>
          <w:sz w:val="22"/>
          <w:shd w:val="clear" w:color="auto" w:fill="FFFFFF"/>
        </w:rPr>
        <w:t xml:space="preserve">o bring more integrated, coordinated, and person-centered care options to </w:t>
      </w:r>
      <w:r w:rsidR="00591E8C">
        <w:rPr>
          <w:color w:val="000000"/>
          <w:sz w:val="22"/>
          <w:shd w:val="clear" w:color="auto" w:fill="FFFFFF"/>
        </w:rPr>
        <w:t>dual</w:t>
      </w:r>
      <w:r w:rsidR="00142A4B">
        <w:rPr>
          <w:color w:val="000000"/>
          <w:sz w:val="22"/>
          <w:shd w:val="clear" w:color="auto" w:fill="FFFFFF"/>
        </w:rPr>
        <w:t>ly</w:t>
      </w:r>
      <w:r w:rsidR="00591E8C">
        <w:rPr>
          <w:color w:val="000000"/>
          <w:sz w:val="22"/>
          <w:shd w:val="clear" w:color="auto" w:fill="FFFFFF"/>
        </w:rPr>
        <w:t xml:space="preserve"> eligible</w:t>
      </w:r>
      <w:r w:rsidR="0024179E">
        <w:rPr>
          <w:color w:val="000000"/>
          <w:sz w:val="22"/>
          <w:shd w:val="clear" w:color="auto" w:fill="FFFFFF"/>
        </w:rPr>
        <w:t xml:space="preserve"> members</w:t>
      </w:r>
      <w:r w:rsidRPr="0050004C">
        <w:rPr>
          <w:color w:val="000000"/>
          <w:sz w:val="22"/>
          <w:shd w:val="clear" w:color="auto" w:fill="FFFFFF"/>
        </w:rPr>
        <w:t xml:space="preserve">, </w:t>
      </w:r>
      <w:r>
        <w:rPr>
          <w:color w:val="000000"/>
          <w:sz w:val="22"/>
          <w:shd w:val="clear" w:color="auto" w:fill="FFFFFF"/>
        </w:rPr>
        <w:t xml:space="preserve">two </w:t>
      </w:r>
      <w:r w:rsidRPr="0050004C">
        <w:rPr>
          <w:color w:val="000000"/>
          <w:sz w:val="22"/>
          <w:shd w:val="clear" w:color="auto" w:fill="FFFFFF"/>
        </w:rPr>
        <w:t>programs</w:t>
      </w:r>
      <w:r>
        <w:rPr>
          <w:color w:val="000000"/>
          <w:sz w:val="22"/>
          <w:shd w:val="clear" w:color="auto" w:fill="FFFFFF"/>
        </w:rPr>
        <w:t xml:space="preserve"> are </w:t>
      </w:r>
      <w:r w:rsidRPr="0050004C">
        <w:rPr>
          <w:color w:val="000000"/>
          <w:sz w:val="22"/>
          <w:shd w:val="clear" w:color="auto" w:fill="FFFFFF"/>
        </w:rPr>
        <w:t>offered to dual</w:t>
      </w:r>
      <w:r w:rsidR="0024179E">
        <w:rPr>
          <w:color w:val="000000"/>
          <w:sz w:val="22"/>
          <w:shd w:val="clear" w:color="auto" w:fill="FFFFFF"/>
        </w:rPr>
        <w:t>ly</w:t>
      </w:r>
      <w:r w:rsidRPr="0050004C">
        <w:rPr>
          <w:color w:val="000000"/>
          <w:sz w:val="22"/>
          <w:shd w:val="clear" w:color="auto" w:fill="FFFFFF"/>
        </w:rPr>
        <w:t xml:space="preserve"> eligible members</w:t>
      </w:r>
      <w:r>
        <w:rPr>
          <w:color w:val="000000"/>
          <w:sz w:val="22"/>
          <w:shd w:val="clear" w:color="auto" w:fill="FFFFFF"/>
        </w:rPr>
        <w:t>:</w:t>
      </w:r>
    </w:p>
    <w:p w14:paraId="696C8F22" w14:textId="08E86392" w:rsidR="00D70792" w:rsidRDefault="00D70792">
      <w:pPr>
        <w:pStyle w:val="ListBullet2"/>
        <w:numPr>
          <w:ilvl w:val="0"/>
          <w:numId w:val="22"/>
        </w:numPr>
        <w:rPr>
          <w:color w:val="000000"/>
          <w:sz w:val="22"/>
          <w:shd w:val="clear" w:color="auto" w:fill="FFFFFF"/>
        </w:rPr>
      </w:pPr>
      <w:r w:rsidRPr="000C1C11">
        <w:rPr>
          <w:rFonts w:cs="Calibri"/>
          <w:b/>
          <w:bCs/>
          <w:sz w:val="22"/>
        </w:rPr>
        <w:t xml:space="preserve">One Care </w:t>
      </w:r>
      <w:r>
        <w:rPr>
          <w:rFonts w:cs="Calibri"/>
          <w:b/>
          <w:bCs/>
          <w:sz w:val="22"/>
        </w:rPr>
        <w:t>–</w:t>
      </w:r>
      <w:r w:rsidRPr="000C1C11">
        <w:rPr>
          <w:rFonts w:cs="Calibri"/>
          <w:b/>
          <w:bCs/>
          <w:sz w:val="22"/>
        </w:rPr>
        <w:t xml:space="preserve"> </w:t>
      </w:r>
      <w:r>
        <w:rPr>
          <w:color w:val="000000"/>
          <w:sz w:val="22"/>
          <w:shd w:val="clear" w:color="auto" w:fill="FFFFFF"/>
        </w:rPr>
        <w:t>An</w:t>
      </w:r>
      <w:r w:rsidRPr="00436DF1">
        <w:rPr>
          <w:color w:val="000000"/>
          <w:sz w:val="22"/>
          <w:shd w:val="clear" w:color="auto" w:fill="FFFFFF"/>
        </w:rPr>
        <w:t xml:space="preserve"> integrated care capitated </w:t>
      </w:r>
      <w:r w:rsidRPr="3506CA4F">
        <w:rPr>
          <w:color w:val="000000"/>
          <w:sz w:val="22"/>
          <w:shd w:val="clear" w:color="auto" w:fill="FFFFFF"/>
        </w:rPr>
        <w:t>model</w:t>
      </w:r>
      <w:r w:rsidRPr="00436DF1">
        <w:rPr>
          <w:color w:val="000000"/>
          <w:sz w:val="22"/>
          <w:shd w:val="clear" w:color="auto" w:fill="FFFFFF"/>
        </w:rPr>
        <w:t xml:space="preserve"> for persons with disabilities (between the ages of 21</w:t>
      </w:r>
      <w:r w:rsidR="0024179E">
        <w:rPr>
          <w:color w:val="000000"/>
          <w:sz w:val="22"/>
          <w:shd w:val="clear" w:color="auto" w:fill="FFFFFF"/>
        </w:rPr>
        <w:t>–</w:t>
      </w:r>
      <w:r w:rsidRPr="00436DF1">
        <w:rPr>
          <w:color w:val="000000"/>
          <w:sz w:val="22"/>
          <w:shd w:val="clear" w:color="auto" w:fill="FFFFFF"/>
        </w:rPr>
        <w:t>64 at time of enrollment), who are eligible for full benefits through both the Medicaid</w:t>
      </w:r>
      <w:r>
        <w:rPr>
          <w:color w:val="000000"/>
          <w:sz w:val="22"/>
          <w:shd w:val="clear" w:color="auto" w:fill="FFFFFF"/>
        </w:rPr>
        <w:t xml:space="preserve"> </w:t>
      </w:r>
      <w:r w:rsidRPr="00436DF1">
        <w:rPr>
          <w:color w:val="000000"/>
          <w:sz w:val="22"/>
          <w:shd w:val="clear" w:color="auto" w:fill="FFFFFF"/>
        </w:rPr>
        <w:t>and Medicare programs.</w:t>
      </w:r>
    </w:p>
    <w:p w14:paraId="04BBFB00" w14:textId="76304ABB" w:rsidR="00D70792" w:rsidRDefault="00D70792">
      <w:pPr>
        <w:pStyle w:val="ListBullet2"/>
        <w:numPr>
          <w:ilvl w:val="0"/>
          <w:numId w:val="22"/>
        </w:numPr>
        <w:contextualSpacing w:val="0"/>
      </w:pPr>
      <w:r w:rsidRPr="00750B06">
        <w:rPr>
          <w:rFonts w:cs="Calibri"/>
          <w:b/>
          <w:bCs/>
          <w:sz w:val="22"/>
        </w:rPr>
        <w:t xml:space="preserve">Senior Care Options (SCO) – </w:t>
      </w:r>
      <w:r w:rsidR="00A36CC4">
        <w:rPr>
          <w:rFonts w:cs="Calibri"/>
          <w:sz w:val="22"/>
        </w:rPr>
        <w:t>a capitated model for</w:t>
      </w:r>
      <w:r w:rsidR="00A36CC4" w:rsidRPr="00CE2033">
        <w:rPr>
          <w:rFonts w:cs="Calibri"/>
          <w:sz w:val="22"/>
        </w:rPr>
        <w:t xml:space="preserve"> members age</w:t>
      </w:r>
      <w:r w:rsidR="00142A4B">
        <w:rPr>
          <w:rFonts w:cs="Calibri"/>
          <w:sz w:val="22"/>
        </w:rPr>
        <w:t>d</w:t>
      </w:r>
      <w:r w:rsidR="00A36CC4" w:rsidRPr="00CE2033">
        <w:rPr>
          <w:rFonts w:cs="Calibri"/>
          <w:sz w:val="22"/>
        </w:rPr>
        <w:t xml:space="preserve"> 65 and older</w:t>
      </w:r>
      <w:r w:rsidR="00A36CC4">
        <w:rPr>
          <w:rFonts w:cs="Calibri"/>
          <w:sz w:val="22"/>
        </w:rPr>
        <w:t>, including dually eligible members</w:t>
      </w:r>
      <w:r w:rsidRPr="00750B06">
        <w:rPr>
          <w:color w:val="000000"/>
          <w:sz w:val="22"/>
          <w:shd w:val="clear" w:color="auto" w:fill="FFFFFF"/>
        </w:rPr>
        <w:t>. SCO plans provide full range of medical, behavioral health, and long-term services and supports.</w:t>
      </w:r>
    </w:p>
    <w:p w14:paraId="1C516A2F" w14:textId="6A44B01B" w:rsidR="00784816" w:rsidRDefault="00D70792" w:rsidP="00D70792">
      <w:pPr>
        <w:spacing w:before="120"/>
      </w:pPr>
      <w:r>
        <w:t xml:space="preserve">In accordance with </w:t>
      </w:r>
      <w:r w:rsidR="00961B2F">
        <w:t>42 CFR 438</w:t>
      </w:r>
      <w:r>
        <w:t>, the ACPP</w:t>
      </w:r>
      <w:r w:rsidRPr="002D585D">
        <w:t>, MCO, One Care</w:t>
      </w:r>
      <w:r w:rsidR="00A36CC4">
        <w:t>,</w:t>
      </w:r>
      <w:r w:rsidRPr="002D585D">
        <w:t xml:space="preserve"> and</w:t>
      </w:r>
      <w:r>
        <w:t xml:space="preserve"> SCO </w:t>
      </w:r>
      <w:r w:rsidR="002635E3">
        <w:t xml:space="preserve">Programs </w:t>
      </w:r>
      <w:r>
        <w:t xml:space="preserve">are considered MCOs, and for the purposes of this document, will be referred to as </w:t>
      </w:r>
      <w:r w:rsidRPr="002D585D">
        <w:t>manage</w:t>
      </w:r>
      <w:r>
        <w:t>d</w:t>
      </w:r>
      <w:r w:rsidRPr="002D585D">
        <w:t xml:space="preserve"> care entities (MCEs).</w:t>
      </w:r>
      <w:r>
        <w:t xml:space="preserve"> </w:t>
      </w:r>
      <w:r w:rsidR="00A36CC4">
        <w:t>PC</w:t>
      </w:r>
      <w:r>
        <w:t>ACOs are considered primary care case management</w:t>
      </w:r>
      <w:r w:rsidR="002D4063">
        <w:t xml:space="preserve"> (PCCM)</w:t>
      </w:r>
      <w:r>
        <w:t xml:space="preserve"> entities. The PCC Plan is considered a PCCM.  </w:t>
      </w:r>
      <w:r w:rsidR="002D4063">
        <w:t xml:space="preserve">The BH Plan </w:t>
      </w:r>
      <w:r>
        <w:t xml:space="preserve">is a </w:t>
      </w:r>
      <w:r w:rsidR="00A91CF1">
        <w:t>p</w:t>
      </w:r>
      <w:r>
        <w:t xml:space="preserve">repaid </w:t>
      </w:r>
      <w:r w:rsidR="00A91CF1">
        <w:t>i</w:t>
      </w:r>
      <w:r>
        <w:t xml:space="preserve">npatient </w:t>
      </w:r>
      <w:r w:rsidR="00A91CF1">
        <w:t>h</w:t>
      </w:r>
      <w:r>
        <w:t xml:space="preserve">ealth </w:t>
      </w:r>
      <w:r w:rsidR="008E1E7A">
        <w:t>p</w:t>
      </w:r>
      <w:r>
        <w:t xml:space="preserve">lan (PIHP) and is also referred to as </w:t>
      </w:r>
      <w:r w:rsidR="00142A4B">
        <w:t xml:space="preserve">managed </w:t>
      </w:r>
      <w:r>
        <w:t xml:space="preserve">BH </w:t>
      </w:r>
      <w:r w:rsidR="00142A4B">
        <w:t xml:space="preserve">vendor </w:t>
      </w:r>
      <w:r>
        <w:t xml:space="preserve">in this document. MassHealth does not contract with any </w:t>
      </w:r>
      <w:r w:rsidR="0024179E">
        <w:t>p</w:t>
      </w:r>
      <w:r>
        <w:t xml:space="preserve">repaid </w:t>
      </w:r>
      <w:r w:rsidR="0024179E">
        <w:t>a</w:t>
      </w:r>
      <w:r>
        <w:t xml:space="preserve">mbulatory </w:t>
      </w:r>
      <w:r w:rsidR="0024179E">
        <w:t>h</w:t>
      </w:r>
      <w:r>
        <w:t xml:space="preserve">ealth </w:t>
      </w:r>
      <w:r w:rsidR="0024179E">
        <w:t>p</w:t>
      </w:r>
      <w:r>
        <w:t xml:space="preserve">lans (PAHPs) as defined in 42 CFR 438.2. </w:t>
      </w:r>
    </w:p>
    <w:p w14:paraId="46D48192" w14:textId="39788227" w:rsidR="0020648E" w:rsidRDefault="00D70792" w:rsidP="00D70792">
      <w:pPr>
        <w:spacing w:before="120"/>
      </w:pPr>
      <w:r w:rsidRPr="002D585D">
        <w:lastRenderedPageBreak/>
        <w:t xml:space="preserve">The </w:t>
      </w:r>
      <w:r w:rsidR="00784816">
        <w:t xml:space="preserve">2018 </w:t>
      </w:r>
      <w:r>
        <w:t xml:space="preserve">CQS relates to </w:t>
      </w:r>
      <w:r w:rsidRPr="001B1CE3">
        <w:t>(but is not limited to)</w:t>
      </w:r>
      <w:r>
        <w:t xml:space="preserve"> MCEs, PIHPs, and PCCM entities</w:t>
      </w:r>
      <w:r w:rsidR="00BB7CBB">
        <w:t xml:space="preserve">.  </w:t>
      </w:r>
      <w:r w:rsidR="00BB7CBB" w:rsidRPr="007C617B">
        <w:rPr>
          <w:rFonts w:cs="Calibri"/>
        </w:rPr>
        <w:t>Though not required to comply with managed care rule</w:t>
      </w:r>
      <w:r w:rsidR="00BB7CBB">
        <w:rPr>
          <w:rFonts w:cs="Calibri"/>
        </w:rPr>
        <w:t>s</w:t>
      </w:r>
      <w:r w:rsidR="00BB7CBB" w:rsidRPr="007C617B">
        <w:rPr>
          <w:rFonts w:cs="Calibri"/>
        </w:rPr>
        <w:t xml:space="preserve">, </w:t>
      </w:r>
      <w:r w:rsidR="00BB7CBB">
        <w:rPr>
          <w:rFonts w:cs="Calibri"/>
        </w:rPr>
        <w:t>the 2018 CQS</w:t>
      </w:r>
      <w:r w:rsidR="00BB7CBB" w:rsidRPr="007C617B">
        <w:rPr>
          <w:rFonts w:cs="Calibri"/>
        </w:rPr>
        <w:t xml:space="preserve"> includes the PCC Plan (a PCCM) in the managed care strategy </w:t>
      </w:r>
      <w:r w:rsidR="00BB7CBB">
        <w:rPr>
          <w:rFonts w:cs="Calibri"/>
        </w:rPr>
        <w:t xml:space="preserve">and evaluation </w:t>
      </w:r>
      <w:r w:rsidR="00BB7CBB" w:rsidRPr="007C617B">
        <w:rPr>
          <w:rFonts w:cs="Calibri"/>
        </w:rPr>
        <w:t>where appropriate.</w:t>
      </w:r>
    </w:p>
    <w:p w14:paraId="21D34C4B" w14:textId="2FF3946A" w:rsidR="00753CD6" w:rsidRPr="00AD6B7A" w:rsidRDefault="00753CD6" w:rsidP="00ED0C2F">
      <w:pPr>
        <w:pStyle w:val="Heading2"/>
        <w:spacing w:after="120"/>
      </w:pPr>
      <w:bookmarkStart w:id="4" w:name="_Toc147244403"/>
      <w:r>
        <w:t>Evaluation Methodology</w:t>
      </w:r>
      <w:bookmarkEnd w:id="4"/>
    </w:p>
    <w:p w14:paraId="425AE86E" w14:textId="61920311" w:rsidR="00753CD6" w:rsidRDefault="00753CD6" w:rsidP="692C77C9">
      <w:r>
        <w:t xml:space="preserve">The evidence base for this CQS </w:t>
      </w:r>
      <w:r w:rsidR="0000739C">
        <w:t>includes</w:t>
      </w:r>
      <w:r>
        <w:t xml:space="preserve"> MassHealth quality measure performance rates from the three-year period from Measurement Year (MY) 2018 through 2020 (1/1/2018 – 12/31/2020). </w:t>
      </w:r>
      <w:r w:rsidR="0020648E">
        <w:t>MassHealth</w:t>
      </w:r>
      <w:r>
        <w:t xml:space="preserve"> used </w:t>
      </w:r>
      <w:r w:rsidR="16D8048F">
        <w:t>three</w:t>
      </w:r>
      <w:r>
        <w:t xml:space="preserve"> major criteria in selecting quality measures for inclusion in this </w:t>
      </w:r>
      <w:r w:rsidR="00221976">
        <w:t>E</w:t>
      </w:r>
      <w:r>
        <w:t>valuation:</w:t>
      </w:r>
    </w:p>
    <w:p w14:paraId="3493A871" w14:textId="1BA484D3" w:rsidR="00753CD6" w:rsidRDefault="00753CD6">
      <w:pPr>
        <w:pStyle w:val="ListParagraph"/>
        <w:numPr>
          <w:ilvl w:val="0"/>
          <w:numId w:val="15"/>
        </w:numPr>
        <w:ind w:left="720"/>
      </w:pPr>
      <w:r>
        <w:t>Alignment with the original quality strategy goals, as presented in the 2018</w:t>
      </w:r>
      <w:r w:rsidR="00221976">
        <w:t xml:space="preserve"> CQS</w:t>
      </w:r>
      <w:r>
        <w:t>;</w:t>
      </w:r>
    </w:p>
    <w:p w14:paraId="33ADA1D9" w14:textId="1A0A544D" w:rsidR="00753CD6" w:rsidRDefault="2655A443">
      <w:pPr>
        <w:pStyle w:val="ListParagraph"/>
        <w:numPr>
          <w:ilvl w:val="0"/>
          <w:numId w:val="15"/>
        </w:numPr>
        <w:ind w:left="720"/>
      </w:pPr>
      <w:r>
        <w:t>Alignment with the CMS Core Measure Sets, as recommended in CMS’s Medicaid and CHIP Managed Care Quality Strategy Toolkit.</w:t>
      </w:r>
    </w:p>
    <w:p w14:paraId="562C7982" w14:textId="61975629" w:rsidR="692C77C9" w:rsidRPr="00B51C5A" w:rsidRDefault="0175C246">
      <w:pPr>
        <w:pStyle w:val="ListParagraph"/>
        <w:numPr>
          <w:ilvl w:val="0"/>
          <w:numId w:val="15"/>
        </w:numPr>
        <w:ind w:left="720"/>
      </w:pPr>
      <w:r w:rsidRPr="692C77C9">
        <w:t xml:space="preserve">Alignment with measure slates used </w:t>
      </w:r>
      <w:r w:rsidR="35F44C2D" w:rsidRPr="692C77C9">
        <w:t xml:space="preserve">to assess MCP contract </w:t>
      </w:r>
      <w:r w:rsidR="4346D61C" w:rsidRPr="692C77C9">
        <w:t>performance</w:t>
      </w:r>
      <w:r w:rsidR="35F44C2D" w:rsidRPr="692C77C9">
        <w:t xml:space="preserve">. </w:t>
      </w:r>
    </w:p>
    <w:p w14:paraId="013D884F" w14:textId="61F2B287" w:rsidR="00753CD6" w:rsidRDefault="2655A443" w:rsidP="00753CD6">
      <w:r>
        <w:t xml:space="preserve">In evaluating performance, </w:t>
      </w:r>
      <w:r w:rsidR="13753CDD">
        <w:t>MassHealth</w:t>
      </w:r>
      <w:r>
        <w:t xml:space="preserve"> </w:t>
      </w:r>
      <w:r w:rsidR="091C2A81">
        <w:t>looked at</w:t>
      </w:r>
      <w:r>
        <w:t>:</w:t>
      </w:r>
    </w:p>
    <w:p w14:paraId="30A2F566" w14:textId="51702A51" w:rsidR="00753CD6" w:rsidRDefault="461D9FDE">
      <w:pPr>
        <w:pStyle w:val="ListParagraph"/>
        <w:numPr>
          <w:ilvl w:val="0"/>
          <w:numId w:val="14"/>
        </w:numPr>
      </w:pPr>
      <w:r>
        <w:t>Change in measure rates from baseline year (MY 2018) to comparison year (MY 2020),</w:t>
      </w:r>
      <w:r w:rsidR="24919958">
        <w:t xml:space="preserve"> </w:t>
      </w:r>
      <w:r w:rsidR="770B7E3E">
        <w:t>and</w:t>
      </w:r>
      <w:r w:rsidR="7E01A7AE">
        <w:t xml:space="preserve"> </w:t>
      </w:r>
      <w:r w:rsidR="24919958">
        <w:t>directionality</w:t>
      </w:r>
      <w:r w:rsidR="3A9FCCE6">
        <w:t xml:space="preserve"> over the three measurement periods </w:t>
      </w:r>
      <w:r w:rsidR="24919958">
        <w:t>(MY</w:t>
      </w:r>
      <w:r w:rsidR="00410180">
        <w:t xml:space="preserve"> </w:t>
      </w:r>
      <w:r w:rsidR="24919958">
        <w:t>2018-MY</w:t>
      </w:r>
      <w:r w:rsidR="00410180">
        <w:t xml:space="preserve"> </w:t>
      </w:r>
      <w:r w:rsidR="24919958">
        <w:t>2020)</w:t>
      </w:r>
      <w:r>
        <w:t xml:space="preserve"> and</w:t>
      </w:r>
    </w:p>
    <w:p w14:paraId="76AD1475" w14:textId="25691B44" w:rsidR="00753CD6" w:rsidRDefault="2655A443">
      <w:pPr>
        <w:pStyle w:val="ListParagraph"/>
        <w:numPr>
          <w:ilvl w:val="0"/>
          <w:numId w:val="14"/>
        </w:numPr>
      </w:pPr>
      <w:r>
        <w:t>Comparison of MassHealth measure rates for MY 2020 to national benchmarks (</w:t>
      </w:r>
      <w:r w:rsidR="64517036">
        <w:t xml:space="preserve">e.g., </w:t>
      </w:r>
      <w:r>
        <w:t>NCQA Quality Compass National Medicaid 75</w:t>
      </w:r>
      <w:r w:rsidRPr="76C29537">
        <w:rPr>
          <w:vertAlign w:val="superscript"/>
        </w:rPr>
        <w:t>th</w:t>
      </w:r>
      <w:r>
        <w:t xml:space="preserve"> percentile rate).</w:t>
      </w:r>
    </w:p>
    <w:p w14:paraId="68F6C001" w14:textId="2E9A557C" w:rsidR="00753CD6" w:rsidRPr="00D37B9D" w:rsidRDefault="00753CD6" w:rsidP="00753CD6">
      <w:r>
        <w:t xml:space="preserve">For each measure, </w:t>
      </w:r>
      <w:r w:rsidR="00D91404">
        <w:t>MassHealth</w:t>
      </w:r>
      <w:r>
        <w:t xml:space="preserve"> note</w:t>
      </w:r>
      <w:r w:rsidR="005E4D71">
        <w:t>d</w:t>
      </w:r>
      <w:r>
        <w:t xml:space="preserve"> whether MassHealth’s aggregate (weighted mean across plans) performance in MY 2020 </w:t>
      </w:r>
      <w:r w:rsidR="005E4D71">
        <w:t>was</w:t>
      </w:r>
      <w:r>
        <w:t xml:space="preserve"> equal to or better than the MY 2020 National Medicaid 75</w:t>
      </w:r>
      <w:r w:rsidRPr="3280630A">
        <w:rPr>
          <w:vertAlign w:val="superscript"/>
        </w:rPr>
        <w:t>th</w:t>
      </w:r>
      <w:r>
        <w:t xml:space="preserve"> percentile</w:t>
      </w:r>
      <w:r w:rsidR="007E0D1E">
        <w:t>.</w:t>
      </w:r>
      <w:r>
        <w:t xml:space="preserve"> </w:t>
      </w:r>
      <w:r w:rsidR="007E0D1E">
        <w:t>I I</w:t>
      </w:r>
      <w:r>
        <w:t xml:space="preserve">f not, </w:t>
      </w:r>
      <w:r w:rsidR="007E0D1E">
        <w:t>MassH</w:t>
      </w:r>
      <w:r w:rsidR="00B80B4F">
        <w:t xml:space="preserve">ealth </w:t>
      </w:r>
      <w:r w:rsidR="00231055">
        <w:t xml:space="preserve">considered </w:t>
      </w:r>
      <w:r>
        <w:t>whether the MassHealth rate ha</w:t>
      </w:r>
      <w:r w:rsidR="00231055">
        <w:t>d</w:t>
      </w:r>
      <w:r>
        <w:t xml:space="preserve"> improved from MY 2018 to MY 2020 using the “Gap to Goal” methodology outlined in CMS’s guidance to Medicare-Medicaid programs on Quality Withhold methodology (available at </w:t>
      </w:r>
      <w:hyperlink r:id="rId14" w:history="1">
        <w:r w:rsidR="002C6444" w:rsidRPr="002C6444">
          <w:rPr>
            <w:rStyle w:val="Hyperlink"/>
          </w:rPr>
          <w:t>www.cms.gov/files/document/mmpqualitywithholdtechnicalnotesdy2-10.pdf</w:t>
        </w:r>
      </w:hyperlink>
      <w:r>
        <w:t>). Where MassHealth’s MY 2020 measure rate met/exceed</w:t>
      </w:r>
      <w:r w:rsidR="00231055">
        <w:t>ed</w:t>
      </w:r>
      <w:r>
        <w:t xml:space="preserve"> the benchmark or met/exceed</w:t>
      </w:r>
      <w:r w:rsidR="006F3930">
        <w:t>ed</w:t>
      </w:r>
      <w:r>
        <w:t xml:space="preserve"> the Gap to Goal improvement target, </w:t>
      </w:r>
      <w:r w:rsidR="00842202">
        <w:t>MassHealth</w:t>
      </w:r>
      <w:r>
        <w:t xml:space="preserve"> indicate</w:t>
      </w:r>
      <w:r w:rsidR="006F3930">
        <w:t>d</w:t>
      </w:r>
      <w:r>
        <w:t xml:space="preserve"> this by highlighting the cell containing either the benchmark or the Gap to Goal target, as appropriate.</w:t>
      </w:r>
    </w:p>
    <w:p w14:paraId="5D30D362" w14:textId="4A395BEE" w:rsidR="00753CD6" w:rsidRDefault="00753CD6" w:rsidP="00753CD6">
      <w:r>
        <w:t xml:space="preserve">The body of this report will only present data on a subset of measures that clearly relate to the quality goals referenced in the 2018 </w:t>
      </w:r>
      <w:r w:rsidR="008B1ACC">
        <w:t>CQS</w:t>
      </w:r>
      <w:r>
        <w:t xml:space="preserve">. For Goal 6, </w:t>
      </w:r>
      <w:r w:rsidR="0020648E">
        <w:t>MassHealth</w:t>
      </w:r>
      <w:r>
        <w:t xml:space="preserve"> provide</w:t>
      </w:r>
      <w:r w:rsidR="0020648E">
        <w:t>s</w:t>
      </w:r>
      <w:r>
        <w:t xml:space="preserve"> a narrative discussion of the work </w:t>
      </w:r>
      <w:r w:rsidR="0020648E">
        <w:t>it</w:t>
      </w:r>
      <w:r>
        <w:t xml:space="preserve"> has undertaken to develop measurement capacity </w:t>
      </w:r>
      <w:r w:rsidR="0020648E">
        <w:t>for implementation</w:t>
      </w:r>
      <w:r>
        <w:t xml:space="preserve"> during the current </w:t>
      </w:r>
      <w:r w:rsidR="00792C7D">
        <w:t>1115 Demonstration W</w:t>
      </w:r>
      <w:r>
        <w:t>aiver period</w:t>
      </w:r>
      <w:r w:rsidR="00277E4E">
        <w:t xml:space="preserve"> because MassHealth was unable to identify quality measures to directly assess performance</w:t>
      </w:r>
      <w:r>
        <w:t>.</w:t>
      </w:r>
    </w:p>
    <w:p w14:paraId="2589760C" w14:textId="5F6AB16E" w:rsidR="002C3D2B" w:rsidDel="002C3D2B" w:rsidRDefault="56C78823" w:rsidP="692C77C9">
      <w:pPr>
        <w:tabs>
          <w:tab w:val="left" w:pos="720"/>
        </w:tabs>
      </w:pPr>
      <w:r w:rsidRPr="692C77C9">
        <w:rPr>
          <w:rFonts w:eastAsia="Times New Roman" w:cs="Calibri"/>
        </w:rPr>
        <w:t>The metrics used to evaluate the effectiveness of the quality strategy are closely aligned with the measure slates used to assess MCP contract performance.</w:t>
      </w:r>
      <w:r w:rsidR="2C83B155" w:rsidRPr="692C77C9">
        <w:rPr>
          <w:rFonts w:eastAsia="Times New Roman" w:cs="Calibri"/>
        </w:rPr>
        <w:t xml:space="preserve"> </w:t>
      </w:r>
      <w:r w:rsidRPr="692C77C9">
        <w:rPr>
          <w:rFonts w:eastAsia="Times New Roman" w:cs="Calibri"/>
        </w:rPr>
        <w:t xml:space="preserve">As a general practice, MassHealth uses standardized measure sets to evaluate both statewide and contract-level quality performance, drawing primarily on the Adult and Child Core and HEDIS measures. MassHealth has endeavored to align quality measures across the organization wherever possible. MassHealth modifies or adapts measures where appropriate to reflect the unique program populations served and address clear gaps in measurement.  </w:t>
      </w:r>
      <w:r>
        <w:t>Details on MCP-level performance are presented in Appendix B of this report.</w:t>
      </w:r>
    </w:p>
    <w:p w14:paraId="352A3B75" w14:textId="1D65F318" w:rsidR="00730D03" w:rsidRDefault="002C3D2B" w:rsidP="692C77C9">
      <w:pPr>
        <w:tabs>
          <w:tab w:val="left" w:pos="720"/>
        </w:tabs>
      </w:pPr>
      <w:r>
        <w:t xml:space="preserve">A set of appendices at the end of this Evaluation </w:t>
      </w:r>
      <w:r w:rsidR="0092443C">
        <w:t>provides detailed</w:t>
      </w:r>
      <w:r>
        <w:t xml:space="preserve"> performance data for contractually required quality metrics and the CMS Adult and Child Core Sets.</w:t>
      </w:r>
    </w:p>
    <w:p w14:paraId="697A6B66" w14:textId="77777777" w:rsidR="00730D03" w:rsidRDefault="00730D03">
      <w:r>
        <w:br w:type="page"/>
      </w:r>
    </w:p>
    <w:p w14:paraId="3037BDB7" w14:textId="77777777" w:rsidR="00753CD6" w:rsidRPr="00744007" w:rsidRDefault="00753CD6" w:rsidP="00F35AB3">
      <w:pPr>
        <w:pStyle w:val="Heading2"/>
      </w:pPr>
      <w:bookmarkStart w:id="5" w:name="_Toc147244404"/>
      <w:r>
        <w:lastRenderedPageBreak/>
        <w:t>MassHealth CQS Quality Goals and Measures</w:t>
      </w:r>
      <w:bookmarkEnd w:id="5"/>
    </w:p>
    <w:p w14:paraId="73CD839C" w14:textId="082202EB" w:rsidR="00753CD6" w:rsidRPr="009069AE" w:rsidRDefault="2655A443" w:rsidP="00753CD6">
      <w:pPr>
        <w:spacing w:before="360"/>
        <w:rPr>
          <w:rStyle w:val="SubtleEmphasis"/>
        </w:rPr>
      </w:pPr>
      <w:r w:rsidRPr="692C77C9">
        <w:rPr>
          <w:rStyle w:val="SubtleEmphasis"/>
        </w:rPr>
        <w:t xml:space="preserve">Table 1:  </w:t>
      </w:r>
      <w:r w:rsidR="00C55447">
        <w:rPr>
          <w:rStyle w:val="SubtleEmphasis"/>
        </w:rPr>
        <w:t xml:space="preserve">2018 </w:t>
      </w:r>
      <w:r w:rsidRPr="692C77C9">
        <w:rPr>
          <w:rStyle w:val="SubtleEmphasis"/>
        </w:rPr>
        <w:t>CQS Goals and Measures of Progress</w:t>
      </w:r>
      <w:r w:rsidR="01A5EE36" w:rsidRPr="692C77C9">
        <w:rPr>
          <w:rStyle w:val="SubtleEmphasis"/>
        </w:rPr>
        <w:t xml:space="preserve"> </w:t>
      </w:r>
      <w:r w:rsidR="01A5EE36" w:rsidRPr="692C77C9" w:rsidDel="00C55447">
        <w:rPr>
          <w:rStyle w:val="SubtleEmphasis"/>
        </w:rPr>
        <w:t>(</w:t>
      </w:r>
      <w:r w:rsidR="00BE2683">
        <w:rPr>
          <w:rStyle w:val="SubtleEmphasis"/>
        </w:rPr>
        <w:t>2019-2021</w:t>
      </w:r>
      <w:r w:rsidR="01A5EE36" w:rsidRPr="692C77C9" w:rsidDel="00C55447">
        <w:rPr>
          <w:rStyle w:val="SubtleEmphasis"/>
        </w:rPr>
        <w:t>)</w:t>
      </w:r>
    </w:p>
    <w:tbl>
      <w:tblPr>
        <w:tblW w:w="99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7200"/>
      </w:tblGrid>
      <w:tr w:rsidR="00753CD6" w:rsidRPr="00113353" w14:paraId="07F2A9BB" w14:textId="77777777" w:rsidTr="55A1C9B5">
        <w:trPr>
          <w:tblHeader/>
          <w:jc w:val="center"/>
        </w:trPr>
        <w:tc>
          <w:tcPr>
            <w:tcW w:w="2782" w:type="dxa"/>
            <w:tcBorders>
              <w:top w:val="single" w:sz="6" w:space="0" w:color="auto"/>
              <w:left w:val="single" w:sz="6" w:space="0" w:color="auto"/>
              <w:bottom w:val="single" w:sz="6" w:space="0" w:color="auto"/>
              <w:right w:val="single" w:sz="6" w:space="0" w:color="auto"/>
            </w:tcBorders>
            <w:shd w:val="clear" w:color="auto" w:fill="17365D"/>
            <w:hideMark/>
          </w:tcPr>
          <w:p w14:paraId="2E3EFD32" w14:textId="77777777" w:rsidR="00753CD6" w:rsidRPr="0092443C" w:rsidRDefault="00753CD6" w:rsidP="00EE745E">
            <w:pPr>
              <w:spacing w:after="0"/>
              <w:jc w:val="center"/>
              <w:textAlignment w:val="baseline"/>
              <w:rPr>
                <w:rFonts w:eastAsia="Times New Roman" w:cs="Calibri"/>
              </w:rPr>
            </w:pPr>
            <w:r w:rsidRPr="0092443C">
              <w:rPr>
                <w:rFonts w:eastAsia="Times New Roman" w:cs="Calibri"/>
                <w:b/>
                <w:bCs/>
                <w:color w:val="FFFFFF"/>
              </w:rPr>
              <w:t>Quality Goal</w:t>
            </w:r>
            <w:r w:rsidRPr="0092443C">
              <w:rPr>
                <w:rFonts w:eastAsia="Times New Roman" w:cs="Calibri"/>
                <w:color w:val="FFFFFF"/>
              </w:rPr>
              <w:t> </w:t>
            </w:r>
          </w:p>
        </w:tc>
        <w:tc>
          <w:tcPr>
            <w:tcW w:w="7200" w:type="dxa"/>
            <w:tcBorders>
              <w:top w:val="single" w:sz="6" w:space="0" w:color="auto"/>
              <w:left w:val="single" w:sz="6" w:space="0" w:color="auto"/>
              <w:bottom w:val="single" w:sz="6" w:space="0" w:color="auto"/>
              <w:right w:val="single" w:sz="6" w:space="0" w:color="auto"/>
            </w:tcBorders>
            <w:shd w:val="clear" w:color="auto" w:fill="17365D"/>
            <w:hideMark/>
          </w:tcPr>
          <w:p w14:paraId="41843504" w14:textId="77777777" w:rsidR="00753CD6" w:rsidRPr="0092443C" w:rsidRDefault="00753CD6" w:rsidP="00EE745E">
            <w:pPr>
              <w:spacing w:after="0"/>
              <w:jc w:val="center"/>
              <w:textAlignment w:val="baseline"/>
              <w:rPr>
                <w:rFonts w:eastAsia="Times New Roman" w:cs="Calibri"/>
              </w:rPr>
            </w:pPr>
            <w:r w:rsidRPr="0092443C">
              <w:rPr>
                <w:rFonts w:eastAsia="Times New Roman" w:cs="Calibri"/>
                <w:b/>
                <w:bCs/>
                <w:color w:val="FFFFFF"/>
              </w:rPr>
              <w:t>Measures</w:t>
            </w:r>
          </w:p>
        </w:tc>
      </w:tr>
      <w:tr w:rsidR="00753CD6" w:rsidRPr="00113353" w14:paraId="57B0656B" w14:textId="77777777" w:rsidTr="0092443C">
        <w:trPr>
          <w:trHeight w:val="1866"/>
          <w:jc w:val="center"/>
        </w:trPr>
        <w:tc>
          <w:tcPr>
            <w:tcW w:w="2782" w:type="dxa"/>
            <w:tcBorders>
              <w:top w:val="single" w:sz="6" w:space="0" w:color="auto"/>
              <w:left w:val="single" w:sz="6" w:space="0" w:color="auto"/>
              <w:bottom w:val="single" w:sz="6" w:space="0" w:color="auto"/>
              <w:right w:val="single" w:sz="6" w:space="0" w:color="auto"/>
            </w:tcBorders>
            <w:shd w:val="clear" w:color="auto" w:fill="FFFFFF" w:themeFill="background1"/>
            <w:tcMar>
              <w:left w:w="29" w:type="dxa"/>
              <w:right w:w="29" w:type="dxa"/>
            </w:tcMar>
            <w:hideMark/>
          </w:tcPr>
          <w:p w14:paraId="03662528"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1. Transform to a member-centered culture of care focused on engaging members in their health</w:t>
            </w:r>
            <w:r w:rsidRPr="00113353">
              <w:rPr>
                <w:rFonts w:eastAsia="Times New Roman" w:cs="Calibri"/>
                <w:sz w:val="20"/>
                <w:szCs w:val="20"/>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00AC282E" w14:textId="77777777" w:rsidR="00753CD6" w:rsidRPr="006B204B" w:rsidRDefault="00753CD6">
            <w:pPr>
              <w:pStyle w:val="ListParagraph"/>
              <w:numPr>
                <w:ilvl w:val="0"/>
                <w:numId w:val="17"/>
              </w:numPr>
              <w:rPr>
                <w:rFonts w:asciiTheme="minorHAnsi" w:eastAsia="Times New Roman" w:hAnsiTheme="minorHAnsi" w:cstheme="minorHAnsi"/>
                <w:sz w:val="20"/>
                <w:szCs w:val="20"/>
              </w:rPr>
            </w:pPr>
            <w:r w:rsidRPr="006B204B">
              <w:rPr>
                <w:rFonts w:asciiTheme="minorHAnsi" w:eastAsia="Times New Roman" w:hAnsiTheme="minorHAnsi" w:cstheme="minorHAnsi"/>
                <w:sz w:val="20"/>
                <w:szCs w:val="20"/>
              </w:rPr>
              <w:t>Getting Needed Care (Composite)</w:t>
            </w:r>
          </w:p>
          <w:p w14:paraId="678E2C79" w14:textId="77777777" w:rsidR="00753CD6" w:rsidRPr="006B204B" w:rsidRDefault="00753CD6">
            <w:pPr>
              <w:pStyle w:val="ListParagraph"/>
              <w:numPr>
                <w:ilvl w:val="0"/>
                <w:numId w:val="17"/>
              </w:numPr>
              <w:rPr>
                <w:rFonts w:asciiTheme="minorHAnsi" w:eastAsia="Times New Roman" w:hAnsiTheme="minorHAnsi" w:cstheme="minorHAnsi"/>
                <w:sz w:val="20"/>
                <w:szCs w:val="20"/>
              </w:rPr>
            </w:pPr>
            <w:r w:rsidRPr="006B204B">
              <w:rPr>
                <w:rFonts w:asciiTheme="minorHAnsi" w:eastAsia="Times New Roman" w:hAnsiTheme="minorHAnsi" w:cstheme="minorHAnsi"/>
                <w:sz w:val="20"/>
                <w:szCs w:val="20"/>
              </w:rPr>
              <w:t>Getting Care Quickly (Composite)</w:t>
            </w:r>
          </w:p>
          <w:p w14:paraId="544D0DE6" w14:textId="77777777" w:rsidR="00753CD6" w:rsidRPr="006B204B" w:rsidRDefault="00753CD6">
            <w:pPr>
              <w:pStyle w:val="ListParagraph"/>
              <w:numPr>
                <w:ilvl w:val="0"/>
                <w:numId w:val="17"/>
              </w:numPr>
              <w:rPr>
                <w:rFonts w:asciiTheme="minorHAnsi" w:eastAsia="Times New Roman" w:hAnsiTheme="minorHAnsi" w:cstheme="minorHAnsi"/>
                <w:sz w:val="20"/>
                <w:szCs w:val="20"/>
              </w:rPr>
            </w:pPr>
            <w:r w:rsidRPr="006B204B">
              <w:rPr>
                <w:rFonts w:asciiTheme="minorHAnsi" w:eastAsia="Times New Roman" w:hAnsiTheme="minorHAnsi" w:cstheme="minorHAnsi"/>
                <w:sz w:val="20"/>
                <w:szCs w:val="20"/>
              </w:rPr>
              <w:t>How Well Doctors Communicate (Composite)</w:t>
            </w:r>
          </w:p>
          <w:p w14:paraId="2B1B2419" w14:textId="77777777" w:rsidR="00753CD6" w:rsidRPr="006B204B" w:rsidRDefault="00753CD6">
            <w:pPr>
              <w:pStyle w:val="ListParagraph"/>
              <w:numPr>
                <w:ilvl w:val="0"/>
                <w:numId w:val="17"/>
              </w:numPr>
              <w:rPr>
                <w:rFonts w:asciiTheme="minorHAnsi" w:eastAsia="Times New Roman" w:hAnsiTheme="minorHAnsi" w:cstheme="minorHAnsi"/>
                <w:sz w:val="20"/>
                <w:szCs w:val="20"/>
              </w:rPr>
            </w:pPr>
            <w:r w:rsidRPr="006B204B">
              <w:rPr>
                <w:rFonts w:asciiTheme="minorHAnsi" w:eastAsia="Times New Roman" w:hAnsiTheme="minorHAnsi" w:cstheme="minorHAnsi"/>
                <w:sz w:val="20"/>
                <w:szCs w:val="20"/>
              </w:rPr>
              <w:t>Customer Service (Composite)</w:t>
            </w:r>
          </w:p>
          <w:p w14:paraId="4B448A01" w14:textId="77777777" w:rsidR="00753CD6" w:rsidRPr="006B204B" w:rsidRDefault="00753CD6">
            <w:pPr>
              <w:pStyle w:val="ListParagraph"/>
              <w:numPr>
                <w:ilvl w:val="0"/>
                <w:numId w:val="17"/>
              </w:numPr>
              <w:rPr>
                <w:rFonts w:asciiTheme="minorHAnsi" w:eastAsia="Times New Roman" w:hAnsiTheme="minorHAnsi" w:cstheme="minorHAnsi"/>
                <w:sz w:val="20"/>
                <w:szCs w:val="20"/>
              </w:rPr>
            </w:pPr>
            <w:r w:rsidRPr="006B204B">
              <w:rPr>
                <w:rFonts w:asciiTheme="minorHAnsi" w:eastAsia="Times New Roman" w:hAnsiTheme="minorHAnsi" w:cstheme="minorHAnsi"/>
                <w:sz w:val="20"/>
                <w:szCs w:val="20"/>
              </w:rPr>
              <w:t>Ease of Filling Out Forms (Item)</w:t>
            </w:r>
          </w:p>
          <w:p w14:paraId="0B36FDB9" w14:textId="5925EAB5" w:rsidR="00753CD6" w:rsidRPr="00113353" w:rsidRDefault="00753CD6">
            <w:pPr>
              <w:pStyle w:val="ListParagraph"/>
              <w:numPr>
                <w:ilvl w:val="0"/>
                <w:numId w:val="17"/>
              </w:numPr>
              <w:textAlignment w:val="baseline"/>
              <w:rPr>
                <w:rFonts w:asciiTheme="minorHAnsi" w:eastAsia="Times New Roman" w:hAnsiTheme="minorHAnsi" w:cstheme="minorBidi"/>
                <w:sz w:val="20"/>
                <w:szCs w:val="20"/>
              </w:rPr>
            </w:pPr>
            <w:r w:rsidRPr="55A1C9B5">
              <w:rPr>
                <w:rFonts w:asciiTheme="minorHAnsi" w:eastAsia="Times New Roman" w:hAnsiTheme="minorHAnsi" w:cstheme="minorBidi"/>
                <w:sz w:val="20"/>
                <w:szCs w:val="20"/>
              </w:rPr>
              <w:t>Coordination of Care (Item)</w:t>
            </w:r>
          </w:p>
        </w:tc>
      </w:tr>
      <w:tr w:rsidR="00753CD6" w:rsidRPr="00113353" w14:paraId="05308EB5" w14:textId="77777777" w:rsidTr="0092443C">
        <w:trPr>
          <w:jc w:val="center"/>
        </w:trPr>
        <w:tc>
          <w:tcPr>
            <w:tcW w:w="2782" w:type="dxa"/>
            <w:tcBorders>
              <w:top w:val="single" w:sz="6" w:space="0" w:color="auto"/>
              <w:left w:val="single" w:sz="6" w:space="0" w:color="auto"/>
              <w:bottom w:val="single" w:sz="6" w:space="0" w:color="auto"/>
              <w:right w:val="single" w:sz="6" w:space="0" w:color="auto"/>
            </w:tcBorders>
            <w:shd w:val="clear" w:color="auto" w:fill="FFFFFF" w:themeFill="background1"/>
            <w:tcMar>
              <w:left w:w="29" w:type="dxa"/>
              <w:right w:w="29" w:type="dxa"/>
            </w:tcMar>
            <w:hideMark/>
          </w:tcPr>
          <w:p w14:paraId="252F9117"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2. Improve communication, coordination, and care integration</w:t>
            </w:r>
            <w:r w:rsidRPr="00113353">
              <w:rPr>
                <w:rFonts w:eastAsia="Times New Roman" w:cs="Calibri"/>
                <w:sz w:val="20"/>
                <w:szCs w:val="20"/>
              </w:rPr>
              <w:t> </w:t>
            </w:r>
          </w:p>
          <w:p w14:paraId="2CDDE351"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sz w:val="20"/>
                <w:szCs w:val="20"/>
              </w:rPr>
              <w:t> </w:t>
            </w:r>
          </w:p>
        </w:tc>
        <w:tc>
          <w:tcPr>
            <w:tcW w:w="7200" w:type="dxa"/>
            <w:tcBorders>
              <w:top w:val="single" w:sz="6" w:space="0" w:color="auto"/>
              <w:left w:val="single" w:sz="6" w:space="0" w:color="auto"/>
              <w:bottom w:val="single" w:sz="6" w:space="0" w:color="auto"/>
              <w:right w:val="single" w:sz="6" w:space="0" w:color="auto"/>
            </w:tcBorders>
            <w:shd w:val="clear" w:color="auto" w:fill="DBE5F1"/>
            <w:hideMark/>
          </w:tcPr>
          <w:p w14:paraId="57666A99"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Follow-Up After Hospitalization for Mental Illness (FUH)</w:t>
            </w:r>
          </w:p>
          <w:p w14:paraId="0F145710"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Follow-Up After Emergency Department Visit for Mental Illness (FUM)</w:t>
            </w:r>
          </w:p>
          <w:p w14:paraId="1A5CAE5F"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Metabolic Monitoring for Children and Adolescents on Antipsychotics (APM)</w:t>
            </w:r>
          </w:p>
          <w:p w14:paraId="709A36C5"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 xml:space="preserve">Follow-Up After Emergency Department Visit for Alcohol and Other Drug Abuse or Dependence (FUA) </w:t>
            </w:r>
          </w:p>
          <w:p w14:paraId="67340F9C"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Transitions of Care - Medication Reconciliation Post-Discharge (TRC-MRP)</w:t>
            </w:r>
          </w:p>
          <w:p w14:paraId="5347D12D" w14:textId="77777777" w:rsidR="00753CD6" w:rsidRPr="006B204B" w:rsidRDefault="00753CD6">
            <w:pPr>
              <w:pStyle w:val="ListParagraph"/>
              <w:numPr>
                <w:ilvl w:val="0"/>
                <w:numId w:val="18"/>
              </w:numPr>
              <w:textAlignment w:val="baseline"/>
              <w:rPr>
                <w:rFonts w:eastAsia="Times New Roman" w:cs="Calibri"/>
                <w:sz w:val="20"/>
                <w:szCs w:val="20"/>
              </w:rPr>
            </w:pPr>
            <w:r w:rsidRPr="006B204B">
              <w:rPr>
                <w:rFonts w:eastAsia="Times New Roman" w:cs="Calibri"/>
                <w:sz w:val="20"/>
                <w:szCs w:val="20"/>
              </w:rPr>
              <w:t>Plan All-Cause Readmissions (PCR)</w:t>
            </w:r>
          </w:p>
        </w:tc>
      </w:tr>
      <w:tr w:rsidR="00753CD6" w:rsidRPr="00113353" w14:paraId="03E0A669" w14:textId="77777777" w:rsidTr="0092443C">
        <w:trPr>
          <w:trHeight w:val="1191"/>
          <w:jc w:val="center"/>
        </w:trPr>
        <w:tc>
          <w:tcPr>
            <w:tcW w:w="2782" w:type="dxa"/>
            <w:tcBorders>
              <w:top w:val="single" w:sz="6" w:space="0" w:color="auto"/>
              <w:left w:val="single" w:sz="6" w:space="0" w:color="auto"/>
              <w:bottom w:val="single" w:sz="6" w:space="0" w:color="auto"/>
              <w:right w:val="single" w:sz="6" w:space="0" w:color="auto"/>
            </w:tcBorders>
            <w:shd w:val="clear" w:color="auto" w:fill="FFFFFF" w:themeFill="background1"/>
            <w:tcMar>
              <w:left w:w="29" w:type="dxa"/>
              <w:right w:w="29" w:type="dxa"/>
            </w:tcMar>
            <w:hideMark/>
          </w:tcPr>
          <w:p w14:paraId="32DF63B0" w14:textId="6B490A5D"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3. Focus on preventive, patient-centered primary care, and community-based services and supports</w:t>
            </w:r>
            <w:r w:rsidRPr="00113353">
              <w:rPr>
                <w:rFonts w:eastAsia="Times New Roman" w:cs="Calibri"/>
                <w:sz w:val="20"/>
                <w:szCs w:val="20"/>
              </w:rPr>
              <w:t> </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3F0017AD"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sz w:val="20"/>
                <w:szCs w:val="20"/>
              </w:rPr>
              <w:t>Childhood Immunization Status (CIS)</w:t>
            </w:r>
          </w:p>
          <w:p w14:paraId="01991F4B"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sz w:val="20"/>
                <w:szCs w:val="20"/>
              </w:rPr>
              <w:t>Immunizations for Adolescents (IMA)</w:t>
            </w:r>
          </w:p>
          <w:p w14:paraId="6A5232BF"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color w:val="000000"/>
                <w:sz w:val="20"/>
                <w:szCs w:val="20"/>
              </w:rPr>
              <w:t>Well-Child Visits in First 15 Months of Life - 6+ visits (W15)</w:t>
            </w:r>
          </w:p>
          <w:p w14:paraId="6E71B38F"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sz w:val="20"/>
                <w:szCs w:val="20"/>
              </w:rPr>
              <w:t>Weight Assessment and Counseling for Nutrition and Physical Activity for Children/Adolescents – BMI Percentile Documentation (WCC-BMI)</w:t>
            </w:r>
          </w:p>
          <w:p w14:paraId="1B026904"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sz w:val="20"/>
                <w:szCs w:val="20"/>
              </w:rPr>
              <w:t>Breast Cancer Screening (BCS)</w:t>
            </w:r>
          </w:p>
          <w:p w14:paraId="46837FDE" w14:textId="77777777" w:rsidR="00753CD6" w:rsidRPr="006B204B" w:rsidRDefault="00753CD6">
            <w:pPr>
              <w:pStyle w:val="ListParagraph"/>
              <w:numPr>
                <w:ilvl w:val="0"/>
                <w:numId w:val="16"/>
              </w:numPr>
              <w:textAlignment w:val="baseline"/>
              <w:rPr>
                <w:rFonts w:eastAsia="Times New Roman" w:cs="Calibri"/>
                <w:sz w:val="20"/>
                <w:szCs w:val="20"/>
              </w:rPr>
            </w:pPr>
            <w:r w:rsidRPr="006B204B">
              <w:rPr>
                <w:rFonts w:eastAsia="Times New Roman" w:cs="Calibri"/>
                <w:sz w:val="20"/>
                <w:szCs w:val="20"/>
              </w:rPr>
              <w:t>Cervical Cancer Screening (CCS)</w:t>
            </w:r>
          </w:p>
          <w:p w14:paraId="3DCD3114" w14:textId="77777777" w:rsidR="00753CD6" w:rsidRPr="0092443C" w:rsidRDefault="00753CD6" w:rsidP="0092443C">
            <w:pPr>
              <w:textAlignment w:val="baseline"/>
              <w:rPr>
                <w:rFonts w:eastAsia="Times New Roman" w:cs="Calibri"/>
                <w:sz w:val="20"/>
                <w:szCs w:val="20"/>
              </w:rPr>
            </w:pPr>
          </w:p>
        </w:tc>
      </w:tr>
      <w:tr w:rsidR="00753CD6" w:rsidRPr="00113353" w14:paraId="3B4870F0" w14:textId="77777777" w:rsidTr="0092443C">
        <w:trPr>
          <w:trHeight w:val="1524"/>
          <w:jc w:val="center"/>
        </w:trPr>
        <w:tc>
          <w:tcPr>
            <w:tcW w:w="2782" w:type="dxa"/>
            <w:tcBorders>
              <w:top w:val="single" w:sz="6" w:space="0" w:color="auto"/>
              <w:left w:val="single" w:sz="6" w:space="0" w:color="auto"/>
              <w:bottom w:val="single" w:sz="6" w:space="0" w:color="auto"/>
              <w:right w:val="single" w:sz="6" w:space="0" w:color="auto"/>
            </w:tcBorders>
            <w:shd w:val="clear" w:color="auto" w:fill="auto"/>
            <w:tcMar>
              <w:left w:w="29" w:type="dxa"/>
              <w:right w:w="29" w:type="dxa"/>
            </w:tcMar>
            <w:hideMark/>
          </w:tcPr>
          <w:p w14:paraId="5C5CAAF6"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4. Promote effective prevention and treatment to address chronic diseases or priority conditions</w:t>
            </w:r>
            <w:r w:rsidRPr="00113353">
              <w:rPr>
                <w:rFonts w:eastAsia="Times New Roman" w:cs="Calibri"/>
                <w:sz w:val="20"/>
                <w:szCs w:val="20"/>
              </w:rPr>
              <w:t> </w:t>
            </w:r>
          </w:p>
          <w:p w14:paraId="6A178EA2"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sz w:val="20"/>
                <w:szCs w:val="20"/>
              </w:rPr>
              <w:t> </w:t>
            </w:r>
          </w:p>
        </w:tc>
        <w:tc>
          <w:tcPr>
            <w:tcW w:w="7200" w:type="dxa"/>
            <w:tcBorders>
              <w:top w:val="single" w:sz="6" w:space="0" w:color="auto"/>
              <w:left w:val="single" w:sz="6" w:space="0" w:color="auto"/>
              <w:bottom w:val="single" w:sz="6" w:space="0" w:color="auto"/>
              <w:right w:val="single" w:sz="6" w:space="0" w:color="auto"/>
            </w:tcBorders>
            <w:shd w:val="clear" w:color="auto" w:fill="DBE5F1"/>
            <w:hideMark/>
          </w:tcPr>
          <w:p w14:paraId="24C7D2F1" w14:textId="0DAB0407" w:rsidR="00753CD6" w:rsidRDefault="00753CD6">
            <w:pPr>
              <w:pStyle w:val="ListParagraph"/>
              <w:numPr>
                <w:ilvl w:val="0"/>
                <w:numId w:val="12"/>
              </w:numPr>
              <w:textAlignment w:val="baseline"/>
              <w:rPr>
                <w:rFonts w:eastAsia="Times New Roman" w:cs="Calibri"/>
                <w:sz w:val="20"/>
                <w:szCs w:val="20"/>
              </w:rPr>
            </w:pPr>
            <w:r w:rsidRPr="00B56C40">
              <w:rPr>
                <w:rFonts w:eastAsia="Times New Roman" w:cs="Calibri"/>
                <w:color w:val="000000"/>
                <w:sz w:val="20"/>
                <w:szCs w:val="20"/>
              </w:rPr>
              <w:t xml:space="preserve">Comprehensive Diabetes Care: </w:t>
            </w:r>
            <w:r w:rsidR="00142A4B">
              <w:rPr>
                <w:rFonts w:eastAsia="Times New Roman" w:cs="Calibri"/>
                <w:color w:val="000000"/>
                <w:sz w:val="20"/>
                <w:szCs w:val="20"/>
              </w:rPr>
              <w:t>A1C</w:t>
            </w:r>
            <w:r w:rsidRPr="00B56C40">
              <w:rPr>
                <w:rFonts w:eastAsia="Times New Roman" w:cs="Calibri"/>
                <w:color w:val="000000"/>
                <w:sz w:val="20"/>
                <w:szCs w:val="20"/>
              </w:rPr>
              <w:t xml:space="preserve"> Poor Control (</w:t>
            </w:r>
            <w:r>
              <w:rPr>
                <w:rFonts w:eastAsia="Times New Roman" w:cs="Calibri"/>
                <w:sz w:val="20"/>
                <w:szCs w:val="20"/>
              </w:rPr>
              <w:t>CDC-Poor)</w:t>
            </w:r>
          </w:p>
          <w:p w14:paraId="20F42538" w14:textId="77777777" w:rsidR="00753CD6" w:rsidRDefault="00753CD6">
            <w:pPr>
              <w:pStyle w:val="ListParagraph"/>
              <w:numPr>
                <w:ilvl w:val="0"/>
                <w:numId w:val="12"/>
              </w:numPr>
              <w:textAlignment w:val="baseline"/>
              <w:rPr>
                <w:rFonts w:eastAsia="Times New Roman" w:cs="Calibri"/>
                <w:sz w:val="20"/>
                <w:szCs w:val="20"/>
              </w:rPr>
            </w:pPr>
            <w:r>
              <w:rPr>
                <w:rFonts w:eastAsia="Times New Roman" w:cs="Calibri"/>
                <w:sz w:val="20"/>
                <w:szCs w:val="20"/>
              </w:rPr>
              <w:t>Controlling High Blood Pressure (CBP)</w:t>
            </w:r>
          </w:p>
          <w:p w14:paraId="51449BA0" w14:textId="77777777" w:rsidR="00753CD6" w:rsidRDefault="00753CD6">
            <w:pPr>
              <w:pStyle w:val="ListParagraph"/>
              <w:numPr>
                <w:ilvl w:val="0"/>
                <w:numId w:val="12"/>
              </w:numPr>
              <w:textAlignment w:val="baseline"/>
              <w:rPr>
                <w:rFonts w:eastAsia="Times New Roman" w:cs="Calibri"/>
                <w:sz w:val="20"/>
                <w:szCs w:val="20"/>
              </w:rPr>
            </w:pPr>
            <w:r>
              <w:rPr>
                <w:rFonts w:eastAsia="Times New Roman" w:cs="Calibri"/>
                <w:sz w:val="20"/>
                <w:szCs w:val="20"/>
              </w:rPr>
              <w:t>Asthma Medication Ratio (AMR)</w:t>
            </w:r>
          </w:p>
          <w:p w14:paraId="50133180" w14:textId="77777777" w:rsidR="00753CD6" w:rsidRDefault="00753CD6">
            <w:pPr>
              <w:pStyle w:val="ListParagraph"/>
              <w:numPr>
                <w:ilvl w:val="0"/>
                <w:numId w:val="12"/>
              </w:numPr>
              <w:textAlignment w:val="baseline"/>
              <w:rPr>
                <w:rFonts w:eastAsia="Times New Roman" w:cs="Calibri"/>
                <w:sz w:val="20"/>
                <w:szCs w:val="20"/>
              </w:rPr>
            </w:pPr>
            <w:r w:rsidRPr="00B56C40">
              <w:rPr>
                <w:rFonts w:eastAsia="Times New Roman" w:cs="Calibri"/>
                <w:color w:val="000000"/>
                <w:sz w:val="20"/>
                <w:szCs w:val="20"/>
              </w:rPr>
              <w:t xml:space="preserve">Follow-up Care for Children Prescribed ADHD Medication </w:t>
            </w:r>
            <w:r>
              <w:rPr>
                <w:rFonts w:eastAsia="Times New Roman" w:cs="Calibri"/>
                <w:color w:val="000000"/>
                <w:sz w:val="20"/>
                <w:szCs w:val="20"/>
              </w:rPr>
              <w:t>(</w:t>
            </w:r>
            <w:r>
              <w:rPr>
                <w:rFonts w:eastAsia="Times New Roman" w:cs="Calibri"/>
                <w:sz w:val="20"/>
                <w:szCs w:val="20"/>
              </w:rPr>
              <w:t>ADD) – Initiation</w:t>
            </w:r>
          </w:p>
          <w:p w14:paraId="0B5ED651" w14:textId="77777777" w:rsidR="00753CD6" w:rsidRDefault="00753CD6">
            <w:pPr>
              <w:pStyle w:val="ListParagraph"/>
              <w:numPr>
                <w:ilvl w:val="0"/>
                <w:numId w:val="12"/>
              </w:numPr>
              <w:textAlignment w:val="baseline"/>
              <w:rPr>
                <w:rFonts w:eastAsia="Times New Roman" w:cs="Calibri"/>
                <w:sz w:val="20"/>
                <w:szCs w:val="20"/>
              </w:rPr>
            </w:pPr>
            <w:r w:rsidRPr="00B56C40">
              <w:rPr>
                <w:rFonts w:eastAsia="Times New Roman" w:cs="Calibri"/>
                <w:color w:val="000000"/>
                <w:sz w:val="20"/>
                <w:szCs w:val="20"/>
              </w:rPr>
              <w:t xml:space="preserve">Follow-up Care for Children Prescribed ADHD Medication </w:t>
            </w:r>
            <w:r>
              <w:rPr>
                <w:rFonts w:eastAsia="Times New Roman" w:cs="Calibri"/>
                <w:color w:val="000000"/>
                <w:sz w:val="20"/>
                <w:szCs w:val="20"/>
              </w:rPr>
              <w:t>(</w:t>
            </w:r>
            <w:r>
              <w:rPr>
                <w:rFonts w:eastAsia="Times New Roman" w:cs="Calibri"/>
                <w:sz w:val="20"/>
                <w:szCs w:val="20"/>
              </w:rPr>
              <w:t>ADD) – Continuation</w:t>
            </w:r>
          </w:p>
          <w:p w14:paraId="50509A98" w14:textId="77777777" w:rsidR="00753CD6" w:rsidRDefault="00753CD6">
            <w:pPr>
              <w:pStyle w:val="ListParagraph"/>
              <w:numPr>
                <w:ilvl w:val="0"/>
                <w:numId w:val="12"/>
              </w:numPr>
              <w:textAlignment w:val="baseline"/>
              <w:rPr>
                <w:rFonts w:eastAsia="Times New Roman" w:cs="Calibri"/>
                <w:sz w:val="20"/>
                <w:szCs w:val="20"/>
              </w:rPr>
            </w:pPr>
            <w:r>
              <w:rPr>
                <w:rFonts w:eastAsia="Times New Roman" w:cs="Calibri"/>
                <w:sz w:val="20"/>
                <w:szCs w:val="20"/>
              </w:rPr>
              <w:t>Antidepressant Medication Management (AMM) – Acute Phase</w:t>
            </w:r>
          </w:p>
          <w:p w14:paraId="3F47A9C3" w14:textId="77777777" w:rsidR="00753CD6" w:rsidRPr="008D3AF6" w:rsidRDefault="00753CD6">
            <w:pPr>
              <w:pStyle w:val="ListParagraph"/>
              <w:numPr>
                <w:ilvl w:val="0"/>
                <w:numId w:val="12"/>
              </w:numPr>
              <w:textAlignment w:val="baseline"/>
              <w:rPr>
                <w:rFonts w:eastAsia="Times New Roman" w:cs="Calibri"/>
                <w:sz w:val="20"/>
                <w:szCs w:val="20"/>
              </w:rPr>
            </w:pPr>
            <w:r>
              <w:rPr>
                <w:rFonts w:eastAsia="Times New Roman" w:cs="Calibri"/>
                <w:sz w:val="20"/>
                <w:szCs w:val="20"/>
              </w:rPr>
              <w:t>Antidepressant Medication Management (AMM) – Continuation Phase</w:t>
            </w:r>
          </w:p>
        </w:tc>
      </w:tr>
      <w:tr w:rsidR="00753CD6" w:rsidRPr="00113353" w14:paraId="673E8A56" w14:textId="77777777" w:rsidTr="0092443C">
        <w:trPr>
          <w:jc w:val="center"/>
        </w:trPr>
        <w:tc>
          <w:tcPr>
            <w:tcW w:w="2782" w:type="dxa"/>
            <w:tcBorders>
              <w:top w:val="single" w:sz="6" w:space="0" w:color="auto"/>
              <w:left w:val="single" w:sz="6" w:space="0" w:color="auto"/>
              <w:bottom w:val="single" w:sz="6" w:space="0" w:color="auto"/>
              <w:right w:val="single" w:sz="6" w:space="0" w:color="auto"/>
            </w:tcBorders>
            <w:shd w:val="clear" w:color="auto" w:fill="auto"/>
            <w:tcMar>
              <w:left w:w="29" w:type="dxa"/>
              <w:right w:w="29" w:type="dxa"/>
            </w:tcMar>
            <w:hideMark/>
          </w:tcPr>
          <w:p w14:paraId="65216B85"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5. Engage communities through population health and best practices for healthy living</w:t>
            </w:r>
          </w:p>
        </w:tc>
        <w:tc>
          <w:tcPr>
            <w:tcW w:w="7200" w:type="dxa"/>
            <w:tcBorders>
              <w:top w:val="single" w:sz="6" w:space="0" w:color="auto"/>
              <w:left w:val="single" w:sz="6" w:space="0" w:color="auto"/>
              <w:bottom w:val="single" w:sz="6" w:space="0" w:color="auto"/>
              <w:right w:val="single" w:sz="6" w:space="0" w:color="auto"/>
            </w:tcBorders>
            <w:shd w:val="clear" w:color="auto" w:fill="auto"/>
            <w:hideMark/>
          </w:tcPr>
          <w:p w14:paraId="4E26C055" w14:textId="77777777" w:rsidR="00753CD6" w:rsidRPr="006B204B" w:rsidRDefault="00753CD6">
            <w:pPr>
              <w:pStyle w:val="ListParagraph"/>
              <w:numPr>
                <w:ilvl w:val="0"/>
                <w:numId w:val="19"/>
              </w:numPr>
              <w:textAlignment w:val="baseline"/>
              <w:rPr>
                <w:rFonts w:eastAsia="Times New Roman" w:cs="Calibri"/>
                <w:sz w:val="20"/>
                <w:szCs w:val="20"/>
              </w:rPr>
            </w:pPr>
            <w:r w:rsidRPr="006B204B">
              <w:rPr>
                <w:rFonts w:eastAsia="Times New Roman" w:cs="Calibri"/>
                <w:sz w:val="20"/>
                <w:szCs w:val="20"/>
              </w:rPr>
              <w:t>Health-Related Social Needs Assessment (HRSN)</w:t>
            </w:r>
          </w:p>
          <w:p w14:paraId="3FAD4FC0" w14:textId="77777777" w:rsidR="00753CD6" w:rsidRDefault="00753CD6">
            <w:pPr>
              <w:pStyle w:val="ListParagraph"/>
              <w:numPr>
                <w:ilvl w:val="0"/>
                <w:numId w:val="19"/>
              </w:numPr>
              <w:textAlignment w:val="baseline"/>
              <w:rPr>
                <w:rFonts w:eastAsia="Times New Roman" w:cs="Calibri"/>
                <w:sz w:val="20"/>
                <w:szCs w:val="20"/>
              </w:rPr>
            </w:pPr>
            <w:r>
              <w:rPr>
                <w:rFonts w:eastAsia="Times New Roman" w:cs="Calibri"/>
                <w:sz w:val="20"/>
                <w:szCs w:val="20"/>
              </w:rPr>
              <w:t xml:space="preserve">BH </w:t>
            </w:r>
            <w:r w:rsidRPr="006B204B">
              <w:rPr>
                <w:rFonts w:eastAsia="Times New Roman" w:cs="Calibri"/>
                <w:sz w:val="20"/>
                <w:szCs w:val="20"/>
              </w:rPr>
              <w:t>Community Partner Engagement (CPE</w:t>
            </w:r>
            <w:r>
              <w:rPr>
                <w:rFonts w:eastAsia="Times New Roman" w:cs="Calibri"/>
                <w:sz w:val="20"/>
                <w:szCs w:val="20"/>
              </w:rPr>
              <w:t>-BH</w:t>
            </w:r>
            <w:r w:rsidRPr="006B204B">
              <w:rPr>
                <w:rFonts w:eastAsia="Times New Roman" w:cs="Calibri"/>
                <w:sz w:val="20"/>
                <w:szCs w:val="20"/>
              </w:rPr>
              <w:t>)</w:t>
            </w:r>
          </w:p>
          <w:p w14:paraId="76D94E8A" w14:textId="77777777" w:rsidR="00753CD6" w:rsidRPr="006B204B" w:rsidRDefault="00753CD6">
            <w:pPr>
              <w:pStyle w:val="ListParagraph"/>
              <w:numPr>
                <w:ilvl w:val="0"/>
                <w:numId w:val="19"/>
              </w:numPr>
              <w:textAlignment w:val="baseline"/>
              <w:rPr>
                <w:rFonts w:eastAsia="Times New Roman" w:cs="Calibri"/>
                <w:sz w:val="20"/>
                <w:szCs w:val="20"/>
              </w:rPr>
            </w:pPr>
            <w:r>
              <w:rPr>
                <w:rFonts w:eastAsia="Times New Roman" w:cs="Calibri"/>
                <w:sz w:val="20"/>
                <w:szCs w:val="20"/>
              </w:rPr>
              <w:t>LTSS Community Partner Engagement (CPE-LTSS)</w:t>
            </w:r>
          </w:p>
          <w:p w14:paraId="09A70384" w14:textId="77777777" w:rsidR="00753CD6" w:rsidRPr="00113353" w:rsidRDefault="00753CD6" w:rsidP="00EE745E">
            <w:pPr>
              <w:textAlignment w:val="baseline"/>
              <w:rPr>
                <w:rFonts w:eastAsia="Times New Roman" w:cs="Calibri"/>
                <w:sz w:val="20"/>
                <w:szCs w:val="20"/>
              </w:rPr>
            </w:pPr>
          </w:p>
        </w:tc>
      </w:tr>
      <w:tr w:rsidR="00753CD6" w:rsidRPr="00113353" w14:paraId="4F7212F2" w14:textId="77777777" w:rsidTr="0092443C">
        <w:trPr>
          <w:jc w:val="center"/>
        </w:trPr>
        <w:tc>
          <w:tcPr>
            <w:tcW w:w="2782" w:type="dxa"/>
            <w:tcBorders>
              <w:top w:val="single" w:sz="6" w:space="0" w:color="auto"/>
              <w:left w:val="single" w:sz="6" w:space="0" w:color="auto"/>
              <w:bottom w:val="single" w:sz="6" w:space="0" w:color="auto"/>
              <w:right w:val="single" w:sz="6" w:space="0" w:color="auto"/>
            </w:tcBorders>
            <w:shd w:val="clear" w:color="auto" w:fill="auto"/>
            <w:tcMar>
              <w:left w:w="29" w:type="dxa"/>
              <w:right w:w="29" w:type="dxa"/>
            </w:tcMar>
            <w:hideMark/>
          </w:tcPr>
          <w:p w14:paraId="654DE599" w14:textId="77777777" w:rsidR="00753CD6" w:rsidRPr="00113353" w:rsidRDefault="00753CD6" w:rsidP="00EE745E">
            <w:pPr>
              <w:spacing w:after="0"/>
              <w:textAlignment w:val="baseline"/>
              <w:rPr>
                <w:rFonts w:eastAsia="Times New Roman" w:cs="Calibri"/>
                <w:sz w:val="20"/>
                <w:szCs w:val="20"/>
              </w:rPr>
            </w:pPr>
            <w:r w:rsidRPr="00113353">
              <w:rPr>
                <w:rFonts w:eastAsia="Times New Roman" w:cs="Calibri"/>
                <w:b/>
                <w:bCs/>
                <w:sz w:val="20"/>
                <w:szCs w:val="20"/>
              </w:rPr>
              <w:t>6. Identify and address health disparities to provide equitable care</w:t>
            </w:r>
            <w:r w:rsidRPr="00113353">
              <w:rPr>
                <w:rFonts w:eastAsia="Times New Roman" w:cs="Calibri"/>
                <w:sz w:val="20"/>
                <w:szCs w:val="20"/>
              </w:rPr>
              <w:t> </w:t>
            </w:r>
          </w:p>
        </w:tc>
        <w:tc>
          <w:tcPr>
            <w:tcW w:w="7200" w:type="dxa"/>
            <w:tcBorders>
              <w:top w:val="single" w:sz="6" w:space="0" w:color="auto"/>
              <w:left w:val="single" w:sz="6" w:space="0" w:color="auto"/>
              <w:bottom w:val="single" w:sz="6" w:space="0" w:color="auto"/>
              <w:right w:val="single" w:sz="6" w:space="0" w:color="auto"/>
            </w:tcBorders>
            <w:shd w:val="clear" w:color="auto" w:fill="DBE5F1"/>
            <w:hideMark/>
          </w:tcPr>
          <w:p w14:paraId="3927B5F1" w14:textId="0B24E88B" w:rsidR="00D91404" w:rsidRDefault="00D91404">
            <w:pPr>
              <w:pStyle w:val="ListParagraph"/>
              <w:numPr>
                <w:ilvl w:val="0"/>
                <w:numId w:val="23"/>
              </w:numPr>
              <w:textAlignment w:val="baseline"/>
              <w:rPr>
                <w:rFonts w:eastAsia="Times New Roman" w:cs="Calibri"/>
                <w:sz w:val="20"/>
                <w:szCs w:val="20"/>
              </w:rPr>
            </w:pPr>
            <w:r>
              <w:rPr>
                <w:rFonts w:eastAsia="Times New Roman" w:cs="Calibri"/>
                <w:sz w:val="20"/>
                <w:szCs w:val="20"/>
              </w:rPr>
              <w:t xml:space="preserve">Capacity development to measure and identify health equities using </w:t>
            </w:r>
            <w:r w:rsidR="00A67CDD">
              <w:rPr>
                <w:rFonts w:eastAsia="Times New Roman" w:cs="Calibri"/>
                <w:sz w:val="20"/>
                <w:szCs w:val="20"/>
              </w:rPr>
              <w:t xml:space="preserve">REL stratified </w:t>
            </w:r>
            <w:r w:rsidR="00842202">
              <w:rPr>
                <w:rFonts w:eastAsia="Times New Roman" w:cs="Calibri"/>
                <w:sz w:val="20"/>
                <w:szCs w:val="20"/>
              </w:rPr>
              <w:t>data</w:t>
            </w:r>
          </w:p>
          <w:p w14:paraId="203940A7" w14:textId="5D99D4A0" w:rsidR="00753CD6" w:rsidRPr="00F35AB3" w:rsidRDefault="00F35AB3">
            <w:pPr>
              <w:pStyle w:val="ListParagraph"/>
              <w:numPr>
                <w:ilvl w:val="0"/>
                <w:numId w:val="23"/>
              </w:numPr>
              <w:textAlignment w:val="baseline"/>
              <w:rPr>
                <w:rFonts w:eastAsia="Times New Roman" w:cs="Calibri"/>
                <w:sz w:val="20"/>
                <w:szCs w:val="20"/>
              </w:rPr>
            </w:pPr>
            <w:r>
              <w:rPr>
                <w:rFonts w:eastAsia="Times New Roman" w:cs="Calibri"/>
                <w:sz w:val="20"/>
                <w:szCs w:val="20"/>
              </w:rPr>
              <w:t>Submission of MCP member level data to support stratification of disparity sensitive quality measures.</w:t>
            </w:r>
          </w:p>
        </w:tc>
      </w:tr>
    </w:tbl>
    <w:p w14:paraId="673758E8" w14:textId="77777777" w:rsidR="00730D03" w:rsidRDefault="00730D03">
      <w:pPr>
        <w:rPr>
          <w:rFonts w:ascii="Arial" w:eastAsiaTheme="minorHAnsi" w:hAnsi="Arial" w:cs="Arial"/>
          <w:color w:val="000000"/>
          <w:sz w:val="24"/>
          <w:szCs w:val="24"/>
        </w:rPr>
      </w:pPr>
      <w:r>
        <w:br w:type="page"/>
      </w:r>
    </w:p>
    <w:p w14:paraId="2FDD3634" w14:textId="205692F0" w:rsidR="00F35AB3" w:rsidRPr="00730D03" w:rsidRDefault="00753CD6" w:rsidP="00730D03">
      <w:pPr>
        <w:pStyle w:val="Heading3"/>
        <w:spacing w:after="120"/>
        <w:ind w:left="0" w:firstLine="0"/>
      </w:pPr>
      <w:bookmarkStart w:id="6" w:name="_Toc147244405"/>
      <w:r>
        <w:lastRenderedPageBreak/>
        <w:t>Quality Goal 1</w:t>
      </w:r>
      <w:r w:rsidR="00F35AB3">
        <w:t xml:space="preserve">: </w:t>
      </w:r>
      <w:r w:rsidRPr="00E7642C">
        <w:rPr>
          <w:rFonts w:asciiTheme="minorHAnsi" w:hAnsiTheme="minorHAnsi" w:cstheme="minorHAnsi"/>
          <w:i/>
          <w:iCs/>
        </w:rPr>
        <w:t>Transform to a member-centered culture of care focused on engaging members in their health</w:t>
      </w:r>
      <w:r>
        <w:rPr>
          <w:rFonts w:asciiTheme="minorHAnsi" w:hAnsiTheme="minorHAnsi" w:cstheme="minorHAnsi"/>
          <w:i/>
          <w:iCs/>
        </w:rPr>
        <w:t>.</w:t>
      </w:r>
      <w:bookmarkEnd w:id="6"/>
    </w:p>
    <w:p w14:paraId="391CE10B" w14:textId="658B0F1B" w:rsidR="00753CD6" w:rsidRDefault="00753CD6" w:rsidP="00753CD6">
      <w:pPr>
        <w:rPr>
          <w:rFonts w:asciiTheme="minorHAnsi" w:eastAsia="Times New Roman" w:hAnsiTheme="minorHAnsi" w:cstheme="minorHAnsi"/>
        </w:rPr>
      </w:pPr>
      <w:r>
        <w:rPr>
          <w:rFonts w:asciiTheme="minorHAnsi" w:eastAsia="Times New Roman" w:hAnsiTheme="minorHAnsi" w:cstheme="minorHAnsi"/>
        </w:rPr>
        <w:t xml:space="preserve">To evaluate progress toward meeting this goal, </w:t>
      </w:r>
      <w:r w:rsidR="0020648E">
        <w:rPr>
          <w:rFonts w:asciiTheme="minorHAnsi" w:eastAsia="Times New Roman" w:hAnsiTheme="minorHAnsi" w:cstheme="minorHAnsi"/>
        </w:rPr>
        <w:t>MassHealth</w:t>
      </w:r>
      <w:r>
        <w:rPr>
          <w:rFonts w:asciiTheme="minorHAnsi" w:eastAsia="Times New Roman" w:hAnsiTheme="minorHAnsi" w:cstheme="minorHAnsi"/>
        </w:rPr>
        <w:t xml:space="preserve"> leveraged the </w:t>
      </w:r>
      <w:r w:rsidR="00F35A3B">
        <w:rPr>
          <w:rFonts w:asciiTheme="minorHAnsi" w:eastAsia="Times New Roman" w:hAnsiTheme="minorHAnsi" w:cstheme="minorHAnsi"/>
        </w:rPr>
        <w:t xml:space="preserve">adult health plan </w:t>
      </w:r>
      <w:r>
        <w:rPr>
          <w:rFonts w:asciiTheme="minorHAnsi" w:eastAsia="Times New Roman" w:hAnsiTheme="minorHAnsi" w:cstheme="minorHAnsi"/>
        </w:rPr>
        <w:t>CAHPS data submitted by MassHealth’s M</w:t>
      </w:r>
      <w:r w:rsidR="0020648E">
        <w:rPr>
          <w:rFonts w:asciiTheme="minorHAnsi" w:eastAsia="Times New Roman" w:hAnsiTheme="minorHAnsi" w:cstheme="minorHAnsi"/>
        </w:rPr>
        <w:t>CPs</w:t>
      </w:r>
      <w:r>
        <w:rPr>
          <w:rFonts w:asciiTheme="minorHAnsi" w:eastAsia="Times New Roman" w:hAnsiTheme="minorHAnsi" w:cstheme="minorHAnsi"/>
        </w:rPr>
        <w:t xml:space="preserve">. Specifically, </w:t>
      </w:r>
      <w:r w:rsidR="0020648E">
        <w:rPr>
          <w:rFonts w:asciiTheme="minorHAnsi" w:eastAsia="Times New Roman" w:hAnsiTheme="minorHAnsi" w:cstheme="minorHAnsi"/>
        </w:rPr>
        <w:t>MassHealth</w:t>
      </w:r>
      <w:r>
        <w:rPr>
          <w:rFonts w:asciiTheme="minorHAnsi" w:eastAsia="Times New Roman" w:hAnsiTheme="minorHAnsi" w:cstheme="minorHAnsi"/>
        </w:rPr>
        <w:t xml:space="preserve"> </w:t>
      </w:r>
      <w:r w:rsidR="00D91404">
        <w:rPr>
          <w:rFonts w:asciiTheme="minorHAnsi" w:eastAsia="Times New Roman" w:hAnsiTheme="minorHAnsi" w:cstheme="minorHAnsi"/>
        </w:rPr>
        <w:t>used</w:t>
      </w:r>
      <w:r>
        <w:rPr>
          <w:rFonts w:asciiTheme="minorHAnsi" w:eastAsia="Times New Roman" w:hAnsiTheme="minorHAnsi" w:cstheme="minorHAnsi"/>
        </w:rPr>
        <w:t xml:space="preserve"> the following composites and single question items from the CAHPS </w:t>
      </w:r>
      <w:r w:rsidRPr="002A4F6E">
        <w:rPr>
          <w:rFonts w:asciiTheme="minorHAnsi" w:eastAsia="Times New Roman" w:hAnsiTheme="minorHAnsi" w:cstheme="minorHAnsi"/>
        </w:rPr>
        <w:t>5.1H Medicaid Adult Member Satisfaction Survey</w:t>
      </w:r>
      <w:r>
        <w:rPr>
          <w:rFonts w:asciiTheme="minorHAnsi" w:eastAsia="Times New Roman" w:hAnsiTheme="minorHAnsi" w:cstheme="minorHAnsi"/>
        </w:rPr>
        <w:t>:</w:t>
      </w:r>
    </w:p>
    <w:p w14:paraId="23F2374B" w14:textId="77777777" w:rsidR="00753CD6" w:rsidRDefault="00753CD6">
      <w:pPr>
        <w:pStyle w:val="ListParagraph"/>
        <w:numPr>
          <w:ilvl w:val="0"/>
          <w:numId w:val="13"/>
        </w:numPr>
        <w:ind w:left="720"/>
        <w:rPr>
          <w:rFonts w:asciiTheme="minorHAnsi" w:eastAsia="Times New Roman" w:hAnsiTheme="minorHAnsi" w:cstheme="minorHAnsi"/>
        </w:rPr>
      </w:pPr>
      <w:r>
        <w:rPr>
          <w:rFonts w:asciiTheme="minorHAnsi" w:eastAsia="Times New Roman" w:hAnsiTheme="minorHAnsi" w:cstheme="minorHAnsi"/>
        </w:rPr>
        <w:t>Getting Needed Care (Composite)</w:t>
      </w:r>
    </w:p>
    <w:p w14:paraId="1E3FF8FD" w14:textId="77777777" w:rsidR="00753CD6" w:rsidRPr="00B6391D" w:rsidRDefault="00753CD6">
      <w:pPr>
        <w:pStyle w:val="ListParagraph"/>
        <w:numPr>
          <w:ilvl w:val="0"/>
          <w:numId w:val="13"/>
        </w:numPr>
        <w:ind w:left="720"/>
      </w:pPr>
      <w:r w:rsidRPr="00B6391D">
        <w:t>Getting Care Quickly (Composite)</w:t>
      </w:r>
    </w:p>
    <w:p w14:paraId="173FB2FE" w14:textId="77777777" w:rsidR="00753CD6" w:rsidRPr="00B6391D" w:rsidRDefault="00753CD6">
      <w:pPr>
        <w:pStyle w:val="ListParagraph"/>
        <w:numPr>
          <w:ilvl w:val="0"/>
          <w:numId w:val="13"/>
        </w:numPr>
        <w:ind w:left="720"/>
      </w:pPr>
      <w:r w:rsidRPr="00B6391D">
        <w:t>How Well Doctors Communicate (Composite)</w:t>
      </w:r>
    </w:p>
    <w:p w14:paraId="01C26CC7" w14:textId="77777777" w:rsidR="00753CD6" w:rsidRPr="00B6391D" w:rsidRDefault="00753CD6">
      <w:pPr>
        <w:pStyle w:val="ListParagraph"/>
        <w:numPr>
          <w:ilvl w:val="0"/>
          <w:numId w:val="13"/>
        </w:numPr>
        <w:ind w:left="720"/>
        <w:rPr>
          <w:rFonts w:asciiTheme="minorHAnsi" w:eastAsia="Times New Roman" w:hAnsiTheme="minorHAnsi" w:cstheme="minorHAnsi"/>
        </w:rPr>
      </w:pPr>
      <w:r w:rsidRPr="00B6391D">
        <w:rPr>
          <w:rFonts w:asciiTheme="minorHAnsi" w:eastAsia="Times New Roman" w:hAnsiTheme="minorHAnsi" w:cstheme="minorHAnsi"/>
        </w:rPr>
        <w:t>Customer Service (Composite)</w:t>
      </w:r>
    </w:p>
    <w:p w14:paraId="1AD3D21B" w14:textId="77777777" w:rsidR="00753CD6" w:rsidRPr="00B6391D" w:rsidRDefault="00753CD6">
      <w:pPr>
        <w:pStyle w:val="ListParagraph"/>
        <w:numPr>
          <w:ilvl w:val="0"/>
          <w:numId w:val="13"/>
        </w:numPr>
        <w:ind w:left="720"/>
        <w:rPr>
          <w:rFonts w:asciiTheme="minorHAnsi" w:eastAsia="Times New Roman" w:hAnsiTheme="minorHAnsi" w:cstheme="minorHAnsi"/>
        </w:rPr>
      </w:pPr>
      <w:r w:rsidRPr="00B6391D">
        <w:rPr>
          <w:rFonts w:asciiTheme="minorHAnsi" w:eastAsia="Times New Roman" w:hAnsiTheme="minorHAnsi" w:cstheme="minorHAnsi"/>
        </w:rPr>
        <w:t>Ease of Filling Out Forms (Item)</w:t>
      </w:r>
    </w:p>
    <w:p w14:paraId="4B30180C" w14:textId="77777777" w:rsidR="00753CD6" w:rsidRPr="00B6391D" w:rsidRDefault="00753CD6">
      <w:pPr>
        <w:pStyle w:val="ListParagraph"/>
        <w:numPr>
          <w:ilvl w:val="0"/>
          <w:numId w:val="13"/>
        </w:numPr>
        <w:ind w:left="720"/>
        <w:rPr>
          <w:rFonts w:asciiTheme="minorHAnsi" w:eastAsia="Times New Roman" w:hAnsiTheme="minorHAnsi" w:cstheme="minorHAnsi"/>
        </w:rPr>
      </w:pPr>
      <w:r w:rsidRPr="00B6391D">
        <w:rPr>
          <w:rFonts w:asciiTheme="minorHAnsi" w:eastAsia="Times New Roman" w:hAnsiTheme="minorHAnsi" w:cstheme="minorHAnsi"/>
        </w:rPr>
        <w:t>Coordination of Care (Item)</w:t>
      </w:r>
    </w:p>
    <w:p w14:paraId="028B0495" w14:textId="77777777" w:rsidR="00B6391D" w:rsidRDefault="00B6391D" w:rsidP="00753CD6">
      <w:pPr>
        <w:rPr>
          <w:rFonts w:asciiTheme="minorHAnsi" w:hAnsiTheme="minorHAnsi" w:cstheme="minorHAnsi"/>
        </w:rPr>
      </w:pPr>
    </w:p>
    <w:p w14:paraId="0F1764B8" w14:textId="38B13D57" w:rsidR="00753CD6" w:rsidRDefault="00753CD6" w:rsidP="00753CD6">
      <w:pPr>
        <w:rPr>
          <w:rFonts w:asciiTheme="minorHAnsi" w:hAnsiTheme="minorHAnsi" w:cstheme="minorHAnsi"/>
        </w:rPr>
      </w:pPr>
      <w:r>
        <w:rPr>
          <w:rFonts w:asciiTheme="minorHAnsi" w:hAnsiTheme="minorHAnsi" w:cstheme="minorHAnsi"/>
        </w:rPr>
        <w:t>All six of these CAHPS composites/items are included in the CMS Adult Core Set.</w:t>
      </w:r>
    </w:p>
    <w:p w14:paraId="578522E9" w14:textId="77777777" w:rsidR="00753CD6" w:rsidRPr="001A019B" w:rsidRDefault="00753CD6" w:rsidP="00753CD6">
      <w:pPr>
        <w:spacing w:before="360"/>
        <w:rPr>
          <w:b/>
          <w:i/>
          <w:iCs/>
          <w:color w:val="1F497D"/>
        </w:rPr>
      </w:pPr>
      <w:r w:rsidRPr="009069AE">
        <w:rPr>
          <w:rStyle w:val="SubtleEmphasis"/>
        </w:rPr>
        <w:t xml:space="preserve">Table </w:t>
      </w:r>
      <w:r>
        <w:rPr>
          <w:rStyle w:val="SubtleEmphasis"/>
        </w:rPr>
        <w:t>2</w:t>
      </w:r>
      <w:r w:rsidRPr="009069AE">
        <w:rPr>
          <w:rStyle w:val="SubtleEmphasis"/>
        </w:rPr>
        <w:t xml:space="preserve">:  </w:t>
      </w:r>
      <w:r>
        <w:rPr>
          <w:rStyle w:val="SubtleEmphasis"/>
        </w:rPr>
        <w:t>Quality Goal 1 Measures and Performance</w:t>
      </w:r>
    </w:p>
    <w:tbl>
      <w:tblPr>
        <w:tblW w:w="9600" w:type="dxa"/>
        <w:jc w:val="center"/>
        <w:tblLook w:val="04A0" w:firstRow="1" w:lastRow="0" w:firstColumn="1" w:lastColumn="0" w:noHBand="0" w:noVBand="1"/>
      </w:tblPr>
      <w:tblGrid>
        <w:gridCol w:w="1759"/>
        <w:gridCol w:w="1594"/>
        <w:gridCol w:w="1299"/>
        <w:gridCol w:w="1299"/>
        <w:gridCol w:w="1299"/>
        <w:gridCol w:w="1250"/>
        <w:gridCol w:w="1100"/>
      </w:tblGrid>
      <w:tr w:rsidR="00753CD6" w:rsidRPr="00927C20" w14:paraId="11FDD02B" w14:textId="77777777" w:rsidTr="00071BFA">
        <w:trPr>
          <w:trHeight w:val="880"/>
          <w:tblHeader/>
          <w:jc w:val="center"/>
        </w:trPr>
        <w:tc>
          <w:tcPr>
            <w:tcW w:w="17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5E9649"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HCAHPS 5.1 Composite/Item</w:t>
            </w:r>
          </w:p>
        </w:tc>
        <w:tc>
          <w:tcPr>
            <w:tcW w:w="1594" w:type="dxa"/>
            <w:tcBorders>
              <w:top w:val="single" w:sz="8" w:space="0" w:color="auto"/>
              <w:left w:val="nil"/>
              <w:bottom w:val="single" w:sz="8" w:space="0" w:color="auto"/>
              <w:right w:val="single" w:sz="8" w:space="0" w:color="auto"/>
            </w:tcBorders>
            <w:shd w:val="clear" w:color="auto" w:fill="auto"/>
            <w:vAlign w:val="center"/>
            <w:hideMark/>
          </w:tcPr>
          <w:p w14:paraId="54B86C53"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Description</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2208518"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2018 Rate</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49EB47F"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2019 Rate</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77F509F"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2020 Rate</w:t>
            </w:r>
          </w:p>
        </w:tc>
        <w:tc>
          <w:tcPr>
            <w:tcW w:w="1250" w:type="dxa"/>
            <w:tcBorders>
              <w:top w:val="single" w:sz="8" w:space="0" w:color="auto"/>
              <w:left w:val="nil"/>
              <w:bottom w:val="single" w:sz="8" w:space="0" w:color="auto"/>
              <w:right w:val="nil"/>
            </w:tcBorders>
            <w:shd w:val="clear" w:color="auto" w:fill="auto"/>
            <w:vAlign w:val="center"/>
            <w:hideMark/>
          </w:tcPr>
          <w:p w14:paraId="3A448734"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Benchmark (MY 20 75th)</w:t>
            </w:r>
          </w:p>
        </w:tc>
        <w:tc>
          <w:tcPr>
            <w:tcW w:w="1100" w:type="dxa"/>
            <w:tcBorders>
              <w:top w:val="single" w:sz="8" w:space="0" w:color="auto"/>
              <w:left w:val="single" w:sz="8" w:space="0" w:color="auto"/>
              <w:bottom w:val="nil"/>
              <w:right w:val="single" w:sz="8" w:space="0" w:color="auto"/>
            </w:tcBorders>
            <w:shd w:val="clear" w:color="auto" w:fill="auto"/>
            <w:vAlign w:val="center"/>
            <w:hideMark/>
          </w:tcPr>
          <w:p w14:paraId="7203AC81" w14:textId="77777777" w:rsidR="00753CD6" w:rsidRPr="00927C2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Gap to Goal</w:t>
            </w:r>
          </w:p>
        </w:tc>
      </w:tr>
      <w:tr w:rsidR="00753CD6" w:rsidRPr="00927C20" w14:paraId="525336B4" w14:textId="77777777" w:rsidTr="00B6391D">
        <w:trPr>
          <w:trHeight w:val="53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127CC79"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Getting Needed Care (Composite)</w:t>
            </w:r>
          </w:p>
        </w:tc>
        <w:tc>
          <w:tcPr>
            <w:tcW w:w="1594" w:type="dxa"/>
            <w:tcBorders>
              <w:top w:val="nil"/>
              <w:left w:val="nil"/>
              <w:bottom w:val="single" w:sz="8" w:space="0" w:color="auto"/>
              <w:right w:val="single" w:sz="8" w:space="0" w:color="auto"/>
            </w:tcBorders>
            <w:shd w:val="clear" w:color="auto" w:fill="auto"/>
            <w:vAlign w:val="center"/>
            <w:hideMark/>
          </w:tcPr>
          <w:p w14:paraId="7EDC2967"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Q9, Q20</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5F2D4063"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83.5%</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60C0C6D"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80.2%</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7745921A"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85.9%</w:t>
            </w:r>
          </w:p>
        </w:tc>
        <w:tc>
          <w:tcPr>
            <w:tcW w:w="1250" w:type="dxa"/>
            <w:tcBorders>
              <w:top w:val="nil"/>
              <w:left w:val="nil"/>
              <w:bottom w:val="single" w:sz="8" w:space="0" w:color="000000" w:themeColor="text1"/>
              <w:right w:val="nil"/>
            </w:tcBorders>
            <w:shd w:val="clear" w:color="auto" w:fill="auto"/>
            <w:noWrap/>
            <w:vAlign w:val="center"/>
            <w:hideMark/>
          </w:tcPr>
          <w:p w14:paraId="4302EDD9" w14:textId="77777777" w:rsidR="00753CD6" w:rsidRPr="00927C20" w:rsidRDefault="00753CD6" w:rsidP="00EE745E">
            <w:pPr>
              <w:spacing w:after="0"/>
              <w:jc w:val="center"/>
              <w:rPr>
                <w:rFonts w:eastAsia="Times New Roman" w:cs="Calibri"/>
              </w:rPr>
            </w:pPr>
            <w:r w:rsidRPr="00927C20">
              <w:rPr>
                <w:rFonts w:eastAsia="Times New Roman" w:cs="Calibri"/>
              </w:rPr>
              <w:t>86.5%</w:t>
            </w:r>
          </w:p>
        </w:tc>
        <w:tc>
          <w:tcPr>
            <w:tcW w:w="1100" w:type="dxa"/>
            <w:tcBorders>
              <w:top w:val="single" w:sz="8" w:space="0" w:color="auto"/>
              <w:left w:val="single" w:sz="8" w:space="0" w:color="auto"/>
              <w:bottom w:val="single" w:sz="8" w:space="0" w:color="auto"/>
              <w:right w:val="single" w:sz="8" w:space="0" w:color="auto"/>
            </w:tcBorders>
            <w:shd w:val="clear" w:color="auto" w:fill="A8D08D" w:themeFill="accent6" w:themeFillTint="99"/>
            <w:noWrap/>
            <w:vAlign w:val="center"/>
            <w:hideMark/>
          </w:tcPr>
          <w:p w14:paraId="626B8827" w14:textId="77777777" w:rsidR="00753CD6" w:rsidRPr="00B6391D" w:rsidRDefault="00753CD6" w:rsidP="00EE745E">
            <w:pPr>
              <w:spacing w:after="0"/>
              <w:jc w:val="center"/>
              <w:rPr>
                <w:rFonts w:eastAsia="Times New Roman" w:cs="Calibri"/>
                <w:color w:val="000000"/>
              </w:rPr>
            </w:pPr>
            <w:r w:rsidRPr="00B6391D">
              <w:rPr>
                <w:rFonts w:eastAsia="Times New Roman" w:cs="Calibri"/>
                <w:color w:val="000000"/>
              </w:rPr>
              <w:t>84.5%</w:t>
            </w:r>
          </w:p>
        </w:tc>
      </w:tr>
      <w:tr w:rsidR="00753CD6" w:rsidRPr="00927C20" w14:paraId="0DED9C54" w14:textId="77777777" w:rsidTr="00B6391D">
        <w:trPr>
          <w:trHeight w:val="53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667EDD"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Getting Care Quickly (Composite)</w:t>
            </w:r>
          </w:p>
        </w:tc>
        <w:tc>
          <w:tcPr>
            <w:tcW w:w="1594" w:type="dxa"/>
            <w:tcBorders>
              <w:top w:val="nil"/>
              <w:left w:val="nil"/>
              <w:bottom w:val="single" w:sz="8" w:space="0" w:color="auto"/>
              <w:right w:val="single" w:sz="8" w:space="0" w:color="auto"/>
            </w:tcBorders>
            <w:shd w:val="clear" w:color="auto" w:fill="auto"/>
            <w:vAlign w:val="center"/>
            <w:hideMark/>
          </w:tcPr>
          <w:p w14:paraId="401DDE92"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Q4, Q6</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54F04B4C"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81.8%</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21858EA8"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83.0%</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1BBE9A07"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83.4%</w:t>
            </w:r>
          </w:p>
        </w:tc>
        <w:tc>
          <w:tcPr>
            <w:tcW w:w="1250" w:type="dxa"/>
            <w:tcBorders>
              <w:top w:val="nil"/>
              <w:left w:val="nil"/>
              <w:bottom w:val="single" w:sz="8" w:space="0" w:color="auto"/>
              <w:right w:val="nil"/>
            </w:tcBorders>
            <w:shd w:val="clear" w:color="auto" w:fill="auto"/>
            <w:noWrap/>
            <w:vAlign w:val="center"/>
            <w:hideMark/>
          </w:tcPr>
          <w:p w14:paraId="7A27AD98" w14:textId="77777777" w:rsidR="00753CD6" w:rsidRPr="00927C20" w:rsidRDefault="00753CD6" w:rsidP="00EE745E">
            <w:pPr>
              <w:spacing w:after="0"/>
              <w:jc w:val="center"/>
              <w:rPr>
                <w:rFonts w:eastAsia="Times New Roman" w:cs="Calibri"/>
              </w:rPr>
            </w:pPr>
            <w:r w:rsidRPr="00927C20">
              <w:rPr>
                <w:rFonts w:eastAsia="Times New Roman" w:cs="Calibri"/>
              </w:rPr>
              <w:t>84.7%</w:t>
            </w:r>
          </w:p>
        </w:tc>
        <w:tc>
          <w:tcPr>
            <w:tcW w:w="1100" w:type="dxa"/>
            <w:tcBorders>
              <w:top w:val="nil"/>
              <w:left w:val="single" w:sz="8" w:space="0" w:color="auto"/>
              <w:bottom w:val="single" w:sz="8" w:space="0" w:color="auto"/>
              <w:right w:val="single" w:sz="8" w:space="0" w:color="auto"/>
            </w:tcBorders>
            <w:shd w:val="clear" w:color="auto" w:fill="A8D08D" w:themeFill="accent6" w:themeFillTint="99"/>
            <w:noWrap/>
            <w:vAlign w:val="center"/>
            <w:hideMark/>
          </w:tcPr>
          <w:p w14:paraId="5F3BA31E" w14:textId="77777777" w:rsidR="00753CD6" w:rsidRPr="00B6391D" w:rsidRDefault="00753CD6" w:rsidP="00EE745E">
            <w:pPr>
              <w:spacing w:after="0"/>
              <w:jc w:val="center"/>
              <w:rPr>
                <w:rFonts w:eastAsia="Times New Roman" w:cs="Calibri"/>
                <w:color w:val="000000"/>
              </w:rPr>
            </w:pPr>
            <w:r w:rsidRPr="00B6391D">
              <w:rPr>
                <w:rFonts w:eastAsia="Times New Roman" w:cs="Calibri"/>
                <w:color w:val="000000"/>
              </w:rPr>
              <w:t>82.9%</w:t>
            </w:r>
          </w:p>
        </w:tc>
      </w:tr>
      <w:tr w:rsidR="00753CD6" w:rsidRPr="00927C20" w14:paraId="496C8A99" w14:textId="77777777" w:rsidTr="21CA7F43">
        <w:trPr>
          <w:trHeight w:val="79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F93019A"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How Well Doctors Communicate (Composite)</w:t>
            </w:r>
          </w:p>
        </w:tc>
        <w:tc>
          <w:tcPr>
            <w:tcW w:w="1594" w:type="dxa"/>
            <w:tcBorders>
              <w:top w:val="nil"/>
              <w:left w:val="nil"/>
              <w:bottom w:val="single" w:sz="8" w:space="0" w:color="auto"/>
              <w:right w:val="single" w:sz="8" w:space="0" w:color="auto"/>
            </w:tcBorders>
            <w:shd w:val="clear" w:color="auto" w:fill="auto"/>
            <w:vAlign w:val="center"/>
            <w:hideMark/>
          </w:tcPr>
          <w:p w14:paraId="75B16EE6"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Q12, Q13, Q14, Q15</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32F8546F"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92.9%</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7BCBE8EF"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91.1%</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58B40505"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91.5%</w:t>
            </w:r>
          </w:p>
        </w:tc>
        <w:tc>
          <w:tcPr>
            <w:tcW w:w="1250" w:type="dxa"/>
            <w:tcBorders>
              <w:top w:val="nil"/>
              <w:left w:val="nil"/>
              <w:bottom w:val="single" w:sz="8" w:space="0" w:color="auto"/>
              <w:right w:val="nil"/>
            </w:tcBorders>
            <w:shd w:val="clear" w:color="auto" w:fill="auto"/>
            <w:vAlign w:val="center"/>
            <w:hideMark/>
          </w:tcPr>
          <w:p w14:paraId="0D3175C0" w14:textId="77777777" w:rsidR="00753CD6" w:rsidRPr="00927C20" w:rsidRDefault="00753CD6" w:rsidP="00EE745E">
            <w:pPr>
              <w:spacing w:after="0"/>
              <w:jc w:val="center"/>
              <w:rPr>
                <w:rFonts w:eastAsia="Times New Roman" w:cs="Calibri"/>
              </w:rPr>
            </w:pPr>
            <w:r w:rsidRPr="00927C20">
              <w:rPr>
                <w:rFonts w:eastAsia="Times New Roman" w:cs="Calibri"/>
              </w:rPr>
              <w:t>93.9%</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14:paraId="3D7EED90"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93.9%</w:t>
            </w:r>
          </w:p>
        </w:tc>
      </w:tr>
      <w:tr w:rsidR="00753CD6" w:rsidRPr="00927C20" w14:paraId="4394F6CD" w14:textId="77777777" w:rsidTr="00B6391D">
        <w:trPr>
          <w:trHeight w:val="53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40DEEE4"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Customer Service (Composite)</w:t>
            </w:r>
          </w:p>
        </w:tc>
        <w:tc>
          <w:tcPr>
            <w:tcW w:w="1594" w:type="dxa"/>
            <w:tcBorders>
              <w:top w:val="nil"/>
              <w:left w:val="nil"/>
              <w:bottom w:val="single" w:sz="8" w:space="0" w:color="auto"/>
              <w:right w:val="single" w:sz="8" w:space="0" w:color="auto"/>
            </w:tcBorders>
            <w:shd w:val="clear" w:color="auto" w:fill="auto"/>
            <w:vAlign w:val="center"/>
            <w:hideMark/>
          </w:tcPr>
          <w:p w14:paraId="05927C78"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Q24, Q25</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5FBDC0B0"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88.0%</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0D960984"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86.8%</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4FF7BDCE"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89.0%</w:t>
            </w:r>
          </w:p>
        </w:tc>
        <w:tc>
          <w:tcPr>
            <w:tcW w:w="1250" w:type="dxa"/>
            <w:tcBorders>
              <w:top w:val="nil"/>
              <w:left w:val="nil"/>
              <w:bottom w:val="single" w:sz="8" w:space="0" w:color="000000" w:themeColor="text1"/>
              <w:right w:val="nil"/>
            </w:tcBorders>
            <w:shd w:val="clear" w:color="auto" w:fill="auto"/>
            <w:noWrap/>
            <w:vAlign w:val="center"/>
            <w:hideMark/>
          </w:tcPr>
          <w:p w14:paraId="6E397228" w14:textId="77777777" w:rsidR="00753CD6" w:rsidRPr="00927C20" w:rsidRDefault="00753CD6" w:rsidP="00EE745E">
            <w:pPr>
              <w:spacing w:after="0"/>
              <w:jc w:val="center"/>
              <w:rPr>
                <w:rFonts w:eastAsia="Times New Roman" w:cs="Calibri"/>
              </w:rPr>
            </w:pPr>
            <w:r w:rsidRPr="00927C20">
              <w:rPr>
                <w:rFonts w:eastAsia="Times New Roman" w:cs="Calibri"/>
              </w:rPr>
              <w:t>91.1%</w:t>
            </w:r>
          </w:p>
        </w:tc>
        <w:tc>
          <w:tcPr>
            <w:tcW w:w="1100" w:type="dxa"/>
            <w:tcBorders>
              <w:top w:val="nil"/>
              <w:left w:val="single" w:sz="8" w:space="0" w:color="auto"/>
              <w:bottom w:val="single" w:sz="8" w:space="0" w:color="auto"/>
              <w:right w:val="single" w:sz="8" w:space="0" w:color="auto"/>
            </w:tcBorders>
            <w:shd w:val="clear" w:color="auto" w:fill="A8D08D" w:themeFill="accent6" w:themeFillTint="99"/>
            <w:noWrap/>
            <w:vAlign w:val="center"/>
            <w:hideMark/>
          </w:tcPr>
          <w:p w14:paraId="2CDD5F12" w14:textId="77777777" w:rsidR="00753CD6" w:rsidRPr="00927C20" w:rsidRDefault="00753CD6" w:rsidP="00EE745E">
            <w:pPr>
              <w:spacing w:after="0"/>
              <w:jc w:val="center"/>
              <w:rPr>
                <w:rFonts w:eastAsia="Times New Roman" w:cs="Calibri"/>
              </w:rPr>
            </w:pPr>
            <w:r w:rsidRPr="00927C20">
              <w:rPr>
                <w:rFonts w:eastAsia="Times New Roman" w:cs="Calibri"/>
              </w:rPr>
              <w:t>89.0%</w:t>
            </w:r>
          </w:p>
        </w:tc>
      </w:tr>
      <w:tr w:rsidR="00753CD6" w:rsidRPr="00927C20" w14:paraId="7102AEAB" w14:textId="77777777" w:rsidTr="00B6391D">
        <w:trPr>
          <w:trHeight w:val="53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4CCF854"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Ease of Filling Out Forms (Item)</w:t>
            </w:r>
          </w:p>
        </w:tc>
        <w:tc>
          <w:tcPr>
            <w:tcW w:w="1594" w:type="dxa"/>
            <w:tcBorders>
              <w:top w:val="nil"/>
              <w:left w:val="nil"/>
              <w:bottom w:val="single" w:sz="8" w:space="0" w:color="auto"/>
              <w:right w:val="single" w:sz="8" w:space="0" w:color="auto"/>
            </w:tcBorders>
            <w:shd w:val="clear" w:color="auto" w:fill="auto"/>
            <w:vAlign w:val="center"/>
            <w:hideMark/>
          </w:tcPr>
          <w:p w14:paraId="065F90E6"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Q27</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1B468DFD"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93.2%</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7CC1F2DB"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95.5%</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378EB47E"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96.7%</w:t>
            </w:r>
          </w:p>
        </w:tc>
        <w:tc>
          <w:tcPr>
            <w:tcW w:w="1250" w:type="dxa"/>
            <w:tcBorders>
              <w:top w:val="nil"/>
              <w:left w:val="nil"/>
              <w:bottom w:val="single" w:sz="8" w:space="0" w:color="000000" w:themeColor="text1"/>
              <w:right w:val="nil"/>
            </w:tcBorders>
            <w:shd w:val="clear" w:color="auto" w:fill="auto"/>
            <w:noWrap/>
            <w:vAlign w:val="center"/>
            <w:hideMark/>
          </w:tcPr>
          <w:p w14:paraId="78AF2634" w14:textId="77777777" w:rsidR="00753CD6" w:rsidRPr="00927C20" w:rsidRDefault="00753CD6" w:rsidP="00EE745E">
            <w:pPr>
              <w:spacing w:after="0"/>
              <w:jc w:val="center"/>
              <w:rPr>
                <w:rFonts w:eastAsia="Times New Roman" w:cs="Calibri"/>
              </w:rPr>
            </w:pPr>
            <w:r w:rsidRPr="00927C20">
              <w:rPr>
                <w:rFonts w:eastAsia="Times New Roman" w:cs="Calibri"/>
              </w:rPr>
              <w:t>97.0%</w:t>
            </w:r>
          </w:p>
        </w:tc>
        <w:tc>
          <w:tcPr>
            <w:tcW w:w="1100" w:type="dxa"/>
            <w:tcBorders>
              <w:top w:val="nil"/>
              <w:left w:val="single" w:sz="8" w:space="0" w:color="auto"/>
              <w:bottom w:val="single" w:sz="8" w:space="0" w:color="auto"/>
              <w:right w:val="single" w:sz="8" w:space="0" w:color="auto"/>
            </w:tcBorders>
            <w:shd w:val="clear" w:color="auto" w:fill="A8D08D" w:themeFill="accent6" w:themeFillTint="99"/>
            <w:noWrap/>
            <w:vAlign w:val="center"/>
            <w:hideMark/>
          </w:tcPr>
          <w:p w14:paraId="72599053"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94.2%</w:t>
            </w:r>
          </w:p>
        </w:tc>
      </w:tr>
      <w:tr w:rsidR="00753CD6" w:rsidRPr="00927C20" w14:paraId="08361A73" w14:textId="77777777" w:rsidTr="21CA7F43">
        <w:trPr>
          <w:trHeight w:val="530"/>
          <w:jc w:val="center"/>
        </w:trPr>
        <w:tc>
          <w:tcPr>
            <w:tcW w:w="175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F3D354" w14:textId="77777777" w:rsidR="00753CD6" w:rsidRPr="00927C20" w:rsidRDefault="00753CD6" w:rsidP="00EE745E">
            <w:pPr>
              <w:spacing w:after="0"/>
              <w:rPr>
                <w:rFonts w:eastAsia="Times New Roman" w:cs="Calibri"/>
                <w:sz w:val="20"/>
                <w:szCs w:val="20"/>
              </w:rPr>
            </w:pPr>
            <w:r w:rsidRPr="00927C20">
              <w:rPr>
                <w:rFonts w:eastAsia="Times New Roman" w:cs="Calibri"/>
                <w:sz w:val="20"/>
                <w:szCs w:val="20"/>
              </w:rPr>
              <w:t>Coordination of Care (Item)</w:t>
            </w:r>
          </w:p>
        </w:tc>
        <w:tc>
          <w:tcPr>
            <w:tcW w:w="1594" w:type="dxa"/>
            <w:tcBorders>
              <w:top w:val="nil"/>
              <w:left w:val="nil"/>
              <w:bottom w:val="single" w:sz="8" w:space="0" w:color="auto"/>
              <w:right w:val="single" w:sz="8" w:space="0" w:color="auto"/>
            </w:tcBorders>
            <w:shd w:val="clear" w:color="auto" w:fill="auto"/>
            <w:vAlign w:val="center"/>
            <w:hideMark/>
          </w:tcPr>
          <w:p w14:paraId="3AFF0513" w14:textId="77777777" w:rsidR="00753CD6" w:rsidRPr="00927C20" w:rsidRDefault="00753CD6" w:rsidP="00EE745E">
            <w:pPr>
              <w:spacing w:after="0"/>
              <w:rPr>
                <w:rFonts w:eastAsia="Times New Roman" w:cs="Calibri"/>
                <w:color w:val="000000"/>
                <w:sz w:val="20"/>
                <w:szCs w:val="20"/>
              </w:rPr>
            </w:pPr>
            <w:r w:rsidRPr="00927C20">
              <w:rPr>
                <w:rFonts w:eastAsia="Times New Roman" w:cs="Calibri"/>
                <w:color w:val="000000"/>
                <w:sz w:val="20"/>
                <w:szCs w:val="20"/>
              </w:rPr>
              <w:t>Q17</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4726F49"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87.1%</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15242501"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85.9%</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26AC56E8"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85.5%</w:t>
            </w:r>
          </w:p>
        </w:tc>
        <w:tc>
          <w:tcPr>
            <w:tcW w:w="1250" w:type="dxa"/>
            <w:tcBorders>
              <w:top w:val="nil"/>
              <w:left w:val="nil"/>
              <w:bottom w:val="single" w:sz="8" w:space="0" w:color="000000" w:themeColor="text1"/>
              <w:right w:val="nil"/>
            </w:tcBorders>
            <w:shd w:val="clear" w:color="auto" w:fill="auto"/>
            <w:noWrap/>
            <w:vAlign w:val="center"/>
            <w:hideMark/>
          </w:tcPr>
          <w:p w14:paraId="3C8EB6F5" w14:textId="77777777" w:rsidR="00753CD6" w:rsidRPr="00927C20" w:rsidRDefault="00753CD6" w:rsidP="00EE745E">
            <w:pPr>
              <w:spacing w:after="0"/>
              <w:jc w:val="center"/>
              <w:rPr>
                <w:rFonts w:eastAsia="Times New Roman" w:cs="Calibri"/>
              </w:rPr>
            </w:pPr>
            <w:r w:rsidRPr="00927C20">
              <w:rPr>
                <w:rFonts w:eastAsia="Times New Roman" w:cs="Calibri"/>
              </w:rPr>
              <w:t>88.4%</w:t>
            </w:r>
          </w:p>
        </w:tc>
        <w:tc>
          <w:tcPr>
            <w:tcW w:w="1100" w:type="dxa"/>
            <w:tcBorders>
              <w:top w:val="nil"/>
              <w:left w:val="single" w:sz="8" w:space="0" w:color="auto"/>
              <w:bottom w:val="single" w:sz="8" w:space="0" w:color="auto"/>
              <w:right w:val="single" w:sz="8" w:space="0" w:color="auto"/>
            </w:tcBorders>
            <w:shd w:val="clear" w:color="auto" w:fill="auto"/>
            <w:noWrap/>
            <w:vAlign w:val="center"/>
            <w:hideMark/>
          </w:tcPr>
          <w:p w14:paraId="4A0DA314" w14:textId="77777777" w:rsidR="00753CD6" w:rsidRPr="00927C20" w:rsidRDefault="00753CD6" w:rsidP="00EE745E">
            <w:pPr>
              <w:spacing w:after="0"/>
              <w:jc w:val="center"/>
              <w:rPr>
                <w:rFonts w:eastAsia="Times New Roman" w:cs="Calibri"/>
                <w:color w:val="000000"/>
              </w:rPr>
            </w:pPr>
            <w:r w:rsidRPr="00927C20">
              <w:rPr>
                <w:rFonts w:eastAsia="Times New Roman" w:cs="Calibri"/>
                <w:color w:val="000000"/>
              </w:rPr>
              <w:t>88.1%</w:t>
            </w:r>
          </w:p>
        </w:tc>
      </w:tr>
    </w:tbl>
    <w:p w14:paraId="1EA15BA3" w14:textId="77777777" w:rsidR="00753CD6" w:rsidRDefault="00753CD6" w:rsidP="00753CD6">
      <w:pPr>
        <w:rPr>
          <w:rFonts w:asciiTheme="minorHAnsi" w:hAnsiTheme="minorHAnsi" w:cstheme="minorHAnsi"/>
        </w:rPr>
      </w:pPr>
    </w:p>
    <w:p w14:paraId="0D34E01D" w14:textId="17465326" w:rsidR="00753CD6" w:rsidRPr="00943E9D" w:rsidRDefault="00753CD6" w:rsidP="00943E9D">
      <w:pPr>
        <w:rPr>
          <w:rFonts w:asciiTheme="minorHAnsi" w:hAnsiTheme="minorHAnsi" w:cstheme="minorBidi"/>
        </w:rPr>
      </w:pPr>
      <w:r w:rsidRPr="21CA7F43">
        <w:rPr>
          <w:rFonts w:asciiTheme="minorHAnsi" w:hAnsiTheme="minorHAnsi" w:cstheme="minorBidi"/>
        </w:rPr>
        <w:t xml:space="preserve">For Goal 1, MassHealth met the Gap to Goal improvement target on four of the six CAHPS </w:t>
      </w:r>
      <w:r w:rsidR="00DA0AD6" w:rsidRPr="21CA7F43">
        <w:rPr>
          <w:rFonts w:asciiTheme="minorHAnsi" w:hAnsiTheme="minorHAnsi" w:cstheme="minorBidi"/>
        </w:rPr>
        <w:t>composites/</w:t>
      </w:r>
      <w:r w:rsidRPr="21CA7F43">
        <w:rPr>
          <w:rFonts w:asciiTheme="minorHAnsi" w:hAnsiTheme="minorHAnsi" w:cstheme="minorBidi"/>
        </w:rPr>
        <w:t>items</w:t>
      </w:r>
      <w:r w:rsidR="50397116" w:rsidRPr="21CA7F43">
        <w:rPr>
          <w:rFonts w:asciiTheme="minorHAnsi" w:hAnsiTheme="minorHAnsi" w:cstheme="minorBidi"/>
        </w:rPr>
        <w:t>: Getting Needed Care, Getting Care Quickly, Customer Service, and Ease of Filling Out Forms</w:t>
      </w:r>
      <w:r w:rsidRPr="21CA7F43">
        <w:rPr>
          <w:rFonts w:asciiTheme="minorHAnsi" w:hAnsiTheme="minorHAnsi" w:cstheme="minorBidi"/>
        </w:rPr>
        <w:t xml:space="preserve">. However, rates on two of the six items in Goal 1 </w:t>
      </w:r>
      <w:r w:rsidR="619B9390" w:rsidRPr="21CA7F43">
        <w:rPr>
          <w:rFonts w:asciiTheme="minorHAnsi" w:hAnsiTheme="minorHAnsi" w:cstheme="minorBidi"/>
        </w:rPr>
        <w:t xml:space="preserve">(How Well Doctors Communicate, and Coordination of Care) </w:t>
      </w:r>
      <w:r w:rsidRPr="21CA7F43">
        <w:rPr>
          <w:rFonts w:asciiTheme="minorHAnsi" w:hAnsiTheme="minorHAnsi" w:cstheme="minorBidi"/>
        </w:rPr>
        <w:t>declined slightly over the MY 2018</w:t>
      </w:r>
      <w:r w:rsidR="00862C12">
        <w:rPr>
          <w:rFonts w:asciiTheme="minorHAnsi" w:hAnsiTheme="minorHAnsi" w:cstheme="minorBidi"/>
        </w:rPr>
        <w:t>–</w:t>
      </w:r>
      <w:r w:rsidRPr="21CA7F43">
        <w:rPr>
          <w:rFonts w:asciiTheme="minorHAnsi" w:hAnsiTheme="minorHAnsi" w:cstheme="minorBidi"/>
        </w:rPr>
        <w:t>2020 period</w:t>
      </w:r>
      <w:r w:rsidR="7FED5F1E" w:rsidRPr="21CA7F43">
        <w:rPr>
          <w:rFonts w:asciiTheme="minorHAnsi" w:hAnsiTheme="minorHAnsi" w:cstheme="minorBidi"/>
        </w:rPr>
        <w:t>.</w:t>
      </w:r>
      <w:r w:rsidRPr="21CA7F43">
        <w:rPr>
          <w:rFonts w:asciiTheme="minorHAnsi" w:hAnsiTheme="minorHAnsi" w:cstheme="minorBidi"/>
        </w:rPr>
        <w:t xml:space="preserve"> MassHealth did not meet the MY 2020 benchmark rate on the six </w:t>
      </w:r>
      <w:r w:rsidR="00CC6FFE" w:rsidRPr="21CA7F43">
        <w:rPr>
          <w:rFonts w:asciiTheme="minorHAnsi" w:hAnsiTheme="minorHAnsi" w:cstheme="minorBidi"/>
        </w:rPr>
        <w:t>composites/</w:t>
      </w:r>
      <w:r w:rsidRPr="21CA7F43">
        <w:rPr>
          <w:rFonts w:asciiTheme="minorHAnsi" w:hAnsiTheme="minorHAnsi" w:cstheme="minorBidi"/>
        </w:rPr>
        <w:t xml:space="preserve">items. </w:t>
      </w:r>
    </w:p>
    <w:p w14:paraId="21672033" w14:textId="08B7D1B6" w:rsidR="00753CD6" w:rsidRDefault="00753CD6" w:rsidP="00730D03">
      <w:pPr>
        <w:pStyle w:val="Heading3"/>
        <w:spacing w:after="120"/>
      </w:pPr>
      <w:bookmarkStart w:id="7" w:name="_Toc147244406"/>
      <w:r>
        <w:t>Quality Goal 2</w:t>
      </w:r>
      <w:r w:rsidR="00F35AB3">
        <w:t xml:space="preserve">: </w:t>
      </w:r>
      <w:r w:rsidRPr="00E15EBA">
        <w:rPr>
          <w:rFonts w:asciiTheme="minorHAnsi" w:hAnsiTheme="minorHAnsi" w:cstheme="minorHAnsi"/>
          <w:i/>
          <w:iCs/>
          <w:sz w:val="22"/>
        </w:rPr>
        <w:t>Improve communication, coordination, and care integration</w:t>
      </w:r>
      <w:r>
        <w:t>.</w:t>
      </w:r>
      <w:bookmarkEnd w:id="7"/>
      <w:r w:rsidRPr="00E15EBA">
        <w:t> </w:t>
      </w:r>
    </w:p>
    <w:p w14:paraId="0C4B0C16" w14:textId="01336DF2" w:rsidR="00753CD6" w:rsidRDefault="00753CD6" w:rsidP="00753CD6">
      <w:pPr>
        <w:rPr>
          <w:rFonts w:asciiTheme="minorHAnsi" w:eastAsia="Times New Roman" w:hAnsiTheme="minorHAnsi" w:cstheme="minorHAnsi"/>
        </w:rPr>
      </w:pPr>
      <w:r>
        <w:rPr>
          <w:rFonts w:asciiTheme="minorHAnsi" w:eastAsia="Times New Roman" w:hAnsiTheme="minorHAnsi" w:cstheme="minorHAnsi"/>
        </w:rPr>
        <w:t xml:space="preserve">To assess progress toward meeting Goal 2, </w:t>
      </w:r>
      <w:r w:rsidR="0020648E">
        <w:rPr>
          <w:rFonts w:asciiTheme="minorHAnsi" w:eastAsia="Times New Roman" w:hAnsiTheme="minorHAnsi" w:cstheme="minorHAnsi"/>
        </w:rPr>
        <w:t>MassHealth</w:t>
      </w:r>
      <w:r>
        <w:rPr>
          <w:rFonts w:asciiTheme="minorHAnsi" w:eastAsia="Times New Roman" w:hAnsiTheme="minorHAnsi" w:cstheme="minorHAnsi"/>
        </w:rPr>
        <w:t xml:space="preserve"> used six HEDIS measures:</w:t>
      </w:r>
    </w:p>
    <w:p w14:paraId="361B6D60" w14:textId="77777777" w:rsidR="00753CD6" w:rsidRPr="00C71D2C" w:rsidRDefault="00753CD6">
      <w:pPr>
        <w:pStyle w:val="ListParagraph"/>
        <w:numPr>
          <w:ilvl w:val="0"/>
          <w:numId w:val="18"/>
        </w:numPr>
        <w:textAlignment w:val="baseline"/>
        <w:rPr>
          <w:rFonts w:eastAsia="Times New Roman" w:cs="Calibri"/>
        </w:rPr>
      </w:pPr>
      <w:r w:rsidRPr="00C71D2C">
        <w:rPr>
          <w:rFonts w:eastAsia="Times New Roman" w:cs="Calibri"/>
        </w:rPr>
        <w:t>Follow-Up After Hospitalization for Mental Illness (FUH)</w:t>
      </w:r>
    </w:p>
    <w:p w14:paraId="553FDD5B" w14:textId="77777777" w:rsidR="00753CD6" w:rsidRPr="00C71D2C" w:rsidRDefault="00753CD6">
      <w:pPr>
        <w:pStyle w:val="ListParagraph"/>
        <w:numPr>
          <w:ilvl w:val="0"/>
          <w:numId w:val="18"/>
        </w:numPr>
        <w:textAlignment w:val="baseline"/>
        <w:rPr>
          <w:rFonts w:eastAsia="Times New Roman" w:cs="Calibri"/>
        </w:rPr>
      </w:pPr>
      <w:r w:rsidRPr="00C71D2C">
        <w:rPr>
          <w:rFonts w:eastAsia="Times New Roman" w:cs="Calibri"/>
        </w:rPr>
        <w:t>Follow-Up After Emergency Department Visit for Mental Illness (FUM)</w:t>
      </w:r>
    </w:p>
    <w:p w14:paraId="0E1BD1F7" w14:textId="77777777" w:rsidR="00753CD6" w:rsidRPr="00C71D2C" w:rsidRDefault="00753CD6">
      <w:pPr>
        <w:pStyle w:val="ListParagraph"/>
        <w:numPr>
          <w:ilvl w:val="0"/>
          <w:numId w:val="18"/>
        </w:numPr>
        <w:textAlignment w:val="baseline"/>
        <w:rPr>
          <w:rFonts w:eastAsia="Times New Roman" w:cs="Calibri"/>
        </w:rPr>
      </w:pPr>
      <w:r w:rsidRPr="00C71D2C">
        <w:rPr>
          <w:rFonts w:eastAsia="Times New Roman" w:cs="Calibri"/>
        </w:rPr>
        <w:lastRenderedPageBreak/>
        <w:t>Metabolic Monitoring for Children and Adolescents on Antipsychotics (APM)</w:t>
      </w:r>
    </w:p>
    <w:p w14:paraId="5C52A567" w14:textId="77777777" w:rsidR="00753CD6" w:rsidRPr="00C71D2C" w:rsidRDefault="00753CD6">
      <w:pPr>
        <w:pStyle w:val="ListParagraph"/>
        <w:numPr>
          <w:ilvl w:val="0"/>
          <w:numId w:val="18"/>
        </w:numPr>
        <w:textAlignment w:val="baseline"/>
        <w:rPr>
          <w:rFonts w:eastAsia="Times New Roman" w:cs="Calibri"/>
        </w:rPr>
      </w:pPr>
      <w:r w:rsidRPr="00C71D2C">
        <w:rPr>
          <w:rFonts w:eastAsia="Times New Roman" w:cs="Calibri"/>
        </w:rPr>
        <w:t xml:space="preserve">Follow-Up After Emergency Department Visit for Alcohol and Other Drug Abuse or Dependence (FUA) </w:t>
      </w:r>
    </w:p>
    <w:p w14:paraId="69A054DB" w14:textId="77777777" w:rsidR="00753CD6" w:rsidRDefault="00753CD6">
      <w:pPr>
        <w:pStyle w:val="ListParagraph"/>
        <w:numPr>
          <w:ilvl w:val="0"/>
          <w:numId w:val="18"/>
        </w:numPr>
        <w:textAlignment w:val="baseline"/>
        <w:rPr>
          <w:rFonts w:eastAsia="Times New Roman" w:cs="Calibri"/>
        </w:rPr>
      </w:pPr>
      <w:r w:rsidRPr="00C71D2C">
        <w:rPr>
          <w:rFonts w:eastAsia="Times New Roman" w:cs="Calibri"/>
        </w:rPr>
        <w:t>Transitions of Care - Medication Reconciliation Post-Discharge (TRC-MRP)</w:t>
      </w:r>
    </w:p>
    <w:p w14:paraId="46E439BD" w14:textId="77777777" w:rsidR="00753CD6" w:rsidRPr="00C71D2C" w:rsidRDefault="00753CD6">
      <w:pPr>
        <w:pStyle w:val="ListParagraph"/>
        <w:numPr>
          <w:ilvl w:val="0"/>
          <w:numId w:val="18"/>
        </w:numPr>
        <w:textAlignment w:val="baseline"/>
        <w:rPr>
          <w:rFonts w:eastAsia="Times New Roman" w:cs="Calibri"/>
        </w:rPr>
      </w:pPr>
      <w:r>
        <w:rPr>
          <w:rFonts w:eastAsia="Times New Roman" w:cs="Calibri"/>
        </w:rPr>
        <w:t>Plan All-Cause Readmissions (PCR)</w:t>
      </w:r>
    </w:p>
    <w:p w14:paraId="5753C7C1" w14:textId="639DB32E" w:rsidR="00A1469A" w:rsidRPr="00943E9D" w:rsidRDefault="00753CD6" w:rsidP="00753CD6">
      <w:pPr>
        <w:pStyle w:val="Default"/>
        <w:rPr>
          <w:rFonts w:asciiTheme="minorHAnsi" w:eastAsia="Times New Roman" w:hAnsiTheme="minorHAnsi" w:cstheme="minorBidi"/>
          <w:color w:val="FF0000"/>
          <w:sz w:val="22"/>
          <w:szCs w:val="22"/>
        </w:rPr>
      </w:pPr>
      <w:r w:rsidRPr="692C77C9">
        <w:rPr>
          <w:rFonts w:asciiTheme="minorHAnsi" w:eastAsia="Times New Roman" w:hAnsiTheme="minorHAnsi" w:cstheme="minorBidi"/>
          <w:sz w:val="22"/>
          <w:szCs w:val="22"/>
        </w:rPr>
        <w:t xml:space="preserve">Five of these six measures are included the Adult and Child Core sets. The one non-Core Set measure, TRC-MRP, is a contractually required measure for </w:t>
      </w:r>
      <w:r w:rsidRPr="692C77C9">
        <w:rPr>
          <w:rFonts w:asciiTheme="minorHAnsi" w:eastAsia="Times New Roman" w:hAnsiTheme="minorHAnsi" w:cstheme="minorBidi"/>
          <w:color w:val="auto"/>
          <w:sz w:val="22"/>
          <w:szCs w:val="22"/>
        </w:rPr>
        <w:t>MassHealth’s SCO programs.</w:t>
      </w:r>
    </w:p>
    <w:p w14:paraId="14BBC22A" w14:textId="77777777" w:rsidR="00753CD6" w:rsidRPr="001A019B" w:rsidRDefault="00753CD6" w:rsidP="00A1469A">
      <w:pPr>
        <w:spacing w:before="360" w:after="0"/>
        <w:rPr>
          <w:b/>
          <w:i/>
          <w:iCs/>
          <w:color w:val="1F497D"/>
        </w:rPr>
      </w:pPr>
      <w:r w:rsidRPr="009069AE">
        <w:rPr>
          <w:rStyle w:val="SubtleEmphasis"/>
        </w:rPr>
        <w:t xml:space="preserve">Table </w:t>
      </w:r>
      <w:r>
        <w:rPr>
          <w:rStyle w:val="SubtleEmphasis"/>
        </w:rPr>
        <w:t>3</w:t>
      </w:r>
      <w:r w:rsidRPr="009069AE">
        <w:rPr>
          <w:rStyle w:val="SubtleEmphasis"/>
        </w:rPr>
        <w:t xml:space="preserve">:  </w:t>
      </w:r>
      <w:r>
        <w:rPr>
          <w:rStyle w:val="SubtleEmphasis"/>
        </w:rPr>
        <w:t>Quality Goal 2 Measures and Performance</w:t>
      </w:r>
    </w:p>
    <w:p w14:paraId="021483AD" w14:textId="77777777" w:rsidR="00753CD6" w:rsidRDefault="00753CD6" w:rsidP="00753CD6">
      <w:pPr>
        <w:pStyle w:val="Default"/>
      </w:pPr>
    </w:p>
    <w:tbl>
      <w:tblPr>
        <w:tblW w:w="9240" w:type="dxa"/>
        <w:jc w:val="center"/>
        <w:tblLook w:val="04A0" w:firstRow="1" w:lastRow="0" w:firstColumn="1" w:lastColumn="0" w:noHBand="0" w:noVBand="1"/>
      </w:tblPr>
      <w:tblGrid>
        <w:gridCol w:w="1520"/>
        <w:gridCol w:w="1879"/>
        <w:gridCol w:w="1201"/>
        <w:gridCol w:w="1240"/>
        <w:gridCol w:w="1220"/>
        <w:gridCol w:w="1220"/>
        <w:gridCol w:w="960"/>
      </w:tblGrid>
      <w:tr w:rsidR="00753CD6" w:rsidRPr="00BD1887" w14:paraId="6609074F" w14:textId="77777777" w:rsidTr="00071BFA">
        <w:trPr>
          <w:trHeight w:val="880"/>
          <w:tblHeader/>
          <w:jc w:val="center"/>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0C4316"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Measure</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14:paraId="39768886"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Description</w:t>
            </w:r>
          </w:p>
        </w:tc>
        <w:tc>
          <w:tcPr>
            <w:tcW w:w="118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3604BE2"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2018 Rate</w:t>
            </w:r>
          </w:p>
        </w:tc>
        <w:tc>
          <w:tcPr>
            <w:tcW w:w="12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04BD05A"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2019 Rate</w:t>
            </w:r>
          </w:p>
        </w:tc>
        <w:tc>
          <w:tcPr>
            <w:tcW w:w="122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784EFD4"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2020 Rate</w:t>
            </w:r>
          </w:p>
        </w:tc>
        <w:tc>
          <w:tcPr>
            <w:tcW w:w="1220" w:type="dxa"/>
            <w:tcBorders>
              <w:top w:val="single" w:sz="8" w:space="0" w:color="auto"/>
              <w:left w:val="nil"/>
              <w:bottom w:val="single" w:sz="8" w:space="0" w:color="auto"/>
              <w:right w:val="nil"/>
            </w:tcBorders>
            <w:shd w:val="clear" w:color="auto" w:fill="auto"/>
            <w:vAlign w:val="center"/>
            <w:hideMark/>
          </w:tcPr>
          <w:p w14:paraId="31F1577B"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Benchmark (MY 20 75th)</w:t>
            </w:r>
          </w:p>
        </w:tc>
        <w:tc>
          <w:tcPr>
            <w:tcW w:w="960" w:type="dxa"/>
            <w:tcBorders>
              <w:top w:val="single" w:sz="8" w:space="0" w:color="auto"/>
              <w:left w:val="single" w:sz="8" w:space="0" w:color="auto"/>
              <w:bottom w:val="nil"/>
              <w:right w:val="single" w:sz="8" w:space="0" w:color="auto"/>
            </w:tcBorders>
            <w:shd w:val="clear" w:color="auto" w:fill="auto"/>
            <w:vAlign w:val="center"/>
            <w:hideMark/>
          </w:tcPr>
          <w:p w14:paraId="12B5DDC2" w14:textId="77777777" w:rsidR="00753CD6" w:rsidRPr="00BD1887"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Gap to Goal</w:t>
            </w:r>
          </w:p>
        </w:tc>
      </w:tr>
      <w:tr w:rsidR="00753CD6" w:rsidRPr="00BD1887" w14:paraId="482B7C80" w14:textId="77777777" w:rsidTr="692C77C9">
        <w:trPr>
          <w:trHeight w:val="1310"/>
          <w:jc w:val="center"/>
        </w:trPr>
        <w:tc>
          <w:tcPr>
            <w:tcW w:w="1660" w:type="dxa"/>
            <w:tcBorders>
              <w:top w:val="nil"/>
              <w:left w:val="single" w:sz="8" w:space="0" w:color="000000" w:themeColor="text1"/>
              <w:bottom w:val="single" w:sz="8" w:space="0" w:color="000000" w:themeColor="text1"/>
              <w:right w:val="nil"/>
            </w:tcBorders>
            <w:shd w:val="clear" w:color="auto" w:fill="auto"/>
            <w:vAlign w:val="center"/>
            <w:hideMark/>
          </w:tcPr>
          <w:p w14:paraId="036A4582" w14:textId="77777777" w:rsidR="00753CD6" w:rsidRPr="00BD1887" w:rsidRDefault="00753CD6" w:rsidP="00EE745E">
            <w:pPr>
              <w:spacing w:after="0"/>
              <w:rPr>
                <w:rFonts w:eastAsia="Times New Roman" w:cs="Calibri"/>
                <w:sz w:val="20"/>
                <w:szCs w:val="20"/>
              </w:rPr>
            </w:pPr>
            <w:r w:rsidRPr="00BD1887">
              <w:rPr>
                <w:rFonts w:eastAsia="Times New Roman" w:cs="Calibri"/>
                <w:sz w:val="20"/>
                <w:szCs w:val="20"/>
              </w:rPr>
              <w:t>APM</w:t>
            </w:r>
          </w:p>
        </w:tc>
        <w:tc>
          <w:tcPr>
            <w:tcW w:w="1760" w:type="dxa"/>
            <w:tcBorders>
              <w:top w:val="nil"/>
              <w:left w:val="single" w:sz="8" w:space="0" w:color="auto"/>
              <w:bottom w:val="single" w:sz="8" w:space="0" w:color="auto"/>
              <w:right w:val="nil"/>
            </w:tcBorders>
            <w:shd w:val="clear" w:color="auto" w:fill="auto"/>
            <w:hideMark/>
          </w:tcPr>
          <w:p w14:paraId="1EF93D9B" w14:textId="77777777" w:rsidR="00753CD6" w:rsidRPr="00BD1887" w:rsidRDefault="00753CD6" w:rsidP="00EE745E">
            <w:pPr>
              <w:spacing w:after="0"/>
              <w:rPr>
                <w:rFonts w:eastAsia="Times New Roman" w:cs="Calibri"/>
                <w:sz w:val="20"/>
                <w:szCs w:val="20"/>
              </w:rPr>
            </w:pPr>
            <w:r w:rsidRPr="00BD1887">
              <w:rPr>
                <w:rFonts w:eastAsia="Times New Roman" w:cs="Calibri"/>
                <w:sz w:val="20"/>
                <w:szCs w:val="20"/>
              </w:rPr>
              <w:t>Metabolic Monitoring for Children and Adolescents on Antipsychotics </w:t>
            </w:r>
          </w:p>
        </w:tc>
        <w:tc>
          <w:tcPr>
            <w:tcW w:w="118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5ABD31AF"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37.7%</w:t>
            </w:r>
          </w:p>
        </w:tc>
        <w:tc>
          <w:tcPr>
            <w:tcW w:w="1240" w:type="dxa"/>
            <w:tcBorders>
              <w:top w:val="nil"/>
              <w:left w:val="nil"/>
              <w:bottom w:val="single" w:sz="8" w:space="0" w:color="auto"/>
              <w:right w:val="single" w:sz="8" w:space="0" w:color="auto"/>
            </w:tcBorders>
            <w:shd w:val="clear" w:color="auto" w:fill="F2F2F2" w:themeFill="background1" w:themeFillShade="F2"/>
            <w:noWrap/>
            <w:vAlign w:val="center"/>
            <w:hideMark/>
          </w:tcPr>
          <w:p w14:paraId="2727E044"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47.6%</w:t>
            </w:r>
          </w:p>
        </w:tc>
        <w:tc>
          <w:tcPr>
            <w:tcW w:w="1220" w:type="dxa"/>
            <w:tcBorders>
              <w:top w:val="nil"/>
              <w:left w:val="nil"/>
              <w:bottom w:val="single" w:sz="8" w:space="0" w:color="auto"/>
              <w:right w:val="single" w:sz="8" w:space="0" w:color="auto"/>
            </w:tcBorders>
            <w:shd w:val="clear" w:color="auto" w:fill="F2F2F2" w:themeFill="background1" w:themeFillShade="F2"/>
            <w:noWrap/>
            <w:vAlign w:val="center"/>
            <w:hideMark/>
          </w:tcPr>
          <w:p w14:paraId="3FD35470"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36.5%</w:t>
            </w:r>
          </w:p>
        </w:tc>
        <w:tc>
          <w:tcPr>
            <w:tcW w:w="1220" w:type="dxa"/>
            <w:tcBorders>
              <w:top w:val="nil"/>
              <w:left w:val="nil"/>
              <w:bottom w:val="nil"/>
              <w:right w:val="single" w:sz="8" w:space="0" w:color="auto"/>
            </w:tcBorders>
            <w:shd w:val="clear" w:color="auto" w:fill="auto"/>
            <w:noWrap/>
            <w:vAlign w:val="center"/>
            <w:hideMark/>
          </w:tcPr>
          <w:p w14:paraId="295B2E52"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36.8%</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A0CCD44" w14:textId="7266F2FF" w:rsidR="00753CD6" w:rsidRPr="00BD1887"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423DCD55" w:rsidRPr="692C77C9">
              <w:rPr>
                <w:rFonts w:eastAsia="Times New Roman" w:cs="Calibri"/>
                <w:color w:val="000000" w:themeColor="text1"/>
              </w:rPr>
              <w:t>*</w:t>
            </w:r>
          </w:p>
        </w:tc>
      </w:tr>
      <w:tr w:rsidR="00753CD6" w:rsidRPr="00BD1887" w14:paraId="372A64CA" w14:textId="77777777" w:rsidTr="00B6391D">
        <w:trPr>
          <w:trHeight w:val="1050"/>
          <w:jc w:val="center"/>
        </w:trPr>
        <w:tc>
          <w:tcPr>
            <w:tcW w:w="1660" w:type="dxa"/>
            <w:tcBorders>
              <w:top w:val="nil"/>
              <w:left w:val="single" w:sz="8" w:space="0" w:color="000000" w:themeColor="text1"/>
              <w:bottom w:val="nil"/>
              <w:right w:val="single" w:sz="8" w:space="0" w:color="000000" w:themeColor="text1"/>
            </w:tcBorders>
            <w:shd w:val="clear" w:color="auto" w:fill="auto"/>
            <w:vAlign w:val="center"/>
            <w:hideMark/>
          </w:tcPr>
          <w:p w14:paraId="47540953" w14:textId="77777777" w:rsidR="00753CD6" w:rsidRPr="00BD1887" w:rsidRDefault="00753CD6" w:rsidP="00EE745E">
            <w:pPr>
              <w:spacing w:after="0"/>
              <w:rPr>
                <w:rFonts w:eastAsia="Times New Roman" w:cs="Calibri"/>
                <w:color w:val="000000"/>
                <w:sz w:val="20"/>
                <w:szCs w:val="20"/>
              </w:rPr>
            </w:pPr>
            <w:r w:rsidRPr="00BD1887">
              <w:rPr>
                <w:rFonts w:eastAsia="Times New Roman" w:cs="Calibri"/>
                <w:color w:val="000000"/>
                <w:sz w:val="20"/>
                <w:szCs w:val="20"/>
              </w:rPr>
              <w:t>FUH</w:t>
            </w:r>
          </w:p>
        </w:tc>
        <w:tc>
          <w:tcPr>
            <w:tcW w:w="1760" w:type="dxa"/>
            <w:tcBorders>
              <w:top w:val="nil"/>
              <w:left w:val="nil"/>
              <w:bottom w:val="nil"/>
              <w:right w:val="single" w:sz="8" w:space="0" w:color="auto"/>
            </w:tcBorders>
            <w:shd w:val="clear" w:color="auto" w:fill="auto"/>
            <w:vAlign w:val="center"/>
            <w:hideMark/>
          </w:tcPr>
          <w:p w14:paraId="7DF69249" w14:textId="445F46FB" w:rsidR="00753CD6" w:rsidRPr="00BD1887" w:rsidRDefault="00753CD6" w:rsidP="00EE745E">
            <w:pPr>
              <w:spacing w:after="0"/>
              <w:rPr>
                <w:rFonts w:eastAsia="Times New Roman" w:cs="Calibri"/>
                <w:color w:val="000000"/>
                <w:sz w:val="20"/>
                <w:szCs w:val="20"/>
              </w:rPr>
            </w:pPr>
            <w:r w:rsidRPr="00BD1887">
              <w:rPr>
                <w:rFonts w:eastAsia="Times New Roman" w:cs="Calibri"/>
                <w:color w:val="000000"/>
                <w:sz w:val="20"/>
                <w:szCs w:val="20"/>
              </w:rPr>
              <w:t xml:space="preserve">Follow-Up After Hospitalization for Mental Illness </w:t>
            </w:r>
            <w:r w:rsidR="002C6444">
              <w:rPr>
                <w:rFonts w:eastAsia="Times New Roman" w:cs="Calibri"/>
                <w:color w:val="000000"/>
                <w:sz w:val="20"/>
                <w:szCs w:val="20"/>
              </w:rPr>
              <w:br/>
            </w:r>
            <w:r w:rsidRPr="00BD1887">
              <w:rPr>
                <w:rFonts w:eastAsia="Times New Roman" w:cs="Calibri"/>
                <w:color w:val="000000"/>
                <w:sz w:val="20"/>
                <w:szCs w:val="20"/>
              </w:rPr>
              <w:t>(7 Days, Age 18-64)</w:t>
            </w:r>
          </w:p>
        </w:tc>
        <w:tc>
          <w:tcPr>
            <w:tcW w:w="1180" w:type="dxa"/>
            <w:tcBorders>
              <w:top w:val="nil"/>
              <w:left w:val="nil"/>
              <w:bottom w:val="nil"/>
              <w:right w:val="single" w:sz="8" w:space="0" w:color="auto"/>
            </w:tcBorders>
            <w:shd w:val="clear" w:color="auto" w:fill="F2F2F2" w:themeFill="background1" w:themeFillShade="F2"/>
            <w:noWrap/>
            <w:vAlign w:val="center"/>
            <w:hideMark/>
          </w:tcPr>
          <w:p w14:paraId="7756F240"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46.7%</w:t>
            </w:r>
          </w:p>
        </w:tc>
        <w:tc>
          <w:tcPr>
            <w:tcW w:w="1240" w:type="dxa"/>
            <w:tcBorders>
              <w:top w:val="nil"/>
              <w:left w:val="nil"/>
              <w:bottom w:val="nil"/>
              <w:right w:val="single" w:sz="8" w:space="0" w:color="auto"/>
            </w:tcBorders>
            <w:shd w:val="clear" w:color="auto" w:fill="F2F2F2" w:themeFill="background1" w:themeFillShade="F2"/>
            <w:noWrap/>
            <w:vAlign w:val="center"/>
            <w:hideMark/>
          </w:tcPr>
          <w:p w14:paraId="5D988BA4"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42.7%</w:t>
            </w:r>
          </w:p>
        </w:tc>
        <w:tc>
          <w:tcPr>
            <w:tcW w:w="1220" w:type="dxa"/>
            <w:tcBorders>
              <w:top w:val="nil"/>
              <w:left w:val="nil"/>
              <w:bottom w:val="single" w:sz="8" w:space="0" w:color="auto"/>
              <w:right w:val="single" w:sz="8" w:space="0" w:color="auto"/>
            </w:tcBorders>
            <w:shd w:val="clear" w:color="auto" w:fill="F2F2F2" w:themeFill="background1" w:themeFillShade="F2"/>
            <w:noWrap/>
            <w:vAlign w:val="center"/>
            <w:hideMark/>
          </w:tcPr>
          <w:p w14:paraId="4031FF4D"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45.8%</w:t>
            </w:r>
          </w:p>
        </w:tc>
        <w:tc>
          <w:tcPr>
            <w:tcW w:w="1220"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591BF5F4" w14:textId="77777777" w:rsidR="00753CD6" w:rsidRPr="00BD1887" w:rsidRDefault="00753CD6" w:rsidP="00EE745E">
            <w:pPr>
              <w:spacing w:after="0"/>
              <w:jc w:val="center"/>
              <w:rPr>
                <w:rFonts w:eastAsia="Times New Roman" w:cs="Calibri"/>
              </w:rPr>
            </w:pPr>
            <w:r w:rsidRPr="00BD1887">
              <w:rPr>
                <w:rFonts w:eastAsia="Times New Roman" w:cs="Calibri"/>
              </w:rPr>
              <w:t>43.8%</w:t>
            </w:r>
          </w:p>
        </w:tc>
        <w:tc>
          <w:tcPr>
            <w:tcW w:w="960" w:type="dxa"/>
            <w:tcBorders>
              <w:top w:val="nil"/>
              <w:left w:val="nil"/>
              <w:bottom w:val="single" w:sz="8" w:space="0" w:color="auto"/>
              <w:right w:val="single" w:sz="8" w:space="0" w:color="auto"/>
            </w:tcBorders>
            <w:shd w:val="clear" w:color="auto" w:fill="auto"/>
            <w:noWrap/>
            <w:vAlign w:val="center"/>
            <w:hideMark/>
          </w:tcPr>
          <w:p w14:paraId="20B76856" w14:textId="738644C2" w:rsidR="00753CD6" w:rsidRPr="00BD1887"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23859342" w:rsidRPr="692C77C9">
              <w:rPr>
                <w:rFonts w:eastAsia="Times New Roman" w:cs="Calibri"/>
                <w:color w:val="000000" w:themeColor="text1"/>
              </w:rPr>
              <w:t>*</w:t>
            </w:r>
          </w:p>
        </w:tc>
      </w:tr>
      <w:tr w:rsidR="00753CD6" w:rsidRPr="00BD1887" w14:paraId="5BC4D194" w14:textId="77777777" w:rsidTr="00B6391D">
        <w:trPr>
          <w:trHeight w:val="1310"/>
          <w:jc w:val="center"/>
        </w:trPr>
        <w:tc>
          <w:tcPr>
            <w:tcW w:w="1660" w:type="dxa"/>
            <w:tcBorders>
              <w:top w:val="single" w:sz="8" w:space="0" w:color="auto"/>
              <w:left w:val="single" w:sz="8" w:space="0" w:color="auto"/>
              <w:bottom w:val="single" w:sz="8" w:space="0" w:color="000000" w:themeColor="text1"/>
              <w:right w:val="nil"/>
            </w:tcBorders>
            <w:shd w:val="clear" w:color="auto" w:fill="auto"/>
            <w:vAlign w:val="center"/>
            <w:hideMark/>
          </w:tcPr>
          <w:p w14:paraId="7069600A" w14:textId="77777777" w:rsidR="00753CD6" w:rsidRPr="00BD1887" w:rsidRDefault="00753CD6" w:rsidP="00EE745E">
            <w:pPr>
              <w:spacing w:after="0"/>
              <w:rPr>
                <w:rFonts w:eastAsia="Times New Roman" w:cs="Calibri"/>
                <w:color w:val="000000"/>
                <w:sz w:val="20"/>
                <w:szCs w:val="20"/>
              </w:rPr>
            </w:pPr>
            <w:r w:rsidRPr="00BD1887">
              <w:rPr>
                <w:rFonts w:eastAsia="Times New Roman" w:cs="Calibri"/>
                <w:color w:val="000000"/>
                <w:sz w:val="20"/>
                <w:szCs w:val="20"/>
              </w:rPr>
              <w:t>FUM</w:t>
            </w:r>
          </w:p>
        </w:tc>
        <w:tc>
          <w:tcPr>
            <w:tcW w:w="1760" w:type="dxa"/>
            <w:tcBorders>
              <w:top w:val="single" w:sz="8" w:space="0" w:color="auto"/>
              <w:left w:val="single" w:sz="8" w:space="0" w:color="auto"/>
              <w:bottom w:val="nil"/>
              <w:right w:val="single" w:sz="8" w:space="0" w:color="auto"/>
            </w:tcBorders>
            <w:shd w:val="clear" w:color="auto" w:fill="auto"/>
            <w:hideMark/>
          </w:tcPr>
          <w:p w14:paraId="1596447D" w14:textId="1723C35F" w:rsidR="00753CD6" w:rsidRPr="00BD1887" w:rsidRDefault="00753CD6" w:rsidP="00EE745E">
            <w:pPr>
              <w:spacing w:after="0"/>
              <w:rPr>
                <w:rFonts w:eastAsia="Times New Roman" w:cs="Calibri"/>
                <w:sz w:val="20"/>
                <w:szCs w:val="20"/>
              </w:rPr>
            </w:pPr>
            <w:r w:rsidRPr="00BD1887">
              <w:rPr>
                <w:rFonts w:eastAsia="Times New Roman" w:cs="Calibri"/>
                <w:sz w:val="20"/>
                <w:szCs w:val="20"/>
              </w:rPr>
              <w:t xml:space="preserve">Follow-Up After Emergency Department Visit for Mental Illness </w:t>
            </w:r>
            <w:r w:rsidR="002C6444">
              <w:rPr>
                <w:rFonts w:eastAsia="Times New Roman" w:cs="Calibri"/>
                <w:sz w:val="20"/>
                <w:szCs w:val="20"/>
              </w:rPr>
              <w:br/>
            </w:r>
            <w:r w:rsidRPr="00BD1887">
              <w:rPr>
                <w:rFonts w:eastAsia="Times New Roman" w:cs="Calibri"/>
                <w:sz w:val="20"/>
                <w:szCs w:val="20"/>
              </w:rPr>
              <w:t>(7 days, Age 18-64)</w:t>
            </w:r>
          </w:p>
        </w:tc>
        <w:tc>
          <w:tcPr>
            <w:tcW w:w="1180" w:type="dxa"/>
            <w:tcBorders>
              <w:top w:val="single" w:sz="8" w:space="0" w:color="auto"/>
              <w:left w:val="nil"/>
              <w:bottom w:val="nil"/>
              <w:right w:val="single" w:sz="8" w:space="0" w:color="auto"/>
            </w:tcBorders>
            <w:shd w:val="clear" w:color="auto" w:fill="F2F2F2" w:themeFill="background1" w:themeFillShade="F2"/>
            <w:noWrap/>
            <w:vAlign w:val="center"/>
            <w:hideMark/>
          </w:tcPr>
          <w:p w14:paraId="40CE35C5"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73.0%</w:t>
            </w:r>
          </w:p>
        </w:tc>
        <w:tc>
          <w:tcPr>
            <w:tcW w:w="124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41F18F8C"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72.8%</w:t>
            </w:r>
          </w:p>
        </w:tc>
        <w:tc>
          <w:tcPr>
            <w:tcW w:w="1220" w:type="dxa"/>
            <w:tcBorders>
              <w:top w:val="nil"/>
              <w:left w:val="nil"/>
              <w:bottom w:val="single" w:sz="8" w:space="0" w:color="auto"/>
              <w:right w:val="single" w:sz="8" w:space="0" w:color="auto"/>
            </w:tcBorders>
            <w:shd w:val="clear" w:color="auto" w:fill="F2F2F2" w:themeFill="background1" w:themeFillShade="F2"/>
            <w:noWrap/>
            <w:vAlign w:val="center"/>
            <w:hideMark/>
          </w:tcPr>
          <w:p w14:paraId="6B1CC48D"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73.5%</w:t>
            </w:r>
          </w:p>
        </w:tc>
        <w:tc>
          <w:tcPr>
            <w:tcW w:w="1220" w:type="dxa"/>
            <w:tcBorders>
              <w:top w:val="nil"/>
              <w:left w:val="nil"/>
              <w:bottom w:val="single" w:sz="8" w:space="0" w:color="auto"/>
              <w:right w:val="nil"/>
            </w:tcBorders>
            <w:shd w:val="clear" w:color="auto" w:fill="A8D08D" w:themeFill="accent6" w:themeFillTint="99"/>
            <w:noWrap/>
            <w:vAlign w:val="center"/>
            <w:hideMark/>
          </w:tcPr>
          <w:p w14:paraId="49AD3521" w14:textId="77777777" w:rsidR="00753CD6" w:rsidRPr="00BD1887" w:rsidRDefault="00753CD6" w:rsidP="00EE745E">
            <w:pPr>
              <w:spacing w:after="0"/>
              <w:jc w:val="center"/>
              <w:rPr>
                <w:rFonts w:eastAsia="Times New Roman" w:cs="Calibri"/>
              </w:rPr>
            </w:pPr>
            <w:r w:rsidRPr="00BD1887">
              <w:rPr>
                <w:rFonts w:eastAsia="Times New Roman" w:cs="Calibri"/>
              </w:rPr>
              <w:t>45.6%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DC2003" w14:textId="33A39008" w:rsidR="00753CD6" w:rsidRPr="00BD1887"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1D249301" w:rsidRPr="692C77C9">
              <w:rPr>
                <w:rFonts w:eastAsia="Times New Roman" w:cs="Calibri"/>
                <w:color w:val="000000" w:themeColor="text1"/>
              </w:rPr>
              <w:t>*</w:t>
            </w:r>
          </w:p>
        </w:tc>
      </w:tr>
      <w:tr w:rsidR="00753CD6" w:rsidRPr="00BD1887" w14:paraId="47B7C944" w14:textId="77777777" w:rsidTr="00B6391D">
        <w:trPr>
          <w:trHeight w:val="1830"/>
          <w:jc w:val="center"/>
        </w:trPr>
        <w:tc>
          <w:tcPr>
            <w:tcW w:w="1660" w:type="dxa"/>
            <w:tcBorders>
              <w:top w:val="nil"/>
              <w:left w:val="single" w:sz="8" w:space="0" w:color="auto"/>
              <w:bottom w:val="single" w:sz="8" w:space="0" w:color="auto"/>
              <w:right w:val="nil"/>
            </w:tcBorders>
            <w:shd w:val="clear" w:color="auto" w:fill="auto"/>
            <w:vAlign w:val="center"/>
            <w:hideMark/>
          </w:tcPr>
          <w:p w14:paraId="28A90757" w14:textId="77777777" w:rsidR="00753CD6" w:rsidRPr="00BD1887" w:rsidRDefault="00753CD6" w:rsidP="00EE745E">
            <w:pPr>
              <w:spacing w:after="0"/>
              <w:rPr>
                <w:rFonts w:eastAsia="Times New Roman" w:cs="Calibri"/>
                <w:color w:val="000000"/>
                <w:sz w:val="20"/>
                <w:szCs w:val="20"/>
              </w:rPr>
            </w:pPr>
            <w:r w:rsidRPr="00BD1887">
              <w:rPr>
                <w:rFonts w:eastAsia="Times New Roman" w:cs="Calibri"/>
                <w:color w:val="000000"/>
                <w:sz w:val="20"/>
                <w:szCs w:val="20"/>
              </w:rPr>
              <w:t>FUA</w:t>
            </w:r>
          </w:p>
        </w:tc>
        <w:tc>
          <w:tcPr>
            <w:tcW w:w="1760" w:type="dxa"/>
            <w:tcBorders>
              <w:top w:val="single" w:sz="8" w:space="0" w:color="auto"/>
              <w:left w:val="single" w:sz="8" w:space="0" w:color="auto"/>
              <w:bottom w:val="nil"/>
              <w:right w:val="single" w:sz="8" w:space="0" w:color="auto"/>
            </w:tcBorders>
            <w:shd w:val="clear" w:color="auto" w:fill="auto"/>
            <w:hideMark/>
          </w:tcPr>
          <w:p w14:paraId="778B4FA5" w14:textId="0A204886" w:rsidR="00753CD6" w:rsidRPr="00BD1887" w:rsidRDefault="00753CD6" w:rsidP="00EE745E">
            <w:pPr>
              <w:spacing w:after="0"/>
              <w:rPr>
                <w:rFonts w:eastAsia="Times New Roman" w:cs="Calibri"/>
                <w:sz w:val="20"/>
                <w:szCs w:val="20"/>
              </w:rPr>
            </w:pPr>
            <w:r w:rsidRPr="21CA7F43">
              <w:rPr>
                <w:rFonts w:eastAsia="Times New Roman" w:cs="Calibri"/>
                <w:sz w:val="20"/>
                <w:szCs w:val="20"/>
              </w:rPr>
              <w:t>Follow-Up after Emergency Department</w:t>
            </w:r>
            <w:r w:rsidR="5EE4A2EF" w:rsidRPr="21CA7F43">
              <w:rPr>
                <w:rFonts w:eastAsia="Times New Roman" w:cs="Calibri"/>
                <w:sz w:val="20"/>
                <w:szCs w:val="20"/>
              </w:rPr>
              <w:t xml:space="preserve"> Visit</w:t>
            </w:r>
            <w:r w:rsidRPr="21CA7F43">
              <w:rPr>
                <w:rFonts w:eastAsia="Times New Roman" w:cs="Calibri"/>
                <w:sz w:val="20"/>
                <w:szCs w:val="20"/>
              </w:rPr>
              <w:t xml:space="preserve"> for Alcohol and other Drug Abuse or Dependence </w:t>
            </w:r>
            <w:r w:rsidR="002C6444">
              <w:rPr>
                <w:rFonts w:eastAsia="Times New Roman" w:cs="Calibri"/>
                <w:sz w:val="20"/>
                <w:szCs w:val="20"/>
              </w:rPr>
              <w:br/>
            </w:r>
            <w:r w:rsidRPr="21CA7F43">
              <w:rPr>
                <w:rFonts w:eastAsia="Times New Roman" w:cs="Calibri"/>
                <w:sz w:val="20"/>
                <w:szCs w:val="20"/>
              </w:rPr>
              <w:t>(7 days, Age 18-64)</w:t>
            </w:r>
          </w:p>
        </w:tc>
        <w:tc>
          <w:tcPr>
            <w:tcW w:w="1180" w:type="dxa"/>
            <w:tcBorders>
              <w:top w:val="single" w:sz="8" w:space="0" w:color="auto"/>
              <w:left w:val="nil"/>
              <w:bottom w:val="nil"/>
              <w:right w:val="single" w:sz="8" w:space="0" w:color="auto"/>
            </w:tcBorders>
            <w:shd w:val="clear" w:color="auto" w:fill="F2F2F2" w:themeFill="background1" w:themeFillShade="F2"/>
            <w:noWrap/>
            <w:vAlign w:val="center"/>
            <w:hideMark/>
          </w:tcPr>
          <w:p w14:paraId="367B723D"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22.5%</w:t>
            </w:r>
          </w:p>
        </w:tc>
        <w:tc>
          <w:tcPr>
            <w:tcW w:w="1240" w:type="dxa"/>
            <w:tcBorders>
              <w:top w:val="nil"/>
              <w:left w:val="nil"/>
              <w:bottom w:val="nil"/>
              <w:right w:val="single" w:sz="8" w:space="0" w:color="auto"/>
            </w:tcBorders>
            <w:shd w:val="clear" w:color="auto" w:fill="F2F2F2" w:themeFill="background1" w:themeFillShade="F2"/>
            <w:noWrap/>
            <w:vAlign w:val="center"/>
            <w:hideMark/>
          </w:tcPr>
          <w:p w14:paraId="38DA6D65"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23.9%</w:t>
            </w:r>
          </w:p>
        </w:tc>
        <w:tc>
          <w:tcPr>
            <w:tcW w:w="1220" w:type="dxa"/>
            <w:tcBorders>
              <w:top w:val="nil"/>
              <w:left w:val="nil"/>
              <w:bottom w:val="nil"/>
              <w:right w:val="single" w:sz="8" w:space="0" w:color="auto"/>
            </w:tcBorders>
            <w:shd w:val="clear" w:color="auto" w:fill="F2F2F2" w:themeFill="background1" w:themeFillShade="F2"/>
            <w:noWrap/>
            <w:vAlign w:val="center"/>
            <w:hideMark/>
          </w:tcPr>
          <w:p w14:paraId="2EA3905D"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22.9%</w:t>
            </w:r>
          </w:p>
        </w:tc>
        <w:tc>
          <w:tcPr>
            <w:tcW w:w="1220" w:type="dxa"/>
            <w:tcBorders>
              <w:top w:val="nil"/>
              <w:left w:val="nil"/>
              <w:bottom w:val="nil"/>
              <w:right w:val="nil"/>
            </w:tcBorders>
            <w:shd w:val="clear" w:color="auto" w:fill="A8D08D" w:themeFill="accent6" w:themeFillTint="99"/>
            <w:noWrap/>
            <w:vAlign w:val="center"/>
            <w:hideMark/>
          </w:tcPr>
          <w:p w14:paraId="53E5FD00" w14:textId="77777777" w:rsidR="00753CD6" w:rsidRPr="00BD1887" w:rsidRDefault="00753CD6" w:rsidP="00EE745E">
            <w:pPr>
              <w:spacing w:after="0"/>
              <w:jc w:val="center"/>
              <w:rPr>
                <w:rFonts w:eastAsia="Times New Roman" w:cs="Calibri"/>
              </w:rPr>
            </w:pPr>
            <w:r w:rsidRPr="00BD1887">
              <w:rPr>
                <w:rFonts w:eastAsia="Times New Roman" w:cs="Calibri"/>
              </w:rPr>
              <w:t>18.3%</w:t>
            </w:r>
          </w:p>
        </w:tc>
        <w:tc>
          <w:tcPr>
            <w:tcW w:w="960" w:type="dxa"/>
            <w:tcBorders>
              <w:top w:val="nil"/>
              <w:left w:val="single" w:sz="8" w:space="0" w:color="auto"/>
              <w:bottom w:val="nil"/>
              <w:right w:val="single" w:sz="8" w:space="0" w:color="auto"/>
            </w:tcBorders>
            <w:shd w:val="clear" w:color="auto" w:fill="auto"/>
            <w:noWrap/>
            <w:vAlign w:val="center"/>
            <w:hideMark/>
          </w:tcPr>
          <w:p w14:paraId="3927D233" w14:textId="5824674F" w:rsidR="00753CD6" w:rsidRPr="00BD1887"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60EB4E08" w:rsidRPr="692C77C9">
              <w:rPr>
                <w:rFonts w:eastAsia="Times New Roman" w:cs="Calibri"/>
                <w:color w:val="000000" w:themeColor="text1"/>
              </w:rPr>
              <w:t>*</w:t>
            </w:r>
          </w:p>
        </w:tc>
      </w:tr>
      <w:tr w:rsidR="00753CD6" w:rsidRPr="00BD1887" w14:paraId="7F6489E9" w14:textId="77777777" w:rsidTr="692C77C9">
        <w:trPr>
          <w:trHeight w:val="790"/>
          <w:jc w:val="center"/>
        </w:trPr>
        <w:tc>
          <w:tcPr>
            <w:tcW w:w="1660" w:type="dxa"/>
            <w:tcBorders>
              <w:top w:val="nil"/>
              <w:left w:val="single" w:sz="8" w:space="0" w:color="000000" w:themeColor="text1"/>
              <w:bottom w:val="single" w:sz="8" w:space="0" w:color="000000" w:themeColor="text1"/>
              <w:right w:val="nil"/>
            </w:tcBorders>
            <w:shd w:val="clear" w:color="auto" w:fill="auto"/>
            <w:vAlign w:val="center"/>
            <w:hideMark/>
          </w:tcPr>
          <w:p w14:paraId="70B10E44" w14:textId="77777777" w:rsidR="00753CD6" w:rsidRPr="00BD1887" w:rsidRDefault="00753CD6" w:rsidP="00EE745E">
            <w:pPr>
              <w:spacing w:after="0"/>
              <w:rPr>
                <w:rFonts w:eastAsia="Times New Roman" w:cs="Calibri"/>
                <w:color w:val="000000"/>
                <w:sz w:val="20"/>
                <w:szCs w:val="20"/>
              </w:rPr>
            </w:pPr>
            <w:r>
              <w:rPr>
                <w:rFonts w:eastAsia="Times New Roman" w:cs="Calibri"/>
                <w:color w:val="000000"/>
                <w:sz w:val="20"/>
                <w:szCs w:val="20"/>
              </w:rPr>
              <w:t>TRC-</w:t>
            </w:r>
            <w:r w:rsidRPr="00BD1887">
              <w:rPr>
                <w:rFonts w:eastAsia="Times New Roman" w:cs="Calibri"/>
                <w:color w:val="000000"/>
                <w:sz w:val="20"/>
                <w:szCs w:val="20"/>
              </w:rPr>
              <w:t xml:space="preserve">MRP </w:t>
            </w:r>
          </w:p>
        </w:tc>
        <w:tc>
          <w:tcPr>
            <w:tcW w:w="1760" w:type="dxa"/>
            <w:tcBorders>
              <w:top w:val="single" w:sz="8" w:space="0" w:color="auto"/>
              <w:left w:val="single" w:sz="8" w:space="0" w:color="auto"/>
              <w:bottom w:val="single" w:sz="8" w:space="0" w:color="auto"/>
              <w:right w:val="nil"/>
            </w:tcBorders>
            <w:shd w:val="clear" w:color="auto" w:fill="auto"/>
            <w:hideMark/>
          </w:tcPr>
          <w:p w14:paraId="537D3B5E" w14:textId="77777777" w:rsidR="00753CD6" w:rsidRPr="00BD1887" w:rsidRDefault="00753CD6" w:rsidP="00EE745E">
            <w:pPr>
              <w:spacing w:after="0"/>
              <w:rPr>
                <w:rFonts w:eastAsia="Times New Roman" w:cs="Calibri"/>
                <w:sz w:val="20"/>
                <w:szCs w:val="20"/>
              </w:rPr>
            </w:pPr>
            <w:r w:rsidRPr="00BD1887">
              <w:rPr>
                <w:rFonts w:eastAsia="Times New Roman" w:cs="Calibri"/>
                <w:sz w:val="20"/>
                <w:szCs w:val="20"/>
              </w:rPr>
              <w:t>Medication Reconciliation Post-Discharge</w:t>
            </w:r>
          </w:p>
        </w:tc>
        <w:tc>
          <w:tcPr>
            <w:tcW w:w="118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065B57F3"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65.9%</w:t>
            </w:r>
          </w:p>
        </w:tc>
        <w:tc>
          <w:tcPr>
            <w:tcW w:w="124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7949ADBC"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65.9%</w:t>
            </w:r>
          </w:p>
        </w:tc>
        <w:tc>
          <w:tcPr>
            <w:tcW w:w="122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14:paraId="1A9B08CC" w14:textId="77777777" w:rsidR="00753CD6" w:rsidRPr="00BD1887" w:rsidRDefault="00753CD6" w:rsidP="00EE745E">
            <w:pPr>
              <w:spacing w:after="0"/>
              <w:jc w:val="center"/>
              <w:rPr>
                <w:rFonts w:eastAsia="Times New Roman" w:cs="Calibri"/>
              </w:rPr>
            </w:pPr>
            <w:r w:rsidRPr="00BD1887">
              <w:rPr>
                <w:rFonts w:eastAsia="Times New Roman" w:cs="Calibri"/>
              </w:rPr>
              <w:t>54.4%</w:t>
            </w:r>
          </w:p>
        </w:tc>
        <w:tc>
          <w:tcPr>
            <w:tcW w:w="1220" w:type="dxa"/>
            <w:tcBorders>
              <w:top w:val="single" w:sz="8" w:space="0" w:color="auto"/>
              <w:left w:val="nil"/>
              <w:bottom w:val="single" w:sz="8" w:space="0" w:color="auto"/>
              <w:right w:val="nil"/>
            </w:tcBorders>
            <w:shd w:val="clear" w:color="auto" w:fill="auto"/>
            <w:noWrap/>
            <w:vAlign w:val="center"/>
            <w:hideMark/>
          </w:tcPr>
          <w:p w14:paraId="48AD4B8E" w14:textId="77777777" w:rsidR="00753CD6" w:rsidRPr="00BD1887" w:rsidRDefault="00753CD6" w:rsidP="00EE745E">
            <w:pPr>
              <w:spacing w:after="0"/>
              <w:jc w:val="center"/>
              <w:rPr>
                <w:rFonts w:eastAsia="Times New Roman" w:cs="Calibri"/>
              </w:rPr>
            </w:pPr>
            <w:r w:rsidRPr="00BD1887">
              <w:rPr>
                <w:rFonts w:eastAsia="Times New Roman" w:cs="Calibri"/>
              </w:rPr>
              <w:t>80.8%</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38716F" w14:textId="77777777" w:rsidR="00753CD6" w:rsidRPr="00BD1887" w:rsidRDefault="00753CD6" w:rsidP="00EE745E">
            <w:pPr>
              <w:spacing w:after="0"/>
              <w:jc w:val="center"/>
              <w:rPr>
                <w:rFonts w:eastAsia="Times New Roman" w:cs="Calibri"/>
                <w:color w:val="000000"/>
              </w:rPr>
            </w:pPr>
            <w:r w:rsidRPr="00BD1887">
              <w:rPr>
                <w:rFonts w:eastAsia="Times New Roman" w:cs="Calibri"/>
                <w:color w:val="000000"/>
              </w:rPr>
              <w:t>67.4%</w:t>
            </w:r>
          </w:p>
        </w:tc>
      </w:tr>
      <w:tr w:rsidR="00753CD6" w:rsidRPr="00BD1887" w14:paraId="1AF33E08" w14:textId="77777777" w:rsidTr="692C77C9">
        <w:trPr>
          <w:trHeight w:val="1050"/>
          <w:jc w:val="center"/>
        </w:trPr>
        <w:tc>
          <w:tcPr>
            <w:tcW w:w="1660" w:type="dxa"/>
            <w:tcBorders>
              <w:top w:val="nil"/>
              <w:left w:val="single" w:sz="8" w:space="0" w:color="000000" w:themeColor="text1"/>
              <w:bottom w:val="single" w:sz="8" w:space="0" w:color="000000" w:themeColor="text1"/>
              <w:right w:val="nil"/>
            </w:tcBorders>
            <w:shd w:val="clear" w:color="auto" w:fill="auto"/>
            <w:vAlign w:val="center"/>
            <w:hideMark/>
          </w:tcPr>
          <w:p w14:paraId="4F0BA0A3" w14:textId="77777777" w:rsidR="00753CD6" w:rsidRPr="00BD1887" w:rsidRDefault="00753CD6" w:rsidP="00EE745E">
            <w:pPr>
              <w:spacing w:after="0"/>
              <w:rPr>
                <w:rFonts w:eastAsia="Times New Roman" w:cs="Calibri"/>
                <w:color w:val="000000"/>
                <w:sz w:val="20"/>
                <w:szCs w:val="20"/>
              </w:rPr>
            </w:pPr>
            <w:r w:rsidRPr="00BD1887">
              <w:rPr>
                <w:rFonts w:eastAsia="Times New Roman" w:cs="Calibri"/>
                <w:color w:val="000000"/>
                <w:sz w:val="20"/>
                <w:szCs w:val="20"/>
              </w:rPr>
              <w:t>PCR</w:t>
            </w:r>
          </w:p>
        </w:tc>
        <w:tc>
          <w:tcPr>
            <w:tcW w:w="1760" w:type="dxa"/>
            <w:tcBorders>
              <w:top w:val="nil"/>
              <w:left w:val="single" w:sz="8" w:space="0" w:color="auto"/>
              <w:bottom w:val="single" w:sz="8" w:space="0" w:color="auto"/>
              <w:right w:val="nil"/>
            </w:tcBorders>
            <w:shd w:val="clear" w:color="auto" w:fill="auto"/>
            <w:hideMark/>
          </w:tcPr>
          <w:p w14:paraId="0C1E63C3" w14:textId="77777777" w:rsidR="00753CD6" w:rsidRPr="00BD1887" w:rsidRDefault="00753CD6" w:rsidP="00EE745E">
            <w:pPr>
              <w:spacing w:after="0"/>
              <w:rPr>
                <w:rFonts w:eastAsia="Times New Roman" w:cs="Calibri"/>
                <w:sz w:val="20"/>
                <w:szCs w:val="20"/>
              </w:rPr>
            </w:pPr>
            <w:r w:rsidRPr="00BD1887">
              <w:rPr>
                <w:rFonts w:eastAsia="Times New Roman" w:cs="Calibri"/>
                <w:sz w:val="20"/>
                <w:szCs w:val="20"/>
              </w:rPr>
              <w:t>Plan All-Cause Readmissions (Observed/Expected Ratio, Age 18-64)</w:t>
            </w:r>
          </w:p>
        </w:tc>
        <w:tc>
          <w:tcPr>
            <w:tcW w:w="118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04E5DB74" w14:textId="77777777" w:rsidR="00753CD6" w:rsidRPr="00BD1887" w:rsidRDefault="00753CD6" w:rsidP="00EE745E">
            <w:pPr>
              <w:spacing w:after="0"/>
              <w:jc w:val="center"/>
              <w:rPr>
                <w:rFonts w:eastAsia="Times New Roman" w:cs="Calibri"/>
                <w:color w:val="000000"/>
              </w:rPr>
            </w:pPr>
            <w:r w:rsidRPr="21CA7F43">
              <w:rPr>
                <w:rFonts w:eastAsia="Times New Roman" w:cs="Calibri"/>
                <w:color w:val="000000" w:themeColor="text1"/>
              </w:rPr>
              <w:t>0.9929</w:t>
            </w:r>
          </w:p>
        </w:tc>
        <w:tc>
          <w:tcPr>
            <w:tcW w:w="1240" w:type="dxa"/>
            <w:tcBorders>
              <w:top w:val="nil"/>
              <w:left w:val="nil"/>
              <w:bottom w:val="single" w:sz="8" w:space="0" w:color="auto"/>
              <w:right w:val="single" w:sz="8" w:space="0" w:color="auto"/>
            </w:tcBorders>
            <w:shd w:val="clear" w:color="auto" w:fill="F2F2F2" w:themeFill="background1" w:themeFillShade="F2"/>
            <w:noWrap/>
            <w:vAlign w:val="center"/>
            <w:hideMark/>
          </w:tcPr>
          <w:p w14:paraId="012099AE" w14:textId="77777777" w:rsidR="00753CD6" w:rsidRPr="00BD1887" w:rsidRDefault="00753CD6" w:rsidP="00EE745E">
            <w:pPr>
              <w:spacing w:after="0"/>
              <w:jc w:val="center"/>
              <w:rPr>
                <w:rFonts w:eastAsia="Times New Roman" w:cs="Calibri"/>
              </w:rPr>
            </w:pPr>
            <w:r w:rsidRPr="00BD1887">
              <w:rPr>
                <w:rFonts w:eastAsia="Times New Roman" w:cs="Calibri"/>
              </w:rPr>
              <w:t>1.2086</w:t>
            </w:r>
          </w:p>
        </w:tc>
        <w:tc>
          <w:tcPr>
            <w:tcW w:w="1220" w:type="dxa"/>
            <w:tcBorders>
              <w:top w:val="nil"/>
              <w:left w:val="nil"/>
              <w:bottom w:val="single" w:sz="8" w:space="0" w:color="auto"/>
              <w:right w:val="single" w:sz="8" w:space="0" w:color="auto"/>
            </w:tcBorders>
            <w:shd w:val="clear" w:color="auto" w:fill="F2F2F2" w:themeFill="background1" w:themeFillShade="F2"/>
            <w:noWrap/>
            <w:vAlign w:val="center"/>
            <w:hideMark/>
          </w:tcPr>
          <w:p w14:paraId="5AB465F3" w14:textId="77777777" w:rsidR="00753CD6" w:rsidRPr="00BD1887" w:rsidRDefault="00753CD6" w:rsidP="00EE745E">
            <w:pPr>
              <w:spacing w:after="0"/>
              <w:jc w:val="center"/>
              <w:rPr>
                <w:rFonts w:eastAsia="Times New Roman" w:cs="Calibri"/>
              </w:rPr>
            </w:pPr>
            <w:r w:rsidRPr="00BD1887">
              <w:rPr>
                <w:rFonts w:eastAsia="Times New Roman" w:cs="Calibri"/>
              </w:rPr>
              <w:t>1.1461</w:t>
            </w:r>
          </w:p>
        </w:tc>
        <w:tc>
          <w:tcPr>
            <w:tcW w:w="1220" w:type="dxa"/>
            <w:tcBorders>
              <w:top w:val="nil"/>
              <w:left w:val="nil"/>
              <w:bottom w:val="single" w:sz="8" w:space="0" w:color="auto"/>
              <w:right w:val="single" w:sz="8" w:space="0" w:color="auto"/>
            </w:tcBorders>
            <w:shd w:val="clear" w:color="auto" w:fill="auto"/>
            <w:noWrap/>
            <w:vAlign w:val="center"/>
            <w:hideMark/>
          </w:tcPr>
          <w:p w14:paraId="55B80EE4" w14:textId="77777777" w:rsidR="00753CD6" w:rsidRPr="00BD1887" w:rsidRDefault="00753CD6" w:rsidP="00EE745E">
            <w:pPr>
              <w:spacing w:after="0"/>
              <w:jc w:val="center"/>
              <w:rPr>
                <w:rFonts w:eastAsia="Times New Roman" w:cs="Calibri"/>
              </w:rPr>
            </w:pPr>
            <w:r w:rsidRPr="00BD1887">
              <w:rPr>
                <w:rFonts w:eastAsia="Times New Roman" w:cs="Calibri"/>
              </w:rPr>
              <w:t>0.9619</w:t>
            </w:r>
          </w:p>
        </w:tc>
        <w:tc>
          <w:tcPr>
            <w:tcW w:w="960" w:type="dxa"/>
            <w:tcBorders>
              <w:top w:val="nil"/>
              <w:left w:val="nil"/>
              <w:bottom w:val="single" w:sz="8" w:space="0" w:color="auto"/>
              <w:right w:val="single" w:sz="8" w:space="0" w:color="auto"/>
            </w:tcBorders>
            <w:shd w:val="clear" w:color="auto" w:fill="auto"/>
            <w:noWrap/>
            <w:vAlign w:val="center"/>
            <w:hideMark/>
          </w:tcPr>
          <w:p w14:paraId="1120308D" w14:textId="7935FF0B" w:rsidR="00753CD6" w:rsidRPr="00BD1887" w:rsidRDefault="00753CD6" w:rsidP="00EE745E">
            <w:pPr>
              <w:spacing w:after="0"/>
              <w:jc w:val="center"/>
              <w:rPr>
                <w:rFonts w:eastAsia="Times New Roman" w:cs="Calibri"/>
                <w:color w:val="000000"/>
              </w:rPr>
            </w:pPr>
            <w:r w:rsidRPr="21CA7F43">
              <w:rPr>
                <w:rFonts w:eastAsia="Times New Roman" w:cs="Calibri"/>
                <w:color w:val="000000" w:themeColor="text1"/>
              </w:rPr>
              <w:t>0.9898</w:t>
            </w:r>
          </w:p>
        </w:tc>
      </w:tr>
    </w:tbl>
    <w:p w14:paraId="2146A701" w14:textId="13099290" w:rsidR="692C77C9" w:rsidRPr="00730D03" w:rsidRDefault="692C77C9" w:rsidP="0092443C">
      <w:pPr>
        <w:pStyle w:val="Default"/>
        <w:spacing w:before="120" w:after="120"/>
        <w:rPr>
          <w:rFonts w:ascii="Calibri" w:eastAsia="Calibri" w:hAnsi="Calibri" w:cs="Calibri"/>
          <w:sz w:val="22"/>
          <w:szCs w:val="22"/>
        </w:rPr>
      </w:pPr>
      <w:r w:rsidRPr="00EC4361">
        <w:rPr>
          <w:rFonts w:ascii="Calibri" w:eastAsia="Calibri" w:hAnsi="Calibri" w:cs="Calibri"/>
          <w:sz w:val="20"/>
          <w:szCs w:val="20"/>
        </w:rPr>
        <w:t xml:space="preserve">* </w:t>
      </w:r>
      <w:r w:rsidR="7CBC58B7" w:rsidRPr="00EC4361">
        <w:rPr>
          <w:rFonts w:ascii="Calibri" w:eastAsia="Calibri" w:hAnsi="Calibri" w:cs="Calibri"/>
          <w:sz w:val="20"/>
          <w:szCs w:val="20"/>
        </w:rPr>
        <w:t>N/A = Gap</w:t>
      </w:r>
      <w:r w:rsidR="7FDDD2A0" w:rsidRPr="00EC4361">
        <w:rPr>
          <w:rFonts w:ascii="Calibri" w:eastAsia="Calibri" w:hAnsi="Calibri" w:cs="Calibri"/>
          <w:sz w:val="20"/>
          <w:szCs w:val="20"/>
        </w:rPr>
        <w:t xml:space="preserve"> to Goal does not apply because </w:t>
      </w:r>
      <w:r w:rsidR="74791520" w:rsidRPr="692C77C9">
        <w:rPr>
          <w:rFonts w:ascii="Calibri" w:eastAsia="Calibri" w:hAnsi="Calibri" w:cs="Calibri"/>
          <w:sz w:val="20"/>
          <w:szCs w:val="20"/>
        </w:rPr>
        <w:t xml:space="preserve">either </w:t>
      </w:r>
      <w:r w:rsidR="7FDDD2A0" w:rsidRPr="00EC4361">
        <w:rPr>
          <w:rFonts w:ascii="Calibri" w:eastAsia="Calibri" w:hAnsi="Calibri" w:cs="Calibri"/>
          <w:sz w:val="20"/>
          <w:szCs w:val="20"/>
        </w:rPr>
        <w:t>MassHealth MY</w:t>
      </w:r>
      <w:r w:rsidR="177948C3" w:rsidRPr="692C77C9">
        <w:rPr>
          <w:rFonts w:ascii="Calibri" w:eastAsia="Calibri" w:hAnsi="Calibri" w:cs="Calibri"/>
          <w:sz w:val="20"/>
          <w:szCs w:val="20"/>
        </w:rPr>
        <w:t xml:space="preserve"> </w:t>
      </w:r>
      <w:r w:rsidR="7FDDD2A0" w:rsidRPr="00EC4361">
        <w:rPr>
          <w:rFonts w:ascii="Calibri" w:eastAsia="Calibri" w:hAnsi="Calibri" w:cs="Calibri"/>
          <w:sz w:val="20"/>
          <w:szCs w:val="20"/>
        </w:rPr>
        <w:t>20</w:t>
      </w:r>
      <w:r w:rsidR="6B2D7FFA" w:rsidRPr="692C77C9">
        <w:rPr>
          <w:rFonts w:ascii="Calibri" w:eastAsia="Calibri" w:hAnsi="Calibri" w:cs="Calibri"/>
          <w:sz w:val="20"/>
          <w:szCs w:val="20"/>
        </w:rPr>
        <w:t>18</w:t>
      </w:r>
      <w:r w:rsidR="7FDDD2A0" w:rsidRPr="00EC4361">
        <w:rPr>
          <w:rFonts w:ascii="Calibri" w:eastAsia="Calibri" w:hAnsi="Calibri" w:cs="Calibri"/>
          <w:sz w:val="20"/>
          <w:szCs w:val="20"/>
        </w:rPr>
        <w:t xml:space="preserve"> </w:t>
      </w:r>
      <w:r w:rsidR="44239565" w:rsidRPr="692C77C9">
        <w:rPr>
          <w:rFonts w:ascii="Calibri" w:eastAsia="Calibri" w:hAnsi="Calibri" w:cs="Calibri"/>
          <w:sz w:val="20"/>
          <w:szCs w:val="20"/>
        </w:rPr>
        <w:t xml:space="preserve">or MY 2020 </w:t>
      </w:r>
      <w:r w:rsidR="7FDDD2A0" w:rsidRPr="00EC4361">
        <w:rPr>
          <w:rFonts w:ascii="Calibri" w:eastAsia="Calibri" w:hAnsi="Calibri" w:cs="Calibri"/>
          <w:sz w:val="20"/>
          <w:szCs w:val="20"/>
        </w:rPr>
        <w:t>perform</w:t>
      </w:r>
      <w:r w:rsidR="0605365D" w:rsidRPr="00EC4361">
        <w:rPr>
          <w:rFonts w:ascii="Calibri" w:eastAsia="Calibri" w:hAnsi="Calibri" w:cs="Calibri"/>
          <w:sz w:val="20"/>
          <w:szCs w:val="20"/>
        </w:rPr>
        <w:t xml:space="preserve">ance was above </w:t>
      </w:r>
      <w:r w:rsidR="6AFB50D1" w:rsidRPr="692C77C9">
        <w:rPr>
          <w:rFonts w:ascii="Calibri" w:eastAsia="Calibri" w:hAnsi="Calibri" w:cs="Calibri"/>
          <w:sz w:val="20"/>
          <w:szCs w:val="20"/>
        </w:rPr>
        <w:t xml:space="preserve">MY 2020 </w:t>
      </w:r>
      <w:r w:rsidR="0605365D" w:rsidRPr="00EC4361">
        <w:rPr>
          <w:rFonts w:ascii="Calibri" w:eastAsia="Calibri" w:hAnsi="Calibri" w:cs="Calibri"/>
          <w:sz w:val="20"/>
          <w:szCs w:val="20"/>
        </w:rPr>
        <w:t>benchmark.</w:t>
      </w:r>
      <w:r w:rsidR="7FDDD2A0" w:rsidRPr="692C77C9">
        <w:rPr>
          <w:rFonts w:ascii="Calibri" w:eastAsia="Calibri" w:hAnsi="Calibri" w:cs="Calibri"/>
          <w:sz w:val="22"/>
          <w:szCs w:val="22"/>
        </w:rPr>
        <w:t xml:space="preserve"> </w:t>
      </w:r>
    </w:p>
    <w:p w14:paraId="489A890D" w14:textId="18C35ACF" w:rsidR="00753CD6" w:rsidRPr="006207CB" w:rsidRDefault="00753CD6" w:rsidP="00753CD6">
      <w:pPr>
        <w:pStyle w:val="Default"/>
        <w:rPr>
          <w:rFonts w:asciiTheme="minorHAnsi" w:hAnsiTheme="minorHAnsi" w:cstheme="minorBidi"/>
          <w:sz w:val="22"/>
          <w:szCs w:val="22"/>
        </w:rPr>
      </w:pPr>
      <w:r w:rsidRPr="692C77C9">
        <w:rPr>
          <w:rFonts w:asciiTheme="minorHAnsi" w:hAnsiTheme="minorHAnsi" w:cstheme="minorBidi"/>
          <w:sz w:val="22"/>
          <w:szCs w:val="22"/>
        </w:rPr>
        <w:t>MassHealth exceeded the benchmark rate on three of the six measures identified for Goal 2</w:t>
      </w:r>
      <w:r w:rsidR="006207CB">
        <w:rPr>
          <w:rFonts w:asciiTheme="minorHAnsi" w:hAnsiTheme="minorHAnsi" w:cstheme="minorBidi"/>
          <w:sz w:val="22"/>
          <w:szCs w:val="22"/>
        </w:rPr>
        <w:t>:</w:t>
      </w:r>
      <w:r w:rsidR="76F26619" w:rsidRPr="692C77C9">
        <w:rPr>
          <w:rFonts w:asciiTheme="minorHAnsi" w:hAnsiTheme="minorHAnsi" w:cstheme="minorBidi"/>
          <w:sz w:val="22"/>
          <w:szCs w:val="22"/>
        </w:rPr>
        <w:t xml:space="preserve"> Follow-Up After Hospitalization for Mental Illness</w:t>
      </w:r>
      <w:r w:rsidR="7D2BE29A" w:rsidRPr="692C77C9">
        <w:rPr>
          <w:rFonts w:asciiTheme="minorHAnsi" w:hAnsiTheme="minorHAnsi" w:cstheme="minorBidi"/>
          <w:sz w:val="22"/>
          <w:szCs w:val="22"/>
        </w:rPr>
        <w:t xml:space="preserve"> (7 day)</w:t>
      </w:r>
      <w:r w:rsidR="76F26619" w:rsidRPr="692C77C9">
        <w:rPr>
          <w:rFonts w:asciiTheme="minorHAnsi" w:hAnsiTheme="minorHAnsi" w:cstheme="minorBidi"/>
          <w:sz w:val="22"/>
          <w:szCs w:val="22"/>
        </w:rPr>
        <w:t>, Follow-Up After Emergency Visit for Mental Illness (7 day), and Follow-Up After Emergency Department Visit for Alcohol an</w:t>
      </w:r>
      <w:r w:rsidR="1A5D597C" w:rsidRPr="692C77C9">
        <w:rPr>
          <w:rFonts w:asciiTheme="minorHAnsi" w:hAnsiTheme="minorHAnsi" w:cstheme="minorBidi"/>
          <w:sz w:val="22"/>
          <w:szCs w:val="22"/>
        </w:rPr>
        <w:t xml:space="preserve">d Other Drug Abuse or </w:t>
      </w:r>
      <w:r w:rsidR="1A5D597C" w:rsidRPr="692C77C9">
        <w:rPr>
          <w:rFonts w:asciiTheme="minorHAnsi" w:hAnsiTheme="minorHAnsi" w:cstheme="minorBidi"/>
          <w:sz w:val="22"/>
          <w:szCs w:val="22"/>
        </w:rPr>
        <w:lastRenderedPageBreak/>
        <w:t>Dependence (7 day).</w:t>
      </w:r>
      <w:r w:rsidR="422CC97E" w:rsidRPr="692C77C9">
        <w:rPr>
          <w:rFonts w:asciiTheme="minorHAnsi" w:hAnsiTheme="minorHAnsi" w:cstheme="minorBidi"/>
          <w:sz w:val="22"/>
          <w:szCs w:val="22"/>
        </w:rPr>
        <w:t xml:space="preserve"> Rates were</w:t>
      </w:r>
      <w:r w:rsidR="06678F65" w:rsidRPr="692C77C9">
        <w:rPr>
          <w:rFonts w:asciiTheme="minorHAnsi" w:hAnsiTheme="minorHAnsi" w:cstheme="minorBidi"/>
          <w:sz w:val="22"/>
          <w:szCs w:val="22"/>
        </w:rPr>
        <w:t xml:space="preserve"> s</w:t>
      </w:r>
      <w:r w:rsidRPr="692C77C9">
        <w:rPr>
          <w:rFonts w:asciiTheme="minorHAnsi" w:hAnsiTheme="minorHAnsi" w:cstheme="minorBidi"/>
          <w:sz w:val="22"/>
          <w:szCs w:val="22"/>
        </w:rPr>
        <w:t>table during the three-year period. The rate for APM improved strongly in MY 2019 as compared to the prior year</w:t>
      </w:r>
      <w:r w:rsidR="008645B8" w:rsidRPr="692C77C9">
        <w:rPr>
          <w:rFonts w:asciiTheme="minorHAnsi" w:hAnsiTheme="minorHAnsi" w:cstheme="minorBidi"/>
          <w:sz w:val="22"/>
          <w:szCs w:val="22"/>
        </w:rPr>
        <w:t>.</w:t>
      </w:r>
      <w:r w:rsidRPr="692C77C9">
        <w:rPr>
          <w:rFonts w:asciiTheme="minorHAnsi" w:hAnsiTheme="minorHAnsi" w:cstheme="minorBidi"/>
          <w:sz w:val="22"/>
          <w:szCs w:val="22"/>
        </w:rPr>
        <w:t xml:space="preserve"> </w:t>
      </w:r>
      <w:r w:rsidR="008645B8" w:rsidRPr="692C77C9">
        <w:rPr>
          <w:rFonts w:asciiTheme="minorHAnsi" w:hAnsiTheme="minorHAnsi" w:cstheme="minorBidi"/>
          <w:sz w:val="22"/>
          <w:szCs w:val="22"/>
        </w:rPr>
        <w:t xml:space="preserve"> </w:t>
      </w:r>
      <w:r w:rsidRPr="692C77C9">
        <w:rPr>
          <w:rFonts w:asciiTheme="minorHAnsi" w:hAnsiTheme="minorHAnsi" w:cstheme="minorBidi"/>
          <w:sz w:val="22"/>
          <w:szCs w:val="22"/>
        </w:rPr>
        <w:t xml:space="preserve">MassHealth’s performance </w:t>
      </w:r>
      <w:r w:rsidR="009C7126" w:rsidRPr="692C77C9">
        <w:rPr>
          <w:rFonts w:asciiTheme="minorHAnsi" w:hAnsiTheme="minorHAnsi" w:cstheme="minorBidi"/>
          <w:sz w:val="22"/>
          <w:szCs w:val="22"/>
        </w:rPr>
        <w:t xml:space="preserve">in MY 2020 </w:t>
      </w:r>
      <w:r w:rsidR="005541A0" w:rsidRPr="692C77C9">
        <w:rPr>
          <w:rFonts w:asciiTheme="minorHAnsi" w:hAnsiTheme="minorHAnsi" w:cstheme="minorBidi"/>
          <w:sz w:val="22"/>
          <w:szCs w:val="22"/>
        </w:rPr>
        <w:t xml:space="preserve">was </w:t>
      </w:r>
      <w:r w:rsidRPr="692C77C9">
        <w:rPr>
          <w:rFonts w:asciiTheme="minorHAnsi" w:hAnsiTheme="minorHAnsi" w:cstheme="minorBidi"/>
          <w:sz w:val="22"/>
          <w:szCs w:val="22"/>
        </w:rPr>
        <w:t>just below the 75</w:t>
      </w:r>
      <w:r w:rsidRPr="692C77C9">
        <w:rPr>
          <w:rFonts w:asciiTheme="minorHAnsi" w:hAnsiTheme="minorHAnsi" w:cstheme="minorBidi"/>
          <w:sz w:val="22"/>
          <w:szCs w:val="22"/>
          <w:vertAlign w:val="superscript"/>
        </w:rPr>
        <w:t>th</w:t>
      </w:r>
      <w:r w:rsidRPr="692C77C9">
        <w:rPr>
          <w:rFonts w:asciiTheme="minorHAnsi" w:hAnsiTheme="minorHAnsi" w:cstheme="minorBidi"/>
          <w:sz w:val="22"/>
          <w:szCs w:val="22"/>
        </w:rPr>
        <w:t xml:space="preserve"> national Medicaid percentile benchmark. Rates for the </w:t>
      </w:r>
      <w:r w:rsidR="331C4856" w:rsidRPr="692C77C9">
        <w:rPr>
          <w:rFonts w:asciiTheme="minorHAnsi" w:hAnsiTheme="minorHAnsi" w:cstheme="minorBidi"/>
          <w:sz w:val="22"/>
          <w:szCs w:val="22"/>
        </w:rPr>
        <w:t>remaining</w:t>
      </w:r>
      <w:r w:rsidRPr="692C77C9">
        <w:rPr>
          <w:rFonts w:asciiTheme="minorHAnsi" w:hAnsiTheme="minorHAnsi" w:cstheme="minorBidi"/>
          <w:sz w:val="22"/>
          <w:szCs w:val="22"/>
        </w:rPr>
        <w:t xml:space="preserve"> two measures (TRC-MRP and PCR) represent opportunities for improvement for MassHealth.  </w:t>
      </w:r>
    </w:p>
    <w:p w14:paraId="1BF5D5FD" w14:textId="10D27DAC" w:rsidR="00753CD6" w:rsidRPr="00730D03" w:rsidRDefault="00753CD6" w:rsidP="00730D03">
      <w:pPr>
        <w:pStyle w:val="Heading3"/>
        <w:spacing w:after="120"/>
        <w:ind w:left="0" w:firstLine="0"/>
        <w:rPr>
          <w:sz w:val="28"/>
          <w:szCs w:val="28"/>
          <w:u w:val="single"/>
        </w:rPr>
      </w:pPr>
      <w:bookmarkStart w:id="8" w:name="_Toc147244407"/>
      <w:r w:rsidRPr="55A1C9B5">
        <w:rPr>
          <w:sz w:val="22"/>
        </w:rPr>
        <w:t>Quality Goal 3</w:t>
      </w:r>
      <w:r w:rsidR="00A1469A" w:rsidRPr="55A1C9B5">
        <w:rPr>
          <w:sz w:val="22"/>
        </w:rPr>
        <w:t>:</w:t>
      </w:r>
      <w:r w:rsidR="00A1469A" w:rsidRPr="55A1C9B5">
        <w:rPr>
          <w:sz w:val="28"/>
          <w:szCs w:val="28"/>
        </w:rPr>
        <w:t xml:space="preserve"> </w:t>
      </w:r>
      <w:r w:rsidRPr="55A1C9B5">
        <w:rPr>
          <w:i/>
          <w:iCs/>
        </w:rPr>
        <w:t>Focus on preventive, patient-centered primary care, and community-based services and supports.</w:t>
      </w:r>
      <w:bookmarkEnd w:id="8"/>
      <w:r>
        <w:t> </w:t>
      </w:r>
    </w:p>
    <w:p w14:paraId="411EFE63" w14:textId="2ED5882A" w:rsidR="00753CD6" w:rsidRPr="00B65488" w:rsidRDefault="00753CD6" w:rsidP="00753CD6">
      <w:pPr>
        <w:rPr>
          <w:rFonts w:asciiTheme="minorHAnsi" w:eastAsia="Times New Roman" w:hAnsiTheme="minorHAnsi" w:cstheme="minorHAnsi"/>
        </w:rPr>
      </w:pPr>
      <w:r>
        <w:rPr>
          <w:rFonts w:asciiTheme="minorHAnsi" w:eastAsia="Times New Roman" w:hAnsiTheme="minorHAnsi" w:cstheme="minorHAnsi"/>
        </w:rPr>
        <w:t xml:space="preserve">For Goal 3, </w:t>
      </w:r>
      <w:r w:rsidR="00A1469A">
        <w:rPr>
          <w:rFonts w:asciiTheme="minorHAnsi" w:eastAsia="Times New Roman" w:hAnsiTheme="minorHAnsi" w:cstheme="minorHAnsi"/>
        </w:rPr>
        <w:t>MassHealth</w:t>
      </w:r>
      <w:r>
        <w:rPr>
          <w:rFonts w:asciiTheme="minorHAnsi" w:eastAsia="Times New Roman" w:hAnsiTheme="minorHAnsi" w:cstheme="minorHAnsi"/>
        </w:rPr>
        <w:t xml:space="preserve"> again selected six </w:t>
      </w:r>
      <w:r w:rsidR="002611F3">
        <w:rPr>
          <w:rFonts w:asciiTheme="minorHAnsi" w:eastAsia="Times New Roman" w:hAnsiTheme="minorHAnsi" w:cstheme="minorHAnsi"/>
        </w:rPr>
        <w:t>HEDIS</w:t>
      </w:r>
      <w:r>
        <w:rPr>
          <w:rFonts w:asciiTheme="minorHAnsi" w:eastAsia="Times New Roman" w:hAnsiTheme="minorHAnsi" w:cstheme="minorHAnsi"/>
        </w:rPr>
        <w:t xml:space="preserve"> measures to assess progress toward</w:t>
      </w:r>
      <w:r w:rsidR="006A05FB">
        <w:rPr>
          <w:rFonts w:asciiTheme="minorHAnsi" w:eastAsia="Times New Roman" w:hAnsiTheme="minorHAnsi" w:cstheme="minorHAnsi"/>
        </w:rPr>
        <w:t>s</w:t>
      </w:r>
      <w:r>
        <w:rPr>
          <w:rFonts w:asciiTheme="minorHAnsi" w:eastAsia="Times New Roman" w:hAnsiTheme="minorHAnsi" w:cstheme="minorHAnsi"/>
        </w:rPr>
        <w:t xml:space="preserve"> meeting the goal:</w:t>
      </w:r>
    </w:p>
    <w:p w14:paraId="5D11EDA3"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rPr>
        <w:t>Childhood Immunization Status (CIS)</w:t>
      </w:r>
    </w:p>
    <w:p w14:paraId="13D65F9B"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rPr>
        <w:t>Immunizations for Adolescents (IMA)</w:t>
      </w:r>
    </w:p>
    <w:p w14:paraId="221E8B89"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color w:val="000000"/>
        </w:rPr>
        <w:t>Well-Child Visits in First 15 Months of Life - 6+ visits (W15)</w:t>
      </w:r>
    </w:p>
    <w:p w14:paraId="08DBD287"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rPr>
        <w:t>Weight Assessment and Counseling for Nutrition and Physical Activity for Children/Adolescents – BMI Percentile Documentation (WCC-BMI)</w:t>
      </w:r>
    </w:p>
    <w:p w14:paraId="74282AA7"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rPr>
        <w:t>Breast Cancer Screening (BCS)</w:t>
      </w:r>
    </w:p>
    <w:p w14:paraId="43F94FEA" w14:textId="77777777" w:rsidR="00753CD6" w:rsidRPr="00EC6C6C" w:rsidRDefault="00753CD6">
      <w:pPr>
        <w:pStyle w:val="ListParagraph"/>
        <w:numPr>
          <w:ilvl w:val="0"/>
          <w:numId w:val="16"/>
        </w:numPr>
        <w:textAlignment w:val="baseline"/>
        <w:rPr>
          <w:rFonts w:eastAsia="Times New Roman" w:cs="Calibri"/>
        </w:rPr>
      </w:pPr>
      <w:r w:rsidRPr="00EC6C6C">
        <w:rPr>
          <w:rFonts w:eastAsia="Times New Roman" w:cs="Calibri"/>
        </w:rPr>
        <w:t>Cervical Cancer Screening (CCS)</w:t>
      </w:r>
    </w:p>
    <w:p w14:paraId="4E7B989A" w14:textId="23587E7C" w:rsidR="00753CD6" w:rsidRDefault="00753CD6" w:rsidP="3280630A">
      <w:pPr>
        <w:pStyle w:val="Default"/>
        <w:rPr>
          <w:rFonts w:asciiTheme="minorHAnsi" w:hAnsiTheme="minorHAnsi" w:cstheme="minorBidi"/>
          <w:sz w:val="22"/>
          <w:szCs w:val="22"/>
        </w:rPr>
      </w:pPr>
      <w:r w:rsidRPr="3280630A">
        <w:rPr>
          <w:rFonts w:asciiTheme="minorHAnsi" w:hAnsiTheme="minorHAnsi" w:cstheme="minorBidi"/>
          <w:sz w:val="22"/>
          <w:szCs w:val="22"/>
        </w:rPr>
        <w:t xml:space="preserve">All six of these measures are in the CMS Core Sets. Four of the six measures come from the Child Core Set, reflecting the importance of primary care measures to that set. (Please note that the W15 measure specification was changed for the MY 2020 cycle, adding a component measuring primary care visits in the period from 15-30 months of life; for continuity with MY 2018 and 2019, </w:t>
      </w:r>
      <w:r w:rsidR="0020648E" w:rsidRPr="3280630A">
        <w:rPr>
          <w:rFonts w:asciiTheme="minorHAnsi" w:hAnsiTheme="minorHAnsi" w:cstheme="minorBidi"/>
          <w:sz w:val="22"/>
          <w:szCs w:val="22"/>
        </w:rPr>
        <w:t>MassHealth is</w:t>
      </w:r>
      <w:r w:rsidRPr="3280630A">
        <w:rPr>
          <w:rFonts w:asciiTheme="minorHAnsi" w:hAnsiTheme="minorHAnsi" w:cstheme="minorBidi"/>
          <w:sz w:val="22"/>
          <w:szCs w:val="22"/>
        </w:rPr>
        <w:t xml:space="preserve"> only considering the 0-15 months sub</w:t>
      </w:r>
      <w:r w:rsidR="3CECE0B5" w:rsidRPr="3280630A">
        <w:rPr>
          <w:rFonts w:asciiTheme="minorHAnsi" w:hAnsiTheme="minorHAnsi" w:cstheme="minorBidi"/>
          <w:sz w:val="22"/>
          <w:szCs w:val="22"/>
        </w:rPr>
        <w:t>-</w:t>
      </w:r>
      <w:r w:rsidRPr="3280630A">
        <w:rPr>
          <w:rFonts w:asciiTheme="minorHAnsi" w:hAnsiTheme="minorHAnsi" w:cstheme="minorBidi"/>
          <w:sz w:val="22"/>
          <w:szCs w:val="22"/>
        </w:rPr>
        <w:t>measure here.)</w:t>
      </w:r>
    </w:p>
    <w:p w14:paraId="1312BCE9" w14:textId="25560F42" w:rsidR="00753CD6" w:rsidRPr="00730D03" w:rsidRDefault="00753CD6" w:rsidP="00730D03">
      <w:pPr>
        <w:spacing w:before="360"/>
        <w:rPr>
          <w:b/>
          <w:i/>
          <w:iCs/>
          <w:color w:val="1F497D"/>
        </w:rPr>
      </w:pPr>
      <w:r w:rsidRPr="009069AE">
        <w:rPr>
          <w:rStyle w:val="SubtleEmphasis"/>
        </w:rPr>
        <w:t xml:space="preserve">Table </w:t>
      </w:r>
      <w:r>
        <w:rPr>
          <w:rStyle w:val="SubtleEmphasis"/>
        </w:rPr>
        <w:t>4</w:t>
      </w:r>
      <w:r w:rsidRPr="009069AE">
        <w:rPr>
          <w:rStyle w:val="SubtleEmphasis"/>
        </w:rPr>
        <w:t xml:space="preserve">:  </w:t>
      </w:r>
      <w:r>
        <w:rPr>
          <w:rStyle w:val="SubtleEmphasis"/>
        </w:rPr>
        <w:t>Quality Goal 3 Measures and Performance</w:t>
      </w:r>
    </w:p>
    <w:tbl>
      <w:tblPr>
        <w:tblW w:w="8540" w:type="dxa"/>
        <w:jc w:val="center"/>
        <w:tblLayout w:type="fixed"/>
        <w:tblLook w:val="04A0" w:firstRow="1" w:lastRow="0" w:firstColumn="1" w:lastColumn="0" w:noHBand="0" w:noVBand="1"/>
      </w:tblPr>
      <w:tblGrid>
        <w:gridCol w:w="1070"/>
        <w:gridCol w:w="1440"/>
        <w:gridCol w:w="1260"/>
        <w:gridCol w:w="1170"/>
        <w:gridCol w:w="1260"/>
        <w:gridCol w:w="1350"/>
        <w:gridCol w:w="990"/>
      </w:tblGrid>
      <w:tr w:rsidR="002C6444" w:rsidRPr="00B56C40" w14:paraId="4F095A55" w14:textId="77777777" w:rsidTr="0092443C">
        <w:trPr>
          <w:trHeight w:val="1170"/>
          <w:tblHeader/>
          <w:jc w:val="center"/>
        </w:trPr>
        <w:tc>
          <w:tcPr>
            <w:tcW w:w="10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E5EAB8"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Measure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F6A77E7"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Description</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2869157"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2018 Rate</w:t>
            </w:r>
          </w:p>
        </w:tc>
        <w:tc>
          <w:tcPr>
            <w:tcW w:w="117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F8287D5"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2019 Rate</w:t>
            </w:r>
          </w:p>
        </w:tc>
        <w:tc>
          <w:tcPr>
            <w:tcW w:w="12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1DA1A5F6"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2020 Rate</w:t>
            </w:r>
          </w:p>
        </w:tc>
        <w:tc>
          <w:tcPr>
            <w:tcW w:w="1350" w:type="dxa"/>
            <w:tcBorders>
              <w:top w:val="single" w:sz="8" w:space="0" w:color="auto"/>
              <w:left w:val="nil"/>
              <w:bottom w:val="single" w:sz="8" w:space="0" w:color="auto"/>
              <w:right w:val="nil"/>
            </w:tcBorders>
            <w:shd w:val="clear" w:color="auto" w:fill="auto"/>
            <w:vAlign w:val="center"/>
            <w:hideMark/>
          </w:tcPr>
          <w:p w14:paraId="5D688EF4"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Benchmark (MY 20 75th)</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11683" w14:textId="77777777" w:rsidR="00753CD6" w:rsidRPr="00B56C40"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Gap to Goal</w:t>
            </w:r>
          </w:p>
        </w:tc>
      </w:tr>
      <w:tr w:rsidR="002C6444" w:rsidRPr="00B56C40" w14:paraId="1A60D666" w14:textId="77777777" w:rsidTr="0092443C">
        <w:trPr>
          <w:trHeight w:val="772"/>
          <w:jc w:val="center"/>
        </w:trPr>
        <w:tc>
          <w:tcPr>
            <w:tcW w:w="1070" w:type="dxa"/>
            <w:tcBorders>
              <w:top w:val="nil"/>
              <w:left w:val="single" w:sz="8" w:space="0" w:color="000000" w:themeColor="text1"/>
              <w:bottom w:val="single" w:sz="8" w:space="0" w:color="000000" w:themeColor="text1"/>
              <w:right w:val="nil"/>
            </w:tcBorders>
            <w:shd w:val="clear" w:color="auto" w:fill="auto"/>
            <w:vAlign w:val="center"/>
            <w:hideMark/>
          </w:tcPr>
          <w:p w14:paraId="34DB584E" w14:textId="77777777" w:rsidR="00753CD6" w:rsidRPr="00B56C40" w:rsidRDefault="00753CD6" w:rsidP="00EE745E">
            <w:pPr>
              <w:spacing w:after="0"/>
              <w:rPr>
                <w:rFonts w:eastAsia="Times New Roman" w:cs="Calibri"/>
                <w:sz w:val="20"/>
                <w:szCs w:val="20"/>
              </w:rPr>
            </w:pPr>
            <w:r w:rsidRPr="00B56C40">
              <w:rPr>
                <w:rFonts w:eastAsia="Times New Roman" w:cs="Calibri"/>
                <w:sz w:val="20"/>
                <w:szCs w:val="20"/>
              </w:rPr>
              <w:t>BCS</w:t>
            </w:r>
          </w:p>
        </w:tc>
        <w:tc>
          <w:tcPr>
            <w:tcW w:w="1440" w:type="dxa"/>
            <w:tcBorders>
              <w:top w:val="nil"/>
              <w:left w:val="single" w:sz="8" w:space="0" w:color="auto"/>
              <w:bottom w:val="single" w:sz="8" w:space="0" w:color="auto"/>
              <w:right w:val="nil"/>
            </w:tcBorders>
            <w:shd w:val="clear" w:color="auto" w:fill="auto"/>
            <w:hideMark/>
          </w:tcPr>
          <w:p w14:paraId="5DD7719D" w14:textId="77777777" w:rsidR="00753CD6" w:rsidRPr="00B56C40" w:rsidRDefault="00753CD6" w:rsidP="00EE745E">
            <w:pPr>
              <w:spacing w:after="0"/>
              <w:rPr>
                <w:rFonts w:eastAsia="Times New Roman" w:cs="Calibri"/>
                <w:sz w:val="20"/>
                <w:szCs w:val="20"/>
              </w:rPr>
            </w:pPr>
            <w:r w:rsidRPr="00B56C40">
              <w:rPr>
                <w:rFonts w:eastAsia="Times New Roman" w:cs="Calibri"/>
                <w:sz w:val="20"/>
                <w:szCs w:val="20"/>
              </w:rPr>
              <w:t>Breast Cancer Screening (50-64)</w:t>
            </w:r>
          </w:p>
        </w:tc>
        <w:tc>
          <w:tcPr>
            <w:tcW w:w="1260" w:type="dxa"/>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2D2E869A" w14:textId="77777777" w:rsidR="00753CD6" w:rsidRPr="00B56C40" w:rsidRDefault="00753CD6" w:rsidP="00EE745E">
            <w:pPr>
              <w:spacing w:after="0"/>
              <w:jc w:val="center"/>
              <w:rPr>
                <w:rFonts w:eastAsia="Times New Roman" w:cs="Calibri"/>
              </w:rPr>
            </w:pPr>
            <w:r w:rsidRPr="00B56C40">
              <w:rPr>
                <w:rFonts w:eastAsia="Times New Roman" w:cs="Calibri"/>
              </w:rPr>
              <w:t>69.3%</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6CEE915E"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69.4%</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174BB1AC"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63.2%</w:t>
            </w:r>
          </w:p>
        </w:tc>
        <w:tc>
          <w:tcPr>
            <w:tcW w:w="1350" w:type="dxa"/>
            <w:tcBorders>
              <w:top w:val="nil"/>
              <w:left w:val="nil"/>
              <w:bottom w:val="single" w:sz="8" w:space="0" w:color="auto"/>
              <w:right w:val="nil"/>
            </w:tcBorders>
            <w:shd w:val="clear" w:color="auto" w:fill="A8D08D" w:themeFill="accent6" w:themeFillTint="99"/>
            <w:noWrap/>
            <w:vAlign w:val="center"/>
            <w:hideMark/>
          </w:tcPr>
          <w:p w14:paraId="4DEBC3F6" w14:textId="77777777" w:rsidR="00753CD6" w:rsidRPr="00B56C40" w:rsidRDefault="00753CD6" w:rsidP="00EE745E">
            <w:pPr>
              <w:spacing w:after="0"/>
              <w:jc w:val="center"/>
              <w:rPr>
                <w:rFonts w:eastAsia="Times New Roman" w:cs="Calibri"/>
              </w:rPr>
            </w:pPr>
            <w:r w:rsidRPr="00B56C40">
              <w:rPr>
                <w:rFonts w:eastAsia="Times New Roman" w:cs="Calibri"/>
              </w:rPr>
              <w:t>58.7%</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68C9A236" w14:textId="44246714"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586D2F98" w:rsidRPr="692C77C9">
              <w:rPr>
                <w:rFonts w:eastAsia="Times New Roman" w:cs="Calibri"/>
                <w:color w:val="000000" w:themeColor="text1"/>
              </w:rPr>
              <w:t>*</w:t>
            </w:r>
          </w:p>
        </w:tc>
      </w:tr>
      <w:tr w:rsidR="002C6444" w:rsidRPr="00B56C40" w14:paraId="097F2E3B" w14:textId="77777777" w:rsidTr="0092443C">
        <w:trPr>
          <w:trHeight w:val="1050"/>
          <w:jc w:val="center"/>
        </w:trPr>
        <w:tc>
          <w:tcPr>
            <w:tcW w:w="1070" w:type="dxa"/>
            <w:tcBorders>
              <w:top w:val="nil"/>
              <w:left w:val="single" w:sz="8" w:space="0" w:color="000000" w:themeColor="text1"/>
              <w:bottom w:val="nil"/>
              <w:right w:val="nil"/>
            </w:tcBorders>
            <w:shd w:val="clear" w:color="auto" w:fill="auto"/>
            <w:vAlign w:val="center"/>
            <w:hideMark/>
          </w:tcPr>
          <w:p w14:paraId="100DC64C"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CCS</w:t>
            </w:r>
          </w:p>
        </w:tc>
        <w:tc>
          <w:tcPr>
            <w:tcW w:w="1440" w:type="dxa"/>
            <w:tcBorders>
              <w:top w:val="nil"/>
              <w:left w:val="single" w:sz="8" w:space="0" w:color="auto"/>
              <w:bottom w:val="single" w:sz="8" w:space="0" w:color="auto"/>
              <w:right w:val="single" w:sz="8" w:space="0" w:color="auto"/>
            </w:tcBorders>
            <w:shd w:val="clear" w:color="auto" w:fill="auto"/>
            <w:vAlign w:val="center"/>
            <w:hideMark/>
          </w:tcPr>
          <w:p w14:paraId="7B7D10C5"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Cervical Cancer Screening (21-64)</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07F95A7E"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70.8%</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0411503F"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70.1%</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27402468" w14:textId="77777777" w:rsidR="00753CD6" w:rsidRPr="00B56C40" w:rsidRDefault="00753CD6" w:rsidP="00EE745E">
            <w:pPr>
              <w:spacing w:after="0"/>
              <w:jc w:val="center"/>
              <w:rPr>
                <w:rFonts w:eastAsia="Times New Roman" w:cs="Calibri"/>
              </w:rPr>
            </w:pPr>
            <w:r w:rsidRPr="00B56C40">
              <w:rPr>
                <w:rFonts w:eastAsia="Times New Roman" w:cs="Calibri"/>
              </w:rPr>
              <w:t>65.8%</w:t>
            </w:r>
          </w:p>
        </w:tc>
        <w:tc>
          <w:tcPr>
            <w:tcW w:w="1350" w:type="dxa"/>
            <w:tcBorders>
              <w:top w:val="nil"/>
              <w:left w:val="nil"/>
              <w:bottom w:val="single" w:sz="8" w:space="0" w:color="auto"/>
              <w:right w:val="nil"/>
            </w:tcBorders>
            <w:shd w:val="clear" w:color="auto" w:fill="A8D08D" w:themeFill="accent6" w:themeFillTint="99"/>
            <w:noWrap/>
            <w:vAlign w:val="center"/>
            <w:hideMark/>
          </w:tcPr>
          <w:p w14:paraId="62C16100" w14:textId="77777777" w:rsidR="00753CD6" w:rsidRPr="00B56C40" w:rsidRDefault="00753CD6" w:rsidP="00EE745E">
            <w:pPr>
              <w:spacing w:after="0"/>
              <w:jc w:val="center"/>
              <w:rPr>
                <w:rFonts w:eastAsia="Times New Roman" w:cs="Calibri"/>
              </w:rPr>
            </w:pPr>
            <w:r w:rsidRPr="00B56C40">
              <w:rPr>
                <w:rFonts w:eastAsia="Times New Roman" w:cs="Calibri"/>
              </w:rPr>
              <w:t>63.9%</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2FB3382F" w14:textId="52A3B54D"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396EB73D" w:rsidRPr="692C77C9">
              <w:rPr>
                <w:rFonts w:eastAsia="Times New Roman" w:cs="Calibri"/>
                <w:color w:val="000000" w:themeColor="text1"/>
              </w:rPr>
              <w:t>*</w:t>
            </w:r>
          </w:p>
        </w:tc>
      </w:tr>
      <w:tr w:rsidR="002C6444" w:rsidRPr="00B56C40" w14:paraId="6A884E6A" w14:textId="77777777" w:rsidTr="0092443C">
        <w:trPr>
          <w:trHeight w:val="1060"/>
          <w:jc w:val="center"/>
        </w:trPr>
        <w:tc>
          <w:tcPr>
            <w:tcW w:w="1070" w:type="dxa"/>
            <w:tcBorders>
              <w:top w:val="single" w:sz="8" w:space="0" w:color="auto"/>
              <w:left w:val="single" w:sz="8" w:space="0" w:color="auto"/>
              <w:bottom w:val="single" w:sz="8" w:space="0" w:color="000000" w:themeColor="text1"/>
              <w:right w:val="nil"/>
            </w:tcBorders>
            <w:shd w:val="clear" w:color="auto" w:fill="auto"/>
            <w:vAlign w:val="center"/>
            <w:hideMark/>
          </w:tcPr>
          <w:p w14:paraId="6F1D4806"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CIS</w:t>
            </w:r>
          </w:p>
        </w:tc>
        <w:tc>
          <w:tcPr>
            <w:tcW w:w="1440" w:type="dxa"/>
            <w:tcBorders>
              <w:top w:val="nil"/>
              <w:left w:val="single" w:sz="8" w:space="0" w:color="auto"/>
              <w:bottom w:val="single" w:sz="8" w:space="0" w:color="auto"/>
              <w:right w:val="single" w:sz="8" w:space="0" w:color="auto"/>
            </w:tcBorders>
            <w:shd w:val="clear" w:color="auto" w:fill="auto"/>
            <w:hideMark/>
          </w:tcPr>
          <w:p w14:paraId="51611008" w14:textId="77777777" w:rsidR="00753CD6" w:rsidRPr="00B56C40" w:rsidRDefault="00753CD6" w:rsidP="00EE745E">
            <w:pPr>
              <w:spacing w:after="0"/>
              <w:rPr>
                <w:rFonts w:eastAsia="Times New Roman" w:cs="Calibri"/>
                <w:sz w:val="20"/>
                <w:szCs w:val="20"/>
              </w:rPr>
            </w:pPr>
            <w:r w:rsidRPr="00B56C40">
              <w:rPr>
                <w:rFonts w:eastAsia="Times New Roman" w:cs="Calibri"/>
                <w:sz w:val="20"/>
                <w:szCs w:val="20"/>
              </w:rPr>
              <w:t>Childhood Immunization Status (combo 10)</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13B0D482"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50.6%</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01D52B4A"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49.2%</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69EA61DD" w14:textId="77777777" w:rsidR="00753CD6" w:rsidRPr="00B56C40" w:rsidRDefault="00753CD6" w:rsidP="00EE745E">
            <w:pPr>
              <w:spacing w:after="0"/>
              <w:jc w:val="center"/>
              <w:rPr>
                <w:rFonts w:eastAsia="Times New Roman" w:cs="Calibri"/>
              </w:rPr>
            </w:pPr>
            <w:r w:rsidRPr="00B56C40">
              <w:rPr>
                <w:rFonts w:eastAsia="Times New Roman" w:cs="Calibri"/>
              </w:rPr>
              <w:t>52.1%</w:t>
            </w:r>
          </w:p>
        </w:tc>
        <w:tc>
          <w:tcPr>
            <w:tcW w:w="1350" w:type="dxa"/>
            <w:tcBorders>
              <w:top w:val="nil"/>
              <w:left w:val="nil"/>
              <w:bottom w:val="single" w:sz="8" w:space="0" w:color="auto"/>
              <w:right w:val="nil"/>
            </w:tcBorders>
            <w:shd w:val="clear" w:color="auto" w:fill="A8D08D" w:themeFill="accent6" w:themeFillTint="99"/>
            <w:noWrap/>
            <w:vAlign w:val="center"/>
            <w:hideMark/>
          </w:tcPr>
          <w:p w14:paraId="5FB94D07" w14:textId="77777777" w:rsidR="00753CD6" w:rsidRPr="00B56C40" w:rsidRDefault="00753CD6" w:rsidP="00EE745E">
            <w:pPr>
              <w:spacing w:after="0"/>
              <w:jc w:val="center"/>
              <w:rPr>
                <w:rFonts w:eastAsia="Times New Roman" w:cs="Calibri"/>
              </w:rPr>
            </w:pPr>
            <w:r w:rsidRPr="00B56C40">
              <w:rPr>
                <w:rFonts w:eastAsia="Times New Roman" w:cs="Calibri"/>
              </w:rPr>
              <w:t>45.5%</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62CCEC0B" w14:textId="09102495"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51DAE8D9" w:rsidRPr="692C77C9">
              <w:rPr>
                <w:rFonts w:eastAsia="Times New Roman" w:cs="Calibri"/>
                <w:color w:val="000000" w:themeColor="text1"/>
              </w:rPr>
              <w:t>*</w:t>
            </w:r>
          </w:p>
        </w:tc>
      </w:tr>
      <w:tr w:rsidR="002C6444" w:rsidRPr="00B56C40" w14:paraId="319993DF" w14:textId="77777777" w:rsidTr="0092443C">
        <w:trPr>
          <w:trHeight w:val="1069"/>
          <w:jc w:val="center"/>
        </w:trPr>
        <w:tc>
          <w:tcPr>
            <w:tcW w:w="1070" w:type="dxa"/>
            <w:tcBorders>
              <w:top w:val="nil"/>
              <w:left w:val="single" w:sz="8" w:space="0" w:color="auto"/>
              <w:bottom w:val="single" w:sz="8" w:space="0" w:color="auto"/>
              <w:right w:val="nil"/>
            </w:tcBorders>
            <w:shd w:val="clear" w:color="auto" w:fill="auto"/>
            <w:vAlign w:val="center"/>
            <w:hideMark/>
          </w:tcPr>
          <w:p w14:paraId="0A353258"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IMA</w:t>
            </w:r>
          </w:p>
        </w:tc>
        <w:tc>
          <w:tcPr>
            <w:tcW w:w="1440" w:type="dxa"/>
            <w:tcBorders>
              <w:top w:val="nil"/>
              <w:left w:val="single" w:sz="8" w:space="0" w:color="auto"/>
              <w:bottom w:val="single" w:sz="8" w:space="0" w:color="auto"/>
              <w:right w:val="single" w:sz="8" w:space="0" w:color="auto"/>
            </w:tcBorders>
            <w:shd w:val="clear" w:color="auto" w:fill="auto"/>
            <w:hideMark/>
          </w:tcPr>
          <w:p w14:paraId="35D91AC8" w14:textId="77777777" w:rsidR="00753CD6" w:rsidRPr="00B56C40" w:rsidRDefault="00753CD6" w:rsidP="00EE745E">
            <w:pPr>
              <w:spacing w:after="0"/>
              <w:rPr>
                <w:rFonts w:eastAsia="Times New Roman" w:cs="Calibri"/>
                <w:sz w:val="20"/>
                <w:szCs w:val="20"/>
              </w:rPr>
            </w:pPr>
            <w:r w:rsidRPr="00B56C40">
              <w:rPr>
                <w:rFonts w:eastAsia="Times New Roman" w:cs="Calibri"/>
                <w:sz w:val="20"/>
                <w:szCs w:val="20"/>
              </w:rPr>
              <w:t>Immunization for Adolescents</w:t>
            </w:r>
            <w:r w:rsidRPr="00B56C40">
              <w:rPr>
                <w:rFonts w:eastAsia="Times New Roman" w:cs="Calibri"/>
                <w:sz w:val="20"/>
                <w:szCs w:val="20"/>
              </w:rPr>
              <w:br/>
              <w:t>(combo 2)</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64E54910"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36.0%</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4B30E5EB"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38.4%</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2DF152EC"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44.0%</w:t>
            </w:r>
          </w:p>
        </w:tc>
        <w:tc>
          <w:tcPr>
            <w:tcW w:w="1350" w:type="dxa"/>
            <w:tcBorders>
              <w:top w:val="nil"/>
              <w:left w:val="nil"/>
              <w:bottom w:val="single" w:sz="8" w:space="0" w:color="auto"/>
              <w:right w:val="nil"/>
            </w:tcBorders>
            <w:shd w:val="clear" w:color="auto" w:fill="A8D08D" w:themeFill="accent6" w:themeFillTint="99"/>
            <w:noWrap/>
            <w:vAlign w:val="center"/>
            <w:hideMark/>
          </w:tcPr>
          <w:p w14:paraId="1E06E674" w14:textId="77777777" w:rsidR="00753CD6" w:rsidRPr="00B56C40" w:rsidRDefault="00753CD6" w:rsidP="00EE745E">
            <w:pPr>
              <w:spacing w:after="0"/>
              <w:jc w:val="center"/>
              <w:rPr>
                <w:rFonts w:eastAsia="Times New Roman" w:cs="Calibri"/>
              </w:rPr>
            </w:pPr>
            <w:r w:rsidRPr="00B56C40">
              <w:rPr>
                <w:rFonts w:eastAsia="Times New Roman" w:cs="Calibri"/>
              </w:rPr>
              <w:t>43.6%</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09C3A4E5" w14:textId="08E0E8C6"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4344CF1F" w:rsidRPr="692C77C9">
              <w:rPr>
                <w:rFonts w:eastAsia="Times New Roman" w:cs="Calibri"/>
                <w:color w:val="000000" w:themeColor="text1"/>
              </w:rPr>
              <w:t>*</w:t>
            </w:r>
          </w:p>
        </w:tc>
      </w:tr>
      <w:tr w:rsidR="002C6444" w:rsidRPr="00B56C40" w14:paraId="3213DFD0" w14:textId="77777777" w:rsidTr="0092443C">
        <w:trPr>
          <w:trHeight w:val="1310"/>
          <w:jc w:val="center"/>
        </w:trPr>
        <w:tc>
          <w:tcPr>
            <w:tcW w:w="1070" w:type="dxa"/>
            <w:tcBorders>
              <w:top w:val="single" w:sz="8" w:space="0" w:color="auto"/>
              <w:left w:val="single" w:sz="8" w:space="0" w:color="000000" w:themeColor="text1"/>
              <w:bottom w:val="single" w:sz="8" w:space="0" w:color="auto"/>
              <w:right w:val="nil"/>
            </w:tcBorders>
            <w:shd w:val="clear" w:color="auto" w:fill="auto"/>
            <w:vAlign w:val="center"/>
            <w:hideMark/>
          </w:tcPr>
          <w:p w14:paraId="6BCAB211"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lastRenderedPageBreak/>
              <w:t>WCC</w:t>
            </w:r>
            <w:r>
              <w:rPr>
                <w:rFonts w:eastAsia="Times New Roman" w:cs="Calibri"/>
                <w:color w:val="000000"/>
                <w:sz w:val="20"/>
                <w:szCs w:val="20"/>
              </w:rPr>
              <w:t>-BMI</w:t>
            </w: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5A1E3122" w14:textId="77777777" w:rsidR="00753CD6" w:rsidRPr="00B56C40" w:rsidRDefault="00753CD6" w:rsidP="00EE745E">
            <w:pPr>
              <w:spacing w:after="0"/>
              <w:rPr>
                <w:rFonts w:eastAsia="Times New Roman" w:cs="Calibri"/>
                <w:sz w:val="20"/>
                <w:szCs w:val="20"/>
              </w:rPr>
            </w:pPr>
            <w:r w:rsidRPr="00B56C40">
              <w:rPr>
                <w:rFonts w:eastAsia="Times New Roman" w:cs="Calibri"/>
                <w:sz w:val="20"/>
                <w:szCs w:val="20"/>
              </w:rPr>
              <w:t>Weight Assessment and Counseling (BMI)</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534FC209"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85.3%</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35D3C78F"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86.6%</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189B8F32"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82.7%</w:t>
            </w:r>
          </w:p>
        </w:tc>
        <w:tc>
          <w:tcPr>
            <w:tcW w:w="1350" w:type="dxa"/>
            <w:tcBorders>
              <w:top w:val="nil"/>
              <w:left w:val="nil"/>
              <w:bottom w:val="single" w:sz="8" w:space="0" w:color="auto"/>
              <w:right w:val="nil"/>
            </w:tcBorders>
            <w:shd w:val="clear" w:color="auto" w:fill="A8D08D" w:themeFill="accent6" w:themeFillTint="99"/>
            <w:noWrap/>
            <w:vAlign w:val="center"/>
            <w:hideMark/>
          </w:tcPr>
          <w:p w14:paraId="22D12744" w14:textId="77777777" w:rsidR="00753CD6" w:rsidRPr="00B56C40" w:rsidRDefault="00753CD6" w:rsidP="00EE745E">
            <w:pPr>
              <w:spacing w:after="0"/>
              <w:jc w:val="center"/>
              <w:rPr>
                <w:rFonts w:eastAsia="Times New Roman" w:cs="Calibri"/>
              </w:rPr>
            </w:pPr>
            <w:r w:rsidRPr="00B56C40">
              <w:rPr>
                <w:rFonts w:eastAsia="Times New Roman" w:cs="Calibri"/>
              </w:rPr>
              <w:t>82.7%</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4CDC14B9" w14:textId="309772F6"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538E7BBF" w:rsidRPr="692C77C9">
              <w:rPr>
                <w:rFonts w:eastAsia="Times New Roman" w:cs="Calibri"/>
                <w:color w:val="000000" w:themeColor="text1"/>
              </w:rPr>
              <w:t>*</w:t>
            </w:r>
          </w:p>
        </w:tc>
      </w:tr>
      <w:tr w:rsidR="002C6444" w:rsidRPr="00B56C40" w14:paraId="03982952" w14:textId="77777777" w:rsidTr="0092443C">
        <w:trPr>
          <w:trHeight w:val="1078"/>
          <w:jc w:val="center"/>
        </w:trPr>
        <w:tc>
          <w:tcPr>
            <w:tcW w:w="10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7E09E7"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W15</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614EA680" w14:textId="77777777" w:rsidR="00753CD6" w:rsidRPr="00B56C40" w:rsidRDefault="00753CD6" w:rsidP="00EE745E">
            <w:pPr>
              <w:spacing w:after="0"/>
              <w:rPr>
                <w:rFonts w:eastAsia="Times New Roman" w:cs="Calibri"/>
                <w:color w:val="000000"/>
                <w:sz w:val="20"/>
                <w:szCs w:val="20"/>
              </w:rPr>
            </w:pPr>
            <w:r w:rsidRPr="00B56C40">
              <w:rPr>
                <w:rFonts w:eastAsia="Times New Roman" w:cs="Calibri"/>
                <w:color w:val="000000"/>
                <w:sz w:val="20"/>
                <w:szCs w:val="20"/>
              </w:rPr>
              <w:t>Well-Child Visits in First 15 Months of Life (6+ visits)</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2156768F"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81.6%</w:t>
            </w:r>
          </w:p>
        </w:tc>
        <w:tc>
          <w:tcPr>
            <w:tcW w:w="1170" w:type="dxa"/>
            <w:tcBorders>
              <w:top w:val="nil"/>
              <w:left w:val="nil"/>
              <w:bottom w:val="single" w:sz="8" w:space="0" w:color="auto"/>
              <w:right w:val="single" w:sz="8" w:space="0" w:color="auto"/>
            </w:tcBorders>
            <w:shd w:val="clear" w:color="auto" w:fill="F2F2F2" w:themeFill="background1" w:themeFillShade="F2"/>
            <w:noWrap/>
            <w:vAlign w:val="center"/>
            <w:hideMark/>
          </w:tcPr>
          <w:p w14:paraId="0D0F21AC"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82.3%</w:t>
            </w:r>
          </w:p>
        </w:tc>
        <w:tc>
          <w:tcPr>
            <w:tcW w:w="1260" w:type="dxa"/>
            <w:tcBorders>
              <w:top w:val="nil"/>
              <w:left w:val="nil"/>
              <w:bottom w:val="single" w:sz="8" w:space="0" w:color="auto"/>
              <w:right w:val="single" w:sz="8" w:space="0" w:color="auto"/>
            </w:tcBorders>
            <w:shd w:val="clear" w:color="auto" w:fill="F2F2F2" w:themeFill="background1" w:themeFillShade="F2"/>
            <w:noWrap/>
            <w:vAlign w:val="center"/>
            <w:hideMark/>
          </w:tcPr>
          <w:p w14:paraId="188B6F2C" w14:textId="77777777" w:rsidR="00753CD6" w:rsidRPr="00B56C40" w:rsidRDefault="00753CD6" w:rsidP="00EE745E">
            <w:pPr>
              <w:spacing w:after="0"/>
              <w:jc w:val="center"/>
              <w:rPr>
                <w:rFonts w:eastAsia="Times New Roman" w:cs="Calibri"/>
                <w:color w:val="000000"/>
              </w:rPr>
            </w:pPr>
            <w:r w:rsidRPr="00B56C40">
              <w:rPr>
                <w:rFonts w:eastAsia="Times New Roman" w:cs="Calibri"/>
                <w:color w:val="000000"/>
              </w:rPr>
              <w:t>75.9%</w:t>
            </w:r>
          </w:p>
        </w:tc>
        <w:tc>
          <w:tcPr>
            <w:tcW w:w="1350" w:type="dxa"/>
            <w:tcBorders>
              <w:top w:val="nil"/>
              <w:left w:val="nil"/>
              <w:bottom w:val="single" w:sz="8" w:space="0" w:color="auto"/>
              <w:right w:val="nil"/>
            </w:tcBorders>
            <w:shd w:val="clear" w:color="auto" w:fill="A8D08D" w:themeFill="accent6" w:themeFillTint="99"/>
            <w:noWrap/>
            <w:vAlign w:val="center"/>
            <w:hideMark/>
          </w:tcPr>
          <w:p w14:paraId="38349A7D" w14:textId="77777777" w:rsidR="00753CD6" w:rsidRPr="00B56C40" w:rsidRDefault="00753CD6" w:rsidP="00EE745E">
            <w:pPr>
              <w:spacing w:after="0"/>
              <w:jc w:val="center"/>
              <w:rPr>
                <w:rFonts w:eastAsia="Times New Roman" w:cs="Calibri"/>
              </w:rPr>
            </w:pPr>
            <w:r w:rsidRPr="00B56C40">
              <w:rPr>
                <w:rFonts w:eastAsia="Times New Roman" w:cs="Calibri"/>
              </w:rPr>
              <w:t>61.2%</w:t>
            </w:r>
          </w:p>
        </w:tc>
        <w:tc>
          <w:tcPr>
            <w:tcW w:w="990" w:type="dxa"/>
            <w:tcBorders>
              <w:top w:val="nil"/>
              <w:left w:val="single" w:sz="8" w:space="0" w:color="auto"/>
              <w:bottom w:val="single" w:sz="8" w:space="0" w:color="auto"/>
              <w:right w:val="single" w:sz="8" w:space="0" w:color="auto"/>
            </w:tcBorders>
            <w:shd w:val="clear" w:color="auto" w:fill="auto"/>
            <w:noWrap/>
            <w:vAlign w:val="center"/>
            <w:hideMark/>
          </w:tcPr>
          <w:p w14:paraId="55178D64" w14:textId="048BDEFF" w:rsidR="00753CD6" w:rsidRPr="00B56C40" w:rsidRDefault="00753CD6" w:rsidP="00EE745E">
            <w:pPr>
              <w:spacing w:after="0"/>
              <w:jc w:val="center"/>
              <w:rPr>
                <w:rFonts w:eastAsia="Times New Roman" w:cs="Calibri"/>
                <w:color w:val="000000"/>
              </w:rPr>
            </w:pPr>
            <w:r w:rsidRPr="692C77C9">
              <w:rPr>
                <w:rFonts w:eastAsia="Times New Roman" w:cs="Calibri"/>
                <w:color w:val="000000" w:themeColor="text1"/>
              </w:rPr>
              <w:t>N/A</w:t>
            </w:r>
            <w:r w:rsidR="47C5073C" w:rsidRPr="692C77C9">
              <w:rPr>
                <w:rFonts w:eastAsia="Times New Roman" w:cs="Calibri"/>
                <w:color w:val="000000" w:themeColor="text1"/>
              </w:rPr>
              <w:t>*</w:t>
            </w:r>
          </w:p>
        </w:tc>
      </w:tr>
    </w:tbl>
    <w:p w14:paraId="38E4A8B1" w14:textId="3C22F54E" w:rsidR="692C77C9" w:rsidRPr="00730D03" w:rsidRDefault="16003FBB" w:rsidP="0092443C">
      <w:pPr>
        <w:pStyle w:val="Default"/>
        <w:spacing w:before="120" w:after="120"/>
        <w:ind w:left="634"/>
        <w:rPr>
          <w:rFonts w:ascii="Calibri" w:eastAsia="Calibri" w:hAnsi="Calibri" w:cs="Calibri"/>
          <w:sz w:val="22"/>
          <w:szCs w:val="22"/>
        </w:rPr>
      </w:pPr>
      <w:r w:rsidRPr="692C77C9">
        <w:rPr>
          <w:rFonts w:ascii="Calibri" w:eastAsia="Calibri" w:hAnsi="Calibri" w:cs="Calibri"/>
          <w:sz w:val="20"/>
          <w:szCs w:val="20"/>
        </w:rPr>
        <w:t xml:space="preserve">* N/A = Gap to Goal does not apply because </w:t>
      </w:r>
      <w:r w:rsidR="407C679D" w:rsidRPr="692C77C9">
        <w:rPr>
          <w:rFonts w:ascii="Calibri" w:eastAsia="Calibri" w:hAnsi="Calibri" w:cs="Calibri"/>
          <w:sz w:val="20"/>
          <w:szCs w:val="20"/>
        </w:rPr>
        <w:t xml:space="preserve">either </w:t>
      </w:r>
      <w:r w:rsidRPr="692C77C9">
        <w:rPr>
          <w:rFonts w:ascii="Calibri" w:eastAsia="Calibri" w:hAnsi="Calibri" w:cs="Calibri"/>
          <w:sz w:val="20"/>
          <w:szCs w:val="20"/>
        </w:rPr>
        <w:t>MassHealth MY 2018</w:t>
      </w:r>
      <w:r w:rsidR="455F473E" w:rsidRPr="692C77C9">
        <w:rPr>
          <w:rFonts w:ascii="Calibri" w:eastAsia="Calibri" w:hAnsi="Calibri" w:cs="Calibri"/>
          <w:sz w:val="20"/>
          <w:szCs w:val="20"/>
        </w:rPr>
        <w:t xml:space="preserve"> or MY 2020</w:t>
      </w:r>
      <w:r w:rsidRPr="692C77C9">
        <w:rPr>
          <w:rFonts w:ascii="Calibri" w:eastAsia="Calibri" w:hAnsi="Calibri" w:cs="Calibri"/>
          <w:sz w:val="20"/>
          <w:szCs w:val="20"/>
        </w:rPr>
        <w:t xml:space="preserve"> performance was above MY 2020 benchmark.</w:t>
      </w:r>
    </w:p>
    <w:p w14:paraId="7D4813F0" w14:textId="125A3571" w:rsidR="00B84C91" w:rsidRDefault="00753CD6" w:rsidP="00730D03">
      <w:pPr>
        <w:pStyle w:val="Default"/>
        <w:spacing w:after="120"/>
        <w:rPr>
          <w:rFonts w:asciiTheme="minorHAnsi" w:hAnsiTheme="minorHAnsi" w:cstheme="minorBidi"/>
          <w:sz w:val="22"/>
          <w:szCs w:val="22"/>
        </w:rPr>
      </w:pPr>
      <w:r w:rsidRPr="692C77C9">
        <w:rPr>
          <w:rFonts w:asciiTheme="minorHAnsi" w:hAnsiTheme="minorHAnsi" w:cstheme="minorBidi"/>
          <w:sz w:val="22"/>
          <w:szCs w:val="22"/>
        </w:rPr>
        <w:t xml:space="preserve">MassHealth’s overall performance was quite strong in relation to the measure benchmarks for Quality Goal 3. </w:t>
      </w:r>
      <w:r w:rsidR="0020648E" w:rsidRPr="692C77C9">
        <w:rPr>
          <w:rFonts w:asciiTheme="minorHAnsi" w:hAnsiTheme="minorHAnsi" w:cstheme="minorBidi"/>
          <w:sz w:val="22"/>
          <w:szCs w:val="22"/>
        </w:rPr>
        <w:t>MassHealth</w:t>
      </w:r>
      <w:r w:rsidRPr="692C77C9">
        <w:rPr>
          <w:rFonts w:asciiTheme="minorHAnsi" w:hAnsiTheme="minorHAnsi" w:cstheme="minorBidi"/>
          <w:sz w:val="22"/>
          <w:szCs w:val="22"/>
        </w:rPr>
        <w:t xml:space="preserve"> met or exceeded the 75</w:t>
      </w:r>
      <w:r w:rsidRPr="692C77C9">
        <w:rPr>
          <w:rFonts w:asciiTheme="minorHAnsi" w:hAnsiTheme="minorHAnsi" w:cstheme="minorBidi"/>
          <w:sz w:val="22"/>
          <w:szCs w:val="22"/>
          <w:vertAlign w:val="superscript"/>
        </w:rPr>
        <w:t xml:space="preserve">th </w:t>
      </w:r>
      <w:r w:rsidRPr="692C77C9">
        <w:rPr>
          <w:rFonts w:asciiTheme="minorHAnsi" w:hAnsiTheme="minorHAnsi" w:cstheme="minorBidi"/>
          <w:sz w:val="22"/>
          <w:szCs w:val="22"/>
        </w:rPr>
        <w:t xml:space="preserve">national Medicaid percentile for all six of the measures. However, MassHealth did experience absolute declines in rates on the four non-immunization measures over the course of the MY 2018-2020 period, particularly between 2019 and 2020. </w:t>
      </w:r>
    </w:p>
    <w:p w14:paraId="3779765B" w14:textId="53F51C36" w:rsidR="00753CD6" w:rsidRPr="001C3626" w:rsidRDefault="6A6B4B86" w:rsidP="00753CD6">
      <w:pPr>
        <w:pStyle w:val="Default"/>
        <w:rPr>
          <w:rFonts w:asciiTheme="minorHAnsi" w:hAnsiTheme="minorHAnsi" w:cstheme="minorBidi"/>
          <w:sz w:val="22"/>
          <w:szCs w:val="22"/>
        </w:rPr>
      </w:pPr>
      <w:r w:rsidRPr="692C77C9">
        <w:rPr>
          <w:rFonts w:asciiTheme="minorHAnsi" w:hAnsiTheme="minorHAnsi" w:cstheme="minorBidi"/>
          <w:sz w:val="22"/>
          <w:szCs w:val="22"/>
        </w:rPr>
        <w:t>T</w:t>
      </w:r>
      <w:r w:rsidR="3DFC79F9" w:rsidRPr="692C77C9">
        <w:rPr>
          <w:rFonts w:asciiTheme="minorHAnsi" w:hAnsiTheme="minorHAnsi" w:cstheme="minorBidi"/>
          <w:sz w:val="22"/>
          <w:szCs w:val="22"/>
        </w:rPr>
        <w:t xml:space="preserve">he potential impacts of COVID </w:t>
      </w:r>
      <w:r w:rsidR="74786997" w:rsidRPr="692C77C9">
        <w:rPr>
          <w:rFonts w:asciiTheme="minorHAnsi" w:hAnsiTheme="minorHAnsi" w:cstheme="minorBidi"/>
          <w:sz w:val="22"/>
          <w:szCs w:val="22"/>
        </w:rPr>
        <w:t xml:space="preserve">on measure performance are discussed </w:t>
      </w:r>
      <w:r w:rsidR="71955B81" w:rsidRPr="692C77C9">
        <w:rPr>
          <w:rFonts w:asciiTheme="minorHAnsi" w:hAnsiTheme="minorHAnsi" w:cstheme="minorBidi"/>
          <w:sz w:val="22"/>
          <w:szCs w:val="22"/>
        </w:rPr>
        <w:t>in the Progress on Quality Strategy Goals and Objectives and Goal Revision</w:t>
      </w:r>
      <w:r w:rsidR="2C865B8E" w:rsidRPr="692C77C9">
        <w:rPr>
          <w:rFonts w:asciiTheme="minorHAnsi" w:hAnsiTheme="minorHAnsi" w:cstheme="minorBidi"/>
          <w:sz w:val="22"/>
          <w:szCs w:val="22"/>
        </w:rPr>
        <w:t xml:space="preserve"> section of th</w:t>
      </w:r>
      <w:r w:rsidR="4D0CE7AA" w:rsidRPr="692C77C9">
        <w:rPr>
          <w:rFonts w:asciiTheme="minorHAnsi" w:hAnsiTheme="minorHAnsi" w:cstheme="minorBidi"/>
          <w:sz w:val="22"/>
          <w:szCs w:val="22"/>
        </w:rPr>
        <w:t>is Evaluation.</w:t>
      </w:r>
    </w:p>
    <w:p w14:paraId="093909C2" w14:textId="363CDE67" w:rsidR="00753CD6" w:rsidRPr="00753798" w:rsidRDefault="00753CD6" w:rsidP="00753798">
      <w:pPr>
        <w:pStyle w:val="Heading3"/>
        <w:spacing w:after="120"/>
        <w:ind w:left="0" w:firstLine="0"/>
      </w:pPr>
      <w:bookmarkStart w:id="9" w:name="_Toc147244408"/>
      <w:r>
        <w:t>Quality Goal</w:t>
      </w:r>
      <w:r w:rsidR="006A05FB">
        <w:t xml:space="preserve"> 4: </w:t>
      </w:r>
      <w:r w:rsidRPr="00E15EBA">
        <w:rPr>
          <w:rFonts w:asciiTheme="minorHAnsi" w:hAnsiTheme="minorHAnsi" w:cstheme="minorHAnsi"/>
          <w:i/>
          <w:iCs/>
          <w:sz w:val="22"/>
        </w:rPr>
        <w:t>Promote effective prevention and treatment to address chronic diseases or priority conditions</w:t>
      </w:r>
      <w:r>
        <w:rPr>
          <w:rFonts w:asciiTheme="minorHAnsi" w:hAnsiTheme="minorHAnsi" w:cstheme="minorHAnsi"/>
          <w:i/>
          <w:iCs/>
          <w:sz w:val="22"/>
        </w:rPr>
        <w:t>.</w:t>
      </w:r>
      <w:bookmarkEnd w:id="9"/>
      <w:r w:rsidRPr="00E15EBA">
        <w:rPr>
          <w:rFonts w:asciiTheme="minorHAnsi" w:hAnsiTheme="minorHAnsi" w:cstheme="minorHAnsi"/>
          <w:i/>
          <w:iCs/>
          <w:sz w:val="22"/>
        </w:rPr>
        <w:t> </w:t>
      </w:r>
    </w:p>
    <w:p w14:paraId="3FDD63B9" w14:textId="0D62010C" w:rsidR="00753CD6" w:rsidRDefault="006A05FB" w:rsidP="00730D03">
      <w:pPr>
        <w:pStyle w:val="Default"/>
        <w:spacing w:after="120"/>
        <w:rPr>
          <w:rFonts w:asciiTheme="minorHAnsi" w:hAnsiTheme="minorHAnsi" w:cstheme="minorHAnsi"/>
          <w:sz w:val="22"/>
          <w:szCs w:val="22"/>
        </w:rPr>
      </w:pPr>
      <w:r>
        <w:rPr>
          <w:rFonts w:asciiTheme="minorHAnsi" w:hAnsiTheme="minorHAnsi" w:cstheme="minorHAnsi"/>
          <w:sz w:val="22"/>
          <w:szCs w:val="22"/>
        </w:rPr>
        <w:t>MassHealth identified</w:t>
      </w:r>
      <w:r w:rsidR="00753CD6">
        <w:rPr>
          <w:rFonts w:asciiTheme="minorHAnsi" w:hAnsiTheme="minorHAnsi" w:cstheme="minorHAnsi"/>
          <w:sz w:val="22"/>
          <w:szCs w:val="22"/>
        </w:rPr>
        <w:t xml:space="preserve"> seven HEDIS measures to assess effectiveness in meeting Quality Goal 4:</w:t>
      </w:r>
    </w:p>
    <w:p w14:paraId="2B47870D" w14:textId="08907B77" w:rsidR="00753CD6" w:rsidRPr="00297B84" w:rsidRDefault="00753CD6">
      <w:pPr>
        <w:pStyle w:val="ListParagraph"/>
        <w:numPr>
          <w:ilvl w:val="0"/>
          <w:numId w:val="12"/>
        </w:numPr>
        <w:textAlignment w:val="baseline"/>
        <w:rPr>
          <w:rFonts w:eastAsia="Times New Roman" w:cs="Calibri"/>
        </w:rPr>
      </w:pPr>
      <w:r w:rsidRPr="00B56C40">
        <w:rPr>
          <w:rFonts w:eastAsia="Times New Roman" w:cs="Calibri"/>
          <w:color w:val="000000"/>
        </w:rPr>
        <w:t xml:space="preserve">Comprehensive Diabetes Care: </w:t>
      </w:r>
      <w:r w:rsidR="00142A4B">
        <w:rPr>
          <w:rFonts w:eastAsia="Times New Roman" w:cs="Calibri"/>
          <w:color w:val="000000"/>
        </w:rPr>
        <w:t>A1C</w:t>
      </w:r>
      <w:r w:rsidRPr="00B56C40">
        <w:rPr>
          <w:rFonts w:eastAsia="Times New Roman" w:cs="Calibri"/>
          <w:color w:val="000000"/>
        </w:rPr>
        <w:t xml:space="preserve"> Poor Control (</w:t>
      </w:r>
      <w:r w:rsidRPr="00297B84">
        <w:rPr>
          <w:rFonts w:eastAsia="Times New Roman" w:cs="Calibri"/>
        </w:rPr>
        <w:t>CDC-Poor)</w:t>
      </w:r>
    </w:p>
    <w:p w14:paraId="7214C534" w14:textId="77777777" w:rsidR="00753CD6" w:rsidRPr="00297B84" w:rsidRDefault="00753CD6">
      <w:pPr>
        <w:pStyle w:val="ListParagraph"/>
        <w:numPr>
          <w:ilvl w:val="0"/>
          <w:numId w:val="12"/>
        </w:numPr>
        <w:textAlignment w:val="baseline"/>
        <w:rPr>
          <w:rFonts w:eastAsia="Times New Roman" w:cs="Calibri"/>
        </w:rPr>
      </w:pPr>
      <w:r w:rsidRPr="00297B84">
        <w:rPr>
          <w:rFonts w:eastAsia="Times New Roman" w:cs="Calibri"/>
        </w:rPr>
        <w:t>Controlling High Blood Pressure (CBP)</w:t>
      </w:r>
    </w:p>
    <w:p w14:paraId="21DE40AC" w14:textId="77777777" w:rsidR="00753CD6" w:rsidRPr="00297B84" w:rsidRDefault="00753CD6">
      <w:pPr>
        <w:pStyle w:val="ListParagraph"/>
        <w:numPr>
          <w:ilvl w:val="0"/>
          <w:numId w:val="12"/>
        </w:numPr>
        <w:textAlignment w:val="baseline"/>
        <w:rPr>
          <w:rFonts w:eastAsia="Times New Roman" w:cs="Calibri"/>
        </w:rPr>
      </w:pPr>
      <w:r w:rsidRPr="00297B84">
        <w:rPr>
          <w:rFonts w:eastAsia="Times New Roman" w:cs="Calibri"/>
        </w:rPr>
        <w:t>Asthma Medication Ratio (AMR)</w:t>
      </w:r>
    </w:p>
    <w:p w14:paraId="6663C5CC" w14:textId="77777777" w:rsidR="00753CD6" w:rsidRDefault="00753CD6">
      <w:pPr>
        <w:pStyle w:val="ListParagraph"/>
        <w:numPr>
          <w:ilvl w:val="0"/>
          <w:numId w:val="12"/>
        </w:numPr>
        <w:textAlignment w:val="baseline"/>
        <w:rPr>
          <w:rFonts w:eastAsia="Times New Roman" w:cs="Calibri"/>
        </w:rPr>
      </w:pPr>
      <w:r w:rsidRPr="00B56C40">
        <w:rPr>
          <w:rFonts w:eastAsia="Times New Roman" w:cs="Calibri"/>
          <w:color w:val="000000"/>
        </w:rPr>
        <w:t xml:space="preserve">Follow-up Care for Children Prescribed ADHD Medication </w:t>
      </w:r>
      <w:r w:rsidRPr="00297B84">
        <w:rPr>
          <w:rFonts w:eastAsia="Times New Roman" w:cs="Calibri"/>
          <w:color w:val="000000"/>
        </w:rPr>
        <w:t>(</w:t>
      </w:r>
      <w:r w:rsidRPr="00297B84">
        <w:rPr>
          <w:rFonts w:eastAsia="Times New Roman" w:cs="Calibri"/>
        </w:rPr>
        <w:t>ADD)</w:t>
      </w:r>
      <w:r>
        <w:rPr>
          <w:rFonts w:eastAsia="Times New Roman" w:cs="Calibri"/>
        </w:rPr>
        <w:t xml:space="preserve"> – Initiation</w:t>
      </w:r>
    </w:p>
    <w:p w14:paraId="1CA80F9C" w14:textId="77777777" w:rsidR="00753CD6" w:rsidRDefault="00753CD6">
      <w:pPr>
        <w:pStyle w:val="ListParagraph"/>
        <w:numPr>
          <w:ilvl w:val="0"/>
          <w:numId w:val="12"/>
        </w:numPr>
        <w:textAlignment w:val="baseline"/>
        <w:rPr>
          <w:rFonts w:eastAsia="Times New Roman" w:cs="Calibri"/>
        </w:rPr>
      </w:pPr>
      <w:r w:rsidRPr="00B56C40">
        <w:rPr>
          <w:rFonts w:eastAsia="Times New Roman" w:cs="Calibri"/>
          <w:color w:val="000000"/>
        </w:rPr>
        <w:t xml:space="preserve">Follow-up Care for Children Prescribed ADHD Medication </w:t>
      </w:r>
      <w:r w:rsidRPr="00297B84">
        <w:rPr>
          <w:rFonts w:eastAsia="Times New Roman" w:cs="Calibri"/>
          <w:color w:val="000000"/>
        </w:rPr>
        <w:t>(</w:t>
      </w:r>
      <w:r w:rsidRPr="00297B84">
        <w:rPr>
          <w:rFonts w:eastAsia="Times New Roman" w:cs="Calibri"/>
        </w:rPr>
        <w:t>ADD)</w:t>
      </w:r>
      <w:r>
        <w:rPr>
          <w:rFonts w:eastAsia="Times New Roman" w:cs="Calibri"/>
        </w:rPr>
        <w:t xml:space="preserve"> – Continuation</w:t>
      </w:r>
    </w:p>
    <w:p w14:paraId="766B87BE" w14:textId="77777777" w:rsidR="00753CD6" w:rsidRPr="00297B84" w:rsidRDefault="00753CD6">
      <w:pPr>
        <w:pStyle w:val="ListParagraph"/>
        <w:numPr>
          <w:ilvl w:val="0"/>
          <w:numId w:val="12"/>
        </w:numPr>
        <w:textAlignment w:val="baseline"/>
        <w:rPr>
          <w:rFonts w:eastAsia="Times New Roman" w:cs="Calibri"/>
        </w:rPr>
      </w:pPr>
      <w:r>
        <w:rPr>
          <w:rFonts w:eastAsia="Times New Roman" w:cs="Calibri"/>
        </w:rPr>
        <w:t>Antidepressant Medication Management (AMM) – Acute Phase</w:t>
      </w:r>
    </w:p>
    <w:p w14:paraId="16438D72" w14:textId="77777777" w:rsidR="00753CD6" w:rsidRPr="00297B84" w:rsidRDefault="00753CD6">
      <w:pPr>
        <w:pStyle w:val="ListParagraph"/>
        <w:numPr>
          <w:ilvl w:val="0"/>
          <w:numId w:val="12"/>
        </w:numPr>
        <w:textAlignment w:val="baseline"/>
        <w:rPr>
          <w:rFonts w:eastAsia="Times New Roman" w:cs="Calibri"/>
        </w:rPr>
      </w:pPr>
      <w:r w:rsidRPr="00297B84">
        <w:rPr>
          <w:rFonts w:eastAsia="Times New Roman" w:cs="Calibri"/>
        </w:rPr>
        <w:t>Antidepressant Medication Management (AMM)</w:t>
      </w:r>
      <w:r>
        <w:rPr>
          <w:rFonts w:eastAsia="Times New Roman" w:cs="Calibri"/>
        </w:rPr>
        <w:t xml:space="preserve"> – Continuation Phase</w:t>
      </w:r>
    </w:p>
    <w:p w14:paraId="389606FC" w14:textId="040A366C" w:rsidR="00753CD6" w:rsidRDefault="00753CD6" w:rsidP="00753CD6">
      <w:pPr>
        <w:pStyle w:val="Default"/>
        <w:rPr>
          <w:rFonts w:asciiTheme="minorHAnsi" w:hAnsiTheme="minorHAnsi" w:cstheme="minorHAnsi"/>
          <w:sz w:val="22"/>
          <w:szCs w:val="22"/>
        </w:rPr>
      </w:pPr>
      <w:r>
        <w:rPr>
          <w:rFonts w:asciiTheme="minorHAnsi" w:hAnsiTheme="minorHAnsi" w:cstheme="minorHAnsi"/>
          <w:sz w:val="22"/>
          <w:szCs w:val="22"/>
        </w:rPr>
        <w:t xml:space="preserve">These measures are all part of the CMS Core Sets. The ADD measure is part of the Child Core Set, while AMR is in both the Adult and Child </w:t>
      </w:r>
      <w:r w:rsidR="00F35A3B">
        <w:rPr>
          <w:rFonts w:asciiTheme="minorHAnsi" w:hAnsiTheme="minorHAnsi" w:cstheme="minorHAnsi"/>
          <w:sz w:val="22"/>
          <w:szCs w:val="22"/>
        </w:rPr>
        <w:t>Sets</w:t>
      </w:r>
      <w:r>
        <w:rPr>
          <w:rFonts w:asciiTheme="minorHAnsi" w:hAnsiTheme="minorHAnsi" w:cstheme="minorHAnsi"/>
          <w:sz w:val="22"/>
          <w:szCs w:val="22"/>
        </w:rPr>
        <w:t>.</w:t>
      </w:r>
    </w:p>
    <w:p w14:paraId="6CDFEC8F" w14:textId="77777777" w:rsidR="00753CD6" w:rsidRPr="001A019B" w:rsidRDefault="00753CD6" w:rsidP="00753CD6">
      <w:pPr>
        <w:spacing w:before="360"/>
        <w:rPr>
          <w:b/>
          <w:i/>
          <w:iCs/>
          <w:color w:val="1F497D"/>
        </w:rPr>
      </w:pPr>
      <w:r w:rsidRPr="009069AE">
        <w:rPr>
          <w:rStyle w:val="SubtleEmphasis"/>
        </w:rPr>
        <w:t xml:space="preserve">Table </w:t>
      </w:r>
      <w:r>
        <w:rPr>
          <w:rStyle w:val="SubtleEmphasis"/>
        </w:rPr>
        <w:t>5</w:t>
      </w:r>
      <w:r w:rsidRPr="009069AE">
        <w:rPr>
          <w:rStyle w:val="SubtleEmphasis"/>
        </w:rPr>
        <w:t xml:space="preserve">:  </w:t>
      </w:r>
      <w:r>
        <w:rPr>
          <w:rStyle w:val="SubtleEmphasis"/>
        </w:rPr>
        <w:t>Quality Goal 4 Measures and Performance</w:t>
      </w:r>
    </w:p>
    <w:tbl>
      <w:tblPr>
        <w:tblpPr w:leftFromText="180" w:rightFromText="180" w:vertAnchor="text" w:tblpXSpec="center" w:tblpY="1"/>
        <w:tblOverlap w:val="never"/>
        <w:tblW w:w="9060" w:type="dxa"/>
        <w:tblLook w:val="04A0" w:firstRow="1" w:lastRow="0" w:firstColumn="1" w:lastColumn="0" w:noHBand="0" w:noVBand="1"/>
      </w:tblPr>
      <w:tblGrid>
        <w:gridCol w:w="1023"/>
        <w:gridCol w:w="1720"/>
        <w:gridCol w:w="1299"/>
        <w:gridCol w:w="1299"/>
        <w:gridCol w:w="1299"/>
        <w:gridCol w:w="1460"/>
        <w:gridCol w:w="960"/>
      </w:tblGrid>
      <w:tr w:rsidR="00753CD6" w:rsidRPr="0051173C" w14:paraId="6B2F27AC" w14:textId="77777777" w:rsidTr="00071BFA">
        <w:trPr>
          <w:trHeight w:val="880"/>
          <w:tblHeader/>
        </w:trPr>
        <w:tc>
          <w:tcPr>
            <w:tcW w:w="10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621AE3" w14:textId="77777777" w:rsidR="00753CD6" w:rsidRPr="0051173C" w:rsidRDefault="00753CD6" w:rsidP="00071BFA">
            <w:pPr>
              <w:spacing w:after="0"/>
              <w:jc w:val="center"/>
              <w:rPr>
                <w:rFonts w:eastAsia="Times New Roman" w:cs="Calibri"/>
                <w:b/>
                <w:bCs/>
                <w:color w:val="000000"/>
              </w:rPr>
            </w:pPr>
            <w:r w:rsidRPr="0051173C">
              <w:rPr>
                <w:rFonts w:eastAsia="Times New Roman" w:cs="Calibri"/>
                <w:b/>
                <w:bCs/>
                <w:color w:val="000000"/>
              </w:rPr>
              <w:t>Measure</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23AE667C"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Description</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49E6BB9"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2018 Rate</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7C979FC0"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2019 Rate</w:t>
            </w:r>
          </w:p>
        </w:tc>
        <w:tc>
          <w:tcPr>
            <w:tcW w:w="1299"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FD87937"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2020 Rate</w:t>
            </w:r>
          </w:p>
        </w:tc>
        <w:tc>
          <w:tcPr>
            <w:tcW w:w="1460" w:type="dxa"/>
            <w:tcBorders>
              <w:top w:val="single" w:sz="8" w:space="0" w:color="auto"/>
              <w:left w:val="nil"/>
              <w:bottom w:val="single" w:sz="8" w:space="0" w:color="auto"/>
              <w:right w:val="nil"/>
            </w:tcBorders>
            <w:shd w:val="clear" w:color="auto" w:fill="auto"/>
            <w:vAlign w:val="center"/>
            <w:hideMark/>
          </w:tcPr>
          <w:p w14:paraId="0EAF258D"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Benchmark (MY 20 75th)</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403B48" w14:textId="77777777" w:rsidR="00753CD6" w:rsidRPr="0051173C" w:rsidRDefault="00753CD6" w:rsidP="00071BFA">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Gap to Goal</w:t>
            </w:r>
          </w:p>
        </w:tc>
      </w:tr>
      <w:tr w:rsidR="00753CD6" w:rsidRPr="0051173C" w14:paraId="14A00C3A" w14:textId="77777777" w:rsidTr="00071BFA">
        <w:trPr>
          <w:trHeight w:val="1060"/>
        </w:trPr>
        <w:tc>
          <w:tcPr>
            <w:tcW w:w="1023" w:type="dxa"/>
            <w:tcBorders>
              <w:top w:val="nil"/>
              <w:left w:val="single" w:sz="8" w:space="0" w:color="auto"/>
              <w:bottom w:val="single" w:sz="8" w:space="0" w:color="auto"/>
              <w:right w:val="single" w:sz="8" w:space="0" w:color="auto"/>
            </w:tcBorders>
            <w:shd w:val="clear" w:color="auto" w:fill="auto"/>
            <w:vAlign w:val="center"/>
            <w:hideMark/>
          </w:tcPr>
          <w:p w14:paraId="0B11EEB1" w14:textId="77777777" w:rsidR="00753CD6" w:rsidRPr="0051173C" w:rsidRDefault="00753CD6" w:rsidP="00071BFA">
            <w:pPr>
              <w:spacing w:after="0"/>
              <w:rPr>
                <w:rFonts w:eastAsia="Times New Roman" w:cs="Calibri"/>
                <w:sz w:val="20"/>
                <w:szCs w:val="20"/>
              </w:rPr>
            </w:pPr>
            <w:r w:rsidRPr="0051173C">
              <w:rPr>
                <w:rFonts w:eastAsia="Times New Roman" w:cs="Calibri"/>
                <w:sz w:val="20"/>
                <w:szCs w:val="20"/>
              </w:rPr>
              <w:t>CDC</w:t>
            </w:r>
            <w:r>
              <w:rPr>
                <w:rFonts w:eastAsia="Times New Roman" w:cs="Calibri"/>
                <w:sz w:val="20"/>
                <w:szCs w:val="20"/>
              </w:rPr>
              <w:t>-Poor</w:t>
            </w:r>
          </w:p>
        </w:tc>
        <w:tc>
          <w:tcPr>
            <w:tcW w:w="1720" w:type="dxa"/>
            <w:tcBorders>
              <w:top w:val="nil"/>
              <w:left w:val="nil"/>
              <w:bottom w:val="single" w:sz="8" w:space="0" w:color="auto"/>
              <w:right w:val="single" w:sz="8" w:space="0" w:color="auto"/>
            </w:tcBorders>
            <w:shd w:val="clear" w:color="auto" w:fill="auto"/>
            <w:vAlign w:val="bottom"/>
            <w:hideMark/>
          </w:tcPr>
          <w:p w14:paraId="49FEC3DB" w14:textId="50B77048"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 xml:space="preserve">Comprehensive Diabetes Care: </w:t>
            </w:r>
            <w:r w:rsidR="00142A4B">
              <w:rPr>
                <w:rFonts w:eastAsia="Times New Roman" w:cs="Calibri"/>
                <w:color w:val="000000"/>
                <w:sz w:val="20"/>
                <w:szCs w:val="20"/>
              </w:rPr>
              <w:t>A1C</w:t>
            </w:r>
            <w:r w:rsidRPr="0051173C">
              <w:rPr>
                <w:rFonts w:eastAsia="Times New Roman" w:cs="Calibri"/>
                <w:color w:val="000000"/>
                <w:sz w:val="20"/>
                <w:szCs w:val="20"/>
              </w:rPr>
              <w:t xml:space="preserve"> Poor Control (18-64, </w:t>
            </w:r>
            <w:r w:rsidRPr="0051173C">
              <w:rPr>
                <w:rFonts w:eastAsia="Times New Roman" w:cs="Calibri"/>
                <w:color w:val="000000"/>
                <w:sz w:val="20"/>
                <w:szCs w:val="20"/>
              </w:rPr>
              <w:lastRenderedPageBreak/>
              <w:t>lower rate is better)</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4DAC944E" w14:textId="77777777" w:rsidR="00753CD6" w:rsidRPr="0051173C" w:rsidRDefault="00753CD6" w:rsidP="00071BFA">
            <w:pPr>
              <w:spacing w:after="0"/>
              <w:jc w:val="center"/>
              <w:rPr>
                <w:rFonts w:eastAsia="Times New Roman" w:cs="Calibri"/>
              </w:rPr>
            </w:pPr>
            <w:r w:rsidRPr="0051173C">
              <w:rPr>
                <w:rFonts w:eastAsia="Times New Roman" w:cs="Calibri"/>
              </w:rPr>
              <w:lastRenderedPageBreak/>
              <w:t>33.5%</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70C255D1" w14:textId="77777777" w:rsidR="00753CD6" w:rsidRPr="0051173C" w:rsidRDefault="00753CD6" w:rsidP="00071BFA">
            <w:pPr>
              <w:spacing w:after="0"/>
              <w:jc w:val="center"/>
              <w:rPr>
                <w:rFonts w:eastAsia="Times New Roman" w:cs="Calibri"/>
              </w:rPr>
            </w:pPr>
            <w:r w:rsidRPr="0051173C">
              <w:rPr>
                <w:rFonts w:eastAsia="Times New Roman" w:cs="Calibri"/>
              </w:rPr>
              <w:t>35.8%</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A6318D3" w14:textId="77777777" w:rsidR="00753CD6" w:rsidRPr="0051173C" w:rsidRDefault="00753CD6" w:rsidP="00071BFA">
            <w:pPr>
              <w:spacing w:after="0"/>
              <w:jc w:val="center"/>
              <w:rPr>
                <w:rFonts w:eastAsia="Times New Roman" w:cs="Calibri"/>
              </w:rPr>
            </w:pPr>
            <w:r w:rsidRPr="0051173C">
              <w:rPr>
                <w:rFonts w:eastAsia="Times New Roman" w:cs="Calibri"/>
              </w:rPr>
              <w:t>43.3%</w:t>
            </w:r>
          </w:p>
        </w:tc>
        <w:tc>
          <w:tcPr>
            <w:tcW w:w="1460" w:type="dxa"/>
            <w:tcBorders>
              <w:top w:val="nil"/>
              <w:left w:val="nil"/>
              <w:bottom w:val="single" w:sz="8" w:space="0" w:color="auto"/>
              <w:right w:val="nil"/>
            </w:tcBorders>
            <w:shd w:val="clear" w:color="auto" w:fill="auto"/>
            <w:vAlign w:val="center"/>
            <w:hideMark/>
          </w:tcPr>
          <w:p w14:paraId="76BC580D" w14:textId="77777777" w:rsidR="00753CD6" w:rsidRPr="0051173C" w:rsidRDefault="00753CD6" w:rsidP="00071BFA">
            <w:pPr>
              <w:spacing w:after="0"/>
              <w:jc w:val="center"/>
              <w:rPr>
                <w:rFonts w:eastAsia="Times New Roman" w:cs="Calibri"/>
              </w:rPr>
            </w:pPr>
            <w:r w:rsidRPr="0051173C">
              <w:rPr>
                <w:rFonts w:eastAsia="Times New Roman" w:cs="Calibri"/>
              </w:rPr>
              <w:t>38.4%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8ADF2A" w14:textId="1A07A521" w:rsidR="00753CD6" w:rsidRPr="0051173C" w:rsidRDefault="00753CD6" w:rsidP="00071BFA">
            <w:pPr>
              <w:spacing w:after="0"/>
              <w:jc w:val="center"/>
              <w:rPr>
                <w:rFonts w:eastAsia="Times New Roman" w:cs="Calibri"/>
                <w:color w:val="000000"/>
              </w:rPr>
            </w:pPr>
            <w:r w:rsidRPr="0051173C">
              <w:rPr>
                <w:rFonts w:eastAsia="Times New Roman" w:cs="Calibri"/>
                <w:color w:val="000000"/>
              </w:rPr>
              <w:t>N/A</w:t>
            </w:r>
            <w:r w:rsidR="00633E34">
              <w:rPr>
                <w:rFonts w:eastAsia="Times New Roman" w:cs="Calibri"/>
                <w:color w:val="000000"/>
              </w:rPr>
              <w:t>*</w:t>
            </w:r>
          </w:p>
        </w:tc>
      </w:tr>
      <w:tr w:rsidR="00753CD6" w:rsidRPr="0051173C" w14:paraId="194F073A" w14:textId="77777777" w:rsidTr="00071BFA">
        <w:trPr>
          <w:trHeight w:val="530"/>
        </w:trPr>
        <w:tc>
          <w:tcPr>
            <w:tcW w:w="1023" w:type="dxa"/>
            <w:tcBorders>
              <w:top w:val="nil"/>
              <w:left w:val="single" w:sz="8" w:space="0" w:color="auto"/>
              <w:bottom w:val="single" w:sz="8" w:space="0" w:color="auto"/>
              <w:right w:val="single" w:sz="8" w:space="0" w:color="auto"/>
            </w:tcBorders>
            <w:shd w:val="clear" w:color="auto" w:fill="auto"/>
            <w:vAlign w:val="center"/>
            <w:hideMark/>
          </w:tcPr>
          <w:p w14:paraId="5B01C8DD"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CBP</w:t>
            </w:r>
          </w:p>
        </w:tc>
        <w:tc>
          <w:tcPr>
            <w:tcW w:w="1720" w:type="dxa"/>
            <w:tcBorders>
              <w:top w:val="nil"/>
              <w:left w:val="nil"/>
              <w:bottom w:val="single" w:sz="8" w:space="0" w:color="auto"/>
              <w:right w:val="single" w:sz="8" w:space="0" w:color="auto"/>
            </w:tcBorders>
            <w:shd w:val="clear" w:color="auto" w:fill="auto"/>
            <w:vAlign w:val="center"/>
            <w:hideMark/>
          </w:tcPr>
          <w:p w14:paraId="6E839E2C"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Controlling High Blood Pressure (18-64)</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4A5800A9" w14:textId="77777777" w:rsidR="00753CD6" w:rsidRPr="0051173C" w:rsidRDefault="00753CD6" w:rsidP="00071BFA">
            <w:pPr>
              <w:spacing w:after="0"/>
              <w:jc w:val="center"/>
              <w:rPr>
                <w:rFonts w:eastAsia="Times New Roman" w:cs="Calibri"/>
              </w:rPr>
            </w:pPr>
            <w:r w:rsidRPr="0051173C">
              <w:rPr>
                <w:rFonts w:eastAsia="Times New Roman" w:cs="Calibri"/>
              </w:rPr>
              <w:t>67.9%</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2D1E24D8" w14:textId="77777777" w:rsidR="00753CD6" w:rsidRPr="0051173C" w:rsidRDefault="00753CD6" w:rsidP="00071BFA">
            <w:pPr>
              <w:spacing w:after="0"/>
              <w:jc w:val="center"/>
              <w:rPr>
                <w:rFonts w:eastAsia="Times New Roman" w:cs="Calibri"/>
              </w:rPr>
            </w:pPr>
            <w:r w:rsidRPr="0051173C">
              <w:rPr>
                <w:rFonts w:eastAsia="Times New Roman" w:cs="Calibri"/>
              </w:rPr>
              <w:t>68.4%</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787836F3" w14:textId="77777777" w:rsidR="00753CD6" w:rsidRPr="0051173C" w:rsidRDefault="00753CD6" w:rsidP="00071BFA">
            <w:pPr>
              <w:spacing w:after="0"/>
              <w:jc w:val="center"/>
              <w:rPr>
                <w:rFonts w:eastAsia="Times New Roman" w:cs="Calibri"/>
              </w:rPr>
            </w:pPr>
            <w:r w:rsidRPr="0051173C">
              <w:rPr>
                <w:rFonts w:eastAsia="Times New Roman" w:cs="Calibri"/>
              </w:rPr>
              <w:t>56.8%</w:t>
            </w:r>
          </w:p>
        </w:tc>
        <w:tc>
          <w:tcPr>
            <w:tcW w:w="1460" w:type="dxa"/>
            <w:tcBorders>
              <w:top w:val="nil"/>
              <w:left w:val="nil"/>
              <w:bottom w:val="single" w:sz="8" w:space="0" w:color="000000" w:themeColor="text1"/>
              <w:right w:val="nil"/>
            </w:tcBorders>
            <w:shd w:val="clear" w:color="auto" w:fill="FFFFFF" w:themeFill="background1"/>
            <w:vAlign w:val="center"/>
            <w:hideMark/>
          </w:tcPr>
          <w:p w14:paraId="36E1093B" w14:textId="77777777" w:rsidR="00753CD6" w:rsidRPr="0051173C" w:rsidRDefault="00753CD6" w:rsidP="00071BFA">
            <w:pPr>
              <w:spacing w:after="0"/>
              <w:jc w:val="center"/>
              <w:rPr>
                <w:rFonts w:eastAsia="Times New Roman" w:cs="Calibri"/>
              </w:rPr>
            </w:pPr>
            <w:r w:rsidRPr="0051173C">
              <w:rPr>
                <w:rFonts w:eastAsia="Times New Roman" w:cs="Calibri"/>
              </w:rPr>
              <w:t>62.5%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22BE722" w14:textId="7688F5BE" w:rsidR="00753CD6" w:rsidRPr="0051173C" w:rsidRDefault="00753CD6" w:rsidP="00071BFA">
            <w:pPr>
              <w:spacing w:after="0"/>
              <w:jc w:val="center"/>
              <w:rPr>
                <w:rFonts w:eastAsia="Times New Roman" w:cs="Calibri"/>
                <w:color w:val="000000"/>
              </w:rPr>
            </w:pPr>
            <w:r w:rsidRPr="692C77C9">
              <w:rPr>
                <w:rFonts w:eastAsia="Times New Roman" w:cs="Calibri"/>
                <w:color w:val="000000" w:themeColor="text1"/>
              </w:rPr>
              <w:t>N/A</w:t>
            </w:r>
            <w:r w:rsidR="0763A91E" w:rsidRPr="692C77C9">
              <w:rPr>
                <w:rFonts w:eastAsia="Times New Roman" w:cs="Calibri"/>
                <w:color w:val="000000" w:themeColor="text1"/>
              </w:rPr>
              <w:t>*</w:t>
            </w:r>
          </w:p>
        </w:tc>
      </w:tr>
      <w:tr w:rsidR="00753CD6" w:rsidRPr="0051173C" w14:paraId="1BE1CCD3" w14:textId="77777777" w:rsidTr="00071BFA">
        <w:trPr>
          <w:trHeight w:val="530"/>
        </w:trPr>
        <w:tc>
          <w:tcPr>
            <w:tcW w:w="1023" w:type="dxa"/>
            <w:tcBorders>
              <w:top w:val="nil"/>
              <w:left w:val="single" w:sz="8" w:space="0" w:color="auto"/>
              <w:bottom w:val="nil"/>
              <w:right w:val="nil"/>
            </w:tcBorders>
            <w:shd w:val="clear" w:color="auto" w:fill="auto"/>
            <w:vAlign w:val="center"/>
            <w:hideMark/>
          </w:tcPr>
          <w:p w14:paraId="07D509ED"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AMR</w:t>
            </w:r>
          </w:p>
        </w:tc>
        <w:tc>
          <w:tcPr>
            <w:tcW w:w="1720" w:type="dxa"/>
            <w:tcBorders>
              <w:top w:val="nil"/>
              <w:left w:val="single" w:sz="8" w:space="0" w:color="auto"/>
              <w:bottom w:val="nil"/>
              <w:right w:val="single" w:sz="8" w:space="0" w:color="auto"/>
            </w:tcBorders>
            <w:shd w:val="clear" w:color="auto" w:fill="auto"/>
            <w:hideMark/>
          </w:tcPr>
          <w:p w14:paraId="12EA7203" w14:textId="77777777" w:rsidR="00753CD6" w:rsidRPr="0051173C" w:rsidRDefault="00753CD6" w:rsidP="00071BFA">
            <w:pPr>
              <w:spacing w:after="0"/>
              <w:rPr>
                <w:rFonts w:eastAsia="Times New Roman" w:cs="Calibri"/>
                <w:sz w:val="20"/>
                <w:szCs w:val="20"/>
              </w:rPr>
            </w:pPr>
            <w:r w:rsidRPr="0051173C">
              <w:rPr>
                <w:rFonts w:eastAsia="Times New Roman" w:cs="Calibri"/>
                <w:sz w:val="20"/>
                <w:szCs w:val="20"/>
              </w:rPr>
              <w:t>Asthma Medication Ratio (All Ages)</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4724974F" w14:textId="77777777" w:rsidR="00753CD6" w:rsidRPr="0051173C" w:rsidRDefault="00753CD6" w:rsidP="00071BFA">
            <w:pPr>
              <w:spacing w:after="0"/>
              <w:jc w:val="center"/>
              <w:rPr>
                <w:rFonts w:eastAsia="Times New Roman" w:cs="Calibri"/>
              </w:rPr>
            </w:pPr>
            <w:r w:rsidRPr="0051173C">
              <w:rPr>
                <w:rFonts w:eastAsia="Times New Roman" w:cs="Calibri"/>
              </w:rPr>
              <w:t>58.7%</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1CD90B5" w14:textId="77777777" w:rsidR="00753CD6" w:rsidRPr="0051173C" w:rsidRDefault="00753CD6" w:rsidP="00071BFA">
            <w:pPr>
              <w:spacing w:after="0"/>
              <w:jc w:val="center"/>
              <w:rPr>
                <w:rFonts w:eastAsia="Times New Roman" w:cs="Calibri"/>
              </w:rPr>
            </w:pPr>
            <w:r w:rsidRPr="0051173C">
              <w:rPr>
                <w:rFonts w:eastAsia="Times New Roman" w:cs="Calibri"/>
              </w:rPr>
              <w:t>55.6%</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263555E2" w14:textId="77777777" w:rsidR="00753CD6" w:rsidRPr="0051173C" w:rsidRDefault="00753CD6" w:rsidP="00071BFA">
            <w:pPr>
              <w:spacing w:after="0"/>
              <w:jc w:val="center"/>
              <w:rPr>
                <w:rFonts w:eastAsia="Times New Roman" w:cs="Calibri"/>
              </w:rPr>
            </w:pPr>
            <w:r w:rsidRPr="0051173C">
              <w:rPr>
                <w:rFonts w:eastAsia="Times New Roman" w:cs="Calibri"/>
              </w:rPr>
              <w:t>58.5%</w:t>
            </w:r>
          </w:p>
        </w:tc>
        <w:tc>
          <w:tcPr>
            <w:tcW w:w="1460" w:type="dxa"/>
            <w:tcBorders>
              <w:top w:val="nil"/>
              <w:left w:val="nil"/>
              <w:bottom w:val="single" w:sz="8" w:space="0" w:color="auto"/>
              <w:right w:val="nil"/>
            </w:tcBorders>
            <w:shd w:val="clear" w:color="auto" w:fill="FFFFFF" w:themeFill="background1"/>
            <w:noWrap/>
            <w:vAlign w:val="center"/>
            <w:hideMark/>
          </w:tcPr>
          <w:p w14:paraId="672C88AE" w14:textId="77777777" w:rsidR="00753CD6" w:rsidRPr="0051173C" w:rsidRDefault="00753CD6" w:rsidP="00071BFA">
            <w:pPr>
              <w:spacing w:after="0"/>
              <w:jc w:val="center"/>
              <w:rPr>
                <w:rFonts w:eastAsia="Times New Roman" w:cs="Calibri"/>
              </w:rPr>
            </w:pPr>
            <w:r w:rsidRPr="0051173C">
              <w:rPr>
                <w:rFonts w:eastAsia="Times New Roman" w:cs="Calibri"/>
              </w:rPr>
              <w:t>70.9%</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284634A"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59.9%</w:t>
            </w:r>
          </w:p>
        </w:tc>
      </w:tr>
      <w:tr w:rsidR="00753CD6" w:rsidRPr="0051173C" w14:paraId="5EAC565A" w14:textId="77777777" w:rsidTr="00071BFA">
        <w:trPr>
          <w:trHeight w:val="1050"/>
        </w:trPr>
        <w:tc>
          <w:tcPr>
            <w:tcW w:w="10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7B844F"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ADD-Init</w:t>
            </w:r>
          </w:p>
        </w:tc>
        <w:tc>
          <w:tcPr>
            <w:tcW w:w="1720" w:type="dxa"/>
            <w:tcBorders>
              <w:top w:val="single" w:sz="8" w:space="0" w:color="auto"/>
              <w:left w:val="nil"/>
              <w:bottom w:val="single" w:sz="8" w:space="0" w:color="auto"/>
              <w:right w:val="single" w:sz="8" w:space="0" w:color="auto"/>
            </w:tcBorders>
            <w:shd w:val="clear" w:color="auto" w:fill="auto"/>
            <w:vAlign w:val="center"/>
            <w:hideMark/>
          </w:tcPr>
          <w:p w14:paraId="5D8F9361"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Follow-up Care for Children Prescribed ADHD Medication - Initiation</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815D16B"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49.3%</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280FE644"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53.0%</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050183DE"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45.7%</w:t>
            </w:r>
          </w:p>
        </w:tc>
        <w:tc>
          <w:tcPr>
            <w:tcW w:w="1460" w:type="dxa"/>
            <w:tcBorders>
              <w:top w:val="nil"/>
              <w:left w:val="nil"/>
              <w:bottom w:val="single" w:sz="8" w:space="0" w:color="auto"/>
              <w:right w:val="nil"/>
            </w:tcBorders>
            <w:shd w:val="clear" w:color="auto" w:fill="FFFFFF" w:themeFill="background1"/>
            <w:noWrap/>
            <w:vAlign w:val="center"/>
            <w:hideMark/>
          </w:tcPr>
          <w:p w14:paraId="262C81DD" w14:textId="77777777" w:rsidR="00753CD6" w:rsidRPr="0051173C" w:rsidRDefault="00753CD6" w:rsidP="00071BFA">
            <w:pPr>
              <w:spacing w:after="0"/>
              <w:jc w:val="center"/>
              <w:rPr>
                <w:rFonts w:eastAsia="Times New Roman" w:cs="Calibri"/>
              </w:rPr>
            </w:pPr>
            <w:r w:rsidRPr="0051173C">
              <w:rPr>
                <w:rFonts w:eastAsia="Times New Roman" w:cs="Calibri"/>
              </w:rPr>
              <w:t>49.1%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47EC731"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N/A</w:t>
            </w:r>
          </w:p>
        </w:tc>
      </w:tr>
      <w:tr w:rsidR="00753CD6" w:rsidRPr="0051173C" w14:paraId="1144D4E1" w14:textId="77777777" w:rsidTr="00071BFA">
        <w:trPr>
          <w:trHeight w:val="1050"/>
        </w:trPr>
        <w:tc>
          <w:tcPr>
            <w:tcW w:w="1023" w:type="dxa"/>
            <w:tcBorders>
              <w:top w:val="single" w:sz="8" w:space="0" w:color="auto"/>
              <w:left w:val="single" w:sz="8" w:space="0" w:color="000000" w:themeColor="text1"/>
              <w:bottom w:val="single" w:sz="4" w:space="0" w:color="auto"/>
              <w:right w:val="nil"/>
            </w:tcBorders>
            <w:shd w:val="clear" w:color="auto" w:fill="auto"/>
            <w:vAlign w:val="center"/>
            <w:hideMark/>
          </w:tcPr>
          <w:p w14:paraId="14799357"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ADD-</w:t>
            </w:r>
            <w:proofErr w:type="spellStart"/>
            <w:r w:rsidRPr="0051173C">
              <w:rPr>
                <w:rFonts w:eastAsia="Times New Roman" w:cs="Calibri"/>
                <w:color w:val="000000"/>
                <w:sz w:val="20"/>
                <w:szCs w:val="20"/>
              </w:rPr>
              <w:t>Cont</w:t>
            </w:r>
            <w:proofErr w:type="spellEnd"/>
          </w:p>
        </w:tc>
        <w:tc>
          <w:tcPr>
            <w:tcW w:w="17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7161F83"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Follow-up Care for Children Prescribed ADHD Medication - Continuation</w:t>
            </w:r>
          </w:p>
        </w:tc>
        <w:tc>
          <w:tcPr>
            <w:tcW w:w="129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46C3B331"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62.3%</w:t>
            </w:r>
          </w:p>
        </w:tc>
        <w:tc>
          <w:tcPr>
            <w:tcW w:w="129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5CBE2708"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64.0%</w:t>
            </w:r>
          </w:p>
        </w:tc>
        <w:tc>
          <w:tcPr>
            <w:tcW w:w="1299"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05EC3BA5"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54.8%</w:t>
            </w:r>
          </w:p>
        </w:tc>
        <w:tc>
          <w:tcPr>
            <w:tcW w:w="1460" w:type="dxa"/>
            <w:tcBorders>
              <w:top w:val="single" w:sz="8" w:space="0" w:color="auto"/>
              <w:left w:val="nil"/>
              <w:bottom w:val="single" w:sz="4" w:space="0" w:color="auto"/>
              <w:right w:val="nil"/>
            </w:tcBorders>
            <w:shd w:val="clear" w:color="auto" w:fill="auto"/>
            <w:noWrap/>
            <w:vAlign w:val="center"/>
            <w:hideMark/>
          </w:tcPr>
          <w:p w14:paraId="52B8E555" w14:textId="77777777" w:rsidR="00753CD6" w:rsidRPr="0051173C" w:rsidRDefault="00753CD6" w:rsidP="00071BFA">
            <w:pPr>
              <w:spacing w:after="0"/>
              <w:jc w:val="center"/>
              <w:rPr>
                <w:rFonts w:eastAsia="Times New Roman" w:cs="Calibri"/>
              </w:rPr>
            </w:pPr>
            <w:r w:rsidRPr="0051173C">
              <w:rPr>
                <w:rFonts w:eastAsia="Times New Roman" w:cs="Calibri"/>
              </w:rPr>
              <w:t>62.5%</w:t>
            </w:r>
          </w:p>
        </w:tc>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42D728"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63.3%</w:t>
            </w:r>
          </w:p>
        </w:tc>
      </w:tr>
      <w:tr w:rsidR="00753CD6" w:rsidRPr="0051173C" w14:paraId="475EED37" w14:textId="77777777" w:rsidTr="00071BFA">
        <w:trPr>
          <w:trHeight w:val="1050"/>
        </w:trPr>
        <w:tc>
          <w:tcPr>
            <w:tcW w:w="102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8A769D2"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AMM-Acute</w:t>
            </w:r>
          </w:p>
        </w:tc>
        <w:tc>
          <w:tcPr>
            <w:tcW w:w="1720" w:type="dxa"/>
            <w:tcBorders>
              <w:top w:val="single" w:sz="4" w:space="0" w:color="auto"/>
              <w:left w:val="nil"/>
              <w:bottom w:val="single" w:sz="8" w:space="0" w:color="auto"/>
              <w:right w:val="single" w:sz="8" w:space="0" w:color="auto"/>
            </w:tcBorders>
            <w:shd w:val="clear" w:color="auto" w:fill="auto"/>
            <w:vAlign w:val="center"/>
            <w:hideMark/>
          </w:tcPr>
          <w:p w14:paraId="69936BF6"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Antidepressant Medication Management (18-64) - Acute Phase</w:t>
            </w:r>
          </w:p>
        </w:tc>
        <w:tc>
          <w:tcPr>
            <w:tcW w:w="1299"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57A1B1EE"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53.5%</w:t>
            </w:r>
          </w:p>
        </w:tc>
        <w:tc>
          <w:tcPr>
            <w:tcW w:w="1299"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7133D113"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56.0%</w:t>
            </w:r>
          </w:p>
        </w:tc>
        <w:tc>
          <w:tcPr>
            <w:tcW w:w="1299"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6BE8A908"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54.8%</w:t>
            </w:r>
          </w:p>
        </w:tc>
        <w:tc>
          <w:tcPr>
            <w:tcW w:w="1460"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57A97DBC" w14:textId="77777777" w:rsidR="00753CD6" w:rsidRPr="0051173C" w:rsidRDefault="00753CD6" w:rsidP="00071BFA">
            <w:pPr>
              <w:spacing w:after="0"/>
              <w:jc w:val="center"/>
              <w:rPr>
                <w:rFonts w:eastAsia="Times New Roman" w:cs="Calibri"/>
              </w:rPr>
            </w:pPr>
            <w:r w:rsidRPr="0051173C">
              <w:rPr>
                <w:rFonts w:eastAsia="Times New Roman" w:cs="Calibri"/>
              </w:rPr>
              <w:t>61.8%</w:t>
            </w:r>
          </w:p>
        </w:tc>
        <w:tc>
          <w:tcPr>
            <w:tcW w:w="960" w:type="dxa"/>
            <w:tcBorders>
              <w:top w:val="single" w:sz="4" w:space="0" w:color="auto"/>
              <w:left w:val="nil"/>
              <w:bottom w:val="single" w:sz="8" w:space="0" w:color="auto"/>
              <w:right w:val="single" w:sz="8" w:space="0" w:color="auto"/>
            </w:tcBorders>
            <w:shd w:val="clear" w:color="auto" w:fill="A8D08D" w:themeFill="accent6" w:themeFillTint="99"/>
            <w:noWrap/>
            <w:vAlign w:val="center"/>
            <w:hideMark/>
          </w:tcPr>
          <w:p w14:paraId="1C496972"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54.5%</w:t>
            </w:r>
          </w:p>
        </w:tc>
      </w:tr>
      <w:tr w:rsidR="00753CD6" w:rsidRPr="0051173C" w14:paraId="5E76ACA2" w14:textId="77777777" w:rsidTr="00071BFA">
        <w:trPr>
          <w:trHeight w:val="1060"/>
        </w:trPr>
        <w:tc>
          <w:tcPr>
            <w:tcW w:w="1023" w:type="dxa"/>
            <w:tcBorders>
              <w:top w:val="nil"/>
              <w:left w:val="single" w:sz="8" w:space="0" w:color="auto"/>
              <w:bottom w:val="single" w:sz="8" w:space="0" w:color="auto"/>
              <w:right w:val="single" w:sz="8" w:space="0" w:color="auto"/>
            </w:tcBorders>
            <w:shd w:val="clear" w:color="auto" w:fill="auto"/>
            <w:vAlign w:val="center"/>
            <w:hideMark/>
          </w:tcPr>
          <w:p w14:paraId="1FBF36AB"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AMM-</w:t>
            </w:r>
            <w:proofErr w:type="spellStart"/>
            <w:r w:rsidRPr="0051173C">
              <w:rPr>
                <w:rFonts w:eastAsia="Times New Roman" w:cs="Calibri"/>
                <w:color w:val="000000"/>
                <w:sz w:val="20"/>
                <w:szCs w:val="20"/>
              </w:rPr>
              <w:t>Cont</w:t>
            </w:r>
            <w:proofErr w:type="spellEnd"/>
          </w:p>
        </w:tc>
        <w:tc>
          <w:tcPr>
            <w:tcW w:w="1720" w:type="dxa"/>
            <w:tcBorders>
              <w:top w:val="nil"/>
              <w:left w:val="nil"/>
              <w:bottom w:val="single" w:sz="8" w:space="0" w:color="auto"/>
              <w:right w:val="single" w:sz="8" w:space="0" w:color="auto"/>
            </w:tcBorders>
            <w:shd w:val="clear" w:color="auto" w:fill="auto"/>
            <w:vAlign w:val="bottom"/>
            <w:hideMark/>
          </w:tcPr>
          <w:p w14:paraId="05A0EFE1" w14:textId="77777777" w:rsidR="00753CD6" w:rsidRPr="0051173C" w:rsidRDefault="00753CD6" w:rsidP="00071BFA">
            <w:pPr>
              <w:spacing w:after="0"/>
              <w:rPr>
                <w:rFonts w:eastAsia="Times New Roman" w:cs="Calibri"/>
                <w:color w:val="000000"/>
                <w:sz w:val="20"/>
                <w:szCs w:val="20"/>
              </w:rPr>
            </w:pPr>
            <w:r w:rsidRPr="0051173C">
              <w:rPr>
                <w:rFonts w:eastAsia="Times New Roman" w:cs="Calibri"/>
                <w:color w:val="000000"/>
                <w:sz w:val="20"/>
                <w:szCs w:val="20"/>
              </w:rPr>
              <w:t>Antidepressant Medication Management (18-64) - Continuation Phase</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0A1F2F3B"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39.3%</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6963AF84"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42.2%</w:t>
            </w:r>
          </w:p>
        </w:tc>
        <w:tc>
          <w:tcPr>
            <w:tcW w:w="1299" w:type="dxa"/>
            <w:tcBorders>
              <w:top w:val="nil"/>
              <w:left w:val="nil"/>
              <w:bottom w:val="single" w:sz="8" w:space="0" w:color="auto"/>
              <w:right w:val="single" w:sz="8" w:space="0" w:color="auto"/>
            </w:tcBorders>
            <w:shd w:val="clear" w:color="auto" w:fill="F2F2F2" w:themeFill="background1" w:themeFillShade="F2"/>
            <w:noWrap/>
            <w:vAlign w:val="center"/>
            <w:hideMark/>
          </w:tcPr>
          <w:p w14:paraId="305146ED"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40.7%</w:t>
            </w:r>
          </w:p>
        </w:tc>
        <w:tc>
          <w:tcPr>
            <w:tcW w:w="1460" w:type="dxa"/>
            <w:tcBorders>
              <w:top w:val="nil"/>
              <w:left w:val="nil"/>
              <w:bottom w:val="single" w:sz="8" w:space="0" w:color="auto"/>
              <w:right w:val="single" w:sz="8" w:space="0" w:color="auto"/>
            </w:tcBorders>
            <w:shd w:val="clear" w:color="auto" w:fill="auto"/>
            <w:noWrap/>
            <w:vAlign w:val="center"/>
            <w:hideMark/>
          </w:tcPr>
          <w:p w14:paraId="391AC21F" w14:textId="77777777" w:rsidR="00753CD6" w:rsidRPr="0051173C" w:rsidRDefault="00753CD6" w:rsidP="00071BFA">
            <w:pPr>
              <w:spacing w:after="0"/>
              <w:jc w:val="center"/>
              <w:rPr>
                <w:rFonts w:eastAsia="Times New Roman" w:cs="Calibri"/>
              </w:rPr>
            </w:pPr>
            <w:r w:rsidRPr="0051173C">
              <w:rPr>
                <w:rFonts w:eastAsia="Times New Roman" w:cs="Calibri"/>
              </w:rPr>
              <w:t>45.6%</w:t>
            </w:r>
          </w:p>
        </w:tc>
        <w:tc>
          <w:tcPr>
            <w:tcW w:w="960" w:type="dxa"/>
            <w:tcBorders>
              <w:top w:val="nil"/>
              <w:left w:val="nil"/>
              <w:bottom w:val="single" w:sz="8" w:space="0" w:color="auto"/>
              <w:right w:val="single" w:sz="8" w:space="0" w:color="auto"/>
            </w:tcBorders>
            <w:shd w:val="clear" w:color="auto" w:fill="A8D08D" w:themeFill="accent6" w:themeFillTint="99"/>
            <w:noWrap/>
            <w:vAlign w:val="center"/>
            <w:hideMark/>
          </w:tcPr>
          <w:p w14:paraId="5295F8CD" w14:textId="77777777" w:rsidR="00753CD6" w:rsidRPr="0051173C" w:rsidRDefault="00753CD6" w:rsidP="00071BFA">
            <w:pPr>
              <w:spacing w:after="0"/>
              <w:jc w:val="center"/>
              <w:rPr>
                <w:rFonts w:eastAsia="Times New Roman" w:cs="Calibri"/>
                <w:color w:val="000000"/>
              </w:rPr>
            </w:pPr>
            <w:r w:rsidRPr="0051173C">
              <w:rPr>
                <w:rFonts w:eastAsia="Times New Roman" w:cs="Calibri"/>
                <w:color w:val="000000"/>
              </w:rPr>
              <w:t>40.3%</w:t>
            </w:r>
          </w:p>
        </w:tc>
      </w:tr>
    </w:tbl>
    <w:p w14:paraId="3CD86C5F" w14:textId="71BFB1AD" w:rsidR="692C77C9" w:rsidRPr="00730D03" w:rsidRDefault="00071BFA" w:rsidP="0092443C">
      <w:pPr>
        <w:pStyle w:val="Default"/>
        <w:spacing w:before="120" w:after="120"/>
        <w:rPr>
          <w:rFonts w:ascii="Calibri" w:eastAsia="Calibri" w:hAnsi="Calibri" w:cs="Calibri"/>
          <w:sz w:val="22"/>
          <w:szCs w:val="22"/>
        </w:rPr>
      </w:pPr>
      <w:r>
        <w:rPr>
          <w:rFonts w:ascii="Calibri" w:eastAsia="Calibri" w:hAnsi="Calibri" w:cs="Calibri"/>
          <w:sz w:val="20"/>
          <w:szCs w:val="20"/>
        </w:rPr>
        <w:br w:type="textWrapping" w:clear="all"/>
      </w:r>
      <w:r w:rsidR="26276807" w:rsidRPr="692C77C9">
        <w:rPr>
          <w:rFonts w:ascii="Calibri" w:eastAsia="Calibri" w:hAnsi="Calibri" w:cs="Calibri"/>
          <w:sz w:val="20"/>
          <w:szCs w:val="20"/>
        </w:rPr>
        <w:t>N/A = Gap to Goal does not apply because either MassHealth MY 2018 or MY 2020 performance was above MY 2020 benchmark.</w:t>
      </w:r>
    </w:p>
    <w:p w14:paraId="617F9877" w14:textId="6FCFC6A0" w:rsidR="00070CB2" w:rsidRDefault="00753CD6" w:rsidP="00730D03">
      <w:pPr>
        <w:pStyle w:val="Default"/>
        <w:spacing w:after="120"/>
        <w:rPr>
          <w:rFonts w:asciiTheme="minorHAnsi" w:hAnsiTheme="minorHAnsi" w:cstheme="minorBidi"/>
          <w:sz w:val="22"/>
          <w:szCs w:val="22"/>
        </w:rPr>
      </w:pPr>
      <w:r w:rsidRPr="692C77C9">
        <w:rPr>
          <w:rFonts w:asciiTheme="minorHAnsi" w:hAnsiTheme="minorHAnsi" w:cstheme="minorBidi"/>
          <w:sz w:val="22"/>
          <w:szCs w:val="22"/>
        </w:rPr>
        <w:t>For this Quality Goal, MassHealth met the Gap to Goal improvement target for the Antidepressant Medication Management measure (both Acute and Continuation phases</w:t>
      </w:r>
      <w:r w:rsidR="00F91B13" w:rsidRPr="692C77C9">
        <w:rPr>
          <w:rFonts w:asciiTheme="minorHAnsi" w:hAnsiTheme="minorHAnsi" w:cstheme="minorBidi"/>
          <w:sz w:val="22"/>
          <w:szCs w:val="22"/>
        </w:rPr>
        <w:t>)</w:t>
      </w:r>
      <w:r w:rsidRPr="692C77C9">
        <w:rPr>
          <w:rFonts w:asciiTheme="minorHAnsi" w:hAnsiTheme="minorHAnsi" w:cstheme="minorBidi"/>
          <w:sz w:val="22"/>
          <w:szCs w:val="22"/>
        </w:rPr>
        <w:t xml:space="preserve">. MassHealth’s performance on CDC-Poor Control, CBP, and ADD-Continuation declined substantially in MY 2020 compared to the prior two years. </w:t>
      </w:r>
    </w:p>
    <w:p w14:paraId="4168D4CE" w14:textId="59565ECC" w:rsidR="00753CD6" w:rsidRDefault="271D74B2" w:rsidP="692C77C9">
      <w:pPr>
        <w:pStyle w:val="Default"/>
        <w:rPr>
          <w:rFonts w:asciiTheme="minorHAnsi" w:hAnsiTheme="minorHAnsi" w:cstheme="minorBidi"/>
          <w:sz w:val="22"/>
          <w:szCs w:val="22"/>
        </w:rPr>
      </w:pPr>
      <w:r w:rsidRPr="692C77C9">
        <w:rPr>
          <w:rFonts w:asciiTheme="minorHAnsi" w:hAnsiTheme="minorHAnsi" w:cstheme="minorBidi"/>
          <w:sz w:val="22"/>
          <w:szCs w:val="22"/>
        </w:rPr>
        <w:t>The potential impacts of COVID on measure performance are discussed in the Progress on Quality Strategy Goals and Objectives and Goal Revision section of this Evaluation.</w:t>
      </w:r>
    </w:p>
    <w:p w14:paraId="72DDEED8" w14:textId="2D547947" w:rsidR="00753CD6" w:rsidRPr="00730D03" w:rsidRDefault="00753CD6" w:rsidP="00730D03">
      <w:pPr>
        <w:pStyle w:val="Heading3"/>
        <w:spacing w:after="120"/>
      </w:pPr>
      <w:bookmarkStart w:id="10" w:name="_Toc147244409"/>
      <w:r>
        <w:t>Quality Goal 5</w:t>
      </w:r>
      <w:r w:rsidR="006A05FB">
        <w:t xml:space="preserve">: </w:t>
      </w:r>
      <w:r w:rsidRPr="00E15EBA">
        <w:rPr>
          <w:rFonts w:asciiTheme="minorHAnsi" w:hAnsiTheme="minorHAnsi" w:cstheme="minorHAnsi"/>
          <w:i/>
          <w:iCs/>
          <w:sz w:val="22"/>
        </w:rPr>
        <w:t>Engage communities through population health and best practices for healthy living</w:t>
      </w:r>
      <w:r>
        <w:rPr>
          <w:rFonts w:asciiTheme="minorHAnsi" w:hAnsiTheme="minorHAnsi" w:cstheme="minorHAnsi"/>
          <w:i/>
          <w:iCs/>
          <w:sz w:val="22"/>
        </w:rPr>
        <w:t>.</w:t>
      </w:r>
      <w:bookmarkEnd w:id="10"/>
    </w:p>
    <w:p w14:paraId="5A406089" w14:textId="6F46A6E1" w:rsidR="007156DC" w:rsidRDefault="0020648E" w:rsidP="00730D03">
      <w:pPr>
        <w:pStyle w:val="Default"/>
        <w:spacing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MassHealth</w:t>
      </w:r>
      <w:r w:rsidR="00753CD6">
        <w:rPr>
          <w:rFonts w:asciiTheme="minorHAnsi" w:eastAsia="Times New Roman" w:hAnsiTheme="minorHAnsi" w:cstheme="minorHAnsi"/>
          <w:sz w:val="22"/>
          <w:szCs w:val="22"/>
        </w:rPr>
        <w:t xml:space="preserve"> selected three </w:t>
      </w:r>
      <w:r>
        <w:rPr>
          <w:rFonts w:asciiTheme="minorHAnsi" w:eastAsia="Times New Roman" w:hAnsiTheme="minorHAnsi" w:cstheme="minorHAnsi"/>
          <w:sz w:val="22"/>
          <w:szCs w:val="22"/>
        </w:rPr>
        <w:t>state-</w:t>
      </w:r>
      <w:r w:rsidR="00753CD6">
        <w:rPr>
          <w:rFonts w:asciiTheme="minorHAnsi" w:eastAsia="Times New Roman" w:hAnsiTheme="minorHAnsi" w:cstheme="minorHAnsi"/>
          <w:sz w:val="22"/>
          <w:szCs w:val="22"/>
        </w:rPr>
        <w:t>developed measures to assess our performance on Quality Goal 5. These measures are:</w:t>
      </w:r>
    </w:p>
    <w:p w14:paraId="783FA058" w14:textId="77777777" w:rsidR="00753CD6" w:rsidRPr="001B619D" w:rsidRDefault="00753CD6">
      <w:pPr>
        <w:pStyle w:val="ListParagraph"/>
        <w:numPr>
          <w:ilvl w:val="0"/>
          <w:numId w:val="19"/>
        </w:numPr>
        <w:textAlignment w:val="baseline"/>
        <w:rPr>
          <w:rFonts w:eastAsia="Times New Roman" w:cs="Calibri"/>
        </w:rPr>
      </w:pPr>
      <w:r w:rsidRPr="001B619D">
        <w:rPr>
          <w:rFonts w:eastAsia="Times New Roman" w:cs="Calibri"/>
        </w:rPr>
        <w:t>Health-Related Social Needs Assessment (HRSN)</w:t>
      </w:r>
    </w:p>
    <w:p w14:paraId="3BF746BB" w14:textId="77777777" w:rsidR="00753CD6" w:rsidRPr="001B619D" w:rsidRDefault="00753CD6">
      <w:pPr>
        <w:pStyle w:val="ListParagraph"/>
        <w:numPr>
          <w:ilvl w:val="0"/>
          <w:numId w:val="19"/>
        </w:numPr>
        <w:textAlignment w:val="baseline"/>
        <w:rPr>
          <w:rFonts w:eastAsia="Times New Roman" w:cs="Calibri"/>
        </w:rPr>
      </w:pPr>
      <w:r w:rsidRPr="001B619D">
        <w:rPr>
          <w:rFonts w:eastAsia="Times New Roman" w:cs="Calibri"/>
        </w:rPr>
        <w:t>BH Community Partner Engagement (CPE-BH)</w:t>
      </w:r>
    </w:p>
    <w:p w14:paraId="13FE9819" w14:textId="4CCB3F1D" w:rsidR="007156DC" w:rsidRPr="00730D03" w:rsidRDefault="00753CD6">
      <w:pPr>
        <w:pStyle w:val="ListParagraph"/>
        <w:numPr>
          <w:ilvl w:val="0"/>
          <w:numId w:val="19"/>
        </w:numPr>
        <w:textAlignment w:val="baseline"/>
        <w:rPr>
          <w:rFonts w:eastAsia="Times New Roman" w:cs="Calibri"/>
        </w:rPr>
      </w:pPr>
      <w:r w:rsidRPr="001B619D">
        <w:rPr>
          <w:rFonts w:eastAsia="Times New Roman" w:cs="Calibri"/>
        </w:rPr>
        <w:lastRenderedPageBreak/>
        <w:t>LTSS Community Partner Engagement (CPE-LTSS)</w:t>
      </w:r>
    </w:p>
    <w:p w14:paraId="6761BD11" w14:textId="425ADB91" w:rsidR="00730D03" w:rsidRDefault="00753CD6" w:rsidP="00753CD6">
      <w:pPr>
        <w:pStyle w:val="Defaul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three measures are part of a group of MassHealth-specific measures that were developed for the MassHealth Accountable Care Organization (ACO) </w:t>
      </w:r>
      <w:r w:rsidR="00142A4B">
        <w:rPr>
          <w:rFonts w:asciiTheme="minorHAnsi" w:eastAsia="Times New Roman" w:hAnsiTheme="minorHAnsi" w:cstheme="minorHAnsi"/>
          <w:sz w:val="22"/>
          <w:szCs w:val="22"/>
        </w:rPr>
        <w:t>Program</w:t>
      </w:r>
      <w:r>
        <w:rPr>
          <w:rFonts w:asciiTheme="minorHAnsi" w:eastAsia="Times New Roman" w:hAnsiTheme="minorHAnsi" w:cstheme="minorHAnsi"/>
          <w:sz w:val="22"/>
          <w:szCs w:val="22"/>
        </w:rPr>
        <w:t>, which was the focus of the previous waiver period. The measures are included in the performance incentive payment calculations which are central to program’s strategy of value-based payment.</w:t>
      </w:r>
    </w:p>
    <w:p w14:paraId="25A32469" w14:textId="77777777" w:rsidR="00F36CF3" w:rsidRDefault="00F36CF3" w:rsidP="00F36CF3">
      <w:pPr>
        <w:rPr>
          <w:rFonts w:asciiTheme="minorHAnsi" w:eastAsia="Times New Roman" w:hAnsiTheme="minorHAnsi" w:cstheme="minorHAnsi"/>
        </w:rPr>
      </w:pPr>
    </w:p>
    <w:p w14:paraId="2B9F1CCE" w14:textId="61416A98" w:rsidR="00753CD6" w:rsidRPr="00F36CF3" w:rsidRDefault="00753CD6" w:rsidP="00F36CF3">
      <w:pPr>
        <w:rPr>
          <w:rFonts w:asciiTheme="minorHAnsi" w:eastAsia="Times New Roman" w:hAnsiTheme="minorHAnsi" w:cstheme="minorHAnsi"/>
          <w:color w:val="000000"/>
        </w:rPr>
      </w:pPr>
      <w:r w:rsidRPr="009069AE">
        <w:rPr>
          <w:rStyle w:val="SubtleEmphasis"/>
        </w:rPr>
        <w:t xml:space="preserve">Table </w:t>
      </w:r>
      <w:r>
        <w:rPr>
          <w:rStyle w:val="SubtleEmphasis"/>
        </w:rPr>
        <w:t>6</w:t>
      </w:r>
      <w:r w:rsidRPr="009069AE">
        <w:rPr>
          <w:rStyle w:val="SubtleEmphasis"/>
        </w:rPr>
        <w:t xml:space="preserve">:  </w:t>
      </w:r>
      <w:r>
        <w:rPr>
          <w:rStyle w:val="SubtleEmphasis"/>
        </w:rPr>
        <w:t>Quality Goal 5 Measures and Performance</w:t>
      </w:r>
    </w:p>
    <w:p w14:paraId="1220C655" w14:textId="77777777" w:rsidR="00753CD6" w:rsidRDefault="00753CD6" w:rsidP="00753CD6">
      <w:pPr>
        <w:pStyle w:val="Default"/>
        <w:rPr>
          <w:rFonts w:asciiTheme="minorHAnsi" w:eastAsia="Times New Roman" w:hAnsiTheme="minorHAnsi" w:cstheme="minorHAnsi"/>
          <w:sz w:val="22"/>
          <w:szCs w:val="22"/>
        </w:rPr>
      </w:pPr>
    </w:p>
    <w:tbl>
      <w:tblPr>
        <w:tblW w:w="8100" w:type="dxa"/>
        <w:jc w:val="center"/>
        <w:tblLook w:val="04A0" w:firstRow="1" w:lastRow="0" w:firstColumn="1" w:lastColumn="0" w:noHBand="0" w:noVBand="1"/>
      </w:tblPr>
      <w:tblGrid>
        <w:gridCol w:w="950"/>
        <w:gridCol w:w="1279"/>
        <w:gridCol w:w="1201"/>
        <w:gridCol w:w="1201"/>
        <w:gridCol w:w="1260"/>
        <w:gridCol w:w="1260"/>
        <w:gridCol w:w="960"/>
      </w:tblGrid>
      <w:tr w:rsidR="00753CD6" w:rsidRPr="004933B6" w14:paraId="7DDA011A" w14:textId="77777777" w:rsidTr="00071BFA">
        <w:trPr>
          <w:trHeight w:val="880"/>
          <w:tblHeader/>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6566E6"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Measure</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63294BFC"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Description</w:t>
            </w:r>
          </w:p>
        </w:tc>
        <w:tc>
          <w:tcPr>
            <w:tcW w:w="118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254F8DC"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2018 Rate</w:t>
            </w:r>
          </w:p>
        </w:tc>
        <w:tc>
          <w:tcPr>
            <w:tcW w:w="118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0DBE27E"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2019 Rate</w:t>
            </w:r>
          </w:p>
        </w:tc>
        <w:tc>
          <w:tcPr>
            <w:tcW w:w="1260" w:type="dxa"/>
            <w:tcBorders>
              <w:top w:val="single" w:sz="8" w:space="0" w:color="auto"/>
              <w:left w:val="nil"/>
              <w:bottom w:val="single" w:sz="8" w:space="0" w:color="auto"/>
              <w:right w:val="nil"/>
            </w:tcBorders>
            <w:shd w:val="clear" w:color="auto" w:fill="F2F2F2" w:themeFill="background1" w:themeFillShade="F2"/>
            <w:vAlign w:val="center"/>
            <w:hideMark/>
          </w:tcPr>
          <w:p w14:paraId="1E8CDC0F"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MassHealth MY 2020 Rate</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E2EE96"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 xml:space="preserve">Benchmark </w:t>
            </w:r>
          </w:p>
        </w:tc>
        <w:tc>
          <w:tcPr>
            <w:tcW w:w="960" w:type="dxa"/>
            <w:tcBorders>
              <w:top w:val="single" w:sz="8" w:space="0" w:color="auto"/>
              <w:left w:val="nil"/>
              <w:bottom w:val="nil"/>
              <w:right w:val="single" w:sz="8" w:space="0" w:color="auto"/>
            </w:tcBorders>
            <w:shd w:val="clear" w:color="auto" w:fill="auto"/>
            <w:vAlign w:val="center"/>
            <w:hideMark/>
          </w:tcPr>
          <w:p w14:paraId="48E7C0BD" w14:textId="77777777" w:rsidR="00753CD6" w:rsidRPr="004933B6" w:rsidRDefault="00753CD6" w:rsidP="21CA7F43">
            <w:pPr>
              <w:spacing w:after="0"/>
              <w:jc w:val="center"/>
              <w:rPr>
                <w:rFonts w:eastAsia="Times New Roman" w:cs="Calibri"/>
                <w:b/>
                <w:bCs/>
                <w:color w:val="000000"/>
                <w:sz w:val="20"/>
                <w:szCs w:val="20"/>
              </w:rPr>
            </w:pPr>
            <w:r w:rsidRPr="21CA7F43">
              <w:rPr>
                <w:rFonts w:eastAsia="Times New Roman" w:cs="Calibri"/>
                <w:b/>
                <w:bCs/>
                <w:color w:val="000000" w:themeColor="text1"/>
                <w:sz w:val="20"/>
                <w:szCs w:val="20"/>
              </w:rPr>
              <w:t>Gap to Goal</w:t>
            </w:r>
          </w:p>
        </w:tc>
      </w:tr>
      <w:tr w:rsidR="00753CD6" w:rsidRPr="004933B6" w14:paraId="5306FB5A" w14:textId="77777777" w:rsidTr="00B6391D">
        <w:trPr>
          <w:trHeight w:val="106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69389C" w14:textId="77777777" w:rsidR="00753CD6" w:rsidRPr="004933B6" w:rsidRDefault="00753CD6" w:rsidP="00EE745E">
            <w:pPr>
              <w:spacing w:after="0"/>
              <w:rPr>
                <w:rFonts w:eastAsia="Times New Roman" w:cs="Calibri"/>
                <w:sz w:val="20"/>
                <w:szCs w:val="20"/>
              </w:rPr>
            </w:pPr>
            <w:r w:rsidRPr="004933B6">
              <w:rPr>
                <w:rFonts w:eastAsia="Times New Roman" w:cs="Calibri"/>
                <w:sz w:val="20"/>
                <w:szCs w:val="20"/>
              </w:rPr>
              <w:t>HRSN</w:t>
            </w:r>
          </w:p>
        </w:tc>
        <w:tc>
          <w:tcPr>
            <w:tcW w:w="1300" w:type="dxa"/>
            <w:tcBorders>
              <w:top w:val="nil"/>
              <w:left w:val="nil"/>
              <w:bottom w:val="single" w:sz="8" w:space="0" w:color="auto"/>
              <w:right w:val="single" w:sz="8" w:space="0" w:color="auto"/>
            </w:tcBorders>
            <w:shd w:val="clear" w:color="auto" w:fill="auto"/>
            <w:vAlign w:val="bottom"/>
            <w:hideMark/>
          </w:tcPr>
          <w:p w14:paraId="72AD7D61" w14:textId="77777777" w:rsidR="00753CD6" w:rsidRPr="004933B6" w:rsidRDefault="00753CD6" w:rsidP="00EE745E">
            <w:pPr>
              <w:spacing w:after="0"/>
              <w:rPr>
                <w:rFonts w:eastAsia="Times New Roman" w:cs="Calibri"/>
                <w:sz w:val="20"/>
                <w:szCs w:val="20"/>
              </w:rPr>
            </w:pPr>
            <w:r w:rsidRPr="004933B6">
              <w:rPr>
                <w:rFonts w:eastAsia="Times New Roman" w:cs="Calibri"/>
                <w:sz w:val="20"/>
                <w:szCs w:val="20"/>
              </w:rPr>
              <w:t>Health-Related Social Needs Assessment</w:t>
            </w:r>
          </w:p>
        </w:tc>
        <w:tc>
          <w:tcPr>
            <w:tcW w:w="1180" w:type="dxa"/>
            <w:tcBorders>
              <w:top w:val="nil"/>
              <w:left w:val="nil"/>
              <w:bottom w:val="single" w:sz="8" w:space="0" w:color="auto"/>
              <w:right w:val="single" w:sz="8" w:space="0" w:color="auto"/>
            </w:tcBorders>
            <w:shd w:val="clear" w:color="auto" w:fill="F2F2F2" w:themeFill="background1" w:themeFillShade="F2"/>
            <w:noWrap/>
            <w:vAlign w:val="center"/>
            <w:hideMark/>
          </w:tcPr>
          <w:p w14:paraId="04AFE1BC" w14:textId="77777777" w:rsidR="00753CD6" w:rsidRPr="004933B6" w:rsidRDefault="00753CD6" w:rsidP="00EE745E">
            <w:pPr>
              <w:spacing w:after="0"/>
              <w:jc w:val="center"/>
              <w:rPr>
                <w:rFonts w:eastAsia="Times New Roman" w:cs="Calibri"/>
              </w:rPr>
            </w:pPr>
            <w:r w:rsidRPr="004933B6">
              <w:rPr>
                <w:rFonts w:eastAsia="Times New Roman" w:cs="Calibri"/>
              </w:rPr>
              <w:t>12.1%</w:t>
            </w:r>
          </w:p>
        </w:tc>
        <w:tc>
          <w:tcPr>
            <w:tcW w:w="1180" w:type="dxa"/>
            <w:tcBorders>
              <w:top w:val="nil"/>
              <w:left w:val="nil"/>
              <w:bottom w:val="single" w:sz="8" w:space="0" w:color="auto"/>
              <w:right w:val="single" w:sz="8" w:space="0" w:color="auto"/>
            </w:tcBorders>
            <w:shd w:val="clear" w:color="auto" w:fill="F2F2F2" w:themeFill="background1" w:themeFillShade="F2"/>
            <w:noWrap/>
            <w:vAlign w:val="center"/>
            <w:hideMark/>
          </w:tcPr>
          <w:p w14:paraId="6A73A78F" w14:textId="77777777" w:rsidR="00753CD6" w:rsidRPr="004933B6" w:rsidRDefault="00753CD6" w:rsidP="00EE745E">
            <w:pPr>
              <w:spacing w:after="0"/>
              <w:jc w:val="center"/>
              <w:rPr>
                <w:rFonts w:eastAsia="Times New Roman" w:cs="Calibri"/>
              </w:rPr>
            </w:pPr>
            <w:r w:rsidRPr="004933B6">
              <w:rPr>
                <w:rFonts w:eastAsia="Times New Roman" w:cs="Calibri"/>
              </w:rPr>
              <w:t>20.0%</w:t>
            </w:r>
          </w:p>
        </w:tc>
        <w:tc>
          <w:tcPr>
            <w:tcW w:w="1260" w:type="dxa"/>
            <w:tcBorders>
              <w:top w:val="nil"/>
              <w:left w:val="nil"/>
              <w:bottom w:val="single" w:sz="8" w:space="0" w:color="auto"/>
              <w:right w:val="nil"/>
            </w:tcBorders>
            <w:shd w:val="clear" w:color="auto" w:fill="F2F2F2" w:themeFill="background1" w:themeFillShade="F2"/>
            <w:noWrap/>
            <w:vAlign w:val="center"/>
            <w:hideMark/>
          </w:tcPr>
          <w:p w14:paraId="71F016FA" w14:textId="77777777" w:rsidR="00753CD6" w:rsidRPr="004933B6" w:rsidRDefault="00753CD6" w:rsidP="00EE745E">
            <w:pPr>
              <w:spacing w:after="0"/>
              <w:jc w:val="center"/>
              <w:rPr>
                <w:rFonts w:eastAsia="Times New Roman" w:cs="Calibri"/>
              </w:rPr>
            </w:pPr>
            <w:r w:rsidRPr="004933B6">
              <w:rPr>
                <w:rFonts w:eastAsia="Times New Roman" w:cs="Calibri"/>
              </w:rPr>
              <w:t>18.4%</w:t>
            </w:r>
          </w:p>
        </w:tc>
        <w:tc>
          <w:tcPr>
            <w:tcW w:w="1260"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2AE6298" w14:textId="77777777" w:rsidR="00753CD6" w:rsidRPr="004933B6" w:rsidRDefault="00753CD6" w:rsidP="00EE745E">
            <w:pPr>
              <w:spacing w:after="0"/>
              <w:jc w:val="center"/>
              <w:rPr>
                <w:rFonts w:eastAsia="Times New Roman" w:cs="Calibri"/>
                <w:color w:val="000000"/>
              </w:rPr>
            </w:pPr>
            <w:r w:rsidRPr="004933B6">
              <w:rPr>
                <w:rFonts w:eastAsia="Times New Roman" w:cs="Calibri"/>
                <w:color w:val="000000"/>
              </w:rPr>
              <w:t>23.5%</w:t>
            </w:r>
          </w:p>
        </w:tc>
        <w:tc>
          <w:tcPr>
            <w:tcW w:w="960"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170918BE" w14:textId="77777777" w:rsidR="00753CD6" w:rsidRPr="004933B6" w:rsidRDefault="00753CD6" w:rsidP="00EE745E">
            <w:pPr>
              <w:spacing w:after="0"/>
              <w:jc w:val="center"/>
              <w:rPr>
                <w:rFonts w:eastAsia="Times New Roman" w:cs="Calibri"/>
              </w:rPr>
            </w:pPr>
            <w:r w:rsidRPr="004933B6">
              <w:rPr>
                <w:rFonts w:eastAsia="Times New Roman" w:cs="Calibri"/>
              </w:rPr>
              <w:t>4.4%</w:t>
            </w:r>
          </w:p>
        </w:tc>
      </w:tr>
      <w:tr w:rsidR="00753CD6" w:rsidRPr="004933B6" w14:paraId="73FB18A1" w14:textId="77777777" w:rsidTr="00B6391D">
        <w:trPr>
          <w:trHeight w:val="1310"/>
          <w:jc w:val="center"/>
        </w:trPr>
        <w:tc>
          <w:tcPr>
            <w:tcW w:w="9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DE58CBA" w14:textId="77777777" w:rsidR="00753CD6" w:rsidRPr="004933B6" w:rsidRDefault="00753CD6" w:rsidP="00EE745E">
            <w:pPr>
              <w:spacing w:after="0"/>
              <w:rPr>
                <w:rFonts w:eastAsia="Times New Roman" w:cs="Calibri"/>
                <w:color w:val="000000"/>
                <w:sz w:val="20"/>
                <w:szCs w:val="20"/>
              </w:rPr>
            </w:pPr>
            <w:r w:rsidRPr="004933B6">
              <w:rPr>
                <w:rFonts w:eastAsia="Times New Roman" w:cs="Calibri"/>
                <w:color w:val="000000"/>
                <w:sz w:val="20"/>
                <w:szCs w:val="20"/>
              </w:rPr>
              <w:t>CPE-BH</w:t>
            </w:r>
          </w:p>
        </w:tc>
        <w:tc>
          <w:tcPr>
            <w:tcW w:w="1300" w:type="dxa"/>
            <w:tcBorders>
              <w:top w:val="single" w:sz="8" w:space="0" w:color="auto"/>
              <w:left w:val="single" w:sz="4" w:space="0" w:color="auto"/>
              <w:bottom w:val="single" w:sz="4" w:space="0" w:color="auto"/>
              <w:right w:val="single" w:sz="4" w:space="0" w:color="auto"/>
            </w:tcBorders>
            <w:shd w:val="clear" w:color="auto" w:fill="auto"/>
            <w:hideMark/>
          </w:tcPr>
          <w:p w14:paraId="7A549E06" w14:textId="77777777" w:rsidR="00753CD6" w:rsidRPr="004933B6" w:rsidRDefault="00753CD6" w:rsidP="00EE745E">
            <w:pPr>
              <w:spacing w:after="0"/>
              <w:rPr>
                <w:rFonts w:eastAsia="Times New Roman" w:cs="Calibri"/>
                <w:sz w:val="20"/>
                <w:szCs w:val="20"/>
              </w:rPr>
            </w:pPr>
            <w:r w:rsidRPr="004933B6">
              <w:rPr>
                <w:rFonts w:eastAsia="Times New Roman" w:cs="Calibri"/>
                <w:sz w:val="20"/>
                <w:szCs w:val="20"/>
              </w:rPr>
              <w:t>Behavioral Health Community Partner Engagement </w:t>
            </w:r>
          </w:p>
        </w:tc>
        <w:tc>
          <w:tcPr>
            <w:tcW w:w="1180" w:type="dxa"/>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14:paraId="1B3F3FF2" w14:textId="77777777" w:rsidR="00753CD6" w:rsidRPr="004933B6" w:rsidRDefault="00753CD6" w:rsidP="00EE745E">
            <w:pPr>
              <w:spacing w:after="0"/>
              <w:jc w:val="center"/>
              <w:rPr>
                <w:rFonts w:eastAsia="Times New Roman" w:cs="Calibri"/>
              </w:rPr>
            </w:pPr>
            <w:r w:rsidRPr="004933B6">
              <w:rPr>
                <w:rFonts w:eastAsia="Times New Roman" w:cs="Calibri"/>
              </w:rPr>
              <w:t>4.9%</w:t>
            </w:r>
          </w:p>
        </w:tc>
        <w:tc>
          <w:tcPr>
            <w:tcW w:w="1180"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14:paraId="6484F2D1" w14:textId="77777777" w:rsidR="00753CD6" w:rsidRPr="004933B6" w:rsidRDefault="00753CD6" w:rsidP="00EE745E">
            <w:pPr>
              <w:spacing w:after="0"/>
              <w:jc w:val="center"/>
              <w:rPr>
                <w:rFonts w:eastAsia="Times New Roman" w:cs="Calibri"/>
              </w:rPr>
            </w:pPr>
            <w:r w:rsidRPr="004933B6">
              <w:rPr>
                <w:rFonts w:eastAsia="Times New Roman" w:cs="Calibri"/>
              </w:rPr>
              <w:t>8.7%</w:t>
            </w:r>
          </w:p>
        </w:tc>
        <w:tc>
          <w:tcPr>
            <w:tcW w:w="1260" w:type="dxa"/>
            <w:tcBorders>
              <w:top w:val="nil"/>
              <w:left w:val="nil"/>
              <w:bottom w:val="single" w:sz="4" w:space="0" w:color="auto"/>
              <w:right w:val="single" w:sz="8" w:space="0" w:color="auto"/>
            </w:tcBorders>
            <w:shd w:val="clear" w:color="auto" w:fill="F2F2F2" w:themeFill="background1" w:themeFillShade="F2"/>
            <w:noWrap/>
            <w:vAlign w:val="center"/>
            <w:hideMark/>
          </w:tcPr>
          <w:p w14:paraId="5B6415D7" w14:textId="77777777" w:rsidR="00753CD6" w:rsidRPr="004933B6" w:rsidRDefault="00753CD6" w:rsidP="00EE745E">
            <w:pPr>
              <w:spacing w:after="0"/>
              <w:jc w:val="center"/>
              <w:rPr>
                <w:rFonts w:eastAsia="Times New Roman" w:cs="Calibri"/>
              </w:rPr>
            </w:pPr>
            <w:r w:rsidRPr="004933B6">
              <w:rPr>
                <w:rFonts w:eastAsia="Times New Roman" w:cs="Calibri"/>
              </w:rPr>
              <w:t>10.5%</w:t>
            </w:r>
          </w:p>
        </w:tc>
        <w:tc>
          <w:tcPr>
            <w:tcW w:w="1260" w:type="dxa"/>
            <w:tcBorders>
              <w:top w:val="nil"/>
              <w:left w:val="nil"/>
              <w:bottom w:val="single" w:sz="4" w:space="0" w:color="auto"/>
              <w:right w:val="nil"/>
            </w:tcBorders>
            <w:shd w:val="clear" w:color="auto" w:fill="FFFFFF" w:themeFill="background1"/>
            <w:vAlign w:val="center"/>
            <w:hideMark/>
          </w:tcPr>
          <w:p w14:paraId="29A6B1BF" w14:textId="77777777" w:rsidR="00753CD6" w:rsidRPr="004933B6" w:rsidRDefault="00753CD6" w:rsidP="00EE745E">
            <w:pPr>
              <w:spacing w:after="0"/>
              <w:jc w:val="center"/>
              <w:rPr>
                <w:rFonts w:eastAsia="Times New Roman" w:cs="Calibri"/>
              </w:rPr>
            </w:pPr>
            <w:r w:rsidRPr="004933B6">
              <w:rPr>
                <w:rFonts w:eastAsia="Times New Roman" w:cs="Calibri"/>
              </w:rPr>
              <w:t>12.2%</w:t>
            </w:r>
          </w:p>
        </w:tc>
        <w:tc>
          <w:tcPr>
            <w:tcW w:w="960" w:type="dxa"/>
            <w:tcBorders>
              <w:top w:val="nil"/>
              <w:left w:val="single" w:sz="8" w:space="0" w:color="auto"/>
              <w:bottom w:val="single" w:sz="4" w:space="0" w:color="auto"/>
              <w:right w:val="single" w:sz="8" w:space="0" w:color="auto"/>
            </w:tcBorders>
            <w:shd w:val="clear" w:color="auto" w:fill="A8D08D" w:themeFill="accent6" w:themeFillTint="99"/>
            <w:noWrap/>
            <w:vAlign w:val="center"/>
            <w:hideMark/>
          </w:tcPr>
          <w:p w14:paraId="7AFDC1A7" w14:textId="77777777" w:rsidR="00753CD6" w:rsidRPr="004933B6" w:rsidRDefault="00753CD6" w:rsidP="00EE745E">
            <w:pPr>
              <w:spacing w:after="0"/>
              <w:jc w:val="center"/>
              <w:rPr>
                <w:rFonts w:eastAsia="Times New Roman" w:cs="Calibri"/>
                <w:color w:val="000000"/>
              </w:rPr>
            </w:pPr>
            <w:r w:rsidRPr="004933B6">
              <w:rPr>
                <w:rFonts w:eastAsia="Times New Roman" w:cs="Calibri"/>
                <w:color w:val="000000"/>
              </w:rPr>
              <w:t>1.4%</w:t>
            </w:r>
          </w:p>
        </w:tc>
      </w:tr>
      <w:tr w:rsidR="00753CD6" w:rsidRPr="004933B6" w14:paraId="315F895B" w14:textId="77777777" w:rsidTr="00B6391D">
        <w:trPr>
          <w:trHeight w:val="1050"/>
          <w:jc w:val="center"/>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2ECC729" w14:textId="77777777" w:rsidR="00753CD6" w:rsidRPr="004933B6" w:rsidRDefault="00753CD6" w:rsidP="00EE745E">
            <w:pPr>
              <w:spacing w:after="0"/>
              <w:rPr>
                <w:rFonts w:eastAsia="Times New Roman" w:cs="Calibri"/>
                <w:color w:val="000000"/>
                <w:sz w:val="20"/>
                <w:szCs w:val="20"/>
              </w:rPr>
            </w:pPr>
            <w:r w:rsidRPr="004933B6">
              <w:rPr>
                <w:rFonts w:eastAsia="Times New Roman" w:cs="Calibri"/>
                <w:color w:val="000000"/>
                <w:sz w:val="20"/>
                <w:szCs w:val="20"/>
              </w:rPr>
              <w:t>CPE-LTSS</w:t>
            </w:r>
          </w:p>
        </w:tc>
        <w:tc>
          <w:tcPr>
            <w:tcW w:w="1300" w:type="dxa"/>
            <w:tcBorders>
              <w:top w:val="single" w:sz="4" w:space="0" w:color="auto"/>
              <w:left w:val="nil"/>
              <w:bottom w:val="single" w:sz="8" w:space="0" w:color="auto"/>
              <w:right w:val="single" w:sz="8" w:space="0" w:color="auto"/>
            </w:tcBorders>
            <w:shd w:val="clear" w:color="auto" w:fill="auto"/>
            <w:hideMark/>
          </w:tcPr>
          <w:p w14:paraId="50A12E4F" w14:textId="77777777" w:rsidR="00753CD6" w:rsidRPr="004933B6" w:rsidRDefault="00753CD6" w:rsidP="00EE745E">
            <w:pPr>
              <w:spacing w:after="0"/>
              <w:rPr>
                <w:rFonts w:eastAsia="Times New Roman" w:cs="Calibri"/>
                <w:sz w:val="20"/>
                <w:szCs w:val="20"/>
              </w:rPr>
            </w:pPr>
            <w:r w:rsidRPr="004933B6">
              <w:rPr>
                <w:rFonts w:eastAsia="Times New Roman" w:cs="Calibri"/>
                <w:sz w:val="20"/>
                <w:szCs w:val="20"/>
              </w:rPr>
              <w:t>LTSS Community Partner Engagement </w:t>
            </w:r>
          </w:p>
        </w:tc>
        <w:tc>
          <w:tcPr>
            <w:tcW w:w="1180"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527A724E" w14:textId="77777777" w:rsidR="00753CD6" w:rsidRPr="004933B6" w:rsidRDefault="00753CD6" w:rsidP="00EE745E">
            <w:pPr>
              <w:spacing w:after="0"/>
              <w:jc w:val="center"/>
              <w:rPr>
                <w:rFonts w:eastAsia="Times New Roman" w:cs="Calibri"/>
              </w:rPr>
            </w:pPr>
            <w:r w:rsidRPr="004933B6">
              <w:rPr>
                <w:rFonts w:eastAsia="Times New Roman" w:cs="Calibri"/>
              </w:rPr>
              <w:t>1.0%</w:t>
            </w:r>
          </w:p>
        </w:tc>
        <w:tc>
          <w:tcPr>
            <w:tcW w:w="1180"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3E7FF081" w14:textId="77777777" w:rsidR="00753CD6" w:rsidRPr="004933B6" w:rsidRDefault="00753CD6" w:rsidP="00EE745E">
            <w:pPr>
              <w:spacing w:after="0"/>
              <w:jc w:val="center"/>
              <w:rPr>
                <w:rFonts w:eastAsia="Times New Roman" w:cs="Calibri"/>
              </w:rPr>
            </w:pPr>
            <w:r w:rsidRPr="004933B6">
              <w:rPr>
                <w:rFonts w:eastAsia="Times New Roman" w:cs="Calibri"/>
              </w:rPr>
              <w:t>4.0%</w:t>
            </w:r>
          </w:p>
        </w:tc>
        <w:tc>
          <w:tcPr>
            <w:tcW w:w="1260"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14:paraId="4D3A5A5B" w14:textId="77777777" w:rsidR="00753CD6" w:rsidRPr="004933B6" w:rsidRDefault="00753CD6" w:rsidP="00EE745E">
            <w:pPr>
              <w:spacing w:after="0"/>
              <w:jc w:val="center"/>
              <w:rPr>
                <w:rFonts w:eastAsia="Times New Roman" w:cs="Calibri"/>
              </w:rPr>
            </w:pPr>
            <w:r w:rsidRPr="004933B6">
              <w:rPr>
                <w:rFonts w:eastAsia="Times New Roman" w:cs="Calibri"/>
              </w:rPr>
              <w:t>4.9%</w:t>
            </w:r>
          </w:p>
        </w:tc>
        <w:tc>
          <w:tcPr>
            <w:tcW w:w="1260" w:type="dxa"/>
            <w:tcBorders>
              <w:top w:val="single" w:sz="4" w:space="0" w:color="auto"/>
              <w:left w:val="nil"/>
              <w:bottom w:val="single" w:sz="8" w:space="0" w:color="auto"/>
              <w:right w:val="nil"/>
            </w:tcBorders>
            <w:shd w:val="clear" w:color="auto" w:fill="FFFFFF" w:themeFill="background1"/>
            <w:noWrap/>
            <w:vAlign w:val="center"/>
            <w:hideMark/>
          </w:tcPr>
          <w:p w14:paraId="52A93890" w14:textId="77777777" w:rsidR="00753CD6" w:rsidRPr="004933B6" w:rsidRDefault="00753CD6" w:rsidP="00EE745E">
            <w:pPr>
              <w:spacing w:after="0"/>
              <w:jc w:val="center"/>
              <w:rPr>
                <w:rFonts w:eastAsia="Times New Roman" w:cs="Calibri"/>
              </w:rPr>
            </w:pPr>
            <w:r w:rsidRPr="004933B6">
              <w:rPr>
                <w:rFonts w:eastAsia="Times New Roman" w:cs="Calibri"/>
              </w:rPr>
              <w:t>9.2%</w:t>
            </w:r>
          </w:p>
        </w:tc>
        <w:tc>
          <w:tcPr>
            <w:tcW w:w="960" w:type="dxa"/>
            <w:tcBorders>
              <w:top w:val="single" w:sz="4" w:space="0" w:color="auto"/>
              <w:left w:val="single" w:sz="8" w:space="0" w:color="auto"/>
              <w:bottom w:val="single" w:sz="8" w:space="0" w:color="auto"/>
              <w:right w:val="single" w:sz="8" w:space="0" w:color="auto"/>
            </w:tcBorders>
            <w:shd w:val="clear" w:color="auto" w:fill="A8D08D" w:themeFill="accent6" w:themeFillTint="99"/>
            <w:noWrap/>
            <w:vAlign w:val="center"/>
            <w:hideMark/>
          </w:tcPr>
          <w:p w14:paraId="40EBCE8B" w14:textId="77777777" w:rsidR="00753CD6" w:rsidRPr="004933B6" w:rsidRDefault="00753CD6" w:rsidP="00EE745E">
            <w:pPr>
              <w:spacing w:after="0"/>
              <w:jc w:val="center"/>
              <w:rPr>
                <w:rFonts w:eastAsia="Times New Roman" w:cs="Calibri"/>
                <w:color w:val="000000"/>
              </w:rPr>
            </w:pPr>
            <w:r w:rsidRPr="004933B6">
              <w:rPr>
                <w:rFonts w:eastAsia="Times New Roman" w:cs="Calibri"/>
                <w:color w:val="000000"/>
              </w:rPr>
              <w:t>1.3%</w:t>
            </w:r>
          </w:p>
        </w:tc>
      </w:tr>
    </w:tbl>
    <w:p w14:paraId="39254040" w14:textId="77777777" w:rsidR="00753CD6" w:rsidRPr="004933B6" w:rsidRDefault="00753CD6" w:rsidP="00753CD6">
      <w:pPr>
        <w:pStyle w:val="Default"/>
        <w:rPr>
          <w:rFonts w:asciiTheme="minorHAnsi" w:hAnsiTheme="minorHAnsi" w:cstheme="minorHAnsi"/>
          <w:sz w:val="22"/>
          <w:szCs w:val="22"/>
        </w:rPr>
      </w:pPr>
    </w:p>
    <w:p w14:paraId="6448FEDD" w14:textId="7FF0877B" w:rsidR="00753CD6" w:rsidRPr="00730D03" w:rsidRDefault="00753CD6" w:rsidP="00753CD6">
      <w:pPr>
        <w:pStyle w:val="Default"/>
      </w:pPr>
      <w:r>
        <w:rPr>
          <w:rFonts w:asciiTheme="minorHAnsi" w:eastAsia="Times New Roman" w:hAnsiTheme="minorHAnsi" w:cstheme="minorHAnsi"/>
          <w:sz w:val="22"/>
          <w:szCs w:val="22"/>
        </w:rPr>
        <w:t>The benchmarks used for this Quality Goal differ from those in Goals 1</w:t>
      </w:r>
      <w:r w:rsidR="002C6444">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4. The benchmarks and Gap to Goal targets come from the performance incentive payment calculation methodology, which </w:t>
      </w:r>
      <w:r w:rsidR="004F4A5E">
        <w:rPr>
          <w:rFonts w:asciiTheme="minorHAnsi" w:eastAsia="Times New Roman" w:hAnsiTheme="minorHAnsi" w:cstheme="minorHAnsi"/>
          <w:sz w:val="22"/>
          <w:szCs w:val="22"/>
        </w:rPr>
        <w:t xml:space="preserve">MassHealth </w:t>
      </w:r>
      <w:r>
        <w:rPr>
          <w:rFonts w:asciiTheme="minorHAnsi" w:eastAsia="Times New Roman" w:hAnsiTheme="minorHAnsi" w:cstheme="minorHAnsi"/>
          <w:sz w:val="22"/>
          <w:szCs w:val="22"/>
        </w:rPr>
        <w:t xml:space="preserve">developed and </w:t>
      </w:r>
      <w:r w:rsidR="00391BB1">
        <w:rPr>
          <w:rFonts w:asciiTheme="minorHAnsi" w:eastAsia="Times New Roman" w:hAnsiTheme="minorHAnsi" w:cstheme="minorHAnsi"/>
          <w:sz w:val="22"/>
          <w:szCs w:val="22"/>
        </w:rPr>
        <w:t>were agreed upon with</w:t>
      </w:r>
      <w:r w:rsidR="004F4A5E">
        <w:rPr>
          <w:rFonts w:asciiTheme="minorHAnsi" w:eastAsia="Times New Roman" w:hAnsiTheme="minorHAnsi" w:cstheme="minorHAnsi"/>
          <w:sz w:val="22"/>
          <w:szCs w:val="22"/>
        </w:rPr>
        <w:t xml:space="preserve"> CMS </w:t>
      </w:r>
      <w:r>
        <w:rPr>
          <w:rFonts w:asciiTheme="minorHAnsi" w:eastAsia="Times New Roman" w:hAnsiTheme="minorHAnsi" w:cstheme="minorHAnsi"/>
          <w:sz w:val="22"/>
          <w:szCs w:val="22"/>
        </w:rPr>
        <w:t xml:space="preserve">during the </w:t>
      </w:r>
      <w:r w:rsidR="004F4A5E">
        <w:rPr>
          <w:rFonts w:asciiTheme="minorHAnsi" w:eastAsia="Times New Roman" w:hAnsiTheme="minorHAnsi" w:cstheme="minorHAnsi"/>
          <w:sz w:val="22"/>
          <w:szCs w:val="22"/>
        </w:rPr>
        <w:t xml:space="preserve">1115 </w:t>
      </w:r>
      <w:r w:rsidR="00792C7D">
        <w:rPr>
          <w:rFonts w:asciiTheme="minorHAnsi" w:eastAsia="Times New Roman" w:hAnsiTheme="minorHAnsi" w:cstheme="minorHAnsi"/>
          <w:sz w:val="22"/>
          <w:szCs w:val="22"/>
        </w:rPr>
        <w:t>D</w:t>
      </w:r>
      <w:r w:rsidR="00760CCA">
        <w:rPr>
          <w:rFonts w:asciiTheme="minorHAnsi" w:eastAsia="Times New Roman" w:hAnsiTheme="minorHAnsi" w:cstheme="minorHAnsi"/>
          <w:sz w:val="22"/>
          <w:szCs w:val="22"/>
        </w:rPr>
        <w:t>emonstration period</w:t>
      </w:r>
      <w:r w:rsidR="00EF5FCE">
        <w:rPr>
          <w:rFonts w:asciiTheme="minorHAnsi" w:eastAsia="Times New Roman" w:hAnsiTheme="minorHAnsi" w:cstheme="minorHAnsi"/>
          <w:sz w:val="22"/>
          <w:szCs w:val="22"/>
        </w:rPr>
        <w:t xml:space="preserve"> (2017-2022)</w:t>
      </w:r>
      <w:r>
        <w:rPr>
          <w:rFonts w:asciiTheme="minorHAnsi" w:eastAsia="Times New Roman" w:hAnsiTheme="minorHAnsi" w:cstheme="minorHAnsi"/>
          <w:sz w:val="22"/>
          <w:szCs w:val="22"/>
        </w:rPr>
        <w:t xml:space="preserve">. For Quality Goal 5, the table above demonstrates that while </w:t>
      </w:r>
      <w:r w:rsidR="00174082">
        <w:rPr>
          <w:rFonts w:asciiTheme="minorHAnsi" w:eastAsia="Times New Roman" w:hAnsiTheme="minorHAnsi" w:cstheme="minorHAnsi"/>
          <w:sz w:val="22"/>
          <w:szCs w:val="22"/>
        </w:rPr>
        <w:t xml:space="preserve">rates did not rise to the benchmark level, </w:t>
      </w:r>
      <w:r>
        <w:rPr>
          <w:rFonts w:asciiTheme="minorHAnsi" w:eastAsia="Times New Roman" w:hAnsiTheme="minorHAnsi" w:cstheme="minorHAnsi"/>
          <w:sz w:val="22"/>
          <w:szCs w:val="22"/>
        </w:rPr>
        <w:t>ACO program performance improved strongly over the three-year period</w:t>
      </w:r>
      <w:r w:rsidR="00174082">
        <w:rPr>
          <w:rFonts w:asciiTheme="minorHAnsi" w:eastAsia="Times New Roman" w:hAnsiTheme="minorHAnsi" w:cstheme="minorHAnsi"/>
          <w:sz w:val="22"/>
          <w:szCs w:val="22"/>
        </w:rPr>
        <w:t xml:space="preserve"> and</w:t>
      </w:r>
      <w:r>
        <w:rPr>
          <w:rFonts w:asciiTheme="minorHAnsi" w:eastAsia="Times New Roman" w:hAnsiTheme="minorHAnsi" w:cstheme="minorHAnsi"/>
          <w:sz w:val="22"/>
          <w:szCs w:val="22"/>
        </w:rPr>
        <w:t xml:space="preserve"> the rate improvements substantially exceeded the Gap to Goal target in all three cases.</w:t>
      </w:r>
    </w:p>
    <w:p w14:paraId="7330235A" w14:textId="58017F9A" w:rsidR="00753CD6" w:rsidRPr="006A05FB" w:rsidRDefault="00753CD6" w:rsidP="00FD1091">
      <w:pPr>
        <w:pStyle w:val="Heading3"/>
        <w:spacing w:after="120"/>
      </w:pPr>
      <w:bookmarkStart w:id="11" w:name="_Toc147244410"/>
      <w:r>
        <w:t>Quality Goal 6</w:t>
      </w:r>
      <w:r w:rsidR="006A05FB">
        <w:t xml:space="preserve">: </w:t>
      </w:r>
      <w:r w:rsidRPr="00E15EBA">
        <w:rPr>
          <w:rFonts w:asciiTheme="minorHAnsi" w:hAnsiTheme="minorHAnsi" w:cstheme="minorHAnsi"/>
          <w:i/>
          <w:iCs/>
          <w:sz w:val="22"/>
        </w:rPr>
        <w:t>Identify and address health disparities to provide equitable care</w:t>
      </w:r>
      <w:r>
        <w:rPr>
          <w:rFonts w:asciiTheme="minorHAnsi" w:hAnsiTheme="minorHAnsi" w:cstheme="minorHAnsi"/>
          <w:i/>
          <w:iCs/>
          <w:sz w:val="22"/>
        </w:rPr>
        <w:t>.</w:t>
      </w:r>
      <w:bookmarkEnd w:id="11"/>
      <w:r w:rsidRPr="00E15EBA">
        <w:rPr>
          <w:rFonts w:asciiTheme="minorHAnsi" w:hAnsiTheme="minorHAnsi" w:cstheme="minorHAnsi"/>
          <w:i/>
          <w:iCs/>
          <w:sz w:val="22"/>
        </w:rPr>
        <w:t> </w:t>
      </w:r>
    </w:p>
    <w:p w14:paraId="7F833532" w14:textId="341E7EF2" w:rsidR="00AF62C5" w:rsidRPr="00730D03" w:rsidRDefault="00D1269C" w:rsidP="00730D03">
      <w:pPr>
        <w:pStyle w:val="Default"/>
        <w:spacing w:after="120"/>
        <w:rPr>
          <w:rFonts w:asciiTheme="minorHAnsi" w:eastAsia="Times New Roman" w:hAnsiTheme="minorHAnsi" w:cstheme="minorBidi"/>
          <w:color w:val="auto"/>
          <w:sz w:val="22"/>
          <w:szCs w:val="22"/>
        </w:rPr>
      </w:pPr>
      <w:r w:rsidRPr="21CA7F43">
        <w:rPr>
          <w:rFonts w:asciiTheme="minorHAnsi" w:eastAsia="Times New Roman" w:hAnsiTheme="minorHAnsi" w:cstheme="minorBidi"/>
          <w:color w:val="auto"/>
          <w:sz w:val="22"/>
          <w:szCs w:val="22"/>
        </w:rPr>
        <w:t xml:space="preserve">To achieve Goal 6, </w:t>
      </w:r>
      <w:r w:rsidR="00FD1091" w:rsidRPr="21CA7F43">
        <w:rPr>
          <w:rFonts w:asciiTheme="minorHAnsi" w:eastAsia="Times New Roman" w:hAnsiTheme="minorHAnsi" w:cstheme="minorBidi"/>
          <w:color w:val="auto"/>
          <w:sz w:val="22"/>
          <w:szCs w:val="22"/>
        </w:rPr>
        <w:t>MassHealth</w:t>
      </w:r>
      <w:r w:rsidR="001C557C" w:rsidRPr="21CA7F43">
        <w:rPr>
          <w:rFonts w:asciiTheme="minorHAnsi" w:eastAsia="Times New Roman" w:hAnsiTheme="minorHAnsi" w:cstheme="minorBidi"/>
          <w:color w:val="auto"/>
          <w:sz w:val="22"/>
          <w:szCs w:val="22"/>
        </w:rPr>
        <w:t>’s</w:t>
      </w:r>
      <w:r w:rsidR="00FD1091" w:rsidRPr="21CA7F43">
        <w:rPr>
          <w:rFonts w:asciiTheme="minorHAnsi" w:eastAsia="Times New Roman" w:hAnsiTheme="minorHAnsi" w:cstheme="minorBidi"/>
          <w:color w:val="auto"/>
          <w:sz w:val="22"/>
          <w:szCs w:val="22"/>
        </w:rPr>
        <w:t xml:space="preserve"> </w:t>
      </w:r>
      <w:r w:rsidRPr="21CA7F43">
        <w:rPr>
          <w:rFonts w:asciiTheme="minorHAnsi" w:eastAsia="Times New Roman" w:hAnsiTheme="minorHAnsi" w:cstheme="minorBidi"/>
          <w:color w:val="auto"/>
          <w:sz w:val="22"/>
          <w:szCs w:val="22"/>
        </w:rPr>
        <w:t>primarily</w:t>
      </w:r>
      <w:r w:rsidR="001C557C" w:rsidRPr="21CA7F43">
        <w:rPr>
          <w:rFonts w:asciiTheme="minorHAnsi" w:eastAsia="Times New Roman" w:hAnsiTheme="minorHAnsi" w:cstheme="minorBidi"/>
          <w:color w:val="auto"/>
          <w:sz w:val="22"/>
          <w:szCs w:val="22"/>
        </w:rPr>
        <w:t xml:space="preserve"> focused on </w:t>
      </w:r>
      <w:r w:rsidR="00A67CDD" w:rsidRPr="21CA7F43">
        <w:rPr>
          <w:rFonts w:asciiTheme="minorHAnsi" w:eastAsia="Times New Roman" w:hAnsiTheme="minorHAnsi" w:cstheme="minorBidi"/>
          <w:color w:val="auto"/>
          <w:sz w:val="22"/>
          <w:szCs w:val="22"/>
        </w:rPr>
        <w:t>capacity</w:t>
      </w:r>
      <w:r w:rsidR="001C557C" w:rsidRPr="21CA7F43">
        <w:rPr>
          <w:rFonts w:asciiTheme="minorHAnsi" w:eastAsia="Times New Roman" w:hAnsiTheme="minorHAnsi" w:cstheme="minorBidi"/>
          <w:color w:val="auto"/>
          <w:sz w:val="22"/>
          <w:szCs w:val="22"/>
        </w:rPr>
        <w:t xml:space="preserve"> development to </w:t>
      </w:r>
      <w:r w:rsidR="00C001E7" w:rsidRPr="21CA7F43">
        <w:rPr>
          <w:rFonts w:asciiTheme="minorHAnsi" w:eastAsia="Times New Roman" w:hAnsiTheme="minorHAnsi" w:cstheme="minorBidi"/>
          <w:color w:val="auto"/>
          <w:sz w:val="22"/>
          <w:szCs w:val="22"/>
        </w:rPr>
        <w:t xml:space="preserve">work toward </w:t>
      </w:r>
      <w:r w:rsidR="001C557C" w:rsidRPr="21CA7F43">
        <w:rPr>
          <w:rFonts w:asciiTheme="minorHAnsi" w:eastAsia="Times New Roman" w:hAnsiTheme="minorHAnsi" w:cstheme="minorBidi"/>
          <w:color w:val="auto"/>
          <w:sz w:val="22"/>
          <w:szCs w:val="22"/>
        </w:rPr>
        <w:t>the stratification of disparity sensitive quality measures by race, ethnicity, and language. Initially, MassHealth worked with a subset of its MCPs (</w:t>
      </w:r>
      <w:r w:rsidR="008B5E8D" w:rsidRPr="21CA7F43">
        <w:rPr>
          <w:rFonts w:asciiTheme="minorHAnsi" w:eastAsia="Times New Roman" w:hAnsiTheme="minorHAnsi" w:cstheme="minorBidi"/>
          <w:color w:val="auto"/>
          <w:sz w:val="22"/>
          <w:szCs w:val="22"/>
        </w:rPr>
        <w:t>non-dual Medicaid plans for members under the age of 65</w:t>
      </w:r>
      <w:r w:rsidR="6EEC458F" w:rsidRPr="21CA7F43">
        <w:rPr>
          <w:rFonts w:asciiTheme="minorHAnsi" w:eastAsia="Times New Roman" w:hAnsiTheme="minorHAnsi" w:cstheme="minorBidi"/>
          <w:color w:val="auto"/>
          <w:sz w:val="22"/>
          <w:szCs w:val="22"/>
        </w:rPr>
        <w:t>, specifically ACOs, MCOs</w:t>
      </w:r>
      <w:r w:rsidR="00004A17">
        <w:rPr>
          <w:rFonts w:asciiTheme="minorHAnsi" w:eastAsia="Times New Roman" w:hAnsiTheme="minorHAnsi" w:cstheme="minorBidi"/>
          <w:color w:val="auto"/>
          <w:sz w:val="22"/>
          <w:szCs w:val="22"/>
        </w:rPr>
        <w:t>,</w:t>
      </w:r>
      <w:r w:rsidR="6EEC458F" w:rsidRPr="21CA7F43">
        <w:rPr>
          <w:rFonts w:asciiTheme="minorHAnsi" w:eastAsia="Times New Roman" w:hAnsiTheme="minorHAnsi" w:cstheme="minorBidi"/>
          <w:color w:val="auto"/>
          <w:sz w:val="22"/>
          <w:szCs w:val="22"/>
        </w:rPr>
        <w:t xml:space="preserve"> and the PCC Plan</w:t>
      </w:r>
      <w:r w:rsidR="008B5E8D" w:rsidRPr="21CA7F43">
        <w:rPr>
          <w:rFonts w:asciiTheme="minorHAnsi" w:eastAsia="Times New Roman" w:hAnsiTheme="minorHAnsi" w:cstheme="minorBidi"/>
          <w:color w:val="auto"/>
          <w:sz w:val="22"/>
          <w:szCs w:val="22"/>
        </w:rPr>
        <w:t xml:space="preserve">) to submit </w:t>
      </w:r>
      <w:r w:rsidR="00F67638" w:rsidRPr="21CA7F43">
        <w:rPr>
          <w:rFonts w:asciiTheme="minorHAnsi" w:eastAsia="Times New Roman" w:hAnsiTheme="minorHAnsi" w:cstheme="minorBidi"/>
          <w:color w:val="auto"/>
          <w:sz w:val="22"/>
          <w:szCs w:val="22"/>
        </w:rPr>
        <w:t xml:space="preserve">to MassHealth </w:t>
      </w:r>
      <w:r w:rsidR="008B5E8D" w:rsidRPr="21CA7F43">
        <w:rPr>
          <w:rFonts w:asciiTheme="minorHAnsi" w:eastAsia="Times New Roman" w:hAnsiTheme="minorHAnsi" w:cstheme="minorBidi"/>
          <w:color w:val="auto"/>
          <w:sz w:val="22"/>
          <w:szCs w:val="22"/>
        </w:rPr>
        <w:t>member-level detail data with their annual HEDIS rate submissions. Th</w:t>
      </w:r>
      <w:r w:rsidR="002D2D62" w:rsidRPr="21CA7F43">
        <w:rPr>
          <w:rFonts w:asciiTheme="minorHAnsi" w:eastAsia="Times New Roman" w:hAnsiTheme="minorHAnsi" w:cstheme="minorBidi"/>
          <w:color w:val="auto"/>
          <w:sz w:val="22"/>
          <w:szCs w:val="22"/>
        </w:rPr>
        <w:t>is subgroup</w:t>
      </w:r>
      <w:r w:rsidR="00A67CDD" w:rsidRPr="21CA7F43">
        <w:rPr>
          <w:rFonts w:asciiTheme="minorHAnsi" w:eastAsia="Times New Roman" w:hAnsiTheme="minorHAnsi" w:cstheme="minorBidi"/>
          <w:color w:val="auto"/>
          <w:sz w:val="22"/>
          <w:szCs w:val="22"/>
        </w:rPr>
        <w:t xml:space="preserve"> of</w:t>
      </w:r>
      <w:r w:rsidR="008B5E8D" w:rsidRPr="21CA7F43">
        <w:rPr>
          <w:rFonts w:asciiTheme="minorHAnsi" w:eastAsia="Times New Roman" w:hAnsiTheme="minorHAnsi" w:cstheme="minorBidi"/>
          <w:color w:val="auto"/>
          <w:sz w:val="22"/>
          <w:szCs w:val="22"/>
        </w:rPr>
        <w:t xml:space="preserve"> MCPs</w:t>
      </w:r>
      <w:r w:rsidR="00AF62C5" w:rsidRPr="21CA7F43">
        <w:rPr>
          <w:rFonts w:asciiTheme="minorHAnsi" w:eastAsia="Times New Roman" w:hAnsiTheme="minorHAnsi" w:cstheme="minorBidi"/>
          <w:color w:val="auto"/>
          <w:sz w:val="22"/>
          <w:szCs w:val="22"/>
        </w:rPr>
        <w:t xml:space="preserve"> </w:t>
      </w:r>
      <w:r w:rsidR="008B5E8D" w:rsidRPr="21CA7F43">
        <w:rPr>
          <w:rFonts w:asciiTheme="minorHAnsi" w:eastAsia="Times New Roman" w:hAnsiTheme="minorHAnsi" w:cstheme="minorBidi"/>
          <w:color w:val="auto"/>
          <w:sz w:val="22"/>
          <w:szCs w:val="22"/>
        </w:rPr>
        <w:t>successfully submit</w:t>
      </w:r>
      <w:r w:rsidR="00BA361A" w:rsidRPr="21CA7F43">
        <w:rPr>
          <w:rFonts w:asciiTheme="minorHAnsi" w:eastAsia="Times New Roman" w:hAnsiTheme="minorHAnsi" w:cstheme="minorBidi"/>
          <w:color w:val="auto"/>
          <w:sz w:val="22"/>
          <w:szCs w:val="22"/>
        </w:rPr>
        <w:t>ted</w:t>
      </w:r>
      <w:r w:rsidR="008B5E8D" w:rsidRPr="21CA7F43">
        <w:rPr>
          <w:rFonts w:asciiTheme="minorHAnsi" w:eastAsia="Times New Roman" w:hAnsiTheme="minorHAnsi" w:cstheme="minorBidi"/>
          <w:color w:val="auto"/>
          <w:sz w:val="22"/>
          <w:szCs w:val="22"/>
        </w:rPr>
        <w:t xml:space="preserve"> the member level data. </w:t>
      </w:r>
      <w:r w:rsidR="00AF62C5" w:rsidRPr="21CA7F43">
        <w:rPr>
          <w:rFonts w:asciiTheme="minorHAnsi" w:eastAsia="Times New Roman" w:hAnsiTheme="minorHAnsi" w:cstheme="minorBidi"/>
          <w:color w:val="auto"/>
          <w:sz w:val="22"/>
          <w:szCs w:val="22"/>
        </w:rPr>
        <w:t>MassHealth refined its submission approach t</w:t>
      </w:r>
      <w:r w:rsidR="008B5E8D" w:rsidRPr="21CA7F43">
        <w:rPr>
          <w:rFonts w:asciiTheme="minorHAnsi" w:eastAsia="Times New Roman" w:hAnsiTheme="minorHAnsi" w:cstheme="minorBidi"/>
          <w:color w:val="auto"/>
          <w:sz w:val="22"/>
          <w:szCs w:val="22"/>
        </w:rPr>
        <w:t xml:space="preserve">o </w:t>
      </w:r>
      <w:r w:rsidR="00BA361A" w:rsidRPr="21CA7F43">
        <w:rPr>
          <w:rFonts w:asciiTheme="minorHAnsi" w:eastAsia="Times New Roman" w:hAnsiTheme="minorHAnsi" w:cstheme="minorBidi"/>
          <w:color w:val="auto"/>
          <w:sz w:val="22"/>
          <w:szCs w:val="22"/>
        </w:rPr>
        <w:t>address</w:t>
      </w:r>
      <w:r w:rsidR="002D2D62" w:rsidRPr="21CA7F43">
        <w:rPr>
          <w:rFonts w:asciiTheme="minorHAnsi" w:eastAsia="Times New Roman" w:hAnsiTheme="minorHAnsi" w:cstheme="minorBidi"/>
          <w:color w:val="auto"/>
          <w:sz w:val="22"/>
          <w:szCs w:val="22"/>
        </w:rPr>
        <w:t xml:space="preserve"> data</w:t>
      </w:r>
      <w:r w:rsidR="008B5E8D" w:rsidRPr="21CA7F43">
        <w:rPr>
          <w:rFonts w:asciiTheme="minorHAnsi" w:eastAsia="Times New Roman" w:hAnsiTheme="minorHAnsi" w:cstheme="minorBidi"/>
          <w:color w:val="auto"/>
          <w:sz w:val="22"/>
          <w:szCs w:val="22"/>
        </w:rPr>
        <w:t xml:space="preserve"> inconsistencies, </w:t>
      </w:r>
      <w:r w:rsidR="00AF62C5" w:rsidRPr="21CA7F43">
        <w:rPr>
          <w:rFonts w:asciiTheme="minorHAnsi" w:eastAsia="Times New Roman" w:hAnsiTheme="minorHAnsi" w:cstheme="minorBidi"/>
          <w:color w:val="auto"/>
          <w:sz w:val="22"/>
          <w:szCs w:val="22"/>
        </w:rPr>
        <w:t>eventually e</w:t>
      </w:r>
      <w:r w:rsidR="008B5E8D" w:rsidRPr="21CA7F43">
        <w:rPr>
          <w:rFonts w:asciiTheme="minorHAnsi" w:eastAsia="Times New Roman" w:hAnsiTheme="minorHAnsi" w:cstheme="minorBidi"/>
          <w:color w:val="auto"/>
          <w:sz w:val="22"/>
          <w:szCs w:val="22"/>
        </w:rPr>
        <w:t xml:space="preserve">xpanding its member level data collection </w:t>
      </w:r>
      <w:r w:rsidR="00AF62C5" w:rsidRPr="21CA7F43">
        <w:rPr>
          <w:rFonts w:asciiTheme="minorHAnsi" w:eastAsia="Times New Roman" w:hAnsiTheme="minorHAnsi" w:cstheme="minorBidi"/>
          <w:color w:val="auto"/>
          <w:sz w:val="22"/>
          <w:szCs w:val="22"/>
        </w:rPr>
        <w:t xml:space="preserve">requirements </w:t>
      </w:r>
      <w:r w:rsidR="008B5E8D" w:rsidRPr="21CA7F43">
        <w:rPr>
          <w:rFonts w:asciiTheme="minorHAnsi" w:eastAsia="Times New Roman" w:hAnsiTheme="minorHAnsi" w:cstheme="minorBidi"/>
          <w:color w:val="auto"/>
          <w:sz w:val="22"/>
          <w:szCs w:val="22"/>
        </w:rPr>
        <w:t xml:space="preserve">to </w:t>
      </w:r>
      <w:r w:rsidR="00453264" w:rsidRPr="21CA7F43">
        <w:rPr>
          <w:rFonts w:asciiTheme="minorHAnsi" w:eastAsia="Times New Roman" w:hAnsiTheme="minorHAnsi" w:cstheme="minorBidi"/>
          <w:color w:val="auto"/>
          <w:sz w:val="22"/>
          <w:szCs w:val="22"/>
        </w:rPr>
        <w:t xml:space="preserve">its </w:t>
      </w:r>
      <w:r w:rsidR="00AF62C5" w:rsidRPr="21CA7F43">
        <w:rPr>
          <w:rFonts w:asciiTheme="minorHAnsi" w:eastAsia="Times New Roman" w:hAnsiTheme="minorHAnsi" w:cstheme="minorBidi"/>
          <w:color w:val="auto"/>
          <w:sz w:val="22"/>
          <w:szCs w:val="22"/>
        </w:rPr>
        <w:t>integrated care plans. Currently</w:t>
      </w:r>
      <w:r w:rsidR="00BA361A" w:rsidRPr="21CA7F43">
        <w:rPr>
          <w:rFonts w:asciiTheme="minorHAnsi" w:eastAsia="Times New Roman" w:hAnsiTheme="minorHAnsi" w:cstheme="minorBidi"/>
          <w:color w:val="auto"/>
          <w:sz w:val="22"/>
          <w:szCs w:val="22"/>
        </w:rPr>
        <w:t>,</w:t>
      </w:r>
      <w:r w:rsidR="00AF62C5" w:rsidRPr="21CA7F43">
        <w:rPr>
          <w:rFonts w:asciiTheme="minorHAnsi" w:eastAsia="Times New Roman" w:hAnsiTheme="minorHAnsi" w:cstheme="minorBidi"/>
          <w:color w:val="auto"/>
          <w:sz w:val="22"/>
          <w:szCs w:val="22"/>
        </w:rPr>
        <w:t xml:space="preserve"> MassHealth is collecting member level data from all MCPs except </w:t>
      </w:r>
      <w:r w:rsidR="00BA361A" w:rsidRPr="21CA7F43">
        <w:rPr>
          <w:rFonts w:asciiTheme="minorHAnsi" w:eastAsia="Times New Roman" w:hAnsiTheme="minorHAnsi" w:cstheme="minorBidi"/>
          <w:color w:val="auto"/>
          <w:sz w:val="22"/>
          <w:szCs w:val="22"/>
        </w:rPr>
        <w:t>the BH Plan</w:t>
      </w:r>
      <w:r w:rsidR="002D2D62" w:rsidRPr="21CA7F43">
        <w:rPr>
          <w:rFonts w:asciiTheme="minorHAnsi" w:eastAsia="Times New Roman" w:hAnsiTheme="minorHAnsi" w:cstheme="minorBidi"/>
          <w:color w:val="auto"/>
          <w:sz w:val="22"/>
          <w:szCs w:val="22"/>
        </w:rPr>
        <w:t xml:space="preserve"> but hope</w:t>
      </w:r>
      <w:r w:rsidR="00A67CDD" w:rsidRPr="21CA7F43">
        <w:rPr>
          <w:rFonts w:asciiTheme="minorHAnsi" w:eastAsia="Times New Roman" w:hAnsiTheme="minorHAnsi" w:cstheme="minorBidi"/>
          <w:color w:val="auto"/>
          <w:sz w:val="22"/>
          <w:szCs w:val="22"/>
        </w:rPr>
        <w:t>s</w:t>
      </w:r>
      <w:r w:rsidR="002D2D62" w:rsidRPr="21CA7F43">
        <w:rPr>
          <w:rFonts w:asciiTheme="minorHAnsi" w:eastAsia="Times New Roman" w:hAnsiTheme="minorHAnsi" w:cstheme="minorBidi"/>
          <w:color w:val="auto"/>
          <w:sz w:val="22"/>
          <w:szCs w:val="22"/>
        </w:rPr>
        <w:t xml:space="preserve"> to expand requirements</w:t>
      </w:r>
      <w:r w:rsidR="00C001E7" w:rsidRPr="21CA7F43">
        <w:rPr>
          <w:rFonts w:asciiTheme="minorHAnsi" w:eastAsia="Times New Roman" w:hAnsiTheme="minorHAnsi" w:cstheme="minorBidi"/>
          <w:color w:val="auto"/>
          <w:sz w:val="22"/>
          <w:szCs w:val="22"/>
        </w:rPr>
        <w:t xml:space="preserve"> to</w:t>
      </w:r>
      <w:r w:rsidR="002D2D62" w:rsidRPr="21CA7F43">
        <w:rPr>
          <w:rFonts w:asciiTheme="minorHAnsi" w:eastAsia="Times New Roman" w:hAnsiTheme="minorHAnsi" w:cstheme="minorBidi"/>
          <w:color w:val="auto"/>
          <w:sz w:val="22"/>
          <w:szCs w:val="22"/>
        </w:rPr>
        <w:t xml:space="preserve"> </w:t>
      </w:r>
      <w:r w:rsidR="00AE518E" w:rsidRPr="21CA7F43">
        <w:rPr>
          <w:rFonts w:asciiTheme="minorHAnsi" w:eastAsia="Times New Roman" w:hAnsiTheme="minorHAnsi" w:cstheme="minorBidi"/>
          <w:color w:val="auto"/>
          <w:sz w:val="22"/>
          <w:szCs w:val="22"/>
        </w:rPr>
        <w:t>include the BH Plan</w:t>
      </w:r>
      <w:r w:rsidR="002D2D62" w:rsidRPr="21CA7F43">
        <w:rPr>
          <w:rFonts w:asciiTheme="minorHAnsi" w:eastAsia="Times New Roman" w:hAnsiTheme="minorHAnsi" w:cstheme="minorBidi"/>
          <w:color w:val="auto"/>
          <w:sz w:val="22"/>
          <w:szCs w:val="22"/>
        </w:rPr>
        <w:t xml:space="preserve"> in 2023.</w:t>
      </w:r>
    </w:p>
    <w:p w14:paraId="07D8FFEC" w14:textId="1F9B3940" w:rsidR="002D2D62" w:rsidRPr="00730D03" w:rsidRDefault="00AF62C5" w:rsidP="00730D03">
      <w:pPr>
        <w:pStyle w:val="Default"/>
        <w:spacing w:after="120"/>
        <w:rPr>
          <w:rFonts w:asciiTheme="minorHAnsi" w:eastAsia="Times New Roman" w:hAnsiTheme="minorHAnsi" w:cstheme="minorBidi"/>
          <w:color w:val="auto"/>
          <w:sz w:val="22"/>
          <w:szCs w:val="22"/>
        </w:rPr>
      </w:pPr>
      <w:r w:rsidRPr="692C77C9">
        <w:rPr>
          <w:rFonts w:asciiTheme="minorHAnsi" w:eastAsia="Times New Roman" w:hAnsiTheme="minorHAnsi" w:cstheme="minorBidi"/>
          <w:color w:val="auto"/>
          <w:sz w:val="22"/>
          <w:szCs w:val="22"/>
        </w:rPr>
        <w:t>In addition</w:t>
      </w:r>
      <w:r w:rsidR="000D008C" w:rsidRPr="692C77C9">
        <w:rPr>
          <w:rFonts w:asciiTheme="minorHAnsi" w:eastAsia="Times New Roman" w:hAnsiTheme="minorHAnsi" w:cstheme="minorBidi"/>
          <w:color w:val="auto"/>
          <w:sz w:val="22"/>
          <w:szCs w:val="22"/>
        </w:rPr>
        <w:t xml:space="preserve">, </w:t>
      </w:r>
      <w:r w:rsidRPr="692C77C9">
        <w:rPr>
          <w:rFonts w:asciiTheme="minorHAnsi" w:eastAsia="Times New Roman" w:hAnsiTheme="minorHAnsi" w:cstheme="minorBidi"/>
          <w:color w:val="auto"/>
          <w:sz w:val="22"/>
          <w:szCs w:val="22"/>
        </w:rPr>
        <w:t>MassHealth worked with UMass Chan Medical School to develop a</w:t>
      </w:r>
      <w:r w:rsidR="00C001E7" w:rsidRPr="692C77C9">
        <w:rPr>
          <w:rFonts w:asciiTheme="minorHAnsi" w:eastAsia="Times New Roman" w:hAnsiTheme="minorHAnsi" w:cstheme="minorBidi"/>
          <w:color w:val="auto"/>
          <w:sz w:val="22"/>
          <w:szCs w:val="22"/>
        </w:rPr>
        <w:t>n</w:t>
      </w:r>
      <w:r w:rsidRPr="692C77C9">
        <w:rPr>
          <w:rFonts w:asciiTheme="minorHAnsi" w:eastAsia="Times New Roman" w:hAnsiTheme="minorHAnsi" w:cstheme="minorBidi"/>
          <w:color w:val="auto"/>
          <w:sz w:val="22"/>
          <w:szCs w:val="22"/>
        </w:rPr>
        <w:t xml:space="preserve"> imputed data file</w:t>
      </w:r>
      <w:r w:rsidR="002D2D62" w:rsidRPr="692C77C9">
        <w:rPr>
          <w:rFonts w:asciiTheme="minorHAnsi" w:eastAsia="Times New Roman" w:hAnsiTheme="minorHAnsi" w:cstheme="minorBidi"/>
          <w:color w:val="auto"/>
          <w:sz w:val="22"/>
          <w:szCs w:val="22"/>
        </w:rPr>
        <w:t xml:space="preserve"> for MassHealth </w:t>
      </w:r>
      <w:r w:rsidR="08E9B1CC" w:rsidRPr="692C77C9">
        <w:rPr>
          <w:rFonts w:asciiTheme="minorHAnsi" w:eastAsia="Times New Roman" w:hAnsiTheme="minorHAnsi" w:cstheme="minorBidi"/>
          <w:color w:val="auto"/>
          <w:sz w:val="22"/>
          <w:szCs w:val="22"/>
        </w:rPr>
        <w:t>CY</w:t>
      </w:r>
      <w:r w:rsidR="002D2D62" w:rsidRPr="692C77C9">
        <w:rPr>
          <w:rFonts w:asciiTheme="minorHAnsi" w:eastAsia="Times New Roman" w:hAnsiTheme="minorHAnsi" w:cstheme="minorBidi"/>
          <w:color w:val="auto"/>
          <w:sz w:val="22"/>
          <w:szCs w:val="22"/>
        </w:rPr>
        <w:t xml:space="preserve">2019 and </w:t>
      </w:r>
      <w:r w:rsidR="513BB32B" w:rsidRPr="692C77C9">
        <w:rPr>
          <w:rFonts w:asciiTheme="minorHAnsi" w:eastAsia="Times New Roman" w:hAnsiTheme="minorHAnsi" w:cstheme="minorBidi"/>
          <w:color w:val="auto"/>
          <w:sz w:val="22"/>
          <w:szCs w:val="22"/>
        </w:rPr>
        <w:t>CY</w:t>
      </w:r>
      <w:r w:rsidR="002D2D62" w:rsidRPr="692C77C9">
        <w:rPr>
          <w:rFonts w:asciiTheme="minorHAnsi" w:eastAsia="Times New Roman" w:hAnsiTheme="minorHAnsi" w:cstheme="minorBidi"/>
          <w:color w:val="auto"/>
          <w:sz w:val="22"/>
          <w:szCs w:val="22"/>
        </w:rPr>
        <w:t>2020 membership</w:t>
      </w:r>
      <w:r w:rsidRPr="692C77C9">
        <w:rPr>
          <w:rFonts w:asciiTheme="minorHAnsi" w:eastAsia="Times New Roman" w:hAnsiTheme="minorHAnsi" w:cstheme="minorBidi"/>
          <w:color w:val="auto"/>
          <w:sz w:val="22"/>
          <w:szCs w:val="22"/>
        </w:rPr>
        <w:t xml:space="preserve">. The imputed data </w:t>
      </w:r>
      <w:r w:rsidR="002D2D62" w:rsidRPr="692C77C9">
        <w:rPr>
          <w:rFonts w:asciiTheme="minorHAnsi" w:eastAsia="Times New Roman" w:hAnsiTheme="minorHAnsi" w:cstheme="minorBidi"/>
          <w:color w:val="auto"/>
          <w:sz w:val="22"/>
          <w:szCs w:val="22"/>
        </w:rPr>
        <w:t>file was shared with MassHealth</w:t>
      </w:r>
      <w:r w:rsidR="009B749E" w:rsidRPr="692C77C9">
        <w:rPr>
          <w:rFonts w:asciiTheme="minorHAnsi" w:eastAsia="Times New Roman" w:hAnsiTheme="minorHAnsi" w:cstheme="minorBidi"/>
          <w:color w:val="auto"/>
          <w:sz w:val="22"/>
          <w:szCs w:val="22"/>
        </w:rPr>
        <w:t>’s</w:t>
      </w:r>
      <w:r w:rsidR="002D2D62" w:rsidRPr="692C77C9">
        <w:rPr>
          <w:rFonts w:asciiTheme="minorHAnsi" w:eastAsia="Times New Roman" w:hAnsiTheme="minorHAnsi" w:cstheme="minorBidi"/>
          <w:color w:val="auto"/>
          <w:sz w:val="22"/>
          <w:szCs w:val="22"/>
        </w:rPr>
        <w:t xml:space="preserve"> comprehensive quality measure vendor, </w:t>
      </w:r>
      <w:proofErr w:type="spellStart"/>
      <w:r w:rsidR="002D2D62" w:rsidRPr="692C77C9">
        <w:rPr>
          <w:rFonts w:asciiTheme="minorHAnsi" w:eastAsia="Times New Roman" w:hAnsiTheme="minorHAnsi" w:cstheme="minorBidi"/>
          <w:color w:val="auto"/>
          <w:sz w:val="22"/>
          <w:szCs w:val="22"/>
        </w:rPr>
        <w:t>Telligen</w:t>
      </w:r>
      <w:proofErr w:type="spellEnd"/>
      <w:r w:rsidR="002D2D62" w:rsidRPr="692C77C9">
        <w:rPr>
          <w:rFonts w:asciiTheme="minorHAnsi" w:eastAsia="Times New Roman" w:hAnsiTheme="minorHAnsi" w:cstheme="minorBidi"/>
          <w:color w:val="auto"/>
          <w:sz w:val="22"/>
          <w:szCs w:val="22"/>
        </w:rPr>
        <w:t xml:space="preserve">, and used to stratify ACO and hospital performance on </w:t>
      </w:r>
      <w:r w:rsidR="002D2D62" w:rsidRPr="692C77C9">
        <w:rPr>
          <w:rFonts w:asciiTheme="minorHAnsi" w:eastAsia="Times New Roman" w:hAnsiTheme="minorHAnsi" w:cstheme="minorBidi"/>
          <w:color w:val="auto"/>
          <w:sz w:val="22"/>
          <w:szCs w:val="22"/>
        </w:rPr>
        <w:lastRenderedPageBreak/>
        <w:t xml:space="preserve">select quality metrics. </w:t>
      </w:r>
      <w:r w:rsidR="458AC584" w:rsidRPr="692C77C9">
        <w:rPr>
          <w:rFonts w:asciiTheme="minorHAnsi" w:eastAsia="Times New Roman" w:hAnsiTheme="minorHAnsi" w:cstheme="minorBidi"/>
          <w:color w:val="auto"/>
          <w:sz w:val="22"/>
          <w:szCs w:val="22"/>
        </w:rPr>
        <w:t>MassHealth</w:t>
      </w:r>
      <w:r w:rsidR="00802E2C" w:rsidRPr="692C77C9">
        <w:rPr>
          <w:rFonts w:asciiTheme="minorHAnsi" w:eastAsia="Times New Roman" w:hAnsiTheme="minorHAnsi" w:cstheme="minorBidi"/>
          <w:color w:val="auto"/>
          <w:sz w:val="22"/>
          <w:szCs w:val="22"/>
        </w:rPr>
        <w:t xml:space="preserve"> is currently using d</w:t>
      </w:r>
      <w:r w:rsidR="002D2D62" w:rsidRPr="692C77C9">
        <w:rPr>
          <w:rFonts w:asciiTheme="minorHAnsi" w:eastAsia="Times New Roman" w:hAnsiTheme="minorHAnsi" w:cstheme="minorBidi"/>
          <w:color w:val="auto"/>
          <w:sz w:val="22"/>
          <w:szCs w:val="22"/>
        </w:rPr>
        <w:t xml:space="preserve">ata from both the imputed and member level data files to </w:t>
      </w:r>
      <w:r w:rsidR="006048F9" w:rsidRPr="692C77C9">
        <w:rPr>
          <w:rFonts w:asciiTheme="minorHAnsi" w:eastAsia="Times New Roman" w:hAnsiTheme="minorHAnsi" w:cstheme="minorBidi"/>
          <w:color w:val="auto"/>
          <w:sz w:val="22"/>
          <w:szCs w:val="22"/>
        </w:rPr>
        <w:t xml:space="preserve">identify </w:t>
      </w:r>
      <w:r w:rsidR="002D2D62" w:rsidRPr="692C77C9">
        <w:rPr>
          <w:rFonts w:asciiTheme="minorHAnsi" w:eastAsia="Times New Roman" w:hAnsiTheme="minorHAnsi" w:cstheme="minorBidi"/>
          <w:color w:val="auto"/>
          <w:sz w:val="22"/>
          <w:szCs w:val="22"/>
        </w:rPr>
        <w:t xml:space="preserve">health inequities. </w:t>
      </w:r>
    </w:p>
    <w:p w14:paraId="12B2769D" w14:textId="15944651" w:rsidR="009B749E" w:rsidRPr="00753798" w:rsidRDefault="006048F9" w:rsidP="692C77C9">
      <w:pPr>
        <w:pStyle w:val="xmsolistparagraph"/>
        <w:spacing w:before="0" w:beforeAutospacing="0" w:after="0" w:afterAutospacing="0"/>
        <w:rPr>
          <w:rFonts w:asciiTheme="minorHAnsi" w:hAnsiTheme="minorHAnsi" w:cstheme="minorBidi"/>
        </w:rPr>
      </w:pPr>
      <w:r w:rsidRPr="692C77C9">
        <w:rPr>
          <w:rFonts w:asciiTheme="minorHAnsi" w:eastAsia="Times New Roman" w:hAnsiTheme="minorHAnsi" w:cstheme="minorBidi"/>
        </w:rPr>
        <w:t>M</w:t>
      </w:r>
      <w:r w:rsidR="002D2D62" w:rsidRPr="692C77C9">
        <w:rPr>
          <w:rFonts w:asciiTheme="minorHAnsi" w:eastAsia="Times New Roman" w:hAnsiTheme="minorHAnsi" w:cstheme="minorBidi"/>
        </w:rPr>
        <w:t xml:space="preserve">assHealth continues to evolve </w:t>
      </w:r>
      <w:r w:rsidR="00C001E7" w:rsidRPr="692C77C9">
        <w:rPr>
          <w:rFonts w:asciiTheme="minorHAnsi" w:eastAsia="Times New Roman" w:hAnsiTheme="minorHAnsi" w:cstheme="minorBidi"/>
        </w:rPr>
        <w:t>its</w:t>
      </w:r>
      <w:r w:rsidR="002D2D62" w:rsidRPr="692C77C9">
        <w:rPr>
          <w:rFonts w:asciiTheme="minorHAnsi" w:eastAsia="Times New Roman" w:hAnsiTheme="minorHAnsi" w:cstheme="minorBidi"/>
        </w:rPr>
        <w:t xml:space="preserve"> strategies for identifying and addressing health disparities</w:t>
      </w:r>
      <w:r w:rsidR="00753A98" w:rsidRPr="692C77C9">
        <w:rPr>
          <w:rFonts w:asciiTheme="minorHAnsi" w:eastAsia="Times New Roman" w:hAnsiTheme="minorHAnsi" w:cstheme="minorBidi"/>
        </w:rPr>
        <w:t>.</w:t>
      </w:r>
      <w:r w:rsidRPr="692C77C9" w:rsidDel="006048F9">
        <w:rPr>
          <w:rFonts w:asciiTheme="minorHAnsi" w:eastAsia="Times New Roman" w:hAnsiTheme="minorHAnsi" w:cstheme="minorBidi"/>
        </w:rPr>
        <w:t xml:space="preserve"> </w:t>
      </w:r>
      <w:r w:rsidR="00753A98" w:rsidRPr="692C77C9">
        <w:rPr>
          <w:rFonts w:asciiTheme="minorHAnsi" w:eastAsia="Times New Roman" w:hAnsiTheme="minorHAnsi" w:cstheme="minorBidi"/>
        </w:rPr>
        <w:t>I</w:t>
      </w:r>
      <w:r w:rsidR="00A67CDD" w:rsidRPr="692C77C9">
        <w:rPr>
          <w:rFonts w:asciiTheme="minorHAnsi" w:eastAsia="Times New Roman" w:hAnsiTheme="minorHAnsi" w:cstheme="minorBidi"/>
        </w:rPr>
        <w:t xml:space="preserve">n </w:t>
      </w:r>
      <w:r w:rsidR="009B749E" w:rsidRPr="692C77C9">
        <w:rPr>
          <w:rFonts w:asciiTheme="minorHAnsi" w:eastAsia="Times New Roman" w:hAnsiTheme="minorHAnsi" w:cstheme="minorBidi"/>
        </w:rPr>
        <w:t>CY 2022</w:t>
      </w:r>
      <w:r w:rsidR="00753A98" w:rsidRPr="692C77C9">
        <w:rPr>
          <w:rFonts w:asciiTheme="minorHAnsi" w:eastAsia="Times New Roman" w:hAnsiTheme="minorHAnsi" w:cstheme="minorBidi"/>
        </w:rPr>
        <w:t xml:space="preserve">, </w:t>
      </w:r>
      <w:r w:rsidR="005D4BC7" w:rsidRPr="692C77C9">
        <w:rPr>
          <w:rFonts w:asciiTheme="minorHAnsi" w:eastAsia="Times New Roman" w:hAnsiTheme="minorHAnsi" w:cstheme="minorBidi"/>
        </w:rPr>
        <w:t>EOHHS</w:t>
      </w:r>
      <w:r w:rsidR="009B749E" w:rsidRPr="692C77C9">
        <w:rPr>
          <w:rFonts w:asciiTheme="minorHAnsi" w:eastAsia="Times New Roman" w:hAnsiTheme="minorHAnsi" w:cstheme="minorBidi"/>
        </w:rPr>
        <w:t xml:space="preserve"> </w:t>
      </w:r>
      <w:r w:rsidR="009B749E" w:rsidRPr="692C77C9">
        <w:rPr>
          <w:rFonts w:asciiTheme="minorHAnsi" w:hAnsiTheme="minorHAnsi" w:cstheme="minorBidi"/>
        </w:rPr>
        <w:t xml:space="preserve">initiated a major initiative to incentivize </w:t>
      </w:r>
      <w:r w:rsidR="00F65238">
        <w:rPr>
          <w:rFonts w:asciiTheme="minorHAnsi" w:hAnsiTheme="minorHAnsi" w:cstheme="minorBidi"/>
        </w:rPr>
        <w:t>a</w:t>
      </w:r>
      <w:r w:rsidR="75B237A3" w:rsidRPr="692C77C9">
        <w:rPr>
          <w:rFonts w:asciiTheme="minorHAnsi" w:hAnsiTheme="minorHAnsi" w:cstheme="minorBidi"/>
        </w:rPr>
        <w:t xml:space="preserve">cute </w:t>
      </w:r>
      <w:r w:rsidR="00F65238">
        <w:rPr>
          <w:rFonts w:asciiTheme="minorHAnsi" w:hAnsiTheme="minorHAnsi" w:cstheme="minorBidi"/>
        </w:rPr>
        <w:t>c</w:t>
      </w:r>
      <w:r w:rsidR="75B237A3" w:rsidRPr="692C77C9">
        <w:rPr>
          <w:rFonts w:asciiTheme="minorHAnsi" w:hAnsiTheme="minorHAnsi" w:cstheme="minorBidi"/>
        </w:rPr>
        <w:t xml:space="preserve">are </w:t>
      </w:r>
      <w:r w:rsidR="00F65238">
        <w:rPr>
          <w:rFonts w:asciiTheme="minorHAnsi" w:hAnsiTheme="minorHAnsi" w:cstheme="minorBidi"/>
        </w:rPr>
        <w:t>h</w:t>
      </w:r>
      <w:r w:rsidR="75B237A3" w:rsidRPr="692C77C9">
        <w:rPr>
          <w:rFonts w:asciiTheme="minorHAnsi" w:hAnsiTheme="minorHAnsi" w:cstheme="minorBidi"/>
        </w:rPr>
        <w:t xml:space="preserve">ospitals </w:t>
      </w:r>
      <w:r w:rsidR="009B749E" w:rsidRPr="692C77C9">
        <w:rPr>
          <w:rFonts w:asciiTheme="minorHAnsi" w:hAnsiTheme="minorHAnsi" w:cstheme="minorBidi"/>
        </w:rPr>
        <w:t xml:space="preserve">and MCPs </w:t>
      </w:r>
      <w:r w:rsidR="00AC70E0" w:rsidRPr="692C77C9">
        <w:rPr>
          <w:rFonts w:asciiTheme="minorHAnsi" w:hAnsiTheme="minorHAnsi" w:cstheme="minorBidi"/>
        </w:rPr>
        <w:t>to</w:t>
      </w:r>
      <w:r w:rsidR="009B749E" w:rsidRPr="692C77C9">
        <w:rPr>
          <w:rFonts w:asciiTheme="minorHAnsi" w:hAnsiTheme="minorHAnsi" w:cstheme="minorBidi"/>
        </w:rPr>
        <w:t xml:space="preserve"> reduc</w:t>
      </w:r>
      <w:r w:rsidR="00AC70E0" w:rsidRPr="692C77C9">
        <w:rPr>
          <w:rFonts w:asciiTheme="minorHAnsi" w:hAnsiTheme="minorHAnsi" w:cstheme="minorBidi"/>
        </w:rPr>
        <w:t>e</w:t>
      </w:r>
      <w:r w:rsidR="009B749E" w:rsidRPr="692C77C9">
        <w:rPr>
          <w:rFonts w:asciiTheme="minorHAnsi" w:hAnsiTheme="minorHAnsi" w:cstheme="minorBidi"/>
        </w:rPr>
        <w:t xml:space="preserve"> health disparities.  </w:t>
      </w:r>
      <w:r w:rsidRPr="692C77C9">
        <w:rPr>
          <w:rFonts w:asciiTheme="minorHAnsi" w:hAnsiTheme="minorHAnsi" w:cstheme="minorBidi"/>
        </w:rPr>
        <w:t>A</w:t>
      </w:r>
      <w:r w:rsidR="009B749E" w:rsidRPr="692C77C9">
        <w:rPr>
          <w:rFonts w:asciiTheme="minorHAnsi" w:hAnsiTheme="minorHAnsi" w:cstheme="minorBidi"/>
        </w:rPr>
        <w:t xml:space="preserve">s part of this agency-wide health equity strategy, </w:t>
      </w:r>
      <w:r w:rsidR="00B72A43" w:rsidRPr="692C77C9">
        <w:rPr>
          <w:rFonts w:asciiTheme="minorHAnsi" w:hAnsiTheme="minorHAnsi" w:cstheme="minorBidi"/>
        </w:rPr>
        <w:t xml:space="preserve">EOHHS </w:t>
      </w:r>
      <w:r w:rsidR="009B749E" w:rsidRPr="692C77C9">
        <w:rPr>
          <w:rFonts w:asciiTheme="minorHAnsi" w:hAnsiTheme="minorHAnsi" w:cstheme="minorBidi"/>
        </w:rPr>
        <w:t xml:space="preserve">is </w:t>
      </w:r>
      <w:r w:rsidR="00B72A43" w:rsidRPr="692C77C9">
        <w:rPr>
          <w:rFonts w:asciiTheme="minorHAnsi" w:hAnsiTheme="minorHAnsi" w:cstheme="minorBidi"/>
        </w:rPr>
        <w:t>i</w:t>
      </w:r>
      <w:r w:rsidR="009B749E" w:rsidRPr="692C77C9">
        <w:rPr>
          <w:rFonts w:asciiTheme="minorHAnsi" w:hAnsiTheme="minorHAnsi" w:cstheme="minorBidi"/>
        </w:rPr>
        <w:t>mplementing processes whereby ACOs, MCOs, and acute care hospitals will collect and submit</w:t>
      </w:r>
      <w:r w:rsidR="00C001E7" w:rsidRPr="692C77C9">
        <w:rPr>
          <w:rFonts w:asciiTheme="minorHAnsi" w:hAnsiTheme="minorHAnsi" w:cstheme="minorBidi"/>
        </w:rPr>
        <w:t xml:space="preserve"> standard</w:t>
      </w:r>
      <w:r w:rsidR="009B749E" w:rsidRPr="692C77C9">
        <w:rPr>
          <w:rFonts w:asciiTheme="minorHAnsi" w:hAnsiTheme="minorHAnsi" w:cstheme="minorBidi"/>
        </w:rPr>
        <w:t xml:space="preserve"> self-reported Race, Ethnicity, Language, Disability, Sexual Orientation, and Gender Identi</w:t>
      </w:r>
      <w:r w:rsidR="00C001E7" w:rsidRPr="692C77C9">
        <w:rPr>
          <w:rFonts w:asciiTheme="minorHAnsi" w:hAnsiTheme="minorHAnsi" w:cstheme="minorBidi"/>
        </w:rPr>
        <w:t>t</w:t>
      </w:r>
      <w:r w:rsidR="009B749E" w:rsidRPr="692C77C9">
        <w:rPr>
          <w:rFonts w:asciiTheme="minorHAnsi" w:hAnsiTheme="minorHAnsi" w:cstheme="minorBidi"/>
        </w:rPr>
        <w:t xml:space="preserve">y (RELDSOGI) data. </w:t>
      </w:r>
      <w:r w:rsidR="00C001E7" w:rsidRPr="692C77C9">
        <w:rPr>
          <w:rFonts w:asciiTheme="minorHAnsi" w:hAnsiTheme="minorHAnsi" w:cstheme="minorBidi"/>
        </w:rPr>
        <w:t>Standard data elements were identified through a statewide effort (Quality Measurement Alignment Taskforce) consisting of statewide agencies, providers, payers, subject matter experts</w:t>
      </w:r>
      <w:r w:rsidR="00D65554" w:rsidRPr="692C77C9">
        <w:rPr>
          <w:rFonts w:asciiTheme="minorHAnsi" w:hAnsiTheme="minorHAnsi" w:cstheme="minorBidi"/>
        </w:rPr>
        <w:t>,</w:t>
      </w:r>
      <w:r w:rsidR="00C001E7" w:rsidRPr="692C77C9">
        <w:rPr>
          <w:rFonts w:asciiTheme="minorHAnsi" w:hAnsiTheme="minorHAnsi" w:cstheme="minorBidi"/>
        </w:rPr>
        <w:t xml:space="preserve"> and member advocates in 2021.  </w:t>
      </w:r>
      <w:r w:rsidR="009B749E" w:rsidRPr="692C77C9">
        <w:rPr>
          <w:rFonts w:asciiTheme="minorHAnsi" w:hAnsiTheme="minorHAnsi" w:cstheme="minorBidi"/>
        </w:rPr>
        <w:t xml:space="preserve">Reporting will begin in 2023 with </w:t>
      </w:r>
      <w:r w:rsidR="00D65554" w:rsidRPr="692C77C9">
        <w:rPr>
          <w:rFonts w:asciiTheme="minorHAnsi" w:hAnsiTheme="minorHAnsi" w:cstheme="minorBidi"/>
        </w:rPr>
        <w:t>a</w:t>
      </w:r>
      <w:r w:rsidR="009B749E" w:rsidRPr="692C77C9">
        <w:rPr>
          <w:rFonts w:asciiTheme="minorHAnsi" w:hAnsiTheme="minorHAnsi" w:cstheme="minorBidi"/>
        </w:rPr>
        <w:t xml:space="preserve"> goal </w:t>
      </w:r>
      <w:r w:rsidR="00D65554" w:rsidRPr="692C77C9">
        <w:rPr>
          <w:rFonts w:asciiTheme="minorHAnsi" w:hAnsiTheme="minorHAnsi" w:cstheme="minorBidi"/>
        </w:rPr>
        <w:t xml:space="preserve">of </w:t>
      </w:r>
      <w:r w:rsidR="009B749E" w:rsidRPr="692C77C9">
        <w:rPr>
          <w:rFonts w:asciiTheme="minorHAnsi" w:hAnsiTheme="minorHAnsi" w:cstheme="minorBidi"/>
        </w:rPr>
        <w:t>improv</w:t>
      </w:r>
      <w:r w:rsidR="00D65554" w:rsidRPr="692C77C9">
        <w:rPr>
          <w:rFonts w:asciiTheme="minorHAnsi" w:hAnsiTheme="minorHAnsi" w:cstheme="minorBidi"/>
        </w:rPr>
        <w:t xml:space="preserve">ing </w:t>
      </w:r>
      <w:r w:rsidR="009B749E" w:rsidRPr="692C77C9">
        <w:rPr>
          <w:rFonts w:asciiTheme="minorHAnsi" w:hAnsiTheme="minorHAnsi" w:cstheme="minorBidi"/>
        </w:rPr>
        <w:t xml:space="preserve">the completeness and accuracy of RELDSOGI data so </w:t>
      </w:r>
      <w:r w:rsidR="00276411" w:rsidRPr="692C77C9">
        <w:rPr>
          <w:rFonts w:asciiTheme="minorHAnsi" w:hAnsiTheme="minorHAnsi" w:cstheme="minorBidi"/>
        </w:rPr>
        <w:t xml:space="preserve">EOHHS </w:t>
      </w:r>
      <w:r w:rsidR="009B749E" w:rsidRPr="692C77C9">
        <w:rPr>
          <w:rFonts w:asciiTheme="minorHAnsi" w:hAnsiTheme="minorHAnsi" w:cstheme="minorBidi"/>
        </w:rPr>
        <w:t xml:space="preserve">and MCPs </w:t>
      </w:r>
      <w:r w:rsidRPr="692C77C9">
        <w:rPr>
          <w:rFonts w:asciiTheme="minorHAnsi" w:hAnsiTheme="minorHAnsi" w:cstheme="minorBidi"/>
        </w:rPr>
        <w:t>can more accurately monitor</w:t>
      </w:r>
      <w:r w:rsidR="009B749E" w:rsidRPr="692C77C9">
        <w:rPr>
          <w:rFonts w:asciiTheme="minorHAnsi" w:hAnsiTheme="minorHAnsi" w:cstheme="minorBidi"/>
        </w:rPr>
        <w:t xml:space="preserve"> stratif</w:t>
      </w:r>
      <w:r w:rsidRPr="692C77C9">
        <w:rPr>
          <w:rFonts w:asciiTheme="minorHAnsi" w:hAnsiTheme="minorHAnsi" w:cstheme="minorBidi"/>
        </w:rPr>
        <w:t>ied</w:t>
      </w:r>
      <w:r w:rsidR="009B749E" w:rsidRPr="692C77C9">
        <w:rPr>
          <w:rFonts w:asciiTheme="minorHAnsi" w:hAnsiTheme="minorHAnsi" w:cstheme="minorBidi"/>
        </w:rPr>
        <w:t xml:space="preserve"> performance and eventua</w:t>
      </w:r>
      <w:r w:rsidR="00A67CDD" w:rsidRPr="692C77C9">
        <w:rPr>
          <w:rFonts w:asciiTheme="minorHAnsi" w:hAnsiTheme="minorHAnsi" w:cstheme="minorBidi"/>
        </w:rPr>
        <w:t>lly reduc</w:t>
      </w:r>
      <w:r w:rsidR="00391BB1">
        <w:rPr>
          <w:rFonts w:asciiTheme="minorHAnsi" w:hAnsiTheme="minorHAnsi" w:cstheme="minorBidi"/>
        </w:rPr>
        <w:t>e</w:t>
      </w:r>
      <w:r w:rsidR="009B749E" w:rsidRPr="692C77C9">
        <w:rPr>
          <w:rFonts w:asciiTheme="minorHAnsi" w:hAnsiTheme="minorHAnsi" w:cstheme="minorBidi"/>
        </w:rPr>
        <w:t xml:space="preserve"> inequities among </w:t>
      </w:r>
      <w:r w:rsidR="007F07C5" w:rsidRPr="692C77C9">
        <w:rPr>
          <w:rFonts w:asciiTheme="minorHAnsi" w:hAnsiTheme="minorHAnsi" w:cstheme="minorBidi"/>
        </w:rPr>
        <w:t>the MassHealth member</w:t>
      </w:r>
      <w:r w:rsidR="009B749E" w:rsidRPr="692C77C9">
        <w:rPr>
          <w:rFonts w:asciiTheme="minorHAnsi" w:hAnsiTheme="minorHAnsi" w:cstheme="minorBidi"/>
        </w:rPr>
        <w:t xml:space="preserve"> population.</w:t>
      </w:r>
    </w:p>
    <w:p w14:paraId="035B29D1" w14:textId="61AC5E39" w:rsidR="00B007E8" w:rsidRPr="00730D03" w:rsidRDefault="00753CD6" w:rsidP="692C77C9">
      <w:pPr>
        <w:pStyle w:val="Heading2"/>
        <w:spacing w:after="120"/>
      </w:pPr>
      <w:bookmarkStart w:id="12" w:name="_Toc147244411"/>
      <w:r>
        <w:t>CMS Child and Adult Core Set Performance</w:t>
      </w:r>
      <w:bookmarkEnd w:id="12"/>
    </w:p>
    <w:p w14:paraId="7D63707C" w14:textId="700B21A7" w:rsidR="000C4880" w:rsidRPr="00730D03" w:rsidRDefault="002368C6" w:rsidP="00730D03">
      <w:pPr>
        <w:pStyle w:val="Default"/>
        <w:spacing w:after="120"/>
        <w:rPr>
          <w:rFonts w:asciiTheme="minorHAnsi" w:hAnsiTheme="minorHAnsi" w:cstheme="minorBidi"/>
          <w:sz w:val="22"/>
          <w:szCs w:val="22"/>
        </w:rPr>
      </w:pPr>
      <w:r w:rsidRPr="692C77C9">
        <w:rPr>
          <w:rFonts w:asciiTheme="minorHAnsi" w:hAnsiTheme="minorHAnsi" w:cstheme="minorBidi"/>
          <w:sz w:val="22"/>
          <w:szCs w:val="22"/>
        </w:rPr>
        <w:t xml:space="preserve">Performance on the Child and Adult Core Set measures </w:t>
      </w:r>
      <w:r w:rsidR="00862791" w:rsidRPr="692C77C9">
        <w:rPr>
          <w:rFonts w:asciiTheme="minorHAnsi" w:hAnsiTheme="minorHAnsi" w:cstheme="minorBidi"/>
          <w:sz w:val="22"/>
          <w:szCs w:val="22"/>
        </w:rPr>
        <w:t xml:space="preserve">has been relatively stable for the period between </w:t>
      </w:r>
      <w:r w:rsidR="0A26FD16" w:rsidRPr="692C77C9">
        <w:rPr>
          <w:rFonts w:asciiTheme="minorHAnsi" w:hAnsiTheme="minorHAnsi" w:cstheme="minorBidi"/>
          <w:sz w:val="22"/>
          <w:szCs w:val="22"/>
        </w:rPr>
        <w:t>M</w:t>
      </w:r>
      <w:r w:rsidR="00862791" w:rsidRPr="692C77C9">
        <w:rPr>
          <w:rFonts w:asciiTheme="minorHAnsi" w:hAnsiTheme="minorHAnsi" w:cstheme="minorBidi"/>
          <w:sz w:val="22"/>
          <w:szCs w:val="22"/>
        </w:rPr>
        <w:t>Y201</w:t>
      </w:r>
      <w:r w:rsidR="00AE3E47" w:rsidRPr="692C77C9">
        <w:rPr>
          <w:rFonts w:asciiTheme="minorHAnsi" w:hAnsiTheme="minorHAnsi" w:cstheme="minorBidi"/>
          <w:sz w:val="22"/>
          <w:szCs w:val="22"/>
        </w:rPr>
        <w:t>8</w:t>
      </w:r>
      <w:r w:rsidR="00862791" w:rsidRPr="692C77C9">
        <w:rPr>
          <w:rFonts w:asciiTheme="minorHAnsi" w:hAnsiTheme="minorHAnsi" w:cstheme="minorBidi"/>
          <w:sz w:val="22"/>
          <w:szCs w:val="22"/>
        </w:rPr>
        <w:t xml:space="preserve"> and </w:t>
      </w:r>
      <w:r w:rsidR="2F2C8304" w:rsidRPr="692C77C9">
        <w:rPr>
          <w:rFonts w:asciiTheme="minorHAnsi" w:hAnsiTheme="minorHAnsi" w:cstheme="minorBidi"/>
          <w:sz w:val="22"/>
          <w:szCs w:val="22"/>
        </w:rPr>
        <w:t>M</w:t>
      </w:r>
      <w:r w:rsidR="00862791" w:rsidRPr="692C77C9">
        <w:rPr>
          <w:rFonts w:asciiTheme="minorHAnsi" w:hAnsiTheme="minorHAnsi" w:cstheme="minorBidi"/>
          <w:sz w:val="22"/>
          <w:szCs w:val="22"/>
        </w:rPr>
        <w:t>Y2020 when compared to National Medicaid benchmarks</w:t>
      </w:r>
      <w:r w:rsidR="00AE3E47" w:rsidRPr="692C77C9">
        <w:rPr>
          <w:rFonts w:asciiTheme="minorHAnsi" w:hAnsiTheme="minorHAnsi" w:cstheme="minorBidi"/>
          <w:sz w:val="22"/>
          <w:szCs w:val="22"/>
        </w:rPr>
        <w:t>,</w:t>
      </w:r>
      <w:r w:rsidR="00862791" w:rsidRPr="692C77C9">
        <w:rPr>
          <w:rFonts w:asciiTheme="minorHAnsi" w:hAnsiTheme="minorHAnsi" w:cstheme="minorBidi"/>
          <w:sz w:val="22"/>
          <w:szCs w:val="22"/>
        </w:rPr>
        <w:t xml:space="preserve"> </w:t>
      </w:r>
      <w:r w:rsidR="00AE3E47" w:rsidRPr="692C77C9">
        <w:rPr>
          <w:rFonts w:asciiTheme="minorHAnsi" w:hAnsiTheme="minorHAnsi" w:cstheme="minorBidi"/>
          <w:sz w:val="22"/>
          <w:szCs w:val="22"/>
        </w:rPr>
        <w:t>with</w:t>
      </w:r>
      <w:r w:rsidR="000C4880" w:rsidRPr="692C77C9">
        <w:rPr>
          <w:rFonts w:asciiTheme="minorHAnsi" w:hAnsiTheme="minorHAnsi" w:cstheme="minorBidi"/>
          <w:sz w:val="22"/>
          <w:szCs w:val="22"/>
        </w:rPr>
        <w:t xml:space="preserve"> </w:t>
      </w:r>
      <w:r w:rsidR="00AE3E47" w:rsidRPr="692C77C9">
        <w:rPr>
          <w:rFonts w:asciiTheme="minorHAnsi" w:hAnsiTheme="minorHAnsi" w:cstheme="minorBidi"/>
          <w:sz w:val="22"/>
          <w:szCs w:val="22"/>
        </w:rPr>
        <w:t>exception</w:t>
      </w:r>
      <w:r w:rsidR="000C4880" w:rsidRPr="692C77C9">
        <w:rPr>
          <w:rFonts w:asciiTheme="minorHAnsi" w:hAnsiTheme="minorHAnsi" w:cstheme="minorBidi"/>
          <w:sz w:val="22"/>
          <w:szCs w:val="22"/>
        </w:rPr>
        <w:t>s in two areas</w:t>
      </w:r>
      <w:r w:rsidR="00A965B3" w:rsidRPr="692C77C9">
        <w:rPr>
          <w:rFonts w:asciiTheme="minorHAnsi" w:hAnsiTheme="minorHAnsi" w:cstheme="minorBidi"/>
          <w:sz w:val="22"/>
          <w:szCs w:val="22"/>
        </w:rPr>
        <w:t xml:space="preserve"> where MassHealth’s measure performance declined in </w:t>
      </w:r>
      <w:r w:rsidR="3C7D0CC2" w:rsidRPr="692C77C9">
        <w:rPr>
          <w:rFonts w:asciiTheme="minorHAnsi" w:hAnsiTheme="minorHAnsi" w:cstheme="minorBidi"/>
          <w:sz w:val="22"/>
          <w:szCs w:val="22"/>
        </w:rPr>
        <w:t>MY</w:t>
      </w:r>
      <w:r w:rsidR="00A965B3" w:rsidRPr="692C77C9">
        <w:rPr>
          <w:rFonts w:asciiTheme="minorHAnsi" w:hAnsiTheme="minorHAnsi" w:cstheme="minorBidi"/>
          <w:sz w:val="22"/>
          <w:szCs w:val="22"/>
        </w:rPr>
        <w:t>2020:</w:t>
      </w:r>
    </w:p>
    <w:p w14:paraId="733682E0" w14:textId="73CF3762" w:rsidR="000C4880" w:rsidRDefault="00904745">
      <w:pPr>
        <w:numPr>
          <w:ilvl w:val="0"/>
          <w:numId w:val="24"/>
        </w:numPr>
      </w:pPr>
      <w:r>
        <w:t>P</w:t>
      </w:r>
      <w:r w:rsidR="000C4880">
        <w:t>reventive care</w:t>
      </w:r>
      <w:r>
        <w:t xml:space="preserve"> screenings</w:t>
      </w:r>
      <w:r w:rsidR="00D573B5">
        <w:t xml:space="preserve"> –</w:t>
      </w:r>
      <w:r w:rsidR="000C4880">
        <w:t xml:space="preserve"> screening rates for breast and cervical cancer</w:t>
      </w:r>
      <w:r w:rsidR="00D573B5">
        <w:t xml:space="preserve"> (BCS/CCS)</w:t>
      </w:r>
      <w:r w:rsidR="000C4880">
        <w:t>, and for chlamydia</w:t>
      </w:r>
      <w:r w:rsidR="00D573B5">
        <w:t xml:space="preserve"> (CHL)</w:t>
      </w:r>
      <w:r w:rsidR="00A965B3">
        <w:t>;</w:t>
      </w:r>
    </w:p>
    <w:p w14:paraId="309F8823" w14:textId="11C52719" w:rsidR="000C4880" w:rsidRPr="00904745" w:rsidRDefault="000C4880">
      <w:pPr>
        <w:numPr>
          <w:ilvl w:val="0"/>
          <w:numId w:val="24"/>
        </w:numPr>
      </w:pPr>
      <w:r>
        <w:t>Primary-care sensitive measures of chronic disease management</w:t>
      </w:r>
      <w:r w:rsidR="00D573B5">
        <w:t xml:space="preserve"> – </w:t>
      </w:r>
      <w:r w:rsidR="00221F36">
        <w:t xml:space="preserve">for adult members, </w:t>
      </w:r>
      <w:r w:rsidR="00D573B5">
        <w:t>performance on measures of high blood pressure control (CBP) and</w:t>
      </w:r>
      <w:r w:rsidR="00391BB1">
        <w:t xml:space="preserve"> A</w:t>
      </w:r>
      <w:r w:rsidR="00391BB1" w:rsidRPr="00D27A62">
        <w:t>1</w:t>
      </w:r>
      <w:r w:rsidR="00391BB1">
        <w:t>C</w:t>
      </w:r>
      <w:r w:rsidR="00D573B5">
        <w:t xml:space="preserve"> poor control among diabetic members (CDC-Poor)</w:t>
      </w:r>
      <w:r w:rsidR="00221F36">
        <w:t>; for child members, monitoring measures relating to medications for ADHD (ADD-Initiation and ADD-Continuation) and antipsychotics (APM).</w:t>
      </w:r>
    </w:p>
    <w:p w14:paraId="2F6E78B2" w14:textId="62CF1BAF" w:rsidR="002368C6" w:rsidRPr="00B007E8" w:rsidRDefault="00AE3E47" w:rsidP="00753CD6">
      <w:pPr>
        <w:pStyle w:val="Default"/>
        <w:rPr>
          <w:rFonts w:asciiTheme="minorHAnsi" w:hAnsiTheme="minorHAnsi" w:cstheme="minorHAnsi"/>
          <w:color w:val="C00000"/>
          <w:sz w:val="22"/>
          <w:szCs w:val="22"/>
        </w:rPr>
      </w:pPr>
      <w:r w:rsidRPr="000C4880">
        <w:rPr>
          <w:rFonts w:asciiTheme="minorHAnsi" w:hAnsiTheme="minorHAnsi" w:cstheme="minorHAnsi"/>
          <w:sz w:val="22"/>
          <w:szCs w:val="22"/>
        </w:rPr>
        <w:t>These measures were likely impacted by the Covid-19 Public Health Emergency</w:t>
      </w:r>
      <w:r w:rsidRPr="00C50031">
        <w:rPr>
          <w:rFonts w:asciiTheme="minorHAnsi" w:hAnsiTheme="minorHAnsi" w:cstheme="minorHAnsi"/>
          <w:sz w:val="22"/>
          <w:szCs w:val="22"/>
        </w:rPr>
        <w:t xml:space="preserve">, as discussed </w:t>
      </w:r>
      <w:r w:rsidR="00C001E7" w:rsidRPr="00C50031">
        <w:rPr>
          <w:rFonts w:asciiTheme="minorHAnsi" w:hAnsiTheme="minorHAnsi" w:cstheme="minorHAnsi"/>
          <w:sz w:val="22"/>
          <w:szCs w:val="22"/>
        </w:rPr>
        <w:t>on page</w:t>
      </w:r>
      <w:r w:rsidR="00D27A62">
        <w:rPr>
          <w:rFonts w:asciiTheme="minorHAnsi" w:hAnsiTheme="minorHAnsi" w:cstheme="minorHAnsi"/>
          <w:sz w:val="22"/>
          <w:szCs w:val="22"/>
        </w:rPr>
        <w:t>s</w:t>
      </w:r>
      <w:r w:rsidR="00C001E7">
        <w:rPr>
          <w:rFonts w:asciiTheme="minorHAnsi" w:hAnsiTheme="minorHAnsi" w:cstheme="minorHAnsi"/>
          <w:sz w:val="22"/>
          <w:szCs w:val="22"/>
        </w:rPr>
        <w:t xml:space="preserve"> 14-15</w:t>
      </w:r>
      <w:r w:rsidRPr="000C4880">
        <w:rPr>
          <w:rFonts w:asciiTheme="minorHAnsi" w:hAnsiTheme="minorHAnsi" w:cstheme="minorHAnsi"/>
          <w:sz w:val="22"/>
          <w:szCs w:val="22"/>
        </w:rPr>
        <w:t xml:space="preserve">. </w:t>
      </w:r>
      <w:r w:rsidR="00D573B5">
        <w:rPr>
          <w:rFonts w:asciiTheme="minorHAnsi" w:hAnsiTheme="minorHAnsi" w:cstheme="minorHAnsi"/>
          <w:sz w:val="22"/>
          <w:szCs w:val="22"/>
        </w:rPr>
        <w:t xml:space="preserve"> MassHealth will continue to closely monitor performance in these areas.</w:t>
      </w:r>
      <w:r w:rsidRPr="000C4880">
        <w:rPr>
          <w:rFonts w:asciiTheme="minorHAnsi" w:hAnsiTheme="minorHAnsi" w:cstheme="minorHAnsi"/>
          <w:sz w:val="22"/>
          <w:szCs w:val="22"/>
        </w:rPr>
        <w:t xml:space="preserve"> For details on Adult and Child Core Set Performance see Appendix </w:t>
      </w:r>
      <w:r w:rsidR="00723C99" w:rsidRPr="000C4880">
        <w:rPr>
          <w:rFonts w:asciiTheme="minorHAnsi" w:hAnsiTheme="minorHAnsi" w:cstheme="minorHAnsi"/>
          <w:sz w:val="22"/>
          <w:szCs w:val="22"/>
        </w:rPr>
        <w:t>C</w:t>
      </w:r>
      <w:r w:rsidRPr="000C4880">
        <w:rPr>
          <w:rFonts w:asciiTheme="minorHAnsi" w:hAnsiTheme="minorHAnsi" w:cstheme="minorHAnsi"/>
          <w:sz w:val="22"/>
          <w:szCs w:val="22"/>
        </w:rPr>
        <w:t>.</w:t>
      </w:r>
    </w:p>
    <w:p w14:paraId="3846032E" w14:textId="3C534E9F" w:rsidR="00753798" w:rsidRPr="00753798" w:rsidRDefault="00753CD6" w:rsidP="00730D03">
      <w:pPr>
        <w:pStyle w:val="Heading2"/>
        <w:spacing w:after="120"/>
      </w:pPr>
      <w:bookmarkStart w:id="13" w:name="_Toc147244412"/>
      <w:r>
        <w:t xml:space="preserve">State Responsiveness to </w:t>
      </w:r>
      <w:r w:rsidR="00CA175D">
        <w:t>External Quality Review Organization</w:t>
      </w:r>
      <w:r>
        <w:t xml:space="preserve"> </w:t>
      </w:r>
      <w:r w:rsidR="00CA175D">
        <w:t xml:space="preserve">(EQRO) </w:t>
      </w:r>
      <w:r>
        <w:t>Recommendations</w:t>
      </w:r>
      <w:bookmarkEnd w:id="13"/>
    </w:p>
    <w:p w14:paraId="7242CC11" w14:textId="138B7FD0" w:rsidR="00CA175D" w:rsidRPr="00753798" w:rsidRDefault="00CA175D" w:rsidP="0083006D">
      <w:pPr>
        <w:rPr>
          <w:rStyle w:val="Emphasis"/>
          <w:i w:val="0"/>
          <w:iCs w:val="0"/>
        </w:rPr>
      </w:pPr>
      <w:r w:rsidRPr="00753798">
        <w:rPr>
          <w:rStyle w:val="Emphasis"/>
          <w:i w:val="0"/>
          <w:iCs w:val="0"/>
        </w:rPr>
        <w:t>MassHealth’s CY</w:t>
      </w:r>
      <w:r w:rsidR="00CB6843" w:rsidRPr="00753798">
        <w:rPr>
          <w:rStyle w:val="Emphasis"/>
          <w:i w:val="0"/>
          <w:iCs w:val="0"/>
        </w:rPr>
        <w:t xml:space="preserve"> </w:t>
      </w:r>
      <w:r w:rsidRPr="00753798">
        <w:rPr>
          <w:rStyle w:val="Emphasis"/>
          <w:i w:val="0"/>
          <w:iCs w:val="0"/>
        </w:rPr>
        <w:t>2022 External Quality Review reports (review period</w:t>
      </w:r>
      <w:r w:rsidR="00CB6843" w:rsidRPr="00753798">
        <w:rPr>
          <w:rStyle w:val="Emphasis"/>
          <w:i w:val="0"/>
          <w:iCs w:val="0"/>
        </w:rPr>
        <w:t xml:space="preserve"> CY 2021) included several recommendations </w:t>
      </w:r>
      <w:r w:rsidR="00142A4B">
        <w:rPr>
          <w:rStyle w:val="Emphasis"/>
          <w:i w:val="0"/>
          <w:iCs w:val="0"/>
        </w:rPr>
        <w:t xml:space="preserve">that </w:t>
      </w:r>
      <w:r w:rsidR="00D75F99">
        <w:rPr>
          <w:rStyle w:val="Emphasis"/>
          <w:i w:val="0"/>
          <w:iCs w:val="0"/>
        </w:rPr>
        <w:t xml:space="preserve">the EQRO </w:t>
      </w:r>
      <w:r w:rsidR="00CB6843" w:rsidRPr="00753798">
        <w:rPr>
          <w:rStyle w:val="Emphasis"/>
          <w:i w:val="0"/>
          <w:iCs w:val="0"/>
        </w:rPr>
        <w:t xml:space="preserve">made to improve and revise </w:t>
      </w:r>
      <w:r w:rsidR="00DC362D">
        <w:rPr>
          <w:rStyle w:val="Emphasis"/>
          <w:i w:val="0"/>
          <w:iCs w:val="0"/>
        </w:rPr>
        <w:t>the 2018 CQS</w:t>
      </w:r>
      <w:r w:rsidR="00CB6843" w:rsidRPr="00753798">
        <w:rPr>
          <w:rStyle w:val="Emphasis"/>
          <w:i w:val="0"/>
          <w:iCs w:val="0"/>
        </w:rPr>
        <w:t xml:space="preserve"> and associated activities. The following section highlights those EQRO recommendations and MassHealth’s responses.</w:t>
      </w:r>
    </w:p>
    <w:p w14:paraId="47C9BC80" w14:textId="3138FCB0" w:rsidR="0083006D" w:rsidRPr="00127AE0" w:rsidRDefault="0083006D" w:rsidP="00127AE0">
      <w:pPr>
        <w:pStyle w:val="Heading3"/>
        <w:rPr>
          <w:rStyle w:val="Emphasis"/>
          <w:i w:val="0"/>
          <w:iCs w:val="0"/>
        </w:rPr>
      </w:pPr>
      <w:bookmarkStart w:id="14" w:name="_Toc147244413"/>
      <w:r w:rsidRPr="00127AE0">
        <w:rPr>
          <w:rStyle w:val="Emphasis"/>
          <w:i w:val="0"/>
          <w:iCs w:val="0"/>
        </w:rPr>
        <w:t>EQR Recommendations</w:t>
      </w:r>
      <w:r w:rsidR="00CA175D" w:rsidRPr="00127AE0">
        <w:rPr>
          <w:rStyle w:val="Emphasis"/>
          <w:i w:val="0"/>
          <w:iCs w:val="0"/>
        </w:rPr>
        <w:t xml:space="preserve"> and MassHealth Responses</w:t>
      </w:r>
      <w:bookmarkEnd w:id="14"/>
    </w:p>
    <w:p w14:paraId="21515384" w14:textId="250AA085" w:rsidR="0083006D" w:rsidRPr="00900B47" w:rsidRDefault="0083006D" w:rsidP="00AC2D09">
      <w:pPr>
        <w:pStyle w:val="Heading4"/>
        <w:spacing w:after="120"/>
        <w:rPr>
          <w:rFonts w:ascii="Calibri" w:hAnsi="Calibri" w:cs="Calibri"/>
          <w:sz w:val="22"/>
        </w:rPr>
      </w:pPr>
      <w:r w:rsidRPr="00900B47">
        <w:rPr>
          <w:rFonts w:ascii="Calibri" w:hAnsi="Calibri" w:cs="Calibri"/>
          <w:sz w:val="22"/>
        </w:rPr>
        <w:t>Provider Network</w:t>
      </w:r>
      <w:r w:rsidR="00372DA6" w:rsidRPr="00900B47">
        <w:rPr>
          <w:rFonts w:ascii="Calibri" w:hAnsi="Calibri" w:cs="Calibri"/>
          <w:sz w:val="22"/>
        </w:rPr>
        <w:t xml:space="preserve"> Recommendations</w:t>
      </w:r>
    </w:p>
    <w:p w14:paraId="47FDC0B3" w14:textId="5B644BF7" w:rsidR="0083006D" w:rsidRPr="00753798" w:rsidRDefault="078A43D2" w:rsidP="003543BC">
      <w:pPr>
        <w:rPr>
          <w:i/>
          <w:iCs/>
        </w:rPr>
      </w:pPr>
      <w:r w:rsidRPr="003543BC">
        <w:rPr>
          <w:rFonts w:cstheme="minorBidi"/>
          <w:u w:val="single"/>
        </w:rPr>
        <w:t>Recommendation</w:t>
      </w:r>
      <w:r w:rsidR="00A00838">
        <w:rPr>
          <w:rFonts w:cstheme="minorBidi"/>
          <w:u w:val="single"/>
        </w:rPr>
        <w:t xml:space="preserve"> #1</w:t>
      </w:r>
      <w:r w:rsidRPr="692C77C9">
        <w:rPr>
          <w:rFonts w:cstheme="minorBidi"/>
        </w:rPr>
        <w:t xml:space="preserve">: </w:t>
      </w:r>
      <w:r w:rsidR="0083006D" w:rsidRPr="692C77C9">
        <w:rPr>
          <w:rFonts w:cstheme="minorBidi"/>
        </w:rPr>
        <w:t xml:space="preserve">Work with partners statewide to address workforce and infrastructure solutions to increase the availability of behavioral health and substance </w:t>
      </w:r>
      <w:r w:rsidR="5CA2E3A9" w:rsidRPr="692C77C9">
        <w:rPr>
          <w:rFonts w:cstheme="minorBidi"/>
        </w:rPr>
        <w:t xml:space="preserve">use disorder </w:t>
      </w:r>
      <w:r w:rsidR="0083006D" w:rsidRPr="692C77C9">
        <w:rPr>
          <w:rFonts w:cstheme="minorBidi"/>
        </w:rPr>
        <w:t xml:space="preserve">services. </w:t>
      </w:r>
    </w:p>
    <w:p w14:paraId="6CD67362" w14:textId="498A801B" w:rsidR="0083006D" w:rsidRPr="00753798" w:rsidRDefault="34FC3214" w:rsidP="21CA7F43">
      <w:r w:rsidRPr="003543BC">
        <w:rPr>
          <w:rFonts w:cstheme="minorBidi"/>
          <w:u w:val="single"/>
        </w:rPr>
        <w:t>MassHealth Response</w:t>
      </w:r>
      <w:r w:rsidR="00A00838">
        <w:rPr>
          <w:rFonts w:cstheme="minorBidi"/>
          <w:u w:val="single"/>
        </w:rPr>
        <w:t xml:space="preserve"> to Recommendation #1</w:t>
      </w:r>
      <w:r w:rsidRPr="692C77C9">
        <w:rPr>
          <w:rFonts w:cstheme="minorBidi"/>
        </w:rPr>
        <w:t xml:space="preserve">: </w:t>
      </w:r>
      <w:r w:rsidR="0083006D" w:rsidRPr="692C77C9">
        <w:rPr>
          <w:rFonts w:cstheme="minorBidi"/>
        </w:rPr>
        <w:t>In 2021</w:t>
      </w:r>
      <w:r w:rsidR="00EE6377" w:rsidRPr="692C77C9">
        <w:rPr>
          <w:rFonts w:cstheme="minorBidi"/>
        </w:rPr>
        <w:t>,</w:t>
      </w:r>
      <w:r w:rsidR="0083006D" w:rsidRPr="692C77C9">
        <w:rPr>
          <w:rFonts w:cstheme="minorBidi"/>
        </w:rPr>
        <w:t xml:space="preserve"> MassHealth released a </w:t>
      </w:r>
      <w:r w:rsidR="00D27A62">
        <w:rPr>
          <w:rFonts w:cstheme="minorBidi"/>
        </w:rPr>
        <w:t>five</w:t>
      </w:r>
      <w:r w:rsidR="0083006D" w:rsidRPr="692C77C9">
        <w:rPr>
          <w:rFonts w:cstheme="minorBidi"/>
        </w:rPr>
        <w:t>-year strategy for behavioral reform with the goal of</w:t>
      </w:r>
      <w:r w:rsidR="0083006D">
        <w:t xml:space="preserve"> expanding equitable access to behavioral health services. </w:t>
      </w:r>
      <w:r w:rsidR="0083006D" w:rsidRPr="692C77C9">
        <w:rPr>
          <w:rFonts w:cstheme="minorBidi"/>
        </w:rPr>
        <w:t xml:space="preserve">Development of this strategy, referred to as the Behavioral Health Roadmap (Roadmap), began in 2019 after a series of listening sessions with more than 700 families, individuals, and other stakeholders. </w:t>
      </w:r>
      <w:r w:rsidR="589C0002">
        <w:t>Details about the Roadmap are included in MassHealth’s recently revised quality strategy</w:t>
      </w:r>
      <w:r w:rsidR="55061A37">
        <w:t xml:space="preserve">, submitted to </w:t>
      </w:r>
      <w:proofErr w:type="gramStart"/>
      <w:r w:rsidR="55061A37">
        <w:t>CMS</w:t>
      </w:r>
      <w:proofErr w:type="gramEnd"/>
      <w:r w:rsidR="55061A37">
        <w:t xml:space="preserve"> and published in 2022</w:t>
      </w:r>
      <w:r w:rsidR="00546BE2">
        <w:t xml:space="preserve"> (“2022 CQS”)</w:t>
      </w:r>
      <w:r w:rsidR="55061A37">
        <w:t>.</w:t>
      </w:r>
    </w:p>
    <w:p w14:paraId="7A156711" w14:textId="4A647550" w:rsidR="0083006D" w:rsidRPr="00753798" w:rsidRDefault="432EC42F" w:rsidP="0083006D">
      <w:r w:rsidRPr="37DE175E">
        <w:rPr>
          <w:rFonts w:cstheme="minorBidi"/>
        </w:rPr>
        <w:lastRenderedPageBreak/>
        <w:t xml:space="preserve">The </w:t>
      </w:r>
      <w:proofErr w:type="gramStart"/>
      <w:r w:rsidRPr="37DE175E">
        <w:rPr>
          <w:rFonts w:cstheme="minorBidi"/>
        </w:rPr>
        <w:t>Roadmap</w:t>
      </w:r>
      <w:proofErr w:type="gramEnd"/>
      <w:r w:rsidRPr="37DE175E">
        <w:rPr>
          <w:rFonts w:cstheme="minorBidi"/>
        </w:rPr>
        <w:t xml:space="preserve"> is d</w:t>
      </w:r>
      <w:r w:rsidR="0083006D" w:rsidRPr="21CA7F43">
        <w:rPr>
          <w:rFonts w:cstheme="minorBidi"/>
        </w:rPr>
        <w:t xml:space="preserve">esigned to address access challenges in the behavioral healthcare systems, </w:t>
      </w:r>
      <w:r w:rsidR="0D68A365" w:rsidRPr="37DE175E">
        <w:rPr>
          <w:rFonts w:cstheme="minorBidi"/>
        </w:rPr>
        <w:t>by</w:t>
      </w:r>
      <w:r w:rsidR="0083006D">
        <w:t>: </w:t>
      </w:r>
    </w:p>
    <w:p w14:paraId="221FE9BE" w14:textId="77777777" w:rsidR="0083006D" w:rsidRPr="00753798" w:rsidRDefault="0083006D">
      <w:pPr>
        <w:numPr>
          <w:ilvl w:val="0"/>
          <w:numId w:val="24"/>
        </w:numPr>
      </w:pPr>
      <w:r w:rsidRPr="00753798">
        <w:t>Ensuring coverage of behavioral health integration in primary care and for preventive behavioral health services for youth.</w:t>
      </w:r>
    </w:p>
    <w:p w14:paraId="3D56ED86" w14:textId="09A891D0" w:rsidR="0083006D" w:rsidRPr="00753798" w:rsidRDefault="000F01F5">
      <w:pPr>
        <w:numPr>
          <w:ilvl w:val="0"/>
          <w:numId w:val="24"/>
        </w:numPr>
      </w:pPr>
      <w:r>
        <w:t>Providing b</w:t>
      </w:r>
      <w:r w:rsidR="0083006D" w:rsidRPr="00753798">
        <w:t xml:space="preserve">etter and more convenient community-based alternatives to the emergency department (ED) for urgent and crisis intervention services, including the launch of </w:t>
      </w:r>
      <w:r w:rsidR="00142A4B">
        <w:t>c</w:t>
      </w:r>
      <w:r w:rsidR="0083006D" w:rsidRPr="00753798">
        <w:t xml:space="preserve">ommunity </w:t>
      </w:r>
      <w:r w:rsidR="00142A4B">
        <w:t>b</w:t>
      </w:r>
      <w:r w:rsidR="00142A4B" w:rsidRPr="00753798">
        <w:t xml:space="preserve">ehavioral </w:t>
      </w:r>
      <w:r w:rsidR="00142A4B">
        <w:t>h</w:t>
      </w:r>
      <w:r w:rsidR="00142A4B" w:rsidRPr="00753798">
        <w:t xml:space="preserve">ealth </w:t>
      </w:r>
      <w:r w:rsidR="00142A4B">
        <w:t>c</w:t>
      </w:r>
      <w:r w:rsidR="00142A4B" w:rsidRPr="00753798">
        <w:t>enters</w:t>
      </w:r>
      <w:r w:rsidR="00142A4B">
        <w:t xml:space="preserve"> </w:t>
      </w:r>
      <w:r w:rsidR="0082298B">
        <w:t>(CBHCs</w:t>
      </w:r>
      <w:r w:rsidR="000C3BD2">
        <w:t>)</w:t>
      </w:r>
      <w:r w:rsidR="0083006D" w:rsidRPr="00753798">
        <w:t xml:space="preserve"> that will provide access to urgent, and ongoing behavioral health treatment and will provide community and mobile crisis intervention services. </w:t>
      </w:r>
    </w:p>
    <w:p w14:paraId="1C8559BA" w14:textId="77777777" w:rsidR="003543BC" w:rsidRPr="003543BC" w:rsidRDefault="0083006D">
      <w:pPr>
        <w:numPr>
          <w:ilvl w:val="0"/>
          <w:numId w:val="24"/>
        </w:numPr>
        <w:rPr>
          <w:rStyle w:val="CommentReference"/>
          <w:rFonts w:cstheme="minorHAnsi"/>
          <w:sz w:val="22"/>
          <w:szCs w:val="22"/>
        </w:rPr>
      </w:pPr>
      <w:r w:rsidRPr="00753798">
        <w:t>Establishing a 24/7 Behavioral Health Help Line to serve all individuals in the Commonwealth seeking clinical assessment and intake, information, resources, and referrals to substance use disorder or mental health treatment services regardless of insurance. </w:t>
      </w:r>
    </w:p>
    <w:p w14:paraId="7FD3B01F" w14:textId="529440C3" w:rsidR="00C305EB" w:rsidRDefault="0083006D">
      <w:pPr>
        <w:numPr>
          <w:ilvl w:val="0"/>
          <w:numId w:val="24"/>
        </w:numPr>
        <w:rPr>
          <w:rFonts w:cstheme="minorHAnsi"/>
        </w:rPr>
      </w:pPr>
      <w:r w:rsidRPr="00753798">
        <w:rPr>
          <w:rFonts w:cstheme="minorHAnsi"/>
        </w:rPr>
        <w:t>Institut</w:t>
      </w:r>
      <w:r w:rsidR="00FC67B2">
        <w:rPr>
          <w:rFonts w:cstheme="minorHAnsi"/>
        </w:rPr>
        <w:t>ing</w:t>
      </w:r>
      <w:r w:rsidRPr="00753798">
        <w:rPr>
          <w:rFonts w:cstheme="minorHAnsi"/>
        </w:rPr>
        <w:t xml:space="preserve"> a process to evaluate non-English speaking </w:t>
      </w:r>
      <w:r w:rsidR="007C4E16">
        <w:rPr>
          <w:rFonts w:cstheme="minorHAnsi"/>
        </w:rPr>
        <w:t>members’</w:t>
      </w:r>
      <w:r w:rsidR="007C4E16" w:rsidRPr="00753798">
        <w:rPr>
          <w:rFonts w:cstheme="minorHAnsi"/>
        </w:rPr>
        <w:t xml:space="preserve"> </w:t>
      </w:r>
      <w:r w:rsidRPr="00753798">
        <w:rPr>
          <w:rFonts w:cstheme="minorHAnsi"/>
        </w:rPr>
        <w:t>choice of primary care and behavioral health providers in prevalent languages.</w:t>
      </w:r>
    </w:p>
    <w:p w14:paraId="7DB1C76A" w14:textId="42669298" w:rsidR="0083006D" w:rsidRPr="00DF7F9C" w:rsidRDefault="007C4E16">
      <w:pPr>
        <w:pStyle w:val="ListParagraph"/>
        <w:numPr>
          <w:ilvl w:val="0"/>
          <w:numId w:val="25"/>
        </w:numPr>
        <w:rPr>
          <w:rFonts w:cstheme="minorHAnsi"/>
        </w:rPr>
      </w:pPr>
      <w:r w:rsidRPr="00C305EB">
        <w:rPr>
          <w:rFonts w:cstheme="minorHAnsi"/>
        </w:rPr>
        <w:t>V</w:t>
      </w:r>
      <w:r w:rsidR="0083006D" w:rsidRPr="00C305EB">
        <w:rPr>
          <w:rFonts w:cstheme="minorHAnsi"/>
        </w:rPr>
        <w:t xml:space="preserve">erifying the accuracy of provider directory information. </w:t>
      </w:r>
    </w:p>
    <w:p w14:paraId="11085BEA" w14:textId="3D24C944" w:rsidR="001313E3" w:rsidRPr="00753798" w:rsidRDefault="33F9155F" w:rsidP="00A00838">
      <w:pPr>
        <w:rPr>
          <w:i/>
          <w:iCs/>
        </w:rPr>
      </w:pPr>
      <w:r w:rsidRPr="00A00838">
        <w:rPr>
          <w:rFonts w:cstheme="minorBidi"/>
          <w:u w:val="single"/>
        </w:rPr>
        <w:t>Recommendation</w:t>
      </w:r>
      <w:r w:rsidR="004B165F">
        <w:rPr>
          <w:rFonts w:cstheme="minorBidi"/>
          <w:u w:val="single"/>
        </w:rPr>
        <w:t xml:space="preserve"> #2</w:t>
      </w:r>
      <w:r w:rsidRPr="692C77C9">
        <w:rPr>
          <w:rFonts w:cstheme="minorBidi"/>
        </w:rPr>
        <w:t xml:space="preserve">: </w:t>
      </w:r>
      <w:r w:rsidR="00E4197C" w:rsidRPr="692C77C9">
        <w:rPr>
          <w:rFonts w:cstheme="minorBidi"/>
        </w:rPr>
        <w:t>Consider increasing</w:t>
      </w:r>
      <w:r w:rsidR="0083006D" w:rsidRPr="692C77C9">
        <w:rPr>
          <w:rFonts w:cstheme="minorBidi"/>
        </w:rPr>
        <w:t xml:space="preserve"> oversight of </w:t>
      </w:r>
      <w:r w:rsidR="001313E3" w:rsidRPr="692C77C9">
        <w:rPr>
          <w:rFonts w:cstheme="minorBidi"/>
        </w:rPr>
        <w:t xml:space="preserve">MCP </w:t>
      </w:r>
      <w:r w:rsidR="0083006D" w:rsidRPr="692C77C9">
        <w:rPr>
          <w:rFonts w:cstheme="minorBidi"/>
        </w:rPr>
        <w:t>network adequacy</w:t>
      </w:r>
      <w:r w:rsidR="001313E3" w:rsidRPr="692C77C9">
        <w:rPr>
          <w:rFonts w:cstheme="minorBidi"/>
        </w:rPr>
        <w:t xml:space="preserve"> compliance</w:t>
      </w:r>
      <w:r w:rsidR="0083006D" w:rsidRPr="692C77C9">
        <w:rPr>
          <w:rFonts w:cstheme="minorBidi"/>
        </w:rPr>
        <w:t xml:space="preserve">. </w:t>
      </w:r>
    </w:p>
    <w:p w14:paraId="3DB64F53" w14:textId="6964D23A" w:rsidR="00256E82" w:rsidRPr="00753798" w:rsidRDefault="1FE70426" w:rsidP="692C77C9">
      <w:pPr>
        <w:rPr>
          <w:rFonts w:cstheme="minorBidi"/>
        </w:rPr>
      </w:pPr>
      <w:r w:rsidRPr="00A00838">
        <w:rPr>
          <w:rFonts w:cstheme="minorBidi"/>
          <w:u w:val="single"/>
        </w:rPr>
        <w:t>MassHealth Response</w:t>
      </w:r>
      <w:r w:rsidR="004B165F">
        <w:rPr>
          <w:rFonts w:cstheme="minorBidi"/>
          <w:u w:val="single"/>
        </w:rPr>
        <w:t xml:space="preserve"> to Recommendation #2</w:t>
      </w:r>
      <w:r w:rsidRPr="692C77C9">
        <w:rPr>
          <w:rFonts w:cstheme="minorBidi"/>
        </w:rPr>
        <w:t xml:space="preserve">: </w:t>
      </w:r>
      <w:r w:rsidR="00256E82" w:rsidRPr="692C77C9">
        <w:rPr>
          <w:rFonts w:cstheme="minorBidi"/>
        </w:rPr>
        <w:t xml:space="preserve">MassHealth monitors MCP compliance with state network standards annually and more frequently when there are significant changes to MCP networks. </w:t>
      </w:r>
      <w:r w:rsidR="00CD7F08" w:rsidRPr="692C77C9">
        <w:rPr>
          <w:rFonts w:cstheme="minorBidi"/>
        </w:rPr>
        <w:t>For MassHealth</w:t>
      </w:r>
      <w:r w:rsidR="00B22523" w:rsidRPr="692C77C9">
        <w:rPr>
          <w:rFonts w:cstheme="minorBidi"/>
        </w:rPr>
        <w:t>’s</w:t>
      </w:r>
      <w:r w:rsidR="00CD7F08" w:rsidRPr="692C77C9">
        <w:rPr>
          <w:rFonts w:cstheme="minorBidi"/>
        </w:rPr>
        <w:t xml:space="preserve"> review, </w:t>
      </w:r>
      <w:bookmarkStart w:id="15" w:name="_Hlk142638393"/>
      <w:r w:rsidR="00256E82" w:rsidRPr="692C77C9">
        <w:rPr>
          <w:rFonts w:cstheme="minorBidi"/>
        </w:rPr>
        <w:t>MCPs are required to submit to MassHealth</w:t>
      </w:r>
      <w:r w:rsidR="00391BB1">
        <w:rPr>
          <w:rFonts w:cstheme="minorBidi"/>
        </w:rPr>
        <w:t>,</w:t>
      </w:r>
      <w:r w:rsidR="00256E82" w:rsidRPr="692C77C9">
        <w:rPr>
          <w:rFonts w:cstheme="minorBidi"/>
        </w:rPr>
        <w:t xml:space="preserve"> </w:t>
      </w:r>
      <w:r w:rsidR="00142A4B">
        <w:rPr>
          <w:rFonts w:cstheme="minorBidi"/>
        </w:rPr>
        <w:t xml:space="preserve">both </w:t>
      </w:r>
      <w:r w:rsidR="00A260C1" w:rsidRPr="692C77C9">
        <w:rPr>
          <w:rFonts w:cstheme="minorBidi"/>
        </w:rPr>
        <w:t xml:space="preserve">annually </w:t>
      </w:r>
      <w:r w:rsidR="009F0161" w:rsidRPr="692C77C9">
        <w:rPr>
          <w:rFonts w:cstheme="minorBidi"/>
        </w:rPr>
        <w:t>and ad hoc</w:t>
      </w:r>
      <w:r w:rsidR="00391BB1">
        <w:rPr>
          <w:rFonts w:cstheme="minorBidi"/>
        </w:rPr>
        <w:t>,</w:t>
      </w:r>
      <w:r w:rsidR="009F0161" w:rsidRPr="692C77C9">
        <w:rPr>
          <w:rFonts w:cstheme="minorBidi"/>
        </w:rPr>
        <w:t xml:space="preserve"> </w:t>
      </w:r>
      <w:r w:rsidR="00A260C1" w:rsidRPr="692C77C9">
        <w:rPr>
          <w:rFonts w:cstheme="minorBidi"/>
        </w:rPr>
        <w:t xml:space="preserve">provider lists </w:t>
      </w:r>
      <w:r w:rsidR="002E720F" w:rsidRPr="692C77C9">
        <w:rPr>
          <w:rFonts w:cstheme="minorBidi"/>
        </w:rPr>
        <w:t xml:space="preserve">and </w:t>
      </w:r>
      <w:r w:rsidR="00AF2B1B" w:rsidRPr="692C77C9">
        <w:rPr>
          <w:rFonts w:cstheme="minorBidi"/>
        </w:rPr>
        <w:t>provider</w:t>
      </w:r>
      <w:r w:rsidR="00546D9B">
        <w:rPr>
          <w:rFonts w:cstheme="minorBidi"/>
        </w:rPr>
        <w:t>-</w:t>
      </w:r>
      <w:r w:rsidR="00AF2B1B" w:rsidRPr="692C77C9">
        <w:rPr>
          <w:rFonts w:cstheme="minorBidi"/>
        </w:rPr>
        <w:t>to</w:t>
      </w:r>
      <w:r w:rsidR="00546D9B">
        <w:rPr>
          <w:rFonts w:cstheme="minorBidi"/>
        </w:rPr>
        <w:t>-</w:t>
      </w:r>
      <w:r w:rsidR="00AF2B1B" w:rsidRPr="692C77C9">
        <w:rPr>
          <w:rFonts w:cstheme="minorBidi"/>
        </w:rPr>
        <w:t xml:space="preserve">enrollee ratios </w:t>
      </w:r>
      <w:r w:rsidR="00A260C1" w:rsidRPr="692C77C9">
        <w:rPr>
          <w:rFonts w:cstheme="minorBidi"/>
        </w:rPr>
        <w:t>for:</w:t>
      </w:r>
      <w:bookmarkEnd w:id="15"/>
    </w:p>
    <w:p w14:paraId="2483682F" w14:textId="464E8F68" w:rsidR="00A260C1" w:rsidRPr="00753798" w:rsidRDefault="00A260C1">
      <w:pPr>
        <w:pStyle w:val="ListParagraph"/>
        <w:numPr>
          <w:ilvl w:val="0"/>
          <w:numId w:val="20"/>
        </w:numPr>
        <w:rPr>
          <w:rFonts w:cstheme="minorHAnsi"/>
        </w:rPr>
      </w:pPr>
      <w:r w:rsidRPr="00753798">
        <w:rPr>
          <w:rFonts w:cstheme="minorHAnsi"/>
        </w:rPr>
        <w:t>Primary Care Provider</w:t>
      </w:r>
      <w:r w:rsidR="00B22523">
        <w:rPr>
          <w:rFonts w:cstheme="minorHAnsi"/>
        </w:rPr>
        <w:t>s</w:t>
      </w:r>
    </w:p>
    <w:p w14:paraId="3814D9E3" w14:textId="79788B55" w:rsidR="00A260C1" w:rsidRPr="00753798" w:rsidRDefault="00A260C1">
      <w:pPr>
        <w:pStyle w:val="ListParagraph"/>
        <w:numPr>
          <w:ilvl w:val="0"/>
          <w:numId w:val="20"/>
        </w:numPr>
        <w:rPr>
          <w:rFonts w:cstheme="minorHAnsi"/>
        </w:rPr>
      </w:pPr>
      <w:r w:rsidRPr="00753798">
        <w:rPr>
          <w:rFonts w:cstheme="minorHAnsi"/>
        </w:rPr>
        <w:t>Obstetrics and Gynecologists</w:t>
      </w:r>
    </w:p>
    <w:p w14:paraId="20864659" w14:textId="3C5DE1E8" w:rsidR="00A260C1" w:rsidRPr="00753798" w:rsidRDefault="00A260C1">
      <w:pPr>
        <w:pStyle w:val="ListParagraph"/>
        <w:numPr>
          <w:ilvl w:val="0"/>
          <w:numId w:val="20"/>
        </w:numPr>
        <w:rPr>
          <w:rFonts w:cstheme="minorHAnsi"/>
        </w:rPr>
      </w:pPr>
      <w:r w:rsidRPr="00753798">
        <w:rPr>
          <w:rFonts w:cstheme="minorHAnsi"/>
        </w:rPr>
        <w:t xml:space="preserve">Acute and Rehabilitation Hospitals, and Urgent Care </w:t>
      </w:r>
      <w:r w:rsidR="00A55A54" w:rsidRPr="00753798">
        <w:rPr>
          <w:rFonts w:cstheme="minorHAnsi"/>
        </w:rPr>
        <w:t>Centers</w:t>
      </w:r>
    </w:p>
    <w:p w14:paraId="06D60704" w14:textId="7ED03CA5" w:rsidR="00A260C1" w:rsidRPr="00753798" w:rsidRDefault="00A55A54">
      <w:pPr>
        <w:pStyle w:val="ListParagraph"/>
        <w:numPr>
          <w:ilvl w:val="0"/>
          <w:numId w:val="20"/>
        </w:numPr>
        <w:rPr>
          <w:rFonts w:cstheme="minorHAnsi"/>
        </w:rPr>
      </w:pPr>
      <w:r w:rsidRPr="00753798">
        <w:rPr>
          <w:rFonts w:cstheme="minorHAnsi"/>
        </w:rPr>
        <w:t>Physician Specialists</w:t>
      </w:r>
    </w:p>
    <w:p w14:paraId="15B39129" w14:textId="6F9C7816" w:rsidR="00A55A54" w:rsidRPr="00753798" w:rsidRDefault="00A55A54">
      <w:pPr>
        <w:pStyle w:val="ListParagraph"/>
        <w:numPr>
          <w:ilvl w:val="0"/>
          <w:numId w:val="20"/>
        </w:numPr>
        <w:rPr>
          <w:rFonts w:cstheme="minorHAnsi"/>
        </w:rPr>
      </w:pPr>
      <w:r w:rsidRPr="00753798">
        <w:rPr>
          <w:rFonts w:cstheme="minorHAnsi"/>
        </w:rPr>
        <w:t>Pharmacies</w:t>
      </w:r>
    </w:p>
    <w:p w14:paraId="788BBA98" w14:textId="77777777" w:rsidR="00CD7F08" w:rsidRPr="00753798" w:rsidRDefault="009F0161">
      <w:pPr>
        <w:pStyle w:val="ListParagraph"/>
        <w:numPr>
          <w:ilvl w:val="0"/>
          <w:numId w:val="20"/>
        </w:numPr>
        <w:rPr>
          <w:rFonts w:cstheme="minorHAnsi"/>
        </w:rPr>
      </w:pPr>
      <w:r w:rsidRPr="692C77C9">
        <w:rPr>
          <w:rFonts w:cstheme="minorBidi"/>
        </w:rPr>
        <w:t>Behavioral Health providers</w:t>
      </w:r>
    </w:p>
    <w:p w14:paraId="115B64B4" w14:textId="49089717" w:rsidR="002E720F" w:rsidRPr="00753798" w:rsidRDefault="7908C853" w:rsidP="692C77C9">
      <w:pPr>
        <w:rPr>
          <w:rFonts w:cstheme="minorBidi"/>
        </w:rPr>
      </w:pPr>
      <w:r w:rsidRPr="692C77C9">
        <w:rPr>
          <w:rFonts w:cstheme="minorBidi"/>
        </w:rPr>
        <w:t xml:space="preserve">MassHealth is currently exploring other </w:t>
      </w:r>
      <w:r w:rsidR="7FE8DC1D" w:rsidRPr="692C77C9">
        <w:rPr>
          <w:rFonts w:cstheme="minorBidi"/>
        </w:rPr>
        <w:t xml:space="preserve">reporting </w:t>
      </w:r>
      <w:r w:rsidR="38A0A851" w:rsidRPr="692C77C9">
        <w:rPr>
          <w:rFonts w:cstheme="minorBidi"/>
        </w:rPr>
        <w:t>mechanisms</w:t>
      </w:r>
      <w:r w:rsidRPr="692C77C9">
        <w:rPr>
          <w:rFonts w:cstheme="minorBidi"/>
        </w:rPr>
        <w:t xml:space="preserve"> to assess MCP network adequacy compliance, </w:t>
      </w:r>
      <w:r w:rsidR="596A93FE" w:rsidRPr="692C77C9">
        <w:rPr>
          <w:rFonts w:cstheme="minorBidi"/>
        </w:rPr>
        <w:t>such</w:t>
      </w:r>
      <w:r w:rsidRPr="692C77C9">
        <w:rPr>
          <w:rFonts w:cstheme="minorBidi"/>
        </w:rPr>
        <w:t xml:space="preserve"> </w:t>
      </w:r>
      <w:r w:rsidR="007F031B">
        <w:rPr>
          <w:rFonts w:cstheme="minorBidi"/>
        </w:rPr>
        <w:t xml:space="preserve">as </w:t>
      </w:r>
      <w:r w:rsidRPr="692C77C9">
        <w:rPr>
          <w:rFonts w:cstheme="minorBidi"/>
        </w:rPr>
        <w:t xml:space="preserve">assessing ease of getting a timely appointment and hours of operation. </w:t>
      </w:r>
    </w:p>
    <w:p w14:paraId="7C64728B" w14:textId="042C736E" w:rsidR="007F031B" w:rsidRDefault="19EAFDD3">
      <w:pPr>
        <w:rPr>
          <w:rFonts w:cstheme="minorBidi"/>
        </w:rPr>
      </w:pPr>
      <w:r w:rsidRPr="692C77C9">
        <w:rPr>
          <w:rFonts w:cstheme="minorBidi"/>
        </w:rPr>
        <w:t>In addition to annual and ad hoc network compliance reporting, MassHealth also monitor</w:t>
      </w:r>
      <w:r w:rsidR="37AA2927" w:rsidRPr="692C77C9">
        <w:rPr>
          <w:rFonts w:cstheme="minorBidi"/>
        </w:rPr>
        <w:t>s MCP network compliance through it</w:t>
      </w:r>
      <w:r w:rsidR="00D607DE">
        <w:rPr>
          <w:rFonts w:cstheme="minorBidi"/>
        </w:rPr>
        <w:t>s</w:t>
      </w:r>
      <w:r w:rsidR="37AA2927" w:rsidRPr="692C77C9">
        <w:rPr>
          <w:rFonts w:cstheme="minorBidi"/>
        </w:rPr>
        <w:t xml:space="preserve"> EQR network validation process. Beginning in 2023</w:t>
      </w:r>
      <w:r w:rsidR="007F031B">
        <w:rPr>
          <w:rFonts w:cstheme="minorBidi"/>
        </w:rPr>
        <w:t>,</w:t>
      </w:r>
      <w:r w:rsidR="37AA2927" w:rsidRPr="692C77C9">
        <w:rPr>
          <w:rFonts w:cstheme="minorBidi"/>
        </w:rPr>
        <w:t xml:space="preserve"> </w:t>
      </w:r>
      <w:r w:rsidR="7908C853" w:rsidRPr="692C77C9">
        <w:rPr>
          <w:rFonts w:cstheme="minorBidi"/>
        </w:rPr>
        <w:t xml:space="preserve">MassHealth’s EQRO will initiate enhanced </w:t>
      </w:r>
      <w:r w:rsidR="00142A4B">
        <w:rPr>
          <w:rFonts w:cstheme="minorBidi"/>
        </w:rPr>
        <w:t>n</w:t>
      </w:r>
      <w:r w:rsidR="00142A4B" w:rsidRPr="692C77C9">
        <w:rPr>
          <w:rFonts w:cstheme="minorBidi"/>
        </w:rPr>
        <w:t xml:space="preserve">etwork </w:t>
      </w:r>
      <w:r w:rsidR="00142A4B">
        <w:rPr>
          <w:rFonts w:cstheme="minorBidi"/>
        </w:rPr>
        <w:t>v</w:t>
      </w:r>
      <w:r w:rsidR="00142A4B" w:rsidRPr="692C77C9">
        <w:rPr>
          <w:rFonts w:cstheme="minorBidi"/>
        </w:rPr>
        <w:t xml:space="preserve">alidation </w:t>
      </w:r>
      <w:r w:rsidR="7908C853" w:rsidRPr="692C77C9">
        <w:rPr>
          <w:rFonts w:cstheme="minorBidi"/>
        </w:rPr>
        <w:t xml:space="preserve">activities, alternating between access and availability surveys and provider directory validation activities. MassHealth’s EQRO will conduct provider directory surveys biennially to validate information published in the MCPs web-based Medicaid provider directories. The goal of this activity is to ensure that members are being provided accurate and up-to-date information regarding the plan provider networks. </w:t>
      </w:r>
    </w:p>
    <w:p w14:paraId="27A41196" w14:textId="73EECA08" w:rsidR="0083006D" w:rsidRPr="00753798" w:rsidRDefault="09C07716" w:rsidP="007F031B">
      <w:pPr>
        <w:rPr>
          <w:rFonts w:cs="Calibri"/>
        </w:rPr>
      </w:pPr>
      <w:r w:rsidRPr="007F031B">
        <w:rPr>
          <w:rFonts w:cstheme="minorBidi"/>
          <w:u w:val="single"/>
        </w:rPr>
        <w:t>Recommendation</w:t>
      </w:r>
      <w:r w:rsidR="007F031B" w:rsidRPr="007F031B">
        <w:rPr>
          <w:rFonts w:cstheme="minorBidi"/>
          <w:u w:val="single"/>
        </w:rPr>
        <w:t xml:space="preserve"> #3</w:t>
      </w:r>
      <w:r w:rsidRPr="692C77C9">
        <w:rPr>
          <w:rFonts w:cstheme="minorBidi"/>
        </w:rPr>
        <w:t xml:space="preserve">: </w:t>
      </w:r>
      <w:r w:rsidR="00CD7F08" w:rsidRPr="692C77C9">
        <w:rPr>
          <w:rFonts w:cstheme="minorBidi"/>
        </w:rPr>
        <w:t>C</w:t>
      </w:r>
      <w:r w:rsidR="0083006D" w:rsidRPr="692C77C9">
        <w:rPr>
          <w:rFonts w:cstheme="minorBidi"/>
        </w:rPr>
        <w:t>onsider the practical feasibility of its network adequacy standards, especially those for the less populated areas of Berkshire, Dukes, and Nantucket counties.</w:t>
      </w:r>
    </w:p>
    <w:p w14:paraId="3C9F06D2" w14:textId="75013748" w:rsidR="00CD7F08" w:rsidRPr="00753798" w:rsidRDefault="443943FA" w:rsidP="692C77C9">
      <w:pPr>
        <w:rPr>
          <w:rFonts w:cstheme="minorBidi"/>
        </w:rPr>
      </w:pPr>
      <w:r w:rsidRPr="007F031B">
        <w:rPr>
          <w:rFonts w:cstheme="minorBidi"/>
          <w:u w:val="single"/>
        </w:rPr>
        <w:t>MassHealth Response</w:t>
      </w:r>
      <w:r w:rsidR="007F031B" w:rsidRPr="007F031B">
        <w:rPr>
          <w:rFonts w:cstheme="minorBidi"/>
          <w:u w:val="single"/>
        </w:rPr>
        <w:t xml:space="preserve"> to Recommendation #3</w:t>
      </w:r>
      <w:r w:rsidRPr="692C77C9">
        <w:rPr>
          <w:rFonts w:cstheme="minorBidi"/>
        </w:rPr>
        <w:t xml:space="preserve">: </w:t>
      </w:r>
      <w:r w:rsidR="00CD7F08" w:rsidRPr="692C77C9">
        <w:rPr>
          <w:rFonts w:cstheme="minorBidi"/>
        </w:rPr>
        <w:t xml:space="preserve">MassHealth already makes exceptions for less populated areas or where there </w:t>
      </w:r>
      <w:r w:rsidR="00225380" w:rsidRPr="692C77C9">
        <w:rPr>
          <w:rFonts w:cstheme="minorBidi"/>
        </w:rPr>
        <w:t>are</w:t>
      </w:r>
      <w:r w:rsidR="00CD7F08" w:rsidRPr="692C77C9">
        <w:rPr>
          <w:rFonts w:cstheme="minorBidi"/>
        </w:rPr>
        <w:t xml:space="preserve"> limited providers.</w:t>
      </w:r>
      <w:r w:rsidR="00F26E55">
        <w:rPr>
          <w:rFonts w:cstheme="minorBidi"/>
        </w:rPr>
        <w:t xml:space="preserve">  </w:t>
      </w:r>
      <w:r w:rsidR="00F26E55" w:rsidRPr="00F26E55">
        <w:rPr>
          <w:rFonts w:cstheme="minorBidi"/>
        </w:rPr>
        <w:t>MassHealth is evaluating the network standards in light of market norms in service areas across the Commonwealth.</w:t>
      </w:r>
    </w:p>
    <w:p w14:paraId="242192ED" w14:textId="7B20022D" w:rsidR="0083006D" w:rsidRPr="00900B47" w:rsidRDefault="0083006D" w:rsidP="00AC2D09">
      <w:pPr>
        <w:pStyle w:val="Heading4"/>
        <w:spacing w:after="120"/>
        <w:rPr>
          <w:rStyle w:val="Emphasis"/>
          <w:rFonts w:asciiTheme="minorHAnsi" w:hAnsiTheme="minorHAnsi" w:cstheme="minorHAnsi"/>
          <w:i w:val="0"/>
          <w:iCs/>
          <w:sz w:val="22"/>
        </w:rPr>
      </w:pPr>
      <w:r w:rsidRPr="00900B47">
        <w:rPr>
          <w:rStyle w:val="Emphasis"/>
          <w:rFonts w:asciiTheme="minorHAnsi" w:hAnsiTheme="minorHAnsi" w:cstheme="minorHAnsi"/>
          <w:i w:val="0"/>
          <w:iCs/>
          <w:sz w:val="22"/>
        </w:rPr>
        <w:t>Health Equity</w:t>
      </w:r>
      <w:r w:rsidR="00346EBD">
        <w:rPr>
          <w:rStyle w:val="Emphasis"/>
          <w:rFonts w:asciiTheme="minorHAnsi" w:hAnsiTheme="minorHAnsi" w:cstheme="minorHAnsi"/>
          <w:i w:val="0"/>
          <w:iCs/>
          <w:sz w:val="22"/>
        </w:rPr>
        <w:t xml:space="preserve"> Recommendations</w:t>
      </w:r>
    </w:p>
    <w:p w14:paraId="1DD345C0" w14:textId="6161608D" w:rsidR="00786390" w:rsidRPr="003F62B5" w:rsidRDefault="439AF982" w:rsidP="003F62B5">
      <w:pPr>
        <w:pStyle w:val="xmsolistparagraph"/>
        <w:spacing w:before="0" w:beforeAutospacing="0" w:after="120" w:afterAutospacing="0"/>
        <w:rPr>
          <w:rFonts w:asciiTheme="minorHAnsi" w:hAnsiTheme="minorHAnsi" w:cstheme="minorBidi"/>
          <w:i/>
          <w:iCs/>
        </w:rPr>
      </w:pPr>
      <w:r w:rsidRPr="009774B4">
        <w:rPr>
          <w:rFonts w:asciiTheme="minorHAnsi" w:hAnsiTheme="minorHAnsi" w:cstheme="minorBidi"/>
          <w:u w:val="single"/>
        </w:rPr>
        <w:t>R</w:t>
      </w:r>
      <w:r w:rsidR="0B917065" w:rsidRPr="009774B4">
        <w:rPr>
          <w:rFonts w:asciiTheme="minorHAnsi" w:hAnsiTheme="minorHAnsi" w:cstheme="minorBidi"/>
          <w:u w:val="single"/>
        </w:rPr>
        <w:t>e</w:t>
      </w:r>
      <w:r w:rsidRPr="009774B4">
        <w:rPr>
          <w:rFonts w:asciiTheme="minorHAnsi" w:hAnsiTheme="minorHAnsi" w:cstheme="minorBidi"/>
          <w:u w:val="single"/>
        </w:rPr>
        <w:t>commendation</w:t>
      </w:r>
      <w:r w:rsidR="009774B4" w:rsidRPr="009774B4">
        <w:rPr>
          <w:rFonts w:asciiTheme="minorHAnsi" w:hAnsiTheme="minorHAnsi" w:cstheme="minorBidi"/>
          <w:u w:val="single"/>
        </w:rPr>
        <w:t xml:space="preserve"> #4</w:t>
      </w:r>
      <w:r w:rsidRPr="692C77C9">
        <w:rPr>
          <w:rFonts w:asciiTheme="minorHAnsi" w:hAnsiTheme="minorHAnsi" w:cstheme="minorBidi"/>
        </w:rPr>
        <w:t xml:space="preserve">: </w:t>
      </w:r>
      <w:r w:rsidR="4BA93AAE" w:rsidRPr="692C77C9">
        <w:rPr>
          <w:rFonts w:asciiTheme="minorHAnsi" w:hAnsiTheme="minorHAnsi" w:cstheme="minorBidi"/>
        </w:rPr>
        <w:t>I</w:t>
      </w:r>
      <w:r w:rsidR="0083006D" w:rsidRPr="692C77C9">
        <w:rPr>
          <w:rFonts w:asciiTheme="minorHAnsi" w:hAnsiTheme="minorHAnsi" w:cstheme="minorBidi"/>
        </w:rPr>
        <w:t xml:space="preserve">mprove quality of its Race, Ethnicity, and Language (REL) data and </w:t>
      </w:r>
      <w:r w:rsidR="6D645B71" w:rsidRPr="692C77C9">
        <w:rPr>
          <w:rFonts w:asciiTheme="minorHAnsi" w:hAnsiTheme="minorHAnsi" w:cstheme="minorBidi"/>
        </w:rPr>
        <w:t>address</w:t>
      </w:r>
      <w:r w:rsidR="0083006D" w:rsidRPr="692C77C9">
        <w:rPr>
          <w:rFonts w:asciiTheme="minorHAnsi" w:hAnsiTheme="minorHAnsi" w:cstheme="minorBidi"/>
        </w:rPr>
        <w:t xml:space="preserve"> issue</w:t>
      </w:r>
      <w:r w:rsidR="6D645B71" w:rsidRPr="692C77C9">
        <w:rPr>
          <w:rFonts w:asciiTheme="minorHAnsi" w:hAnsiTheme="minorHAnsi" w:cstheme="minorBidi"/>
        </w:rPr>
        <w:t>s related to</w:t>
      </w:r>
      <w:r w:rsidR="0083006D" w:rsidRPr="692C77C9">
        <w:rPr>
          <w:rFonts w:asciiTheme="minorHAnsi" w:hAnsiTheme="minorHAnsi" w:cstheme="minorBidi"/>
        </w:rPr>
        <w:t xml:space="preserve"> enrollment updates with no REL data overwriting plan-collected data.</w:t>
      </w:r>
      <w:r w:rsidR="0083006D" w:rsidRPr="692C77C9">
        <w:rPr>
          <w:rFonts w:asciiTheme="minorHAnsi" w:hAnsiTheme="minorHAnsi" w:cstheme="minorBidi"/>
          <w:i/>
          <w:iCs/>
        </w:rPr>
        <w:t xml:space="preserve"> (Access)</w:t>
      </w:r>
    </w:p>
    <w:p w14:paraId="48BC9E00" w14:textId="71D7795D" w:rsidR="00A55030" w:rsidRPr="003F62B5" w:rsidRDefault="18FE546D" w:rsidP="00786390">
      <w:pPr>
        <w:pStyle w:val="xmsolistparagraph"/>
        <w:spacing w:before="0" w:beforeAutospacing="0" w:after="0" w:afterAutospacing="0"/>
        <w:rPr>
          <w:rFonts w:asciiTheme="minorHAnsi" w:hAnsiTheme="minorHAnsi" w:cstheme="minorBidi"/>
        </w:rPr>
      </w:pPr>
      <w:r w:rsidRPr="009774B4">
        <w:rPr>
          <w:rFonts w:asciiTheme="minorHAnsi" w:hAnsiTheme="minorHAnsi" w:cstheme="minorBidi"/>
          <w:u w:val="single"/>
        </w:rPr>
        <w:lastRenderedPageBreak/>
        <w:t>MassHealth Response</w:t>
      </w:r>
      <w:r w:rsidR="009774B4" w:rsidRPr="009774B4">
        <w:rPr>
          <w:rFonts w:asciiTheme="minorHAnsi" w:hAnsiTheme="minorHAnsi" w:cstheme="minorBidi"/>
          <w:u w:val="single"/>
        </w:rPr>
        <w:t xml:space="preserve"> to Recommendation #4</w:t>
      </w:r>
      <w:r w:rsidR="009774B4">
        <w:rPr>
          <w:rFonts w:asciiTheme="minorHAnsi" w:hAnsiTheme="minorHAnsi" w:cstheme="minorBidi"/>
        </w:rPr>
        <w:t xml:space="preserve">: </w:t>
      </w:r>
      <w:r w:rsidR="00A55030" w:rsidRPr="692C77C9">
        <w:rPr>
          <w:rFonts w:asciiTheme="minorHAnsi" w:hAnsiTheme="minorHAnsi" w:cstheme="minorBidi"/>
        </w:rPr>
        <w:t xml:space="preserve">In CY 2022, </w:t>
      </w:r>
      <w:r w:rsidR="00EA46CB" w:rsidRPr="692C77C9">
        <w:rPr>
          <w:rFonts w:asciiTheme="minorHAnsi" w:hAnsiTheme="minorHAnsi" w:cstheme="minorBidi"/>
        </w:rPr>
        <w:t xml:space="preserve">EOHHS </w:t>
      </w:r>
      <w:r w:rsidR="00A55030" w:rsidRPr="692C77C9">
        <w:rPr>
          <w:rFonts w:asciiTheme="minorHAnsi" w:hAnsiTheme="minorHAnsi" w:cstheme="minorBidi"/>
        </w:rPr>
        <w:t xml:space="preserve">began a major initiative to implement significant new incentives for </w:t>
      </w:r>
      <w:r w:rsidR="3C510918" w:rsidRPr="692C77C9">
        <w:rPr>
          <w:rFonts w:asciiTheme="minorHAnsi" w:hAnsiTheme="minorHAnsi" w:cstheme="minorBidi"/>
        </w:rPr>
        <w:t xml:space="preserve">acute care </w:t>
      </w:r>
      <w:r w:rsidR="003F62B5" w:rsidRPr="692C77C9">
        <w:rPr>
          <w:rFonts w:asciiTheme="minorHAnsi" w:hAnsiTheme="minorHAnsi" w:cstheme="minorBidi"/>
        </w:rPr>
        <w:t>hospitals and</w:t>
      </w:r>
      <w:r w:rsidR="00A55030" w:rsidRPr="692C77C9">
        <w:rPr>
          <w:rFonts w:asciiTheme="minorHAnsi" w:hAnsiTheme="minorHAnsi" w:cstheme="minorBidi"/>
        </w:rPr>
        <w:t xml:space="preserve"> MCPs tied to reducing health disparities</w:t>
      </w:r>
      <w:r w:rsidR="00F35A3B">
        <w:rPr>
          <w:rFonts w:asciiTheme="minorHAnsi" w:hAnsiTheme="minorHAnsi" w:cstheme="minorBidi"/>
        </w:rPr>
        <w:t>;</w:t>
      </w:r>
      <w:r w:rsidR="00C001E7" w:rsidRPr="692C77C9">
        <w:rPr>
          <w:rFonts w:asciiTheme="minorHAnsi" w:hAnsiTheme="minorHAnsi" w:cstheme="minorBidi"/>
        </w:rPr>
        <w:t xml:space="preserve"> t</w:t>
      </w:r>
      <w:r w:rsidR="00A55030" w:rsidRPr="692C77C9">
        <w:rPr>
          <w:rFonts w:asciiTheme="minorHAnsi" w:hAnsiTheme="minorHAnsi" w:cstheme="minorBidi"/>
        </w:rPr>
        <w:t xml:space="preserve">his work will continue over the next five years as part of the renewal of the 1115 </w:t>
      </w:r>
      <w:r w:rsidR="00C9045E" w:rsidRPr="692C77C9">
        <w:rPr>
          <w:rFonts w:asciiTheme="minorHAnsi" w:hAnsiTheme="minorHAnsi" w:cstheme="minorBidi"/>
        </w:rPr>
        <w:t>D</w:t>
      </w:r>
      <w:r w:rsidR="00A55030" w:rsidRPr="692C77C9">
        <w:rPr>
          <w:rFonts w:asciiTheme="minorHAnsi" w:hAnsiTheme="minorHAnsi" w:cstheme="minorBidi"/>
        </w:rPr>
        <w:t>emonstration</w:t>
      </w:r>
      <w:r w:rsidR="00C9045E" w:rsidRPr="692C77C9">
        <w:rPr>
          <w:rFonts w:asciiTheme="minorHAnsi" w:hAnsiTheme="minorHAnsi" w:cstheme="minorBidi"/>
        </w:rPr>
        <w:t xml:space="preserve"> for 2022-2027</w:t>
      </w:r>
      <w:r w:rsidR="00A55030" w:rsidRPr="692C77C9">
        <w:rPr>
          <w:rFonts w:asciiTheme="minorHAnsi" w:hAnsiTheme="minorHAnsi" w:cstheme="minorBidi"/>
        </w:rPr>
        <w:t>. This innovative proposal reflects growing interest in the Commonwealth and nationally to advance health equity as an essential tenet of high-quality care.</w:t>
      </w:r>
    </w:p>
    <w:p w14:paraId="38D63708" w14:textId="38416F8C" w:rsidR="0083006D" w:rsidRPr="00753798" w:rsidRDefault="00786390" w:rsidP="003640C7">
      <w:pPr>
        <w:pStyle w:val="xmsolistparagraph"/>
        <w:spacing w:before="0" w:beforeAutospacing="0" w:after="0" w:afterAutospacing="0"/>
        <w:rPr>
          <w:rFonts w:asciiTheme="minorHAnsi" w:hAnsiTheme="minorHAnsi" w:cstheme="minorHAnsi"/>
        </w:rPr>
      </w:pPr>
      <w:r w:rsidRPr="00753798">
        <w:rPr>
          <w:rFonts w:asciiTheme="minorHAnsi" w:hAnsiTheme="minorHAnsi" w:cstheme="minorHAnsi"/>
        </w:rPr>
        <w:t xml:space="preserve">As part of </w:t>
      </w:r>
      <w:r w:rsidR="00A55030" w:rsidRPr="00753798">
        <w:rPr>
          <w:rFonts w:asciiTheme="minorHAnsi" w:hAnsiTheme="minorHAnsi" w:cstheme="minorHAnsi"/>
        </w:rPr>
        <w:t>this</w:t>
      </w:r>
      <w:r w:rsidRPr="00753798">
        <w:rPr>
          <w:rFonts w:asciiTheme="minorHAnsi" w:hAnsiTheme="minorHAnsi" w:cstheme="minorHAnsi"/>
        </w:rPr>
        <w:t xml:space="preserve"> agency-wide health equity strategy, MassHealth is </w:t>
      </w:r>
      <w:r w:rsidR="00EA46CB">
        <w:rPr>
          <w:rFonts w:asciiTheme="minorHAnsi" w:hAnsiTheme="minorHAnsi" w:cstheme="minorHAnsi"/>
        </w:rPr>
        <w:t>i</w:t>
      </w:r>
      <w:r w:rsidRPr="00753798">
        <w:rPr>
          <w:rFonts w:asciiTheme="minorHAnsi" w:hAnsiTheme="minorHAnsi" w:cstheme="minorHAnsi"/>
        </w:rPr>
        <w:t>mplementing processes whereby ACOs, MCOs, and acute care hospitals will be collecting and submitting member self-reported Race, Ethnicity, Language, Disability, Sexual Orientation, and Gender Identify (RELDSOGI) data.</w:t>
      </w:r>
      <w:r w:rsidR="00873A97" w:rsidRPr="00753798">
        <w:rPr>
          <w:rFonts w:asciiTheme="minorHAnsi" w:hAnsiTheme="minorHAnsi" w:cstheme="minorHAnsi"/>
        </w:rPr>
        <w:t xml:space="preserve"> </w:t>
      </w:r>
      <w:r w:rsidR="00A6602A" w:rsidRPr="00753798">
        <w:rPr>
          <w:rFonts w:asciiTheme="minorHAnsi" w:hAnsiTheme="minorHAnsi" w:cstheme="minorHAnsi"/>
        </w:rPr>
        <w:t xml:space="preserve">Reporting will begin in 2023 with </w:t>
      </w:r>
      <w:r w:rsidR="00A6602A">
        <w:rPr>
          <w:rFonts w:asciiTheme="minorHAnsi" w:hAnsiTheme="minorHAnsi" w:cstheme="minorHAnsi"/>
        </w:rPr>
        <w:t>a</w:t>
      </w:r>
      <w:r w:rsidR="00A6602A" w:rsidRPr="00753798">
        <w:rPr>
          <w:rFonts w:asciiTheme="minorHAnsi" w:hAnsiTheme="minorHAnsi" w:cstheme="minorHAnsi"/>
        </w:rPr>
        <w:t xml:space="preserve"> goal </w:t>
      </w:r>
      <w:r w:rsidR="00A6602A">
        <w:rPr>
          <w:rFonts w:asciiTheme="minorHAnsi" w:hAnsiTheme="minorHAnsi" w:cstheme="minorHAnsi"/>
        </w:rPr>
        <w:t xml:space="preserve">of </w:t>
      </w:r>
      <w:r w:rsidR="00A6602A" w:rsidRPr="00753798">
        <w:rPr>
          <w:rFonts w:asciiTheme="minorHAnsi" w:hAnsiTheme="minorHAnsi" w:cstheme="minorHAnsi"/>
        </w:rPr>
        <w:t>improv</w:t>
      </w:r>
      <w:r w:rsidR="00A6602A">
        <w:rPr>
          <w:rFonts w:asciiTheme="minorHAnsi" w:hAnsiTheme="minorHAnsi" w:cstheme="minorHAnsi"/>
        </w:rPr>
        <w:t xml:space="preserve">ing </w:t>
      </w:r>
      <w:r w:rsidR="00A6602A" w:rsidRPr="00753798">
        <w:rPr>
          <w:rFonts w:asciiTheme="minorHAnsi" w:hAnsiTheme="minorHAnsi" w:cstheme="minorHAnsi"/>
        </w:rPr>
        <w:t xml:space="preserve">the completeness and accuracy of RELDSOGI data so </w:t>
      </w:r>
      <w:r w:rsidR="00A6602A">
        <w:rPr>
          <w:rFonts w:asciiTheme="minorHAnsi" w:hAnsiTheme="minorHAnsi" w:cstheme="minorHAnsi"/>
        </w:rPr>
        <w:t xml:space="preserve">EOHHS </w:t>
      </w:r>
      <w:r w:rsidR="00A6602A" w:rsidRPr="00753798">
        <w:rPr>
          <w:rFonts w:asciiTheme="minorHAnsi" w:hAnsiTheme="minorHAnsi" w:cstheme="minorHAnsi"/>
        </w:rPr>
        <w:t>and MCPs can more accurately monitor stratified performance and eventually reduc</w:t>
      </w:r>
      <w:r w:rsidR="00391BB1">
        <w:rPr>
          <w:rFonts w:asciiTheme="minorHAnsi" w:hAnsiTheme="minorHAnsi" w:cstheme="minorHAnsi"/>
        </w:rPr>
        <w:t>e</w:t>
      </w:r>
      <w:r w:rsidR="00546D9B">
        <w:rPr>
          <w:rFonts w:asciiTheme="minorHAnsi" w:hAnsiTheme="minorHAnsi" w:cstheme="minorHAnsi"/>
        </w:rPr>
        <w:t xml:space="preserve"> </w:t>
      </w:r>
      <w:r w:rsidR="00A6602A" w:rsidRPr="00753798">
        <w:rPr>
          <w:rFonts w:asciiTheme="minorHAnsi" w:hAnsiTheme="minorHAnsi" w:cstheme="minorHAnsi"/>
        </w:rPr>
        <w:t xml:space="preserve">inequities among </w:t>
      </w:r>
      <w:r w:rsidR="00A6602A">
        <w:rPr>
          <w:rFonts w:asciiTheme="minorHAnsi" w:hAnsiTheme="minorHAnsi" w:cstheme="minorHAnsi"/>
        </w:rPr>
        <w:t>the MassHealth member</w:t>
      </w:r>
      <w:r w:rsidR="00A6602A" w:rsidRPr="00753798">
        <w:rPr>
          <w:rFonts w:asciiTheme="minorHAnsi" w:hAnsiTheme="minorHAnsi" w:cstheme="minorHAnsi"/>
        </w:rPr>
        <w:t xml:space="preserve"> population.</w:t>
      </w:r>
    </w:p>
    <w:p w14:paraId="0D09F0D2" w14:textId="2B99A411" w:rsidR="0083006D" w:rsidRPr="00900B47" w:rsidRDefault="0083006D" w:rsidP="00AC2D09">
      <w:pPr>
        <w:pStyle w:val="Heading4"/>
        <w:spacing w:after="120"/>
        <w:rPr>
          <w:rStyle w:val="Emphasis"/>
          <w:rFonts w:asciiTheme="minorHAnsi" w:hAnsiTheme="minorHAnsi" w:cstheme="minorHAnsi"/>
          <w:i w:val="0"/>
          <w:iCs/>
          <w:sz w:val="22"/>
        </w:rPr>
      </w:pPr>
      <w:r w:rsidRPr="00900B47">
        <w:rPr>
          <w:rStyle w:val="Emphasis"/>
          <w:rFonts w:asciiTheme="minorHAnsi" w:hAnsiTheme="minorHAnsi" w:cstheme="minorHAnsi"/>
          <w:i w:val="0"/>
          <w:iCs/>
          <w:sz w:val="22"/>
        </w:rPr>
        <w:t>Performance Improvement Projects</w:t>
      </w:r>
      <w:r w:rsidR="00A55030" w:rsidRPr="00900B47">
        <w:rPr>
          <w:rStyle w:val="Emphasis"/>
          <w:rFonts w:asciiTheme="minorHAnsi" w:hAnsiTheme="minorHAnsi" w:cstheme="minorHAnsi"/>
          <w:i w:val="0"/>
          <w:iCs/>
          <w:sz w:val="22"/>
        </w:rPr>
        <w:t xml:space="preserve"> (PIPs)</w:t>
      </w:r>
      <w:r w:rsidR="003640C7">
        <w:rPr>
          <w:rStyle w:val="Emphasis"/>
          <w:rFonts w:asciiTheme="minorHAnsi" w:hAnsiTheme="minorHAnsi" w:cstheme="minorHAnsi"/>
          <w:i w:val="0"/>
          <w:iCs/>
          <w:sz w:val="22"/>
        </w:rPr>
        <w:t xml:space="preserve"> Recommendations</w:t>
      </w:r>
    </w:p>
    <w:p w14:paraId="613F7099" w14:textId="73425A21" w:rsidR="0038728D" w:rsidRPr="003F62B5" w:rsidRDefault="003640C7" w:rsidP="003F62B5">
      <w:pPr>
        <w:pStyle w:val="xmsolistparagraph"/>
        <w:spacing w:before="0" w:beforeAutospacing="0" w:after="120" w:afterAutospacing="0"/>
        <w:rPr>
          <w:rFonts w:asciiTheme="minorHAnsi" w:hAnsiTheme="minorHAnsi" w:cstheme="minorHAnsi"/>
          <w:i/>
          <w:iCs/>
        </w:rPr>
      </w:pPr>
      <w:r>
        <w:rPr>
          <w:rFonts w:asciiTheme="minorHAnsi" w:hAnsiTheme="minorHAnsi" w:cstheme="minorHAnsi"/>
          <w:u w:val="single"/>
        </w:rPr>
        <w:t>Recommendation #5</w:t>
      </w:r>
      <w:r>
        <w:rPr>
          <w:rFonts w:asciiTheme="minorHAnsi" w:hAnsiTheme="minorHAnsi" w:cstheme="minorHAnsi"/>
        </w:rPr>
        <w:t xml:space="preserve">: </w:t>
      </w:r>
      <w:r w:rsidR="00873A97" w:rsidRPr="00753798">
        <w:rPr>
          <w:rFonts w:asciiTheme="minorHAnsi" w:hAnsiTheme="minorHAnsi" w:cstheme="minorHAnsi"/>
        </w:rPr>
        <w:t>Adopt a standard set of</w:t>
      </w:r>
      <w:r w:rsidR="0083006D" w:rsidRPr="00753798">
        <w:rPr>
          <w:rFonts w:asciiTheme="minorHAnsi" w:hAnsiTheme="minorHAnsi" w:cstheme="minorHAnsi"/>
        </w:rPr>
        <w:t xml:space="preserve"> criteria </w:t>
      </w:r>
      <w:r w:rsidR="00873A97" w:rsidRPr="00753798">
        <w:rPr>
          <w:rFonts w:asciiTheme="minorHAnsi" w:hAnsiTheme="minorHAnsi" w:cstheme="minorHAnsi"/>
        </w:rPr>
        <w:t>for P</w:t>
      </w:r>
      <w:r w:rsidR="00225380" w:rsidRPr="00753798">
        <w:rPr>
          <w:rFonts w:asciiTheme="minorHAnsi" w:hAnsiTheme="minorHAnsi" w:cstheme="minorHAnsi"/>
        </w:rPr>
        <w:t>erformance Improvement Projects</w:t>
      </w:r>
      <w:r w:rsidR="00873A97" w:rsidRPr="00753798">
        <w:rPr>
          <w:rFonts w:asciiTheme="minorHAnsi" w:hAnsiTheme="minorHAnsi" w:cstheme="minorHAnsi"/>
        </w:rPr>
        <w:t xml:space="preserve"> topic selections</w:t>
      </w:r>
      <w:r w:rsidR="0038728D" w:rsidRPr="00753798">
        <w:rPr>
          <w:rFonts w:asciiTheme="minorHAnsi" w:hAnsiTheme="minorHAnsi" w:cstheme="minorHAnsi"/>
        </w:rPr>
        <w:t xml:space="preserve"> including but not limited to focus on agency priorities, areas of poor performance</w:t>
      </w:r>
      <w:r w:rsidR="00873A97" w:rsidRPr="00753798">
        <w:rPr>
          <w:rFonts w:asciiTheme="minorHAnsi" w:hAnsiTheme="minorHAnsi" w:cstheme="minorHAnsi"/>
        </w:rPr>
        <w:t xml:space="preserve">, and </w:t>
      </w:r>
      <w:r w:rsidR="0038728D" w:rsidRPr="00753798">
        <w:rPr>
          <w:rFonts w:asciiTheme="minorHAnsi" w:hAnsiTheme="minorHAnsi" w:cstheme="minorHAnsi"/>
        </w:rPr>
        <w:t>initiatives that target at least</w:t>
      </w:r>
      <w:r w:rsidR="00873A97" w:rsidRPr="00753798">
        <w:rPr>
          <w:rFonts w:asciiTheme="minorHAnsi" w:hAnsiTheme="minorHAnsi" w:cstheme="minorHAnsi"/>
        </w:rPr>
        <w:t xml:space="preserve"> 10 percent or more of </w:t>
      </w:r>
      <w:r w:rsidR="0038728D" w:rsidRPr="00753798">
        <w:rPr>
          <w:rFonts w:asciiTheme="minorHAnsi" w:hAnsiTheme="minorHAnsi" w:cstheme="minorHAnsi"/>
        </w:rPr>
        <w:t>an MCPs population.</w:t>
      </w:r>
    </w:p>
    <w:p w14:paraId="13CF7D7E" w14:textId="32E29AB0" w:rsidR="00225380" w:rsidRPr="00753798" w:rsidRDefault="003640C7" w:rsidP="00225380">
      <w:pPr>
        <w:pStyle w:val="xmsolistparagraph"/>
        <w:spacing w:before="0" w:beforeAutospacing="0" w:after="0" w:afterAutospacing="0"/>
        <w:rPr>
          <w:rFonts w:asciiTheme="minorHAnsi" w:hAnsiTheme="minorHAnsi" w:cstheme="minorHAnsi"/>
        </w:rPr>
      </w:pPr>
      <w:r>
        <w:rPr>
          <w:rFonts w:asciiTheme="minorHAnsi" w:hAnsiTheme="minorHAnsi" w:cstheme="minorHAnsi"/>
          <w:u w:val="single"/>
        </w:rPr>
        <w:t>MassHealth Response to Recommendation #5</w:t>
      </w:r>
      <w:r>
        <w:rPr>
          <w:rFonts w:asciiTheme="minorHAnsi" w:hAnsiTheme="minorHAnsi" w:cstheme="minorHAnsi"/>
        </w:rPr>
        <w:t xml:space="preserve">: </w:t>
      </w:r>
      <w:r w:rsidR="0038728D" w:rsidRPr="00753798">
        <w:rPr>
          <w:rFonts w:asciiTheme="minorHAnsi" w:hAnsiTheme="minorHAnsi" w:cstheme="minorHAnsi"/>
        </w:rPr>
        <w:t>MassHealth currently has a standard process for selecting PIP topics. Prior to the commencement of</w:t>
      </w:r>
      <w:r w:rsidR="00225380" w:rsidRPr="00753798">
        <w:rPr>
          <w:rFonts w:asciiTheme="minorHAnsi" w:hAnsiTheme="minorHAnsi" w:cstheme="minorHAnsi"/>
        </w:rPr>
        <w:t xml:space="preserve"> a</w:t>
      </w:r>
      <w:r w:rsidR="0038728D" w:rsidRPr="00753798">
        <w:rPr>
          <w:rFonts w:asciiTheme="minorHAnsi" w:hAnsiTheme="minorHAnsi" w:cstheme="minorHAnsi"/>
        </w:rPr>
        <w:t xml:space="preserve"> PIP cycle, </w:t>
      </w:r>
      <w:r w:rsidR="00225380" w:rsidRPr="00753798">
        <w:rPr>
          <w:rFonts w:asciiTheme="minorHAnsi" w:hAnsiTheme="minorHAnsi" w:cstheme="minorHAnsi"/>
        </w:rPr>
        <w:t xml:space="preserve">the MassHealth Quality Office works with MCP program leads to review agency and program priorities, as well as MCP performance on quality measure slates. MassHealth then uses this information to identify priority domain areas and associated performance measures on which MCPs are to focus their PIPs. </w:t>
      </w:r>
      <w:r w:rsidR="00E35127">
        <w:rPr>
          <w:rFonts w:asciiTheme="minorHAnsi" w:hAnsiTheme="minorHAnsi" w:cstheme="minorHAnsi"/>
        </w:rPr>
        <w:t xml:space="preserve">MassHealth approves </w:t>
      </w:r>
      <w:r w:rsidR="00225380" w:rsidRPr="00753798">
        <w:rPr>
          <w:rFonts w:asciiTheme="minorHAnsi" w:hAnsiTheme="minorHAnsi" w:cstheme="minorHAnsi"/>
        </w:rPr>
        <w:t>PIP topics and proposed interventions prior to implementation.</w:t>
      </w:r>
    </w:p>
    <w:p w14:paraId="52A1BC49" w14:textId="2A9841C2" w:rsidR="0083006D" w:rsidRPr="00900B47" w:rsidRDefault="0083006D" w:rsidP="00AC2D09">
      <w:pPr>
        <w:pStyle w:val="Heading4"/>
        <w:spacing w:after="120"/>
        <w:rPr>
          <w:rStyle w:val="Emphasis"/>
          <w:rFonts w:asciiTheme="minorHAnsi" w:hAnsiTheme="minorHAnsi" w:cstheme="minorHAnsi"/>
          <w:i w:val="0"/>
          <w:iCs/>
          <w:sz w:val="22"/>
        </w:rPr>
      </w:pPr>
      <w:r w:rsidRPr="00900B47">
        <w:rPr>
          <w:rStyle w:val="Emphasis"/>
          <w:rFonts w:asciiTheme="minorHAnsi" w:hAnsiTheme="minorHAnsi" w:cstheme="minorHAnsi"/>
          <w:i w:val="0"/>
          <w:iCs/>
          <w:sz w:val="22"/>
        </w:rPr>
        <w:t>Communication Pathways</w:t>
      </w:r>
      <w:r w:rsidR="003640C7">
        <w:rPr>
          <w:rStyle w:val="Emphasis"/>
          <w:rFonts w:asciiTheme="minorHAnsi" w:hAnsiTheme="minorHAnsi" w:cstheme="minorHAnsi"/>
          <w:i w:val="0"/>
          <w:iCs/>
          <w:sz w:val="22"/>
        </w:rPr>
        <w:t xml:space="preserve"> Recommendations</w:t>
      </w:r>
    </w:p>
    <w:p w14:paraId="21C10BB9" w14:textId="3A9D9096" w:rsidR="0083006D" w:rsidRPr="003640C7" w:rsidRDefault="003640C7" w:rsidP="003640C7">
      <w:pPr>
        <w:rPr>
          <w:rFonts w:cstheme="minorHAnsi"/>
          <w:i/>
          <w:iCs/>
        </w:rPr>
      </w:pPr>
      <w:r>
        <w:rPr>
          <w:rFonts w:cstheme="minorHAnsi"/>
          <w:u w:val="single"/>
        </w:rPr>
        <w:t>Recommendation #6</w:t>
      </w:r>
      <w:r>
        <w:rPr>
          <w:rFonts w:cstheme="minorHAnsi"/>
        </w:rPr>
        <w:t xml:space="preserve">:  </w:t>
      </w:r>
      <w:r w:rsidR="00A55030" w:rsidRPr="003640C7">
        <w:rPr>
          <w:rFonts w:cstheme="minorHAnsi"/>
        </w:rPr>
        <w:t xml:space="preserve">Consider sponsoring </w:t>
      </w:r>
      <w:r w:rsidR="0083006D" w:rsidRPr="003640C7">
        <w:rPr>
          <w:rFonts w:cstheme="minorHAnsi"/>
        </w:rPr>
        <w:t xml:space="preserve">a statewide </w:t>
      </w:r>
      <w:r w:rsidR="00F35A3B">
        <w:rPr>
          <w:rFonts w:cstheme="minorHAnsi"/>
        </w:rPr>
        <w:t>c</w:t>
      </w:r>
      <w:r w:rsidR="00F35A3B" w:rsidRPr="003640C7">
        <w:rPr>
          <w:rFonts w:cstheme="minorHAnsi"/>
        </w:rPr>
        <w:t xml:space="preserve">onsumer </w:t>
      </w:r>
      <w:r w:rsidR="00F35A3B">
        <w:rPr>
          <w:rFonts w:cstheme="minorHAnsi"/>
        </w:rPr>
        <w:t>a</w:t>
      </w:r>
      <w:r w:rsidR="00F35A3B" w:rsidRPr="003640C7">
        <w:rPr>
          <w:rFonts w:cstheme="minorHAnsi"/>
        </w:rPr>
        <w:t xml:space="preserve">dvisory </w:t>
      </w:r>
      <w:r w:rsidR="00F35A3B">
        <w:rPr>
          <w:rFonts w:cstheme="minorHAnsi"/>
        </w:rPr>
        <w:t>c</w:t>
      </w:r>
      <w:r w:rsidR="00F35A3B" w:rsidRPr="003640C7">
        <w:rPr>
          <w:rFonts w:cstheme="minorHAnsi"/>
        </w:rPr>
        <w:t xml:space="preserve">ouncil </w:t>
      </w:r>
      <w:r w:rsidR="0083006D" w:rsidRPr="003640C7">
        <w:rPr>
          <w:rFonts w:cstheme="minorHAnsi"/>
        </w:rPr>
        <w:t xml:space="preserve">with the charter of advising MassHealth on its priorities for managed care plan performance management.  </w:t>
      </w:r>
    </w:p>
    <w:p w14:paraId="05EB6B76" w14:textId="7153C8FD" w:rsidR="0083006D" w:rsidRPr="00753798" w:rsidRDefault="003640C7" w:rsidP="0083006D">
      <w:pPr>
        <w:rPr>
          <w:rFonts w:cstheme="minorBidi"/>
        </w:rPr>
      </w:pPr>
      <w:r w:rsidRPr="33E9587A">
        <w:rPr>
          <w:rFonts w:cstheme="minorBidi"/>
          <w:u w:val="single"/>
        </w:rPr>
        <w:t>MassHealth Response to Recommendation #6</w:t>
      </w:r>
      <w:r w:rsidRPr="33E9587A">
        <w:rPr>
          <w:rFonts w:cstheme="minorBidi"/>
        </w:rPr>
        <w:t xml:space="preserve">:  </w:t>
      </w:r>
      <w:r w:rsidR="00715005" w:rsidRPr="33E9587A">
        <w:rPr>
          <w:rFonts w:cstheme="minorBidi"/>
        </w:rPr>
        <w:t>MassHealth has a</w:t>
      </w:r>
      <w:r w:rsidR="006A3BE6" w:rsidRPr="33E9587A">
        <w:rPr>
          <w:rFonts w:cstheme="minorBidi"/>
        </w:rPr>
        <w:t xml:space="preserve"> dedicated Member Engagement and Experience (MEE) Team </w:t>
      </w:r>
      <w:r w:rsidR="00715005" w:rsidRPr="33E9587A">
        <w:rPr>
          <w:rFonts w:cstheme="minorBidi"/>
        </w:rPr>
        <w:t xml:space="preserve">that </w:t>
      </w:r>
      <w:r w:rsidR="006A3BE6" w:rsidRPr="33E9587A">
        <w:rPr>
          <w:rFonts w:cstheme="minorBidi"/>
        </w:rPr>
        <w:t>works to strengthen member experience within the care delivery system through enhanced member communication, education, and engagement initiatives. The MEE team also works internally to increase and promote understanding of the member perspective to help inform program and policy development in partnership with internal and other external stakeholders. This work includes meeting with external stakeholders, holding targeted discussion groups, and managing complaints and escalations.</w:t>
      </w:r>
      <w:r w:rsidR="00715005" w:rsidRPr="33E9587A">
        <w:rPr>
          <w:rFonts w:cstheme="minorBidi"/>
        </w:rPr>
        <w:t xml:space="preserve"> </w:t>
      </w:r>
    </w:p>
    <w:p w14:paraId="0426B3BB" w14:textId="7EF4936D" w:rsidR="00715005" w:rsidRPr="00753798" w:rsidRDefault="00C33600" w:rsidP="0083006D">
      <w:pPr>
        <w:rPr>
          <w:rFonts w:cstheme="minorHAnsi"/>
        </w:rPr>
      </w:pPr>
      <w:r w:rsidRPr="00753798">
        <w:rPr>
          <w:rFonts w:cstheme="minorHAnsi"/>
        </w:rPr>
        <w:t>In addition to the MEE, MassHealth</w:t>
      </w:r>
      <w:r w:rsidR="006A244F" w:rsidRPr="00753798">
        <w:rPr>
          <w:rFonts w:cstheme="minorHAnsi"/>
        </w:rPr>
        <w:t xml:space="preserve"> has several different member/stakeholder committees (listed below) for specific programs and initiatives. These committees serve as a source of guidance for informing quality programs as well as broader statewide quality priorities, strategies, and initiatives. </w:t>
      </w:r>
    </w:p>
    <w:p w14:paraId="6C8FB441" w14:textId="70A9A8AF" w:rsidR="006A244F" w:rsidRPr="00753798" w:rsidRDefault="006A244F">
      <w:pPr>
        <w:pStyle w:val="ListParagraph"/>
        <w:numPr>
          <w:ilvl w:val="0"/>
          <w:numId w:val="21"/>
        </w:numPr>
        <w:rPr>
          <w:rFonts w:cstheme="minorHAnsi"/>
        </w:rPr>
      </w:pPr>
      <w:r w:rsidRPr="00753798">
        <w:rPr>
          <w:rFonts w:cstheme="minorHAnsi"/>
        </w:rPr>
        <w:t>One Care Implementation Council</w:t>
      </w:r>
    </w:p>
    <w:p w14:paraId="60032436" w14:textId="65078B93" w:rsidR="006A244F" w:rsidRPr="00753798" w:rsidRDefault="006A244F">
      <w:pPr>
        <w:pStyle w:val="ListParagraph"/>
        <w:numPr>
          <w:ilvl w:val="0"/>
          <w:numId w:val="21"/>
        </w:numPr>
        <w:rPr>
          <w:rFonts w:cstheme="minorHAnsi"/>
        </w:rPr>
      </w:pPr>
      <w:r w:rsidRPr="00753798">
        <w:rPr>
          <w:rFonts w:cstheme="minorHAnsi"/>
        </w:rPr>
        <w:t xml:space="preserve">Senior Care Options Advisory Committee </w:t>
      </w:r>
    </w:p>
    <w:p w14:paraId="73911C88" w14:textId="3F370ABD" w:rsidR="006A244F" w:rsidRPr="00753798" w:rsidRDefault="006A244F">
      <w:pPr>
        <w:pStyle w:val="ListParagraph"/>
        <w:numPr>
          <w:ilvl w:val="0"/>
          <w:numId w:val="21"/>
        </w:numPr>
        <w:rPr>
          <w:rFonts w:cstheme="minorHAnsi"/>
        </w:rPr>
      </w:pPr>
      <w:r w:rsidRPr="00753798">
        <w:rPr>
          <w:rFonts w:cstheme="minorHAnsi"/>
        </w:rPr>
        <w:t>Disability and Eligibility Advocates Meetings</w:t>
      </w:r>
    </w:p>
    <w:p w14:paraId="21008358" w14:textId="4D44B80E" w:rsidR="006A244F" w:rsidRPr="00753798" w:rsidRDefault="006A244F">
      <w:pPr>
        <w:pStyle w:val="ListParagraph"/>
        <w:numPr>
          <w:ilvl w:val="0"/>
          <w:numId w:val="21"/>
        </w:numPr>
        <w:rPr>
          <w:rFonts w:cstheme="minorHAnsi"/>
        </w:rPr>
      </w:pPr>
      <w:r w:rsidRPr="00753798">
        <w:rPr>
          <w:rFonts w:cstheme="minorHAnsi"/>
        </w:rPr>
        <w:t>Care Model Focus Initiative (CMFI)</w:t>
      </w:r>
    </w:p>
    <w:p w14:paraId="07C8A859" w14:textId="56831482" w:rsidR="006A244F" w:rsidRPr="00753798" w:rsidRDefault="006A244F">
      <w:pPr>
        <w:pStyle w:val="ListParagraph"/>
        <w:numPr>
          <w:ilvl w:val="0"/>
          <w:numId w:val="21"/>
        </w:numPr>
        <w:rPr>
          <w:rFonts w:cstheme="minorHAnsi"/>
        </w:rPr>
      </w:pPr>
      <w:r w:rsidRPr="00753798">
        <w:rPr>
          <w:rFonts w:cstheme="minorHAnsi"/>
        </w:rPr>
        <w:t xml:space="preserve">MassHealth </w:t>
      </w:r>
      <w:r w:rsidR="00CB6843" w:rsidRPr="00753798">
        <w:rPr>
          <w:rFonts w:cstheme="minorHAnsi"/>
        </w:rPr>
        <w:t>required MCP</w:t>
      </w:r>
      <w:r w:rsidRPr="00753798">
        <w:rPr>
          <w:rFonts w:cstheme="minorHAnsi"/>
        </w:rPr>
        <w:t xml:space="preserve"> engage</w:t>
      </w:r>
      <w:r w:rsidR="00CB6843" w:rsidRPr="00753798">
        <w:rPr>
          <w:rFonts w:cstheme="minorHAnsi"/>
        </w:rPr>
        <w:t>ment with</w:t>
      </w:r>
      <w:r w:rsidRPr="00753798">
        <w:rPr>
          <w:rFonts w:cstheme="minorHAnsi"/>
        </w:rPr>
        <w:t xml:space="preserve"> members through Consumer Advisory Councils</w:t>
      </w:r>
      <w:r w:rsidR="00F35A3B">
        <w:rPr>
          <w:rFonts w:cstheme="minorHAnsi"/>
        </w:rPr>
        <w:t xml:space="preserve"> and </w:t>
      </w:r>
      <w:r w:rsidRPr="00753798">
        <w:rPr>
          <w:rFonts w:cstheme="minorHAnsi"/>
        </w:rPr>
        <w:t>Patient</w:t>
      </w:r>
      <w:r w:rsidR="00F35A3B">
        <w:rPr>
          <w:rFonts w:cstheme="minorHAnsi"/>
        </w:rPr>
        <w:t>/</w:t>
      </w:r>
      <w:r w:rsidRPr="00753798">
        <w:rPr>
          <w:rFonts w:cstheme="minorHAnsi"/>
        </w:rPr>
        <w:t>Family Advisory Councils</w:t>
      </w:r>
    </w:p>
    <w:p w14:paraId="1CF7D9EC" w14:textId="7A8C6A57" w:rsidR="00753CD6" w:rsidRPr="00BB6AD3" w:rsidRDefault="00753CD6" w:rsidP="00BB6AD3">
      <w:pPr>
        <w:pStyle w:val="Heading2"/>
        <w:spacing w:after="120"/>
      </w:pPr>
      <w:bookmarkStart w:id="16" w:name="_Toc147244414"/>
      <w:r w:rsidRPr="00BB6AD3">
        <w:rPr>
          <w:rStyle w:val="Heading2Char"/>
          <w:rFonts w:eastAsiaTheme="minorEastAsia"/>
          <w:b/>
          <w:bCs/>
        </w:rPr>
        <w:lastRenderedPageBreak/>
        <w:t>Progress On Quality Strategy Goals and Objectives and Goal Revision</w:t>
      </w:r>
      <w:bookmarkEnd w:id="16"/>
      <w:r w:rsidRPr="00BB6AD3">
        <w:t xml:space="preserve">  </w:t>
      </w:r>
    </w:p>
    <w:p w14:paraId="5AD3750F" w14:textId="22372670" w:rsidR="00A305B5" w:rsidRDefault="2655A443" w:rsidP="009E3CDB">
      <w:pPr>
        <w:pStyle w:val="xmsolistparagraph"/>
        <w:spacing w:before="0" w:beforeAutospacing="0" w:after="0" w:afterAutospacing="0"/>
        <w:rPr>
          <w:rFonts w:asciiTheme="minorHAnsi" w:hAnsiTheme="minorHAnsi" w:cstheme="minorBidi"/>
        </w:rPr>
      </w:pPr>
      <w:r w:rsidRPr="692C77C9">
        <w:rPr>
          <w:rFonts w:asciiTheme="minorHAnsi" w:hAnsiTheme="minorHAnsi" w:cstheme="minorBidi"/>
        </w:rPr>
        <w:t xml:space="preserve">In this </w:t>
      </w:r>
      <w:r w:rsidR="1762A03A" w:rsidRPr="692C77C9">
        <w:rPr>
          <w:rFonts w:asciiTheme="minorHAnsi" w:hAnsiTheme="minorHAnsi" w:cstheme="minorBidi"/>
        </w:rPr>
        <w:t>E</w:t>
      </w:r>
      <w:r w:rsidRPr="692C77C9">
        <w:rPr>
          <w:rFonts w:asciiTheme="minorHAnsi" w:hAnsiTheme="minorHAnsi" w:cstheme="minorBidi"/>
        </w:rPr>
        <w:t xml:space="preserve">valuation, </w:t>
      </w:r>
      <w:r w:rsidR="13753CDD" w:rsidRPr="692C77C9">
        <w:rPr>
          <w:rFonts w:asciiTheme="minorHAnsi" w:hAnsiTheme="minorHAnsi" w:cstheme="minorBidi"/>
        </w:rPr>
        <w:t>MassHealth</w:t>
      </w:r>
      <w:r w:rsidRPr="692C77C9">
        <w:rPr>
          <w:rFonts w:asciiTheme="minorHAnsi" w:hAnsiTheme="minorHAnsi" w:cstheme="minorBidi"/>
        </w:rPr>
        <w:t xml:space="preserve"> selected 28 quality measures to evaluate progress toward meeting Quality Goals 1-5. Of these, MassHealth met the MY 2020 benchmark on nine measures and met the Gap to Goal target on nine others. MassHealth thus met </w:t>
      </w:r>
      <w:r w:rsidR="00F35A3B" w:rsidRPr="692C77C9">
        <w:rPr>
          <w:rFonts w:asciiTheme="minorHAnsi" w:hAnsiTheme="minorHAnsi" w:cstheme="minorBidi"/>
        </w:rPr>
        <w:t xml:space="preserve">either </w:t>
      </w:r>
      <w:r w:rsidRPr="692C77C9">
        <w:rPr>
          <w:rFonts w:asciiTheme="minorHAnsi" w:hAnsiTheme="minorHAnsi" w:cstheme="minorBidi"/>
        </w:rPr>
        <w:t xml:space="preserve">the benchmark or Gap to Goal improvement target on nearly two-thirds of the measures. This shows that while MassHealth did make considerable progress towards meeting Goals 1-5 during the three-year period, opportunities for improvement remain available, particularly in the chronic disease/priority conditions domain (Goal 4). </w:t>
      </w:r>
      <w:r w:rsidR="7F904809" w:rsidRPr="692C77C9">
        <w:rPr>
          <w:rFonts w:asciiTheme="minorHAnsi" w:hAnsiTheme="minorHAnsi" w:cstheme="minorBidi"/>
        </w:rPr>
        <w:t xml:space="preserve">For Goal 6, MassHealth focused on building </w:t>
      </w:r>
      <w:r w:rsidR="159089F7" w:rsidRPr="692C77C9">
        <w:rPr>
          <w:rFonts w:asciiTheme="minorHAnsi" w:hAnsiTheme="minorHAnsi" w:cstheme="minorBidi"/>
        </w:rPr>
        <w:t xml:space="preserve">the </w:t>
      </w:r>
      <w:r w:rsidR="67B59556" w:rsidRPr="692C77C9">
        <w:rPr>
          <w:rFonts w:asciiTheme="minorHAnsi" w:hAnsiTheme="minorHAnsi" w:cstheme="minorBidi"/>
        </w:rPr>
        <w:t xml:space="preserve">necessary </w:t>
      </w:r>
      <w:r w:rsidR="159089F7" w:rsidRPr="692C77C9">
        <w:rPr>
          <w:rFonts w:asciiTheme="minorHAnsi" w:hAnsiTheme="minorHAnsi" w:cstheme="minorBidi"/>
        </w:rPr>
        <w:t xml:space="preserve">capacity to </w:t>
      </w:r>
      <w:r w:rsidR="2125D39B" w:rsidRPr="692C77C9">
        <w:rPr>
          <w:rFonts w:asciiTheme="minorHAnsi" w:hAnsiTheme="minorHAnsi" w:cstheme="minorBidi"/>
        </w:rPr>
        <w:t>support achievement of this goal going forward</w:t>
      </w:r>
      <w:r w:rsidR="159089F7" w:rsidRPr="692C77C9">
        <w:rPr>
          <w:rFonts w:asciiTheme="minorHAnsi" w:hAnsiTheme="minorHAnsi" w:cstheme="minorBidi"/>
        </w:rPr>
        <w:t xml:space="preserve">, </w:t>
      </w:r>
      <w:r w:rsidR="01A5B682" w:rsidRPr="692C77C9">
        <w:rPr>
          <w:rFonts w:asciiTheme="minorHAnsi" w:hAnsiTheme="minorHAnsi" w:cstheme="minorBidi"/>
        </w:rPr>
        <w:t>namely</w:t>
      </w:r>
      <w:r w:rsidR="72F1273D" w:rsidRPr="692C77C9">
        <w:rPr>
          <w:rFonts w:asciiTheme="minorHAnsi" w:hAnsiTheme="minorHAnsi" w:cstheme="minorBidi"/>
        </w:rPr>
        <w:t xml:space="preserve"> </w:t>
      </w:r>
      <w:r w:rsidR="4DF33DB3" w:rsidRPr="692C77C9">
        <w:rPr>
          <w:rFonts w:asciiTheme="minorHAnsi" w:hAnsiTheme="minorHAnsi" w:cstheme="minorBidi"/>
        </w:rPr>
        <w:t xml:space="preserve">measurement and identification of </w:t>
      </w:r>
      <w:r w:rsidR="5DB23E6D" w:rsidRPr="692C77C9">
        <w:rPr>
          <w:rFonts w:asciiTheme="minorHAnsi" w:hAnsiTheme="minorHAnsi" w:cstheme="minorBidi"/>
        </w:rPr>
        <w:t>disparities</w:t>
      </w:r>
      <w:r w:rsidR="4DF33DB3" w:rsidRPr="692C77C9">
        <w:rPr>
          <w:rFonts w:asciiTheme="minorHAnsi" w:hAnsiTheme="minorHAnsi" w:cstheme="minorBidi"/>
        </w:rPr>
        <w:t xml:space="preserve"> within the MassHealth populat</w:t>
      </w:r>
      <w:r w:rsidR="41C092E1" w:rsidRPr="692C77C9">
        <w:rPr>
          <w:rFonts w:asciiTheme="minorHAnsi" w:hAnsiTheme="minorHAnsi" w:cstheme="minorBidi"/>
        </w:rPr>
        <w:t>ion</w:t>
      </w:r>
      <w:r w:rsidR="40FB7328" w:rsidRPr="692C77C9">
        <w:rPr>
          <w:rFonts w:asciiTheme="minorHAnsi" w:hAnsiTheme="minorHAnsi" w:cstheme="minorBidi"/>
        </w:rPr>
        <w:t>.</w:t>
      </w:r>
    </w:p>
    <w:p w14:paraId="5B4800C1" w14:textId="7451CA98" w:rsidR="00A07596" w:rsidRDefault="00A07596" w:rsidP="00753CD6">
      <w:pPr>
        <w:pStyle w:val="Default"/>
        <w:rPr>
          <w:rFonts w:asciiTheme="minorHAnsi" w:hAnsiTheme="minorHAnsi" w:cstheme="minorHAnsi"/>
          <w:sz w:val="22"/>
          <w:szCs w:val="22"/>
        </w:rPr>
      </w:pPr>
    </w:p>
    <w:p w14:paraId="00D62B4C" w14:textId="0D831BF5" w:rsidR="00A07596" w:rsidRDefault="55680FB8" w:rsidP="4BBB9B93">
      <w:pPr>
        <w:pStyle w:val="Default"/>
        <w:rPr>
          <w:rFonts w:asciiTheme="minorHAnsi" w:hAnsiTheme="minorHAnsi" w:cstheme="minorBidi"/>
          <w:sz w:val="22"/>
          <w:szCs w:val="22"/>
        </w:rPr>
      </w:pPr>
      <w:r w:rsidRPr="4BBB9B93">
        <w:rPr>
          <w:rFonts w:asciiTheme="minorHAnsi" w:hAnsiTheme="minorHAnsi" w:cstheme="minorBidi"/>
          <w:sz w:val="22"/>
          <w:szCs w:val="22"/>
        </w:rPr>
        <w:t xml:space="preserve">Notably, </w:t>
      </w:r>
      <w:r w:rsidR="5850A352" w:rsidRPr="4BBB9B93">
        <w:rPr>
          <w:rFonts w:asciiTheme="minorHAnsi" w:hAnsiTheme="minorHAnsi" w:cstheme="minorBidi"/>
          <w:sz w:val="22"/>
          <w:szCs w:val="22"/>
        </w:rPr>
        <w:t xml:space="preserve">MassHealth made this progress notwithstanding </w:t>
      </w:r>
      <w:r w:rsidR="02D5BA93" w:rsidRPr="4BBB9B93">
        <w:rPr>
          <w:rFonts w:asciiTheme="minorHAnsi" w:hAnsiTheme="minorHAnsi" w:cstheme="minorBidi"/>
          <w:sz w:val="22"/>
          <w:szCs w:val="22"/>
        </w:rPr>
        <w:t>the unprecedented C</w:t>
      </w:r>
      <w:r w:rsidR="00672771" w:rsidRPr="4BBB9B93">
        <w:rPr>
          <w:rFonts w:asciiTheme="minorHAnsi" w:hAnsiTheme="minorHAnsi" w:cstheme="minorBidi"/>
          <w:sz w:val="22"/>
          <w:szCs w:val="22"/>
        </w:rPr>
        <w:t>OVID</w:t>
      </w:r>
      <w:r w:rsidR="02D5BA93" w:rsidRPr="4BBB9B93">
        <w:rPr>
          <w:rFonts w:asciiTheme="minorHAnsi" w:hAnsiTheme="minorHAnsi" w:cstheme="minorBidi"/>
          <w:sz w:val="22"/>
          <w:szCs w:val="22"/>
        </w:rPr>
        <w:t xml:space="preserve">-19 Public Health Emergency (PHE) that </w:t>
      </w:r>
      <w:r w:rsidR="089C98F5" w:rsidRPr="4BBB9B93">
        <w:rPr>
          <w:rFonts w:asciiTheme="minorHAnsi" w:hAnsiTheme="minorHAnsi" w:cstheme="minorBidi"/>
          <w:sz w:val="22"/>
          <w:szCs w:val="22"/>
        </w:rPr>
        <w:t xml:space="preserve">began </w:t>
      </w:r>
      <w:r w:rsidR="5B9EC5F3" w:rsidRPr="4BBB9B93">
        <w:rPr>
          <w:rFonts w:asciiTheme="minorHAnsi" w:hAnsiTheme="minorHAnsi" w:cstheme="minorBidi"/>
          <w:sz w:val="22"/>
          <w:szCs w:val="22"/>
        </w:rPr>
        <w:t xml:space="preserve">in </w:t>
      </w:r>
      <w:r w:rsidR="00C001E7" w:rsidRPr="4BBB9B93">
        <w:rPr>
          <w:rFonts w:asciiTheme="minorHAnsi" w:hAnsiTheme="minorHAnsi" w:cstheme="minorBidi"/>
          <w:sz w:val="22"/>
          <w:szCs w:val="22"/>
        </w:rPr>
        <w:t>CY2020</w:t>
      </w:r>
      <w:r w:rsidR="02D5BA93" w:rsidRPr="4BBB9B93">
        <w:rPr>
          <w:rFonts w:asciiTheme="minorHAnsi" w:hAnsiTheme="minorHAnsi" w:cstheme="minorBidi"/>
          <w:sz w:val="22"/>
          <w:szCs w:val="22"/>
        </w:rPr>
        <w:t>.</w:t>
      </w:r>
      <w:r w:rsidR="02D5BA93">
        <w:t xml:space="preserve"> </w:t>
      </w:r>
      <w:r w:rsidR="02D5BA93" w:rsidRPr="4BBB9B93">
        <w:rPr>
          <w:rFonts w:asciiTheme="minorHAnsi" w:hAnsiTheme="minorHAnsi" w:cstheme="minorBidi"/>
          <w:sz w:val="22"/>
          <w:szCs w:val="22"/>
        </w:rPr>
        <w:t>W</w:t>
      </w:r>
      <w:r w:rsidR="02D5BA93" w:rsidRPr="4BBB9B93">
        <w:rPr>
          <w:rFonts w:asciiTheme="minorHAnsi" w:eastAsia="Times New Roman" w:hAnsiTheme="minorHAnsi" w:cstheme="minorBidi"/>
          <w:sz w:val="22"/>
          <w:szCs w:val="22"/>
        </w:rPr>
        <w:t>hile the precise impact of the PHE is unknown, it is assumed that it</w:t>
      </w:r>
      <w:r w:rsidR="00BE6B10" w:rsidRPr="4BBB9B93">
        <w:rPr>
          <w:rFonts w:asciiTheme="minorHAnsi" w:eastAsia="Times New Roman" w:hAnsiTheme="minorHAnsi" w:cstheme="minorBidi"/>
          <w:sz w:val="22"/>
          <w:szCs w:val="22"/>
        </w:rPr>
        <w:t xml:space="preserve"> </w:t>
      </w:r>
      <w:r w:rsidR="02D5BA93" w:rsidRPr="4BBB9B93">
        <w:rPr>
          <w:rFonts w:asciiTheme="minorHAnsi" w:eastAsia="Times New Roman" w:hAnsiTheme="minorHAnsi" w:cstheme="minorBidi"/>
          <w:sz w:val="22"/>
          <w:szCs w:val="22"/>
        </w:rPr>
        <w:t>impacted results</w:t>
      </w:r>
      <w:r w:rsidR="089C98F5" w:rsidRPr="4BBB9B93">
        <w:rPr>
          <w:rFonts w:asciiTheme="minorHAnsi" w:eastAsia="Times New Roman" w:hAnsiTheme="minorHAnsi" w:cstheme="minorBidi"/>
          <w:sz w:val="22"/>
          <w:szCs w:val="22"/>
        </w:rPr>
        <w:t xml:space="preserve"> as follows</w:t>
      </w:r>
      <w:r w:rsidR="00F35A3B">
        <w:rPr>
          <w:rFonts w:asciiTheme="minorHAnsi" w:eastAsia="Times New Roman" w:hAnsiTheme="minorHAnsi" w:cstheme="minorBidi"/>
          <w:sz w:val="22"/>
          <w:szCs w:val="22"/>
        </w:rPr>
        <w:t>.</w:t>
      </w:r>
    </w:p>
    <w:p w14:paraId="7FBFB401" w14:textId="2761E96C" w:rsidR="00DA457F" w:rsidRDefault="00DA457F" w:rsidP="00753CD6">
      <w:pPr>
        <w:pStyle w:val="Default"/>
        <w:rPr>
          <w:rFonts w:asciiTheme="minorHAnsi" w:hAnsiTheme="minorHAnsi" w:cstheme="minorHAnsi"/>
          <w:sz w:val="22"/>
          <w:szCs w:val="22"/>
        </w:rPr>
      </w:pPr>
    </w:p>
    <w:p w14:paraId="61BC3BE6" w14:textId="77777777" w:rsidR="00DA457F" w:rsidRPr="00677446" w:rsidRDefault="00DA457F">
      <w:pPr>
        <w:numPr>
          <w:ilvl w:val="0"/>
          <w:numId w:val="26"/>
        </w:numPr>
        <w:textAlignment w:val="baseline"/>
        <w:rPr>
          <w:rFonts w:eastAsia="Times New Roman" w:cs="Calibri"/>
        </w:rPr>
      </w:pPr>
      <w:r w:rsidRPr="00677446">
        <w:rPr>
          <w:rFonts w:eastAsia="Times New Roman" w:cs="Calibri"/>
        </w:rPr>
        <w:t>COVID testing, cases, and hospitalizations overwhelmed the health care system in 2020.</w:t>
      </w:r>
    </w:p>
    <w:p w14:paraId="0D52D334" w14:textId="77777777" w:rsidR="00DA457F" w:rsidRPr="00677446" w:rsidRDefault="00DA457F">
      <w:pPr>
        <w:numPr>
          <w:ilvl w:val="0"/>
          <w:numId w:val="26"/>
        </w:numPr>
        <w:textAlignment w:val="baseline"/>
        <w:rPr>
          <w:rFonts w:eastAsia="Times New Roman" w:cs="Calibri"/>
        </w:rPr>
      </w:pPr>
      <w:r w:rsidRPr="00677446">
        <w:rPr>
          <w:rFonts w:eastAsia="Times New Roman" w:cs="Calibri"/>
        </w:rPr>
        <w:t>Members delayed preventive and other necessary care.</w:t>
      </w:r>
    </w:p>
    <w:p w14:paraId="3D7D33E7" w14:textId="37E9ED39" w:rsidR="00DA457F" w:rsidRDefault="00DA457F">
      <w:pPr>
        <w:numPr>
          <w:ilvl w:val="0"/>
          <w:numId w:val="26"/>
        </w:numPr>
        <w:spacing w:after="240"/>
        <w:textAlignment w:val="baseline"/>
        <w:rPr>
          <w:rFonts w:eastAsia="Times New Roman" w:cs="Calibri"/>
        </w:rPr>
      </w:pPr>
      <w:r w:rsidRPr="00677446">
        <w:rPr>
          <w:rFonts w:eastAsia="Times New Roman" w:cs="Calibri"/>
        </w:rPr>
        <w:t xml:space="preserve">Enrollment in MassHealth increased over 25% during the PHE period of March 30, 2020, through March 31, 2022.  </w:t>
      </w:r>
    </w:p>
    <w:p w14:paraId="724490C6" w14:textId="40AEE98E" w:rsidR="00DA457F" w:rsidRPr="00A07596" w:rsidRDefault="00E47F51" w:rsidP="00A07596">
      <w:pPr>
        <w:pStyle w:val="paragraph"/>
        <w:spacing w:before="0" w:beforeAutospacing="0" w:after="200" w:afterAutospacing="0"/>
        <w:textAlignment w:val="baseline"/>
        <w:rPr>
          <w:rFonts w:asciiTheme="minorHAnsi" w:hAnsiTheme="minorHAnsi" w:cstheme="minorHAnsi"/>
          <w:position w:val="1"/>
          <w:sz w:val="22"/>
          <w:szCs w:val="22"/>
        </w:rPr>
      </w:pPr>
      <w:r>
        <w:rPr>
          <w:rStyle w:val="normaltextrun"/>
          <w:rFonts w:asciiTheme="minorHAnsi" w:hAnsiTheme="minorHAnsi" w:cstheme="minorHAnsi"/>
          <w:position w:val="1"/>
          <w:sz w:val="22"/>
          <w:szCs w:val="22"/>
        </w:rPr>
        <w:t xml:space="preserve">In evaluating </w:t>
      </w:r>
      <w:r w:rsidR="00DA457F">
        <w:rPr>
          <w:rStyle w:val="normaltextrun"/>
          <w:rFonts w:asciiTheme="minorHAnsi" w:hAnsiTheme="minorHAnsi" w:cstheme="minorHAnsi"/>
          <w:position w:val="1"/>
          <w:sz w:val="22"/>
          <w:szCs w:val="22"/>
        </w:rPr>
        <w:t xml:space="preserve">quality measure </w:t>
      </w:r>
      <w:r w:rsidR="00DA457F" w:rsidRPr="007F7077">
        <w:rPr>
          <w:rStyle w:val="normaltextrun"/>
          <w:rFonts w:asciiTheme="minorHAnsi" w:hAnsiTheme="minorHAnsi" w:cstheme="minorHAnsi"/>
          <w:position w:val="1"/>
          <w:sz w:val="22"/>
          <w:szCs w:val="22"/>
        </w:rPr>
        <w:t>performance</w:t>
      </w:r>
      <w:r>
        <w:rPr>
          <w:rStyle w:val="normaltextrun"/>
          <w:rFonts w:asciiTheme="minorHAnsi" w:hAnsiTheme="minorHAnsi" w:cstheme="minorHAnsi"/>
          <w:position w:val="1"/>
          <w:sz w:val="22"/>
          <w:szCs w:val="22"/>
        </w:rPr>
        <w:t>, these unusual circumstances</w:t>
      </w:r>
      <w:r w:rsidR="00DA457F" w:rsidRPr="007F7077">
        <w:rPr>
          <w:rStyle w:val="normaltextrun"/>
          <w:rFonts w:asciiTheme="minorHAnsi" w:hAnsiTheme="minorHAnsi" w:cstheme="minorHAnsi"/>
          <w:position w:val="1"/>
          <w:sz w:val="22"/>
          <w:szCs w:val="22"/>
        </w:rPr>
        <w:t xml:space="preserve"> should be </w:t>
      </w:r>
      <w:r>
        <w:rPr>
          <w:rStyle w:val="normaltextrun"/>
          <w:rFonts w:asciiTheme="minorHAnsi" w:hAnsiTheme="minorHAnsi" w:cstheme="minorHAnsi"/>
          <w:position w:val="1"/>
          <w:sz w:val="22"/>
          <w:szCs w:val="22"/>
        </w:rPr>
        <w:t>taken into consideration</w:t>
      </w:r>
      <w:r w:rsidR="004D7924">
        <w:rPr>
          <w:rStyle w:val="normaltextrun"/>
          <w:rFonts w:asciiTheme="minorHAnsi" w:hAnsiTheme="minorHAnsi" w:cstheme="minorHAnsi"/>
          <w:position w:val="1"/>
          <w:sz w:val="22"/>
          <w:szCs w:val="22"/>
        </w:rPr>
        <w:t>.</w:t>
      </w:r>
    </w:p>
    <w:p w14:paraId="7C0D0F4F" w14:textId="5CBA4690" w:rsidR="00A305B5" w:rsidRDefault="00AA1E7D" w:rsidP="00753CD6">
      <w:pPr>
        <w:pStyle w:val="Default"/>
        <w:rPr>
          <w:rFonts w:asciiTheme="minorHAnsi" w:hAnsiTheme="minorHAnsi" w:cstheme="minorHAnsi"/>
          <w:sz w:val="22"/>
          <w:szCs w:val="22"/>
        </w:rPr>
      </w:pPr>
      <w:r>
        <w:rPr>
          <w:rFonts w:asciiTheme="minorHAnsi" w:hAnsiTheme="minorHAnsi" w:cstheme="minorHAnsi"/>
          <w:sz w:val="22"/>
          <w:szCs w:val="22"/>
        </w:rPr>
        <w:t>While MassHealth is encouraged by the fact that</w:t>
      </w:r>
      <w:r w:rsidR="00916949">
        <w:rPr>
          <w:rFonts w:asciiTheme="minorHAnsi" w:hAnsiTheme="minorHAnsi" w:cstheme="minorHAnsi"/>
          <w:sz w:val="22"/>
          <w:szCs w:val="22"/>
        </w:rPr>
        <w:t xml:space="preserve"> it observed</w:t>
      </w:r>
      <w:r>
        <w:rPr>
          <w:rFonts w:asciiTheme="minorHAnsi" w:hAnsiTheme="minorHAnsi" w:cstheme="minorHAnsi"/>
          <w:sz w:val="22"/>
          <w:szCs w:val="22"/>
        </w:rPr>
        <w:t xml:space="preserve"> </w:t>
      </w:r>
      <w:r w:rsidR="00916949">
        <w:rPr>
          <w:rFonts w:asciiTheme="minorHAnsi" w:hAnsiTheme="minorHAnsi" w:cstheme="minorHAnsi"/>
          <w:sz w:val="22"/>
          <w:szCs w:val="22"/>
        </w:rPr>
        <w:t>G</w:t>
      </w:r>
      <w:r>
        <w:rPr>
          <w:rFonts w:asciiTheme="minorHAnsi" w:hAnsiTheme="minorHAnsi" w:cstheme="minorHAnsi"/>
          <w:sz w:val="22"/>
          <w:szCs w:val="22"/>
        </w:rPr>
        <w:t xml:space="preserve">ap to </w:t>
      </w:r>
      <w:r w:rsidR="00916949">
        <w:rPr>
          <w:rFonts w:asciiTheme="minorHAnsi" w:hAnsiTheme="minorHAnsi" w:cstheme="minorHAnsi"/>
          <w:sz w:val="22"/>
          <w:szCs w:val="22"/>
        </w:rPr>
        <w:t>G</w:t>
      </w:r>
      <w:r>
        <w:rPr>
          <w:rFonts w:asciiTheme="minorHAnsi" w:hAnsiTheme="minorHAnsi" w:cstheme="minorHAnsi"/>
          <w:sz w:val="22"/>
          <w:szCs w:val="22"/>
        </w:rPr>
        <w:t>oal improvements</w:t>
      </w:r>
      <w:r w:rsidR="00A07596">
        <w:rPr>
          <w:rFonts w:asciiTheme="minorHAnsi" w:hAnsiTheme="minorHAnsi" w:cstheme="minorHAnsi"/>
          <w:sz w:val="22"/>
          <w:szCs w:val="22"/>
        </w:rPr>
        <w:t xml:space="preserve"> despite the PHE</w:t>
      </w:r>
      <w:r>
        <w:rPr>
          <w:rFonts w:asciiTheme="minorHAnsi" w:hAnsiTheme="minorHAnsi" w:cstheme="minorHAnsi"/>
          <w:sz w:val="22"/>
          <w:szCs w:val="22"/>
        </w:rPr>
        <w:t xml:space="preserve">, MassHealth </w:t>
      </w:r>
      <w:r w:rsidR="00E43EC0">
        <w:rPr>
          <w:rFonts w:asciiTheme="minorHAnsi" w:hAnsiTheme="minorHAnsi" w:cstheme="minorHAnsi"/>
          <w:sz w:val="22"/>
          <w:szCs w:val="22"/>
        </w:rPr>
        <w:t xml:space="preserve">also </w:t>
      </w:r>
      <w:r>
        <w:rPr>
          <w:rFonts w:asciiTheme="minorHAnsi" w:hAnsiTheme="minorHAnsi" w:cstheme="minorHAnsi"/>
          <w:sz w:val="22"/>
          <w:szCs w:val="22"/>
        </w:rPr>
        <w:t xml:space="preserve">retains the goal of raising performance to the benchmark level.  For this reason, MassHealth is maintaining the quality goals and associated measures discussed in this </w:t>
      </w:r>
      <w:r w:rsidR="00E43EC0">
        <w:rPr>
          <w:rFonts w:asciiTheme="minorHAnsi" w:hAnsiTheme="minorHAnsi" w:cstheme="minorHAnsi"/>
          <w:sz w:val="22"/>
          <w:szCs w:val="22"/>
        </w:rPr>
        <w:t>E</w:t>
      </w:r>
      <w:r>
        <w:rPr>
          <w:rFonts w:asciiTheme="minorHAnsi" w:hAnsiTheme="minorHAnsi" w:cstheme="minorHAnsi"/>
          <w:sz w:val="22"/>
          <w:szCs w:val="22"/>
        </w:rPr>
        <w:t xml:space="preserve">valuation for its revised </w:t>
      </w:r>
      <w:r w:rsidR="00E43EC0">
        <w:rPr>
          <w:rFonts w:asciiTheme="minorHAnsi" w:hAnsiTheme="minorHAnsi" w:cstheme="minorHAnsi"/>
          <w:sz w:val="22"/>
          <w:szCs w:val="22"/>
        </w:rPr>
        <w:t>2022 CQS, which was</w:t>
      </w:r>
      <w:r w:rsidR="0056698A">
        <w:rPr>
          <w:rFonts w:asciiTheme="minorHAnsi" w:hAnsiTheme="minorHAnsi" w:cstheme="minorHAnsi"/>
          <w:sz w:val="22"/>
          <w:szCs w:val="22"/>
        </w:rPr>
        <w:t xml:space="preserve"> operationalized in Q3 2022. Goals presented in the updated quality strategy have been modified to reflect updates to organizational priorities. </w:t>
      </w:r>
    </w:p>
    <w:bookmarkEnd w:id="2"/>
    <w:p w14:paraId="3BAA7DDD" w14:textId="16AB6001" w:rsidR="00F8576A" w:rsidRDefault="00F8576A" w:rsidP="00753CD6">
      <w:pPr>
        <w:pStyle w:val="Default"/>
        <w:rPr>
          <w:rFonts w:asciiTheme="minorHAnsi" w:hAnsiTheme="minorHAnsi" w:cstheme="minorHAnsi"/>
          <w:sz w:val="22"/>
          <w:szCs w:val="22"/>
        </w:rPr>
      </w:pPr>
    </w:p>
    <w:p w14:paraId="478EBC3D" w14:textId="2ED1D9FD" w:rsidR="00F8576A" w:rsidRDefault="00F8576A" w:rsidP="00753CD6">
      <w:pPr>
        <w:pStyle w:val="Default"/>
        <w:rPr>
          <w:rFonts w:asciiTheme="minorHAnsi" w:hAnsiTheme="minorHAnsi" w:cstheme="minorHAnsi"/>
          <w:sz w:val="22"/>
          <w:szCs w:val="22"/>
        </w:rPr>
      </w:pPr>
    </w:p>
    <w:p w14:paraId="0EDB578C" w14:textId="77777777" w:rsidR="00F809BD" w:rsidRDefault="00F809BD" w:rsidP="00F809BD">
      <w:pPr>
        <w:spacing w:after="60"/>
        <w:rPr>
          <w:color w:val="000000"/>
        </w:rPr>
      </w:pPr>
    </w:p>
    <w:p w14:paraId="38CC9331" w14:textId="7DD80FDD" w:rsidR="00F809BD" w:rsidRPr="00F809BD" w:rsidRDefault="00F809BD" w:rsidP="00F809BD">
      <w:pPr>
        <w:spacing w:after="60"/>
        <w:rPr>
          <w:color w:val="000000"/>
        </w:rPr>
        <w:sectPr w:rsidR="00F809BD" w:rsidRPr="00F809BD" w:rsidSect="00EA6019">
          <w:footerReference w:type="default" r:id="rId15"/>
          <w:pgSz w:w="12240" w:h="15840"/>
          <w:pgMar w:top="1440" w:right="1440" w:bottom="1440" w:left="1440" w:header="720" w:footer="720" w:gutter="0"/>
          <w:pgNumType w:start="0"/>
          <w:cols w:space="720"/>
          <w:docGrid w:linePitch="360"/>
        </w:sectPr>
      </w:pPr>
    </w:p>
    <w:p w14:paraId="1813182D" w14:textId="13F02D95" w:rsidR="001A70D2" w:rsidRDefault="007E6C22" w:rsidP="00127AE0">
      <w:pPr>
        <w:pStyle w:val="Heading2"/>
        <w:spacing w:before="0" w:after="120"/>
        <w:rPr>
          <w:sz w:val="36"/>
          <w:szCs w:val="36"/>
        </w:rPr>
      </w:pPr>
      <w:bookmarkStart w:id="17" w:name="_Toc147244415"/>
      <w:bookmarkStart w:id="18" w:name="_Toc97500626"/>
      <w:r w:rsidRPr="692C77C9">
        <w:rPr>
          <w:sz w:val="36"/>
          <w:szCs w:val="36"/>
        </w:rPr>
        <w:lastRenderedPageBreak/>
        <w:t>Appendices</w:t>
      </w:r>
      <w:bookmarkEnd w:id="17"/>
    </w:p>
    <w:p w14:paraId="32CBCD8B" w14:textId="77777777" w:rsidR="00D27A62" w:rsidRPr="00127AE0" w:rsidRDefault="00D27A62" w:rsidP="00127AE0">
      <w:pPr>
        <w:rPr>
          <w:b/>
          <w:bCs/>
          <w:color w:val="1F497D"/>
        </w:rPr>
      </w:pPr>
      <w:r w:rsidRPr="00127AE0">
        <w:rPr>
          <w:b/>
          <w:bCs/>
          <w:color w:val="1F497D"/>
        </w:rPr>
        <w:t>Appendix A: MassHealth Managed Care Plans</w:t>
      </w:r>
    </w:p>
    <w:p w14:paraId="7FAA5E46" w14:textId="5655427E" w:rsidR="00D27A62" w:rsidRPr="00127AE0" w:rsidRDefault="00D27A62" w:rsidP="00127AE0">
      <w:pPr>
        <w:rPr>
          <w:b/>
          <w:bCs/>
          <w:color w:val="1F497D"/>
        </w:rPr>
      </w:pPr>
      <w:r w:rsidRPr="00127AE0">
        <w:rPr>
          <w:b/>
          <w:bCs/>
          <w:color w:val="1F497D"/>
        </w:rPr>
        <w:t>Appendix B:  Quality Measure Performance (Contract Level), 2018–2020</w:t>
      </w:r>
    </w:p>
    <w:p w14:paraId="3C3EF797" w14:textId="77777777" w:rsidR="000C65A9" w:rsidRPr="00127AE0" w:rsidRDefault="000C65A9" w:rsidP="00127AE0">
      <w:pPr>
        <w:rPr>
          <w:b/>
          <w:bCs/>
          <w:color w:val="1F497D"/>
        </w:rPr>
      </w:pPr>
      <w:r w:rsidRPr="00127AE0">
        <w:rPr>
          <w:b/>
          <w:bCs/>
          <w:color w:val="1F497D"/>
        </w:rPr>
        <w:t>Appendix C: CMS Adult and Child Core Measure Sets Performance (Calculated and Reported by MassHealth)</w:t>
      </w:r>
    </w:p>
    <w:p w14:paraId="04590ADC" w14:textId="3EABC394" w:rsidR="00D27A62" w:rsidRPr="00127AE0" w:rsidRDefault="000C65A9" w:rsidP="00127AE0">
      <w:pPr>
        <w:rPr>
          <w:color w:val="1F497D"/>
        </w:rPr>
      </w:pPr>
      <w:r w:rsidRPr="00127AE0">
        <w:rPr>
          <w:b/>
          <w:bCs/>
          <w:color w:val="1F497D"/>
        </w:rPr>
        <w:t>Appendix D: 2020 EQR Performance Improvement Projects (PIPs)</w:t>
      </w:r>
    </w:p>
    <w:p w14:paraId="0011640E" w14:textId="77777777" w:rsidR="001A70D2" w:rsidRDefault="001A70D2">
      <w:pPr>
        <w:rPr>
          <w:rFonts w:asciiTheme="minorHAnsi" w:eastAsia="Times New Roman" w:hAnsiTheme="minorHAnsi"/>
          <w:b/>
          <w:bCs/>
          <w:color w:val="1F497D"/>
          <w:sz w:val="36"/>
          <w:szCs w:val="36"/>
        </w:rPr>
      </w:pPr>
      <w:r>
        <w:rPr>
          <w:sz w:val="36"/>
          <w:szCs w:val="36"/>
        </w:rPr>
        <w:br w:type="page"/>
      </w:r>
    </w:p>
    <w:p w14:paraId="332F07EF" w14:textId="0BD71EBF" w:rsidR="00617E26" w:rsidRPr="00617E26" w:rsidRDefault="007E6C22" w:rsidP="000C65A9">
      <w:pPr>
        <w:pStyle w:val="Heading3"/>
        <w:spacing w:after="200"/>
      </w:pPr>
      <w:bookmarkStart w:id="19" w:name="_Toc147244416"/>
      <w:r>
        <w:lastRenderedPageBreak/>
        <w:t>Appendix A: MassHealth Managed Care Plans</w:t>
      </w:r>
      <w:bookmarkEnd w:id="19"/>
    </w:p>
    <w:tbl>
      <w:tblPr>
        <w:tblStyle w:val="GridTable4-Accent1"/>
        <w:tblW w:w="0" w:type="auto"/>
        <w:jc w:val="center"/>
        <w:tblLook w:val="04A0" w:firstRow="1" w:lastRow="0" w:firstColumn="1" w:lastColumn="0" w:noHBand="0" w:noVBand="1"/>
        <w:tblCaption w:val="Appendix B table of MassHealth Managed Care Plans"/>
      </w:tblPr>
      <w:tblGrid>
        <w:gridCol w:w="2657"/>
        <w:gridCol w:w="986"/>
        <w:gridCol w:w="1656"/>
        <w:gridCol w:w="4051"/>
      </w:tblGrid>
      <w:tr w:rsidR="007E6C22" w14:paraId="216F1E96" w14:textId="77777777" w:rsidTr="00BF0E5B">
        <w:trPr>
          <w:cnfStyle w:val="100000000000" w:firstRow="1" w:lastRow="0" w:firstColumn="0" w:lastColumn="0" w:oddVBand="0" w:evenVBand="0" w:oddHBand="0" w:evenHBand="0" w:firstRowFirstColumn="0" w:firstRowLastColumn="0" w:lastRowFirstColumn="0" w:lastRowLastColumn="0"/>
          <w:trHeight w:val="485"/>
          <w:tblHeader/>
          <w:jc w:val="center"/>
        </w:trPr>
        <w:tc>
          <w:tcPr>
            <w:cnfStyle w:val="001000000000" w:firstRow="0" w:lastRow="0" w:firstColumn="1" w:lastColumn="0" w:oddVBand="0" w:evenVBand="0" w:oddHBand="0" w:evenHBand="0" w:firstRowFirstColumn="0" w:firstRowLastColumn="0" w:lastRowFirstColumn="0" w:lastRowLastColumn="0"/>
            <w:tcW w:w="3399" w:type="dxa"/>
          </w:tcPr>
          <w:p w14:paraId="78237E02" w14:textId="77777777" w:rsidR="007E6C22" w:rsidRPr="00006380" w:rsidRDefault="007E6C22" w:rsidP="00EE745E">
            <w:pPr>
              <w:spacing w:after="240" w:line="259" w:lineRule="auto"/>
              <w:jc w:val="center"/>
              <w:rPr>
                <w:rFonts w:cs="Calibri"/>
              </w:rPr>
            </w:pPr>
            <w:r w:rsidRPr="00006380">
              <w:rPr>
                <w:rFonts w:cs="Calibri"/>
              </w:rPr>
              <w:t>Program</w:t>
            </w:r>
          </w:p>
        </w:tc>
        <w:tc>
          <w:tcPr>
            <w:tcW w:w="1144" w:type="dxa"/>
          </w:tcPr>
          <w:p w14:paraId="04A5FCD4" w14:textId="77777777"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MCP Type</w:t>
            </w:r>
          </w:p>
        </w:tc>
        <w:tc>
          <w:tcPr>
            <w:tcW w:w="1702" w:type="dxa"/>
          </w:tcPr>
          <w:p w14:paraId="6EE10C48" w14:textId="77777777"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Managed Care Authority</w:t>
            </w:r>
          </w:p>
        </w:tc>
        <w:tc>
          <w:tcPr>
            <w:tcW w:w="5275" w:type="dxa"/>
          </w:tcPr>
          <w:p w14:paraId="4AA119FF" w14:textId="4C69F5AA" w:rsidR="007E6C22" w:rsidRPr="00006380" w:rsidRDefault="007E6C22" w:rsidP="00EE745E">
            <w:pPr>
              <w:spacing w:after="240" w:line="259"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006380">
              <w:rPr>
                <w:rFonts w:cs="Calibri"/>
              </w:rPr>
              <w:t>Name of Plan</w:t>
            </w:r>
          </w:p>
        </w:tc>
      </w:tr>
      <w:tr w:rsidR="007E6C22" w14:paraId="23DC4CD7" w14:textId="77777777" w:rsidTr="00BF0E5B">
        <w:trPr>
          <w:cnfStyle w:val="000000100000" w:firstRow="0" w:lastRow="0" w:firstColumn="0" w:lastColumn="0" w:oddVBand="0" w:evenVBand="0" w:oddHBand="1" w:evenHBand="0" w:firstRowFirstColumn="0" w:firstRowLastColumn="0" w:lastRowFirstColumn="0" w:lastRowLastColumn="0"/>
          <w:trHeight w:val="4112"/>
          <w:jc w:val="center"/>
        </w:trPr>
        <w:tc>
          <w:tcPr>
            <w:cnfStyle w:val="001000000000" w:firstRow="0" w:lastRow="0" w:firstColumn="1" w:lastColumn="0" w:oddVBand="0" w:evenVBand="0" w:oddHBand="0" w:evenHBand="0" w:firstRowFirstColumn="0" w:firstRowLastColumn="0" w:lastRowFirstColumn="0" w:lastRowLastColumn="0"/>
            <w:tcW w:w="3399" w:type="dxa"/>
          </w:tcPr>
          <w:p w14:paraId="3EF516E4"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Accountable Care Organization (ACO)</w:t>
            </w:r>
          </w:p>
          <w:p w14:paraId="5B7BFDB8" w14:textId="77777777" w:rsidR="007E6C22" w:rsidRPr="0022394D" w:rsidRDefault="007E6C22" w:rsidP="00EE745E">
            <w:pPr>
              <w:spacing w:after="160" w:line="259" w:lineRule="auto"/>
              <w:rPr>
                <w:rFonts w:cs="Calibri"/>
                <w:color w:val="000000" w:themeColor="text1"/>
              </w:rPr>
            </w:pPr>
            <w:r>
              <w:rPr>
                <w:rFonts w:cs="Calibri"/>
                <w:color w:val="000000" w:themeColor="text1"/>
              </w:rPr>
              <w:t>ACO (</w:t>
            </w:r>
            <w:r w:rsidRPr="0022394D">
              <w:rPr>
                <w:rFonts w:cs="Calibri"/>
                <w:color w:val="000000" w:themeColor="text1"/>
              </w:rPr>
              <w:t>ACPP</w:t>
            </w:r>
            <w:r>
              <w:rPr>
                <w:rFonts w:cs="Calibri"/>
                <w:color w:val="000000" w:themeColor="text1"/>
              </w:rPr>
              <w:t>)</w:t>
            </w:r>
          </w:p>
        </w:tc>
        <w:tc>
          <w:tcPr>
            <w:tcW w:w="1144" w:type="dxa"/>
          </w:tcPr>
          <w:p w14:paraId="3EC17454"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1E98975B"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5EF3338E" w14:textId="5C3E5DCB"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Be Healthy Partnership</w:t>
            </w:r>
          </w:p>
          <w:p w14:paraId="330DC2F3"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Berkshire Fallon Health Collaborative</w:t>
            </w:r>
          </w:p>
          <w:p w14:paraId="31FCC17D"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Community Alliance</w:t>
            </w:r>
          </w:p>
          <w:p w14:paraId="4897B0C0"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Mercy Alliance</w:t>
            </w:r>
          </w:p>
          <w:p w14:paraId="7E649581"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Signature Alliance</w:t>
            </w:r>
          </w:p>
          <w:p w14:paraId="73C87B4F"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Southcoast Alliance</w:t>
            </w:r>
          </w:p>
          <w:p w14:paraId="6D2F72DE"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Fallon 365 Care</w:t>
            </w:r>
          </w:p>
          <w:p w14:paraId="5056A183" w14:textId="32F63726"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My Care Family</w:t>
            </w:r>
          </w:p>
          <w:p w14:paraId="267F09F7"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Atrius Health</w:t>
            </w:r>
          </w:p>
          <w:p w14:paraId="72AE075E" w14:textId="2AF4D9D3"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Beth Israel Deaconess Care Organization</w:t>
            </w:r>
            <w:r w:rsidR="00E60DBF">
              <w:rPr>
                <w:rFonts w:cs="Calibri"/>
                <w:color w:val="000000" w:themeColor="text1"/>
              </w:rPr>
              <w:t xml:space="preserve"> (BIDCO)</w:t>
            </w:r>
          </w:p>
          <w:p w14:paraId="195D9BA9" w14:textId="77777777"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Boston Children’s ACO</w:t>
            </w:r>
          </w:p>
          <w:p w14:paraId="37295546" w14:textId="5028F883" w:rsidR="007E6C22" w:rsidRDefault="007E6C22">
            <w:pPr>
              <w:pStyle w:val="ListParagraph"/>
              <w:numPr>
                <w:ilvl w:val="0"/>
                <w:numId w:val="9"/>
              </w:numPr>
              <w:spacing w:after="160"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Together with Cambridge Health Alliance</w:t>
            </w:r>
            <w:r w:rsidR="00A75EF3">
              <w:rPr>
                <w:rFonts w:cs="Calibri"/>
                <w:color w:val="000000" w:themeColor="text1"/>
              </w:rPr>
              <w:t xml:space="preserve"> (CHA)</w:t>
            </w:r>
          </w:p>
          <w:p w14:paraId="47B91EB8" w14:textId="688190B3" w:rsidR="007E6C22" w:rsidRPr="00DF67C7" w:rsidRDefault="007E6C22">
            <w:pPr>
              <w:pStyle w:val="ListParagraph"/>
              <w:numPr>
                <w:ilvl w:val="0"/>
                <w:numId w:val="9"/>
              </w:numPr>
              <w:spacing w:line="259" w:lineRule="auto"/>
              <w:cnfStyle w:val="000000100000" w:firstRow="0" w:lastRow="0" w:firstColumn="0" w:lastColumn="0" w:oddVBand="0" w:evenVBand="0" w:oddHBand="1" w:evenHBand="0" w:firstRowFirstColumn="0" w:firstRowLastColumn="0" w:lastRowFirstColumn="0" w:lastRowLastColumn="0"/>
              <w:rPr>
                <w:rFonts w:cs="Calibri"/>
                <w:color w:val="000000" w:themeColor="text1"/>
              </w:rPr>
            </w:pPr>
            <w:proofErr w:type="spellStart"/>
            <w:r w:rsidRPr="00DF67C7">
              <w:rPr>
                <w:rFonts w:cs="Calibri"/>
                <w:color w:val="000000" w:themeColor="text1"/>
              </w:rPr>
              <w:t>Wellforce</w:t>
            </w:r>
            <w:proofErr w:type="spellEnd"/>
            <w:r w:rsidRPr="00DF67C7">
              <w:rPr>
                <w:rFonts w:cs="Calibri"/>
                <w:color w:val="000000" w:themeColor="text1"/>
              </w:rPr>
              <w:t xml:space="preserve"> Care Plan</w:t>
            </w:r>
          </w:p>
        </w:tc>
      </w:tr>
      <w:tr w:rsidR="007E6C22" w14:paraId="4BB2BF35"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557C9F55" w14:textId="77777777" w:rsidR="007E6C22" w:rsidRPr="0022394D" w:rsidRDefault="007E6C22" w:rsidP="00EE745E">
            <w:pPr>
              <w:spacing w:after="160" w:line="259" w:lineRule="auto"/>
              <w:rPr>
                <w:rFonts w:cs="Calibri"/>
                <w:color w:val="000000" w:themeColor="text1"/>
              </w:rPr>
            </w:pPr>
            <w:r>
              <w:rPr>
                <w:rFonts w:cs="Calibri"/>
                <w:color w:val="000000" w:themeColor="text1"/>
              </w:rPr>
              <w:t>ACO (</w:t>
            </w:r>
            <w:r w:rsidRPr="0022394D">
              <w:rPr>
                <w:rFonts w:cs="Calibri"/>
                <w:color w:val="000000" w:themeColor="text1"/>
              </w:rPr>
              <w:t>PCACO</w:t>
            </w:r>
            <w:r>
              <w:rPr>
                <w:rFonts w:cs="Calibri"/>
                <w:color w:val="000000" w:themeColor="text1"/>
              </w:rPr>
              <w:t>)</w:t>
            </w:r>
          </w:p>
        </w:tc>
        <w:tc>
          <w:tcPr>
            <w:tcW w:w="1144" w:type="dxa"/>
          </w:tcPr>
          <w:p w14:paraId="28F967CE"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PCCM</w:t>
            </w:r>
            <w:r>
              <w:rPr>
                <w:rFonts w:cs="Calibri"/>
                <w:color w:val="000000" w:themeColor="text1"/>
              </w:rPr>
              <w:t xml:space="preserve"> entity</w:t>
            </w:r>
          </w:p>
        </w:tc>
        <w:tc>
          <w:tcPr>
            <w:tcW w:w="1702" w:type="dxa"/>
          </w:tcPr>
          <w:p w14:paraId="03102135"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1CD699CA" w14:textId="77777777" w:rsidR="007E6C22" w:rsidRPr="00BF6EC7" w:rsidRDefault="007E6C22">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Community Care Cooperative (C3)</w:t>
            </w:r>
          </w:p>
          <w:p w14:paraId="6FD6A250" w14:textId="77777777" w:rsidR="007E6C22" w:rsidRPr="00BF6EC7" w:rsidRDefault="007E6C22">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Mass General Brigham</w:t>
            </w:r>
          </w:p>
          <w:p w14:paraId="181DD64B" w14:textId="77777777" w:rsidR="007E6C22" w:rsidRPr="00BF6EC7" w:rsidRDefault="007E6C22">
            <w:pPr>
              <w:pStyle w:val="ListParagraph"/>
              <w:numPr>
                <w:ilvl w:val="0"/>
                <w:numId w:val="5"/>
              </w:numPr>
              <w:spacing w:line="259"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Steward Health Choice</w:t>
            </w:r>
          </w:p>
        </w:tc>
      </w:tr>
      <w:tr w:rsidR="007E6C22" w14:paraId="1CB711C5"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235E246E"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MCO-Administered ACO</w:t>
            </w:r>
          </w:p>
        </w:tc>
        <w:tc>
          <w:tcPr>
            <w:tcW w:w="1144" w:type="dxa"/>
          </w:tcPr>
          <w:p w14:paraId="6DA8511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6D3B19D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0F5A77EA" w14:textId="0DCD9D5D" w:rsidR="007E6C22" w:rsidRPr="00BF6EC7" w:rsidRDefault="007E6C22">
            <w:pPr>
              <w:pStyle w:val="ListParagraph"/>
              <w:numPr>
                <w:ilvl w:val="0"/>
                <w:numId w:val="6"/>
              </w:numPr>
              <w:spacing w:after="160" w:line="259" w:lineRule="auto"/>
              <w:ind w:left="361" w:hanging="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Lahey</w:t>
            </w:r>
            <w:r w:rsidR="00A249F6">
              <w:rPr>
                <w:rFonts w:cs="Calibri"/>
                <w:color w:val="000000" w:themeColor="text1"/>
              </w:rPr>
              <w:t>-MassHealth Primary Care Organization</w:t>
            </w:r>
          </w:p>
        </w:tc>
      </w:tr>
      <w:tr w:rsidR="007E6C22" w14:paraId="0479E10C"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36316A2A"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Managed Care Organization (MCO)</w:t>
            </w:r>
          </w:p>
        </w:tc>
        <w:tc>
          <w:tcPr>
            <w:tcW w:w="1144" w:type="dxa"/>
          </w:tcPr>
          <w:p w14:paraId="20C29E8F"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MC</w:t>
            </w:r>
            <w:r>
              <w:rPr>
                <w:rFonts w:cs="Calibri"/>
                <w:color w:val="000000" w:themeColor="text1"/>
              </w:rPr>
              <w:t>E</w:t>
            </w:r>
          </w:p>
        </w:tc>
        <w:tc>
          <w:tcPr>
            <w:tcW w:w="1702" w:type="dxa"/>
          </w:tcPr>
          <w:p w14:paraId="65498A7F"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51530CF7" w14:textId="77777777" w:rsidR="007E6C22" w:rsidRDefault="007E6C22">
            <w:pPr>
              <w:pStyle w:val="ListParagraph"/>
              <w:numPr>
                <w:ilvl w:val="0"/>
                <w:numId w:val="6"/>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DF67C7">
              <w:rPr>
                <w:rFonts w:cs="Calibri"/>
                <w:color w:val="000000" w:themeColor="text1"/>
              </w:rPr>
              <w:t>BMC HealthNet Plan</w:t>
            </w:r>
          </w:p>
          <w:p w14:paraId="7A254FF8" w14:textId="77777777" w:rsidR="007E6C22" w:rsidRPr="00DF67C7" w:rsidRDefault="007E6C22">
            <w:pPr>
              <w:pStyle w:val="ListParagraph"/>
              <w:numPr>
                <w:ilvl w:val="0"/>
                <w:numId w:val="6"/>
              </w:numPr>
              <w:spacing w:line="259" w:lineRule="auto"/>
              <w:ind w:left="360" w:hanging="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DF67C7">
              <w:rPr>
                <w:rFonts w:cs="Calibri"/>
                <w:color w:val="000000" w:themeColor="text1"/>
              </w:rPr>
              <w:t>Tufts Health Together</w:t>
            </w:r>
          </w:p>
        </w:tc>
      </w:tr>
      <w:tr w:rsidR="007E6C22" w14:paraId="5FC621F2"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52BB37E4"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Senior Care Options (SCO)</w:t>
            </w:r>
          </w:p>
        </w:tc>
        <w:tc>
          <w:tcPr>
            <w:tcW w:w="1144" w:type="dxa"/>
          </w:tcPr>
          <w:p w14:paraId="735BF7F2"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2A44021D"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1915(a)/1915(c)</w:t>
            </w:r>
            <w:r w:rsidRPr="00BF6EC7">
              <w:rPr>
                <w:rFonts w:eastAsia="Times New Roman" w:cs="Calibri"/>
              </w:rPr>
              <w:t> </w:t>
            </w:r>
          </w:p>
        </w:tc>
        <w:tc>
          <w:tcPr>
            <w:tcW w:w="5275" w:type="dxa"/>
          </w:tcPr>
          <w:p w14:paraId="0E11EE7A"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BMC HealthNet Plan Senior Care Options</w:t>
            </w:r>
          </w:p>
          <w:p w14:paraId="60F66CED"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Commonwealth Care Alliance</w:t>
            </w:r>
          </w:p>
          <w:p w14:paraId="68BD992F"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proofErr w:type="spellStart"/>
            <w:r w:rsidRPr="00DF67C7">
              <w:rPr>
                <w:rFonts w:cs="Calibri"/>
                <w:color w:val="000000" w:themeColor="text1"/>
              </w:rPr>
              <w:t>NaviCare</w:t>
            </w:r>
            <w:proofErr w:type="spellEnd"/>
            <w:r w:rsidRPr="00DF67C7">
              <w:rPr>
                <w:rFonts w:cs="Calibri"/>
                <w:color w:val="000000" w:themeColor="text1"/>
              </w:rPr>
              <w:t xml:space="preserve"> (HMO)</w:t>
            </w:r>
          </w:p>
          <w:p w14:paraId="4CAA9F27"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Senior Whole Health</w:t>
            </w:r>
          </w:p>
          <w:p w14:paraId="48A87768" w14:textId="77777777" w:rsidR="007E6C22" w:rsidRDefault="007E6C22">
            <w:pPr>
              <w:pStyle w:val="ListParagraph"/>
              <w:numPr>
                <w:ilvl w:val="0"/>
                <w:numId w:val="10"/>
              </w:numPr>
              <w:spacing w:after="160" w:line="259" w:lineRule="auto"/>
              <w:ind w:left="361" w:hanging="361"/>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Tufts Health Plan Senior Care Options</w:t>
            </w:r>
          </w:p>
          <w:p w14:paraId="01F99B44" w14:textId="77777777" w:rsidR="007E6C22" w:rsidRPr="00DF67C7" w:rsidRDefault="007E6C22">
            <w:pPr>
              <w:pStyle w:val="ListParagraph"/>
              <w:numPr>
                <w:ilvl w:val="0"/>
                <w:numId w:val="10"/>
              </w:numPr>
              <w:spacing w:after="240" w:line="259" w:lineRule="auto"/>
              <w:ind w:left="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DF67C7">
              <w:rPr>
                <w:rFonts w:cs="Calibri"/>
                <w:color w:val="000000" w:themeColor="text1"/>
              </w:rPr>
              <w:t>United HealthCare</w:t>
            </w:r>
          </w:p>
        </w:tc>
      </w:tr>
      <w:tr w:rsidR="007E6C22" w14:paraId="368A724B"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4F111B21"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 xml:space="preserve">One Care </w:t>
            </w:r>
          </w:p>
        </w:tc>
        <w:tc>
          <w:tcPr>
            <w:tcW w:w="1144" w:type="dxa"/>
          </w:tcPr>
          <w:p w14:paraId="5E4AA624"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MCE</w:t>
            </w:r>
          </w:p>
        </w:tc>
        <w:tc>
          <w:tcPr>
            <w:tcW w:w="1702" w:type="dxa"/>
          </w:tcPr>
          <w:p w14:paraId="70D49528"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Demonstration</w:t>
            </w:r>
          </w:p>
        </w:tc>
        <w:tc>
          <w:tcPr>
            <w:tcW w:w="5275" w:type="dxa"/>
          </w:tcPr>
          <w:p w14:paraId="266B16D2" w14:textId="77777777" w:rsidR="007E6C22" w:rsidRPr="00DF67C7"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BF6EC7">
              <w:rPr>
                <w:rFonts w:cs="Calibri"/>
                <w:color w:val="000000" w:themeColor="text1"/>
              </w:rPr>
              <w:t>Commonwealth Care Alliance</w:t>
            </w:r>
          </w:p>
          <w:p w14:paraId="7557305B" w14:textId="77777777" w:rsidR="00AF4022" w:rsidRPr="00AF4022"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DF67C7">
              <w:rPr>
                <w:rFonts w:cs="Calibri"/>
                <w:color w:val="000000" w:themeColor="text1"/>
              </w:rPr>
              <w:t>Tufts Health Plan Unify</w:t>
            </w:r>
          </w:p>
          <w:p w14:paraId="2CE70A7F" w14:textId="1915FF67" w:rsidR="007E6C22" w:rsidRPr="00AF4022" w:rsidRDefault="007E6C22">
            <w:pPr>
              <w:pStyle w:val="ListParagraph"/>
              <w:numPr>
                <w:ilvl w:val="0"/>
                <w:numId w:val="4"/>
              </w:numPr>
              <w:spacing w:after="160" w:line="259" w:lineRule="auto"/>
              <w:ind w:left="361" w:hanging="361"/>
              <w:cnfStyle w:val="000000000000" w:firstRow="0" w:lastRow="0" w:firstColumn="0" w:lastColumn="0" w:oddVBand="0" w:evenVBand="0" w:oddHBand="0" w:evenHBand="0" w:firstRowFirstColumn="0" w:firstRowLastColumn="0" w:lastRowFirstColumn="0" w:lastRowLastColumn="0"/>
            </w:pPr>
            <w:r w:rsidRPr="00AF4022">
              <w:rPr>
                <w:rFonts w:cs="Calibri"/>
                <w:color w:val="000000" w:themeColor="text1"/>
              </w:rPr>
              <w:t xml:space="preserve">United HealthCare Connected </w:t>
            </w:r>
          </w:p>
        </w:tc>
      </w:tr>
      <w:tr w:rsidR="007E6C22" w14:paraId="7270776B" w14:textId="77777777" w:rsidTr="00BF0E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9" w:type="dxa"/>
          </w:tcPr>
          <w:p w14:paraId="784F7E03"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PCC Plan</w:t>
            </w:r>
          </w:p>
        </w:tc>
        <w:tc>
          <w:tcPr>
            <w:tcW w:w="1144" w:type="dxa"/>
          </w:tcPr>
          <w:p w14:paraId="1CA21FF8" w14:textId="77777777" w:rsidR="007E6C22" w:rsidRPr="00BF6EC7" w:rsidDel="00187DD3"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PCCM</w:t>
            </w:r>
          </w:p>
        </w:tc>
        <w:tc>
          <w:tcPr>
            <w:tcW w:w="1702" w:type="dxa"/>
          </w:tcPr>
          <w:p w14:paraId="12B12FB5" w14:textId="77777777" w:rsidR="007E6C22" w:rsidRPr="00BF6EC7" w:rsidRDefault="007E6C22" w:rsidP="00EE745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1115</w:t>
            </w:r>
          </w:p>
        </w:tc>
        <w:tc>
          <w:tcPr>
            <w:tcW w:w="5275" w:type="dxa"/>
          </w:tcPr>
          <w:p w14:paraId="327FF897" w14:textId="77777777" w:rsidR="007E6C22" w:rsidRPr="00BF6EC7" w:rsidRDefault="007E6C22" w:rsidP="00EE745E">
            <w:pPr>
              <w:pStyle w:val="ListParagraph"/>
              <w:spacing w:after="160" w:line="259" w:lineRule="auto"/>
              <w:ind w:left="360"/>
              <w:cnfStyle w:val="000000100000" w:firstRow="0" w:lastRow="0" w:firstColumn="0" w:lastColumn="0" w:oddVBand="0" w:evenVBand="0" w:oddHBand="1" w:evenHBand="0" w:firstRowFirstColumn="0" w:firstRowLastColumn="0" w:lastRowFirstColumn="0" w:lastRowLastColumn="0"/>
              <w:rPr>
                <w:rFonts w:cs="Calibri"/>
                <w:color w:val="000000" w:themeColor="text1"/>
              </w:rPr>
            </w:pPr>
            <w:r w:rsidRPr="00BF6EC7">
              <w:rPr>
                <w:rFonts w:cs="Calibri"/>
                <w:color w:val="000000" w:themeColor="text1"/>
              </w:rPr>
              <w:t>NA (MassHealth)</w:t>
            </w:r>
          </w:p>
        </w:tc>
      </w:tr>
      <w:tr w:rsidR="007E6C22" w14:paraId="7781B9FE" w14:textId="77777777" w:rsidTr="00BF0E5B">
        <w:trPr>
          <w:jc w:val="center"/>
        </w:trPr>
        <w:tc>
          <w:tcPr>
            <w:cnfStyle w:val="001000000000" w:firstRow="0" w:lastRow="0" w:firstColumn="1" w:lastColumn="0" w:oddVBand="0" w:evenVBand="0" w:oddHBand="0" w:evenHBand="0" w:firstRowFirstColumn="0" w:firstRowLastColumn="0" w:lastRowFirstColumn="0" w:lastRowLastColumn="0"/>
            <w:tcW w:w="3399" w:type="dxa"/>
          </w:tcPr>
          <w:p w14:paraId="5FA23769" w14:textId="77777777" w:rsidR="007E6C22" w:rsidRPr="00BF6EC7" w:rsidRDefault="007E6C22" w:rsidP="00EE745E">
            <w:pPr>
              <w:spacing w:after="160" w:line="259" w:lineRule="auto"/>
              <w:rPr>
                <w:rFonts w:cs="Calibri"/>
                <w:color w:val="000000" w:themeColor="text1"/>
              </w:rPr>
            </w:pPr>
            <w:r w:rsidRPr="00BF6EC7">
              <w:rPr>
                <w:rFonts w:cs="Calibri"/>
                <w:color w:val="000000" w:themeColor="text1"/>
              </w:rPr>
              <w:t>Behavioral Health Plan</w:t>
            </w:r>
          </w:p>
        </w:tc>
        <w:tc>
          <w:tcPr>
            <w:tcW w:w="1144" w:type="dxa"/>
          </w:tcPr>
          <w:p w14:paraId="6D349494" w14:textId="77777777" w:rsidR="007E6C22" w:rsidRPr="00BF6EC7" w:rsidDel="00187DD3"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PIHP</w:t>
            </w:r>
          </w:p>
        </w:tc>
        <w:tc>
          <w:tcPr>
            <w:tcW w:w="1702" w:type="dxa"/>
          </w:tcPr>
          <w:p w14:paraId="1534DF04" w14:textId="77777777" w:rsidR="007E6C22" w:rsidRPr="00BF6EC7" w:rsidRDefault="007E6C22" w:rsidP="00EE745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PIHP</w:t>
            </w:r>
          </w:p>
        </w:tc>
        <w:tc>
          <w:tcPr>
            <w:tcW w:w="5275" w:type="dxa"/>
          </w:tcPr>
          <w:p w14:paraId="285C49A3" w14:textId="77777777" w:rsidR="007E6C22" w:rsidRPr="00BF6EC7" w:rsidRDefault="007E6C22">
            <w:pPr>
              <w:pStyle w:val="ListParagraph"/>
              <w:numPr>
                <w:ilvl w:val="0"/>
                <w:numId w:val="4"/>
              </w:numPr>
              <w:spacing w:after="160" w:line="259" w:lineRule="auto"/>
              <w:ind w:left="421" w:hanging="360"/>
              <w:cnfStyle w:val="000000000000" w:firstRow="0" w:lastRow="0" w:firstColumn="0" w:lastColumn="0" w:oddVBand="0" w:evenVBand="0" w:oddHBand="0" w:evenHBand="0" w:firstRowFirstColumn="0" w:firstRowLastColumn="0" w:lastRowFirstColumn="0" w:lastRowLastColumn="0"/>
              <w:rPr>
                <w:rFonts w:cs="Calibri"/>
                <w:color w:val="000000" w:themeColor="text1"/>
              </w:rPr>
            </w:pPr>
            <w:r w:rsidRPr="00BF6EC7">
              <w:rPr>
                <w:rFonts w:cs="Calibri"/>
                <w:color w:val="000000" w:themeColor="text1"/>
              </w:rPr>
              <w:t>Massachusetts Behavioral Health Partnership (MBHP)</w:t>
            </w:r>
          </w:p>
        </w:tc>
      </w:tr>
    </w:tbl>
    <w:p w14:paraId="744BE477" w14:textId="59B8E0E1" w:rsidR="00CC643E" w:rsidRDefault="00CC643E">
      <w:pPr>
        <w:rPr>
          <w:rFonts w:asciiTheme="minorHAnsi" w:eastAsia="Times New Roman" w:hAnsiTheme="minorHAnsi"/>
          <w:b/>
          <w:bCs/>
          <w:color w:val="1F497D"/>
          <w:sz w:val="28"/>
          <w:szCs w:val="26"/>
        </w:rPr>
      </w:pPr>
    </w:p>
    <w:bookmarkEnd w:id="18"/>
    <w:p w14:paraId="5A8061CC" w14:textId="026F2297" w:rsidR="007E6C22" w:rsidRPr="004961A3" w:rsidRDefault="007E6C22" w:rsidP="3280630A">
      <w:pPr>
        <w:pBdr>
          <w:top w:val="single" w:sz="4" w:space="0" w:color="auto"/>
          <w:left w:val="single" w:sz="4" w:space="4" w:color="auto"/>
          <w:bottom w:val="single" w:sz="4" w:space="1" w:color="auto"/>
          <w:right w:val="single" w:sz="4" w:space="4" w:color="auto"/>
        </w:pBdr>
        <w:shd w:val="clear" w:color="auto" w:fill="000000" w:themeFill="text1"/>
        <w:spacing w:after="0"/>
        <w:rPr>
          <w:rFonts w:eastAsia="Times New Roman" w:cs="Calibri"/>
          <w:b/>
          <w:bCs/>
          <w:color w:val="000000"/>
          <w:sz w:val="18"/>
          <w:szCs w:val="18"/>
        </w:rPr>
        <w:sectPr w:rsidR="007E6C22" w:rsidRPr="004961A3" w:rsidSect="00575EDC">
          <w:pgSz w:w="12240" w:h="15840"/>
          <w:pgMar w:top="1440" w:right="1440" w:bottom="1440" w:left="1440" w:header="720" w:footer="720" w:gutter="0"/>
          <w:cols w:space="720"/>
          <w:docGrid w:linePitch="360"/>
        </w:sectPr>
      </w:pPr>
    </w:p>
    <w:p w14:paraId="2550860E" w14:textId="1B218906" w:rsidR="00811BE3" w:rsidRDefault="00811BE3" w:rsidP="005D332F">
      <w:pPr>
        <w:pStyle w:val="Heading3"/>
        <w:spacing w:after="120"/>
        <w:ind w:left="-900"/>
      </w:pPr>
      <w:bookmarkStart w:id="20" w:name="_Toc111119058"/>
      <w:bookmarkStart w:id="21" w:name="_Toc147244417"/>
      <w:r>
        <w:lastRenderedPageBreak/>
        <w:t xml:space="preserve">Appendix </w:t>
      </w:r>
      <w:r w:rsidR="00F809BD">
        <w:t>B</w:t>
      </w:r>
      <w:r>
        <w:t xml:space="preserve">:  Quality </w:t>
      </w:r>
      <w:r w:rsidR="002B3401">
        <w:t xml:space="preserve">Measure </w:t>
      </w:r>
      <w:r>
        <w:t>Performance</w:t>
      </w:r>
      <w:r w:rsidR="009A0018">
        <w:t xml:space="preserve"> (Contract</w:t>
      </w:r>
      <w:r w:rsidR="00624D2C">
        <w:t xml:space="preserve"> Level</w:t>
      </w:r>
      <w:r w:rsidR="009A0018">
        <w:t>)</w:t>
      </w:r>
      <w:r w:rsidR="00533AA7">
        <w:t>, 2018-2020</w:t>
      </w:r>
      <w:bookmarkEnd w:id="20"/>
      <w:bookmarkEnd w:id="21"/>
    </w:p>
    <w:p w14:paraId="60478CEB" w14:textId="456F95D9" w:rsidR="00D53CB8" w:rsidRDefault="00EF3C1C" w:rsidP="005D332F">
      <w:pPr>
        <w:ind w:left="-810"/>
        <w:rPr>
          <w:rFonts w:eastAsia="Times New Roman" w:cs="Calibri"/>
          <w:b/>
          <w:bCs/>
          <w:color w:val="000000"/>
          <w:sz w:val="20"/>
          <w:szCs w:val="20"/>
        </w:rPr>
      </w:pPr>
      <w:r w:rsidRPr="21CA7F43">
        <w:rPr>
          <w:rFonts w:eastAsia="Times New Roman" w:cs="Calibri"/>
          <w:b/>
          <w:bCs/>
          <w:sz w:val="20"/>
          <w:szCs w:val="20"/>
        </w:rPr>
        <w:t xml:space="preserve">Appendix </w:t>
      </w:r>
      <w:r w:rsidR="00F809BD" w:rsidRPr="21CA7F43">
        <w:rPr>
          <w:rFonts w:eastAsia="Times New Roman" w:cs="Calibri"/>
          <w:b/>
          <w:bCs/>
          <w:sz w:val="20"/>
          <w:szCs w:val="20"/>
        </w:rPr>
        <w:t>B</w:t>
      </w:r>
      <w:r w:rsidR="00284BE7" w:rsidRPr="21CA7F43">
        <w:rPr>
          <w:rFonts w:eastAsia="Times New Roman" w:cs="Calibri"/>
          <w:b/>
          <w:bCs/>
          <w:sz w:val="20"/>
          <w:szCs w:val="20"/>
        </w:rPr>
        <w:t xml:space="preserve">-1: </w:t>
      </w:r>
      <w:r w:rsidR="00624D2C" w:rsidRPr="21CA7F43">
        <w:rPr>
          <w:rFonts w:eastAsia="Times New Roman" w:cs="Calibri"/>
          <w:b/>
          <w:bCs/>
          <w:color w:val="000000" w:themeColor="text1"/>
          <w:sz w:val="20"/>
          <w:szCs w:val="20"/>
        </w:rPr>
        <w:t>Contract</w:t>
      </w:r>
      <w:r w:rsidR="00E56DC2" w:rsidRPr="21CA7F43">
        <w:rPr>
          <w:rFonts w:eastAsia="Times New Roman" w:cs="Calibri"/>
          <w:b/>
          <w:bCs/>
          <w:color w:val="000000" w:themeColor="text1"/>
          <w:sz w:val="20"/>
          <w:szCs w:val="20"/>
        </w:rPr>
        <w:t xml:space="preserve"> Level</w:t>
      </w:r>
      <w:r w:rsidR="00624D2C" w:rsidRPr="21CA7F43">
        <w:rPr>
          <w:rFonts w:eastAsia="Times New Roman" w:cs="Calibri"/>
          <w:b/>
          <w:bCs/>
          <w:color w:val="000000" w:themeColor="text1"/>
          <w:sz w:val="20"/>
          <w:szCs w:val="20"/>
        </w:rPr>
        <w:t xml:space="preserve"> Performance,</w:t>
      </w:r>
      <w:r w:rsidR="001C3A5F" w:rsidRPr="21CA7F43">
        <w:rPr>
          <w:rFonts w:eastAsia="Times New Roman" w:cs="Calibri"/>
          <w:b/>
          <w:bCs/>
          <w:color w:val="000000" w:themeColor="text1"/>
          <w:sz w:val="20"/>
          <w:szCs w:val="20"/>
        </w:rPr>
        <w:t xml:space="preserve"> </w:t>
      </w:r>
      <w:r w:rsidR="5461A1C1" w:rsidRPr="21CA7F43">
        <w:rPr>
          <w:rFonts w:eastAsia="Times New Roman" w:cs="Calibri"/>
          <w:b/>
          <w:bCs/>
          <w:color w:val="000000" w:themeColor="text1"/>
          <w:sz w:val="20"/>
          <w:szCs w:val="20"/>
        </w:rPr>
        <w:t>M</w:t>
      </w:r>
      <w:r w:rsidR="003D4231" w:rsidRPr="21CA7F43">
        <w:rPr>
          <w:rFonts w:eastAsia="Times New Roman" w:cs="Calibri"/>
          <w:b/>
          <w:bCs/>
          <w:color w:val="000000" w:themeColor="text1"/>
          <w:sz w:val="20"/>
          <w:szCs w:val="20"/>
        </w:rPr>
        <w:t>Y</w:t>
      </w:r>
      <w:r w:rsidR="00284BE7" w:rsidRPr="21CA7F43">
        <w:rPr>
          <w:rFonts w:eastAsia="Times New Roman" w:cs="Calibri"/>
          <w:b/>
          <w:bCs/>
          <w:color w:val="000000" w:themeColor="text1"/>
          <w:sz w:val="20"/>
          <w:szCs w:val="20"/>
        </w:rPr>
        <w:t>2018</w:t>
      </w:r>
      <w:r w:rsidR="00E56DC2" w:rsidRPr="21CA7F43">
        <w:rPr>
          <w:rFonts w:eastAsia="Times New Roman" w:cs="Calibri"/>
          <w:b/>
          <w:bCs/>
          <w:color w:val="000000" w:themeColor="text1"/>
          <w:sz w:val="20"/>
          <w:szCs w:val="20"/>
        </w:rPr>
        <w:t xml:space="preserve"> (ACO and MCO Programs)</w:t>
      </w:r>
    </w:p>
    <w:p w14:paraId="7EB27090" w14:textId="17EBCA01" w:rsidR="00C732AE" w:rsidRPr="00CE61A0" w:rsidRDefault="001A3881" w:rsidP="00CE61A0">
      <w:pPr>
        <w:ind w:left="-900"/>
        <w:rPr>
          <w:shd w:val="clear" w:color="auto" w:fill="FFFFFF"/>
        </w:rPr>
      </w:pPr>
      <w:r>
        <w:rPr>
          <w:rStyle w:val="normaltextrun"/>
          <w:shd w:val="clear" w:color="auto" w:fill="FFFFFF"/>
        </w:rPr>
        <w:t xml:space="preserve">2018 </w:t>
      </w:r>
      <w:r w:rsidR="006A5CC6">
        <w:rPr>
          <w:rStyle w:val="normaltextrun"/>
          <w:shd w:val="clear" w:color="auto" w:fill="FFFFFF"/>
        </w:rPr>
        <w:t xml:space="preserve">quality measure performance </w:t>
      </w:r>
      <w:r>
        <w:rPr>
          <w:rStyle w:val="normaltextrun"/>
          <w:shd w:val="clear" w:color="auto" w:fill="FFFFFF"/>
        </w:rPr>
        <w:t xml:space="preserve">for individual ACO and MCO plans </w:t>
      </w:r>
      <w:r w:rsidR="006A5CC6">
        <w:rPr>
          <w:rStyle w:val="normaltextrun"/>
          <w:shd w:val="clear" w:color="auto" w:fill="FFFFFF"/>
        </w:rPr>
        <w:t xml:space="preserve">is presented in Table </w:t>
      </w:r>
      <w:r w:rsidR="00EC4DE0">
        <w:rPr>
          <w:rStyle w:val="normaltextrun"/>
          <w:shd w:val="clear" w:color="auto" w:fill="FFFFFF"/>
        </w:rPr>
        <w:t>B</w:t>
      </w:r>
      <w:r w:rsidR="006A5CC6">
        <w:rPr>
          <w:rStyle w:val="normaltextrun"/>
          <w:shd w:val="clear" w:color="auto" w:fill="FFFFFF"/>
        </w:rPr>
        <w:t>-1.</w:t>
      </w:r>
      <w:r w:rsidR="00EC4DE0">
        <w:rPr>
          <w:rStyle w:val="normaltextrun"/>
          <w:shd w:val="clear" w:color="auto" w:fill="FFFFFF"/>
        </w:rPr>
        <w:t xml:space="preserve"> Program-level totals are weighted means</w:t>
      </w:r>
      <w:r w:rsidR="003177BF">
        <w:rPr>
          <w:rStyle w:val="normaltextrun"/>
          <w:shd w:val="clear" w:color="auto" w:fill="FFFFFF"/>
        </w:rPr>
        <w:t xml:space="preserve"> (WM)</w:t>
      </w:r>
      <w:r w:rsidR="00EC4DE0">
        <w:rPr>
          <w:rStyle w:val="normaltextrun"/>
          <w:shd w:val="clear" w:color="auto" w:fill="FFFFFF"/>
        </w:rPr>
        <w:t>, or</w:t>
      </w:r>
      <w:r w:rsidR="003177BF">
        <w:rPr>
          <w:rStyle w:val="normaltextrun"/>
          <w:shd w:val="clear" w:color="auto" w:fill="FFFFFF"/>
        </w:rPr>
        <w:t xml:space="preserve"> medians when indicated with an asterisk (*).</w:t>
      </w:r>
      <w:r w:rsidR="006A5CC6">
        <w:rPr>
          <w:rStyle w:val="normaltextrun"/>
          <w:shd w:val="clear" w:color="auto" w:fill="FFFFFF"/>
        </w:rPr>
        <w:t xml:space="preserve"> </w:t>
      </w:r>
      <w:r w:rsidR="00C05B0C">
        <w:rPr>
          <w:rStyle w:val="normaltextrun"/>
          <w:shd w:val="clear" w:color="auto" w:fill="FFFFFF"/>
        </w:rPr>
        <w:t xml:space="preserve"> Please see Appendix </w:t>
      </w:r>
      <w:r w:rsidR="00EC4DE0">
        <w:rPr>
          <w:rStyle w:val="normaltextrun"/>
          <w:shd w:val="clear" w:color="auto" w:fill="FFFFFF"/>
        </w:rPr>
        <w:t>A</w:t>
      </w:r>
      <w:r w:rsidR="00C05B0C">
        <w:rPr>
          <w:rStyle w:val="normaltextrun"/>
          <w:shd w:val="clear" w:color="auto" w:fill="FFFFFF"/>
        </w:rPr>
        <w:t xml:space="preserve"> for a list of MassHealth’s managed care plans.</w:t>
      </w:r>
    </w:p>
    <w:p w14:paraId="39ABFDBD" w14:textId="3D5ED5AB" w:rsidR="00C25FFB" w:rsidRDefault="00C732AE">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45B1C631" w14:textId="4E5E4877" w:rsidR="00040212" w:rsidRPr="00C732AE" w:rsidRDefault="00040212">
      <w:pPr>
        <w:pStyle w:val="ListParagraph"/>
        <w:numPr>
          <w:ilvl w:val="0"/>
          <w:numId w:val="3"/>
        </w:numPr>
        <w:ind w:left="-360" w:firstLine="0"/>
        <w:rPr>
          <w:b/>
          <w:bCs/>
        </w:rPr>
      </w:pPr>
      <w:r>
        <w:rPr>
          <w:b/>
          <w:bCs/>
        </w:rPr>
        <w:t>“NA” indicates</w:t>
      </w:r>
      <w:r w:rsidR="009C70B2">
        <w:rPr>
          <w:b/>
          <w:bCs/>
        </w:rPr>
        <w:t xml:space="preserve"> that the rate was not included due to small denominator (</w:t>
      </w:r>
      <w:r w:rsidR="00E27D01">
        <w:rPr>
          <w:b/>
          <w:bCs/>
        </w:rPr>
        <w:t xml:space="preserve">n </w:t>
      </w:r>
      <w:r w:rsidR="009C70B2">
        <w:rPr>
          <w:b/>
          <w:bCs/>
        </w:rPr>
        <w:t>&lt;30).</w:t>
      </w:r>
    </w:p>
    <w:tbl>
      <w:tblPr>
        <w:tblW w:w="198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880"/>
        <w:gridCol w:w="810"/>
        <w:gridCol w:w="720"/>
        <w:gridCol w:w="720"/>
        <w:gridCol w:w="720"/>
        <w:gridCol w:w="720"/>
        <w:gridCol w:w="720"/>
        <w:gridCol w:w="810"/>
        <w:gridCol w:w="720"/>
        <w:gridCol w:w="720"/>
        <w:gridCol w:w="1080"/>
        <w:gridCol w:w="720"/>
        <w:gridCol w:w="810"/>
        <w:gridCol w:w="810"/>
        <w:gridCol w:w="810"/>
        <w:gridCol w:w="720"/>
        <w:gridCol w:w="720"/>
        <w:gridCol w:w="990"/>
        <w:gridCol w:w="720"/>
        <w:gridCol w:w="720"/>
        <w:gridCol w:w="720"/>
        <w:gridCol w:w="720"/>
      </w:tblGrid>
      <w:tr w:rsidR="00255A16" w:rsidRPr="00884DD7" w14:paraId="24006B92" w14:textId="77777777" w:rsidTr="007308A3">
        <w:trPr>
          <w:trHeight w:val="740"/>
          <w:tblHeader/>
        </w:trPr>
        <w:tc>
          <w:tcPr>
            <w:tcW w:w="810" w:type="dxa"/>
            <w:shd w:val="clear" w:color="auto" w:fill="auto"/>
            <w:noWrap/>
            <w:vAlign w:val="center"/>
            <w:hideMark/>
          </w:tcPr>
          <w:p w14:paraId="29FDB3FF" w14:textId="60841FDB" w:rsidR="00884DD7" w:rsidRPr="00884DD7" w:rsidRDefault="00542FA0" w:rsidP="00884DD7">
            <w:pPr>
              <w:spacing w:after="0"/>
              <w:ind w:left="-110"/>
              <w:jc w:val="center"/>
              <w:rPr>
                <w:rFonts w:eastAsia="Times New Roman" w:cs="Calibri"/>
                <w:b/>
                <w:bCs/>
                <w:color w:val="000000"/>
                <w:sz w:val="17"/>
                <w:szCs w:val="17"/>
              </w:rPr>
            </w:pPr>
            <w:r>
              <w:rPr>
                <w:rFonts w:eastAsia="Times New Roman" w:cs="Calibri"/>
                <w:b/>
                <w:bCs/>
                <w:color w:val="000000"/>
                <w:sz w:val="17"/>
                <w:szCs w:val="17"/>
              </w:rPr>
              <w:t>Ref</w:t>
            </w:r>
          </w:p>
        </w:tc>
        <w:tc>
          <w:tcPr>
            <w:tcW w:w="2880" w:type="dxa"/>
            <w:shd w:val="clear" w:color="auto" w:fill="auto"/>
            <w:noWrap/>
            <w:vAlign w:val="center"/>
            <w:hideMark/>
          </w:tcPr>
          <w:p w14:paraId="04EEFE9A" w14:textId="2A032561" w:rsidR="00884DD7" w:rsidRPr="00884DD7" w:rsidRDefault="002F1182" w:rsidP="00884DD7">
            <w:pPr>
              <w:spacing w:after="0"/>
              <w:jc w:val="center"/>
              <w:rPr>
                <w:rFonts w:eastAsia="Times New Roman" w:cs="Calibri"/>
                <w:b/>
                <w:bCs/>
                <w:color w:val="000000"/>
                <w:sz w:val="17"/>
                <w:szCs w:val="17"/>
              </w:rPr>
            </w:pPr>
            <w:r>
              <w:rPr>
                <w:rFonts w:eastAsia="Times New Roman" w:cs="Calibri"/>
                <w:b/>
                <w:bCs/>
                <w:color w:val="000000"/>
                <w:sz w:val="17"/>
                <w:szCs w:val="17"/>
              </w:rPr>
              <w:t xml:space="preserve">2018 </w:t>
            </w:r>
            <w:r w:rsidR="00884DD7" w:rsidRPr="00884DD7">
              <w:rPr>
                <w:rFonts w:eastAsia="Times New Roman" w:cs="Calibri"/>
                <w:b/>
                <w:bCs/>
                <w:color w:val="000000"/>
                <w:sz w:val="17"/>
                <w:szCs w:val="17"/>
              </w:rPr>
              <w:t>Measure</w:t>
            </w:r>
          </w:p>
        </w:tc>
        <w:tc>
          <w:tcPr>
            <w:tcW w:w="810" w:type="dxa"/>
            <w:shd w:val="clear" w:color="auto" w:fill="8EAADB" w:themeFill="accent1" w:themeFillTint="99"/>
            <w:noWrap/>
            <w:vAlign w:val="center"/>
            <w:hideMark/>
          </w:tcPr>
          <w:p w14:paraId="5FAA1FED" w14:textId="6CCA6495" w:rsidR="00884DD7" w:rsidRPr="00EC4DE0" w:rsidRDefault="00884DD7" w:rsidP="00884DD7">
            <w:pPr>
              <w:spacing w:after="0"/>
              <w:jc w:val="center"/>
              <w:rPr>
                <w:rFonts w:eastAsia="Times New Roman" w:cs="Calibri"/>
                <w:b/>
                <w:bCs/>
                <w:sz w:val="17"/>
                <w:szCs w:val="17"/>
              </w:rPr>
            </w:pPr>
            <w:r w:rsidRPr="00EC4DE0">
              <w:rPr>
                <w:rFonts w:eastAsia="Times New Roman" w:cs="Calibri"/>
                <w:b/>
                <w:bCs/>
                <w:sz w:val="17"/>
                <w:szCs w:val="17"/>
              </w:rPr>
              <w:t>ACO</w:t>
            </w:r>
            <w:r w:rsidR="00EC4DE0">
              <w:rPr>
                <w:rFonts w:eastAsia="Times New Roman" w:cs="Calibri"/>
                <w:b/>
                <w:bCs/>
                <w:sz w:val="17"/>
                <w:szCs w:val="17"/>
              </w:rPr>
              <w:t xml:space="preserve"> WM </w:t>
            </w:r>
          </w:p>
        </w:tc>
        <w:tc>
          <w:tcPr>
            <w:tcW w:w="720" w:type="dxa"/>
            <w:shd w:val="clear" w:color="auto" w:fill="8EAADB" w:themeFill="accent1" w:themeFillTint="99"/>
            <w:vAlign w:val="center"/>
            <w:hideMark/>
          </w:tcPr>
          <w:p w14:paraId="1C97B9F7"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BERK</w:t>
            </w:r>
          </w:p>
        </w:tc>
        <w:tc>
          <w:tcPr>
            <w:tcW w:w="720" w:type="dxa"/>
            <w:shd w:val="clear" w:color="auto" w:fill="8EAADB" w:themeFill="accent1" w:themeFillTint="99"/>
            <w:vAlign w:val="center"/>
            <w:hideMark/>
          </w:tcPr>
          <w:p w14:paraId="03C5FDA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365</w:t>
            </w:r>
          </w:p>
        </w:tc>
        <w:tc>
          <w:tcPr>
            <w:tcW w:w="720" w:type="dxa"/>
            <w:shd w:val="clear" w:color="auto" w:fill="8EAADB" w:themeFill="accent1" w:themeFillTint="99"/>
            <w:vAlign w:val="center"/>
            <w:hideMark/>
          </w:tcPr>
          <w:p w14:paraId="5DA140C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FH WFC</w:t>
            </w:r>
          </w:p>
        </w:tc>
        <w:tc>
          <w:tcPr>
            <w:tcW w:w="720" w:type="dxa"/>
            <w:shd w:val="clear" w:color="auto" w:fill="8EAADB" w:themeFill="accent1" w:themeFillTint="99"/>
            <w:vAlign w:val="center"/>
            <w:hideMark/>
          </w:tcPr>
          <w:p w14:paraId="0E3F8404"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HNE</w:t>
            </w:r>
          </w:p>
        </w:tc>
        <w:tc>
          <w:tcPr>
            <w:tcW w:w="720" w:type="dxa"/>
            <w:shd w:val="clear" w:color="auto" w:fill="8EAADB" w:themeFill="accent1" w:themeFillTint="99"/>
            <w:vAlign w:val="center"/>
            <w:hideMark/>
          </w:tcPr>
          <w:p w14:paraId="35B83FE1"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AHP</w:t>
            </w:r>
          </w:p>
        </w:tc>
        <w:tc>
          <w:tcPr>
            <w:tcW w:w="810" w:type="dxa"/>
            <w:shd w:val="clear" w:color="auto" w:fill="8EAADB" w:themeFill="accent1" w:themeFillTint="99"/>
            <w:vAlign w:val="center"/>
            <w:hideMark/>
          </w:tcPr>
          <w:p w14:paraId="78777DF1" w14:textId="305D243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ATRIUS</w:t>
            </w:r>
          </w:p>
        </w:tc>
        <w:tc>
          <w:tcPr>
            <w:tcW w:w="720" w:type="dxa"/>
            <w:shd w:val="clear" w:color="auto" w:fill="8EAADB" w:themeFill="accent1" w:themeFillTint="99"/>
            <w:vAlign w:val="center"/>
            <w:hideMark/>
          </w:tcPr>
          <w:p w14:paraId="1B277346"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BIDCO</w:t>
            </w:r>
          </w:p>
        </w:tc>
        <w:tc>
          <w:tcPr>
            <w:tcW w:w="720" w:type="dxa"/>
            <w:shd w:val="clear" w:color="auto" w:fill="8EAADB" w:themeFill="accent1" w:themeFillTint="99"/>
            <w:vAlign w:val="center"/>
            <w:hideMark/>
          </w:tcPr>
          <w:p w14:paraId="537E0D7C"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CHA</w:t>
            </w:r>
          </w:p>
        </w:tc>
        <w:tc>
          <w:tcPr>
            <w:tcW w:w="1080" w:type="dxa"/>
            <w:shd w:val="clear" w:color="auto" w:fill="8EAADB" w:themeFill="accent1" w:themeFillTint="99"/>
            <w:vAlign w:val="center"/>
            <w:hideMark/>
          </w:tcPr>
          <w:p w14:paraId="25D82BB6"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THP CHILDREN'S</w:t>
            </w:r>
          </w:p>
        </w:tc>
        <w:tc>
          <w:tcPr>
            <w:tcW w:w="720" w:type="dxa"/>
            <w:shd w:val="clear" w:color="auto" w:fill="8EAADB" w:themeFill="accent1" w:themeFillTint="99"/>
            <w:vAlign w:val="center"/>
            <w:hideMark/>
          </w:tcPr>
          <w:p w14:paraId="71119A8A"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BACO</w:t>
            </w:r>
          </w:p>
        </w:tc>
        <w:tc>
          <w:tcPr>
            <w:tcW w:w="810" w:type="dxa"/>
            <w:shd w:val="clear" w:color="auto" w:fill="8EAADB" w:themeFill="accent1" w:themeFillTint="99"/>
            <w:vAlign w:val="center"/>
            <w:hideMark/>
          </w:tcPr>
          <w:p w14:paraId="4B628D87"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MERCY</w:t>
            </w:r>
          </w:p>
        </w:tc>
        <w:tc>
          <w:tcPr>
            <w:tcW w:w="810" w:type="dxa"/>
            <w:shd w:val="clear" w:color="auto" w:fill="8EAADB" w:themeFill="accent1" w:themeFillTint="99"/>
            <w:vAlign w:val="center"/>
            <w:hideMark/>
          </w:tcPr>
          <w:p w14:paraId="1EDC5561"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SIGN</w:t>
            </w:r>
          </w:p>
        </w:tc>
        <w:tc>
          <w:tcPr>
            <w:tcW w:w="810" w:type="dxa"/>
            <w:shd w:val="clear" w:color="auto" w:fill="8EAADB" w:themeFill="accent1" w:themeFillTint="99"/>
            <w:vAlign w:val="center"/>
            <w:hideMark/>
          </w:tcPr>
          <w:p w14:paraId="05C41BD8"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BMC SCOAST</w:t>
            </w:r>
          </w:p>
        </w:tc>
        <w:tc>
          <w:tcPr>
            <w:tcW w:w="720" w:type="dxa"/>
            <w:shd w:val="clear" w:color="auto" w:fill="8EAADB" w:themeFill="accent1" w:themeFillTint="99"/>
            <w:vAlign w:val="center"/>
            <w:hideMark/>
          </w:tcPr>
          <w:p w14:paraId="4F6CEA63"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C3</w:t>
            </w:r>
          </w:p>
        </w:tc>
        <w:tc>
          <w:tcPr>
            <w:tcW w:w="720" w:type="dxa"/>
            <w:shd w:val="clear" w:color="auto" w:fill="8EAADB" w:themeFill="accent1" w:themeFillTint="99"/>
            <w:vAlign w:val="center"/>
            <w:hideMark/>
          </w:tcPr>
          <w:p w14:paraId="2068A54B"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MGB</w:t>
            </w:r>
          </w:p>
        </w:tc>
        <w:tc>
          <w:tcPr>
            <w:tcW w:w="990" w:type="dxa"/>
            <w:shd w:val="clear" w:color="auto" w:fill="8EAADB" w:themeFill="accent1" w:themeFillTint="99"/>
            <w:vAlign w:val="center"/>
            <w:hideMark/>
          </w:tcPr>
          <w:p w14:paraId="6999F31A"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STEWARD</w:t>
            </w:r>
          </w:p>
        </w:tc>
        <w:tc>
          <w:tcPr>
            <w:tcW w:w="720" w:type="dxa"/>
            <w:shd w:val="clear" w:color="auto" w:fill="8EAADB" w:themeFill="accent1" w:themeFillTint="99"/>
            <w:vAlign w:val="center"/>
            <w:hideMark/>
          </w:tcPr>
          <w:p w14:paraId="521029E0" w14:textId="77777777" w:rsidR="00884DD7" w:rsidRPr="00884DD7" w:rsidRDefault="00884DD7" w:rsidP="00884DD7">
            <w:pPr>
              <w:spacing w:after="0"/>
              <w:jc w:val="center"/>
              <w:rPr>
                <w:rFonts w:eastAsia="Times New Roman" w:cs="Calibri"/>
                <w:b/>
                <w:bCs/>
                <w:color w:val="000000"/>
                <w:sz w:val="17"/>
                <w:szCs w:val="17"/>
              </w:rPr>
            </w:pPr>
            <w:r w:rsidRPr="00884DD7">
              <w:rPr>
                <w:rFonts w:eastAsia="Times New Roman" w:cs="Calibri"/>
                <w:b/>
                <w:bCs/>
                <w:color w:val="000000"/>
                <w:sz w:val="17"/>
                <w:szCs w:val="17"/>
              </w:rPr>
              <w:t>LAHEY</w:t>
            </w:r>
          </w:p>
        </w:tc>
        <w:tc>
          <w:tcPr>
            <w:tcW w:w="720" w:type="dxa"/>
            <w:shd w:val="clear" w:color="auto" w:fill="2F5496" w:themeFill="accent1" w:themeFillShade="BF"/>
            <w:noWrap/>
            <w:vAlign w:val="center"/>
            <w:hideMark/>
          </w:tcPr>
          <w:p w14:paraId="512352C3" w14:textId="63F3D2AB" w:rsidR="00884DD7" w:rsidRPr="00A54D21" w:rsidRDefault="00884DD7" w:rsidP="003177BF">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MCO</w:t>
            </w:r>
            <w:r w:rsidR="003177BF">
              <w:rPr>
                <w:rFonts w:eastAsia="Times New Roman" w:cs="Calibri"/>
                <w:b/>
                <w:bCs/>
                <w:color w:val="FFFFFF" w:themeColor="background1"/>
                <w:sz w:val="17"/>
                <w:szCs w:val="17"/>
              </w:rPr>
              <w:t xml:space="preserve"> WM</w:t>
            </w:r>
          </w:p>
        </w:tc>
        <w:tc>
          <w:tcPr>
            <w:tcW w:w="720" w:type="dxa"/>
            <w:shd w:val="clear" w:color="auto" w:fill="2F5496" w:themeFill="accent1" w:themeFillShade="BF"/>
            <w:noWrap/>
            <w:vAlign w:val="center"/>
            <w:hideMark/>
          </w:tcPr>
          <w:p w14:paraId="532ADB41" w14:textId="77777777" w:rsidR="00884DD7" w:rsidRPr="00A54D21" w:rsidRDefault="00884DD7" w:rsidP="00884DD7">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BMC MCO</w:t>
            </w:r>
          </w:p>
        </w:tc>
        <w:tc>
          <w:tcPr>
            <w:tcW w:w="720" w:type="dxa"/>
            <w:shd w:val="clear" w:color="auto" w:fill="2F5496" w:themeFill="accent1" w:themeFillShade="BF"/>
            <w:noWrap/>
            <w:vAlign w:val="center"/>
            <w:hideMark/>
          </w:tcPr>
          <w:p w14:paraId="2E2A3357" w14:textId="36E861DD" w:rsidR="00884DD7" w:rsidRPr="00A54D21" w:rsidRDefault="00884DD7" w:rsidP="00884DD7">
            <w:pPr>
              <w:spacing w:after="0"/>
              <w:jc w:val="center"/>
              <w:rPr>
                <w:rFonts w:eastAsia="Times New Roman" w:cs="Calibri"/>
                <w:b/>
                <w:bCs/>
                <w:color w:val="FFFFFF" w:themeColor="background1"/>
                <w:sz w:val="17"/>
                <w:szCs w:val="17"/>
              </w:rPr>
            </w:pPr>
            <w:r w:rsidRPr="00A54D21">
              <w:rPr>
                <w:rFonts w:eastAsia="Times New Roman" w:cs="Calibri"/>
                <w:b/>
                <w:bCs/>
                <w:color w:val="FFFFFF" w:themeColor="background1"/>
                <w:sz w:val="17"/>
                <w:szCs w:val="17"/>
              </w:rPr>
              <w:t>T</w:t>
            </w:r>
            <w:r w:rsidR="00F31687">
              <w:rPr>
                <w:rFonts w:eastAsia="Times New Roman" w:cs="Calibri"/>
                <w:b/>
                <w:bCs/>
                <w:color w:val="FFFFFF" w:themeColor="background1"/>
                <w:sz w:val="17"/>
                <w:szCs w:val="17"/>
              </w:rPr>
              <w:t>HP</w:t>
            </w:r>
            <w:r w:rsidRPr="00A54D21">
              <w:rPr>
                <w:rFonts w:eastAsia="Times New Roman" w:cs="Calibri"/>
                <w:b/>
                <w:bCs/>
                <w:color w:val="FFFFFF" w:themeColor="background1"/>
                <w:sz w:val="17"/>
                <w:szCs w:val="17"/>
              </w:rPr>
              <w:t xml:space="preserve"> MCO</w:t>
            </w:r>
          </w:p>
        </w:tc>
      </w:tr>
      <w:tr w:rsidR="00EF4C5F" w:rsidRPr="00884DD7" w14:paraId="3CC9CA27" w14:textId="77777777" w:rsidTr="007308A3">
        <w:trPr>
          <w:trHeight w:val="300"/>
        </w:trPr>
        <w:tc>
          <w:tcPr>
            <w:tcW w:w="810" w:type="dxa"/>
            <w:shd w:val="clear" w:color="auto" w:fill="auto"/>
            <w:hideMark/>
          </w:tcPr>
          <w:p w14:paraId="3F2B8725"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CIS</w:t>
            </w:r>
          </w:p>
        </w:tc>
        <w:tc>
          <w:tcPr>
            <w:tcW w:w="2880" w:type="dxa"/>
            <w:shd w:val="clear" w:color="auto" w:fill="auto"/>
            <w:hideMark/>
          </w:tcPr>
          <w:p w14:paraId="03EC7EBF"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Childhood Immunization Status (combo 10)</w:t>
            </w:r>
          </w:p>
        </w:tc>
        <w:tc>
          <w:tcPr>
            <w:tcW w:w="810" w:type="dxa"/>
            <w:shd w:val="clear" w:color="auto" w:fill="auto"/>
            <w:noWrap/>
            <w:vAlign w:val="center"/>
            <w:hideMark/>
          </w:tcPr>
          <w:p w14:paraId="22C712DF" w14:textId="5E8FFCE1" w:rsidR="00C537E5" w:rsidRPr="009520C8" w:rsidRDefault="00C537E5" w:rsidP="00C537E5">
            <w:pPr>
              <w:spacing w:after="0"/>
              <w:jc w:val="center"/>
              <w:rPr>
                <w:rFonts w:eastAsia="Times New Roman" w:cs="Calibri"/>
                <w:color w:val="000000"/>
                <w:sz w:val="18"/>
                <w:szCs w:val="18"/>
              </w:rPr>
            </w:pPr>
            <w:r w:rsidRPr="006C74FD">
              <w:rPr>
                <w:rFonts w:cs="Calibri"/>
                <w:sz w:val="18"/>
                <w:szCs w:val="18"/>
              </w:rPr>
              <w:t>4</w:t>
            </w:r>
            <w:r w:rsidR="00CD71D8" w:rsidRPr="006C74FD">
              <w:rPr>
                <w:rFonts w:cs="Calibri"/>
                <w:sz w:val="18"/>
                <w:szCs w:val="18"/>
              </w:rPr>
              <w:t>9</w:t>
            </w:r>
            <w:r w:rsidRPr="006C74FD">
              <w:rPr>
                <w:rFonts w:cs="Calibri"/>
                <w:sz w:val="18"/>
                <w:szCs w:val="18"/>
              </w:rPr>
              <w:t>.</w:t>
            </w:r>
            <w:r w:rsidR="00CD71D8" w:rsidRPr="006C74FD">
              <w:rPr>
                <w:rFonts w:cs="Calibri"/>
                <w:sz w:val="18"/>
                <w:szCs w:val="18"/>
              </w:rPr>
              <w:t>9</w:t>
            </w:r>
            <w:r w:rsidRPr="006C74FD">
              <w:rPr>
                <w:rFonts w:cs="Calibri"/>
                <w:sz w:val="18"/>
                <w:szCs w:val="18"/>
              </w:rPr>
              <w:t>%</w:t>
            </w:r>
            <w:r w:rsidR="00CD71D8" w:rsidRPr="006C74FD">
              <w:rPr>
                <w:rFonts w:cs="Calibri"/>
                <w:sz w:val="18"/>
                <w:szCs w:val="18"/>
              </w:rPr>
              <w:t>*</w:t>
            </w:r>
          </w:p>
        </w:tc>
        <w:tc>
          <w:tcPr>
            <w:tcW w:w="720" w:type="dxa"/>
            <w:shd w:val="clear" w:color="auto" w:fill="auto"/>
            <w:noWrap/>
            <w:vAlign w:val="center"/>
            <w:hideMark/>
          </w:tcPr>
          <w:p w14:paraId="4A2BB24E" w14:textId="047698C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40.2%</w:t>
            </w:r>
          </w:p>
        </w:tc>
        <w:tc>
          <w:tcPr>
            <w:tcW w:w="720" w:type="dxa"/>
            <w:shd w:val="clear" w:color="auto" w:fill="auto"/>
            <w:noWrap/>
            <w:vAlign w:val="center"/>
            <w:hideMark/>
          </w:tcPr>
          <w:p w14:paraId="09642425" w14:textId="255E5AE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63.7%</w:t>
            </w:r>
          </w:p>
        </w:tc>
        <w:tc>
          <w:tcPr>
            <w:tcW w:w="720" w:type="dxa"/>
            <w:shd w:val="clear" w:color="auto" w:fill="auto"/>
            <w:noWrap/>
            <w:vAlign w:val="center"/>
            <w:hideMark/>
          </w:tcPr>
          <w:p w14:paraId="61CB4FB2" w14:textId="17969B1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38.0%</w:t>
            </w:r>
          </w:p>
        </w:tc>
        <w:tc>
          <w:tcPr>
            <w:tcW w:w="720" w:type="dxa"/>
            <w:shd w:val="clear" w:color="auto" w:fill="auto"/>
            <w:noWrap/>
            <w:vAlign w:val="center"/>
            <w:hideMark/>
          </w:tcPr>
          <w:p w14:paraId="4FBD389A" w14:textId="5E0F710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46.4%</w:t>
            </w:r>
          </w:p>
        </w:tc>
        <w:tc>
          <w:tcPr>
            <w:tcW w:w="720" w:type="dxa"/>
            <w:shd w:val="clear" w:color="auto" w:fill="auto"/>
            <w:noWrap/>
            <w:vAlign w:val="center"/>
            <w:hideMark/>
          </w:tcPr>
          <w:p w14:paraId="29315D17" w14:textId="7A1017A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25.8%</w:t>
            </w:r>
          </w:p>
        </w:tc>
        <w:tc>
          <w:tcPr>
            <w:tcW w:w="810" w:type="dxa"/>
            <w:shd w:val="clear" w:color="auto" w:fill="auto"/>
            <w:noWrap/>
            <w:vAlign w:val="center"/>
            <w:hideMark/>
          </w:tcPr>
          <w:p w14:paraId="65CCF978" w14:textId="7C7FA55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59.3%</w:t>
            </w:r>
          </w:p>
        </w:tc>
        <w:tc>
          <w:tcPr>
            <w:tcW w:w="720" w:type="dxa"/>
            <w:shd w:val="clear" w:color="auto" w:fill="auto"/>
            <w:noWrap/>
            <w:vAlign w:val="center"/>
            <w:hideMark/>
          </w:tcPr>
          <w:p w14:paraId="038B60B1" w14:textId="687F4ED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68.3%</w:t>
            </w:r>
          </w:p>
        </w:tc>
        <w:tc>
          <w:tcPr>
            <w:tcW w:w="720" w:type="dxa"/>
            <w:shd w:val="clear" w:color="auto" w:fill="auto"/>
            <w:noWrap/>
            <w:vAlign w:val="center"/>
            <w:hideMark/>
          </w:tcPr>
          <w:p w14:paraId="15090F97" w14:textId="66B1944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62.9%</w:t>
            </w:r>
          </w:p>
        </w:tc>
        <w:tc>
          <w:tcPr>
            <w:tcW w:w="1080" w:type="dxa"/>
            <w:shd w:val="clear" w:color="auto" w:fill="auto"/>
            <w:noWrap/>
            <w:vAlign w:val="center"/>
            <w:hideMark/>
          </w:tcPr>
          <w:p w14:paraId="17A7CA8E" w14:textId="382EF67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55.7%</w:t>
            </w:r>
          </w:p>
        </w:tc>
        <w:tc>
          <w:tcPr>
            <w:tcW w:w="720" w:type="dxa"/>
            <w:shd w:val="clear" w:color="auto" w:fill="auto"/>
            <w:noWrap/>
            <w:vAlign w:val="center"/>
            <w:hideMark/>
          </w:tcPr>
          <w:p w14:paraId="1B1273FE" w14:textId="4ECD0C5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46.7%</w:t>
            </w:r>
          </w:p>
        </w:tc>
        <w:tc>
          <w:tcPr>
            <w:tcW w:w="810" w:type="dxa"/>
            <w:shd w:val="clear" w:color="auto" w:fill="auto"/>
            <w:noWrap/>
            <w:vAlign w:val="center"/>
            <w:hideMark/>
          </w:tcPr>
          <w:p w14:paraId="2DF898E9" w14:textId="1B49909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47.7%</w:t>
            </w:r>
          </w:p>
        </w:tc>
        <w:tc>
          <w:tcPr>
            <w:tcW w:w="810" w:type="dxa"/>
            <w:shd w:val="clear" w:color="auto" w:fill="auto"/>
            <w:noWrap/>
            <w:vAlign w:val="center"/>
            <w:hideMark/>
          </w:tcPr>
          <w:p w14:paraId="350F00FB" w14:textId="7627F45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58.0%</w:t>
            </w:r>
          </w:p>
        </w:tc>
        <w:tc>
          <w:tcPr>
            <w:tcW w:w="810" w:type="dxa"/>
            <w:shd w:val="clear" w:color="auto" w:fill="auto"/>
            <w:noWrap/>
            <w:vAlign w:val="center"/>
            <w:hideMark/>
          </w:tcPr>
          <w:p w14:paraId="1BA56AF6" w14:textId="10E6EED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40.0%</w:t>
            </w:r>
          </w:p>
        </w:tc>
        <w:tc>
          <w:tcPr>
            <w:tcW w:w="720" w:type="dxa"/>
            <w:shd w:val="clear" w:color="auto" w:fill="auto"/>
            <w:noWrap/>
            <w:vAlign w:val="center"/>
            <w:hideMark/>
          </w:tcPr>
          <w:p w14:paraId="340527AD" w14:textId="730B371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67.9%</w:t>
            </w:r>
          </w:p>
        </w:tc>
        <w:tc>
          <w:tcPr>
            <w:tcW w:w="720" w:type="dxa"/>
            <w:shd w:val="clear" w:color="auto" w:fill="auto"/>
            <w:noWrap/>
            <w:vAlign w:val="center"/>
            <w:hideMark/>
          </w:tcPr>
          <w:p w14:paraId="44CFD630" w14:textId="2DD7476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52.1%</w:t>
            </w:r>
          </w:p>
        </w:tc>
        <w:tc>
          <w:tcPr>
            <w:tcW w:w="990" w:type="dxa"/>
            <w:shd w:val="clear" w:color="auto" w:fill="auto"/>
            <w:noWrap/>
            <w:vAlign w:val="center"/>
            <w:hideMark/>
          </w:tcPr>
          <w:p w14:paraId="7458CE12" w14:textId="6EFABAD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35.3%</w:t>
            </w:r>
          </w:p>
        </w:tc>
        <w:tc>
          <w:tcPr>
            <w:tcW w:w="720" w:type="dxa"/>
            <w:shd w:val="clear" w:color="auto" w:fill="auto"/>
            <w:noWrap/>
            <w:vAlign w:val="center"/>
            <w:hideMark/>
          </w:tcPr>
          <w:p w14:paraId="0DE67231" w14:textId="2B92974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NA</w:t>
            </w:r>
          </w:p>
        </w:tc>
        <w:tc>
          <w:tcPr>
            <w:tcW w:w="720" w:type="dxa"/>
            <w:shd w:val="clear" w:color="auto" w:fill="auto"/>
            <w:noWrap/>
            <w:vAlign w:val="center"/>
            <w:hideMark/>
          </w:tcPr>
          <w:p w14:paraId="5CB779C5" w14:textId="118B406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auto"/>
            <w:noWrap/>
            <w:vAlign w:val="center"/>
            <w:hideMark/>
          </w:tcPr>
          <w:p w14:paraId="05C76EB6" w14:textId="7531268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auto"/>
            <w:noWrap/>
            <w:vAlign w:val="center"/>
            <w:hideMark/>
          </w:tcPr>
          <w:p w14:paraId="4EEEDE0F" w14:textId="39CF930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r>
      <w:tr w:rsidR="00255A16" w:rsidRPr="00884DD7" w14:paraId="10405471" w14:textId="77777777" w:rsidTr="007308A3">
        <w:trPr>
          <w:trHeight w:val="290"/>
        </w:trPr>
        <w:tc>
          <w:tcPr>
            <w:tcW w:w="810" w:type="dxa"/>
            <w:shd w:val="clear" w:color="auto" w:fill="F2F2F2" w:themeFill="background1" w:themeFillShade="F2"/>
            <w:noWrap/>
            <w:vAlign w:val="bottom"/>
            <w:hideMark/>
          </w:tcPr>
          <w:p w14:paraId="245D18CE" w14:textId="77777777" w:rsidR="00C537E5" w:rsidRPr="008D1B70" w:rsidRDefault="00C537E5" w:rsidP="00911AAE">
            <w:pPr>
              <w:jc w:val="center"/>
              <w:rPr>
                <w:rFonts w:eastAsia="Times New Roman" w:cs="Calibri"/>
                <w:sz w:val="16"/>
                <w:szCs w:val="16"/>
              </w:rPr>
            </w:pPr>
            <w:r w:rsidRPr="008D1B70">
              <w:rPr>
                <w:rFonts w:eastAsia="Times New Roman" w:cs="Calibri"/>
                <w:sz w:val="16"/>
                <w:szCs w:val="16"/>
              </w:rPr>
              <w:t>PPC</w:t>
            </w:r>
          </w:p>
        </w:tc>
        <w:tc>
          <w:tcPr>
            <w:tcW w:w="2880" w:type="dxa"/>
            <w:shd w:val="clear" w:color="auto" w:fill="F2F2F2" w:themeFill="background1" w:themeFillShade="F2"/>
            <w:hideMark/>
          </w:tcPr>
          <w:p w14:paraId="228D5A20"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Timeliness of Prenatal Care</w:t>
            </w:r>
          </w:p>
        </w:tc>
        <w:tc>
          <w:tcPr>
            <w:tcW w:w="810" w:type="dxa"/>
            <w:shd w:val="clear" w:color="auto" w:fill="F2F2F2" w:themeFill="background1" w:themeFillShade="F2"/>
            <w:noWrap/>
            <w:vAlign w:val="center"/>
            <w:hideMark/>
          </w:tcPr>
          <w:p w14:paraId="23C73573" w14:textId="7C9F692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80.8%</w:t>
            </w:r>
            <w:r w:rsidR="009D6E84">
              <w:rPr>
                <w:rFonts w:cs="Calibri"/>
                <w:color w:val="000000"/>
                <w:sz w:val="18"/>
                <w:szCs w:val="18"/>
              </w:rPr>
              <w:t>*</w:t>
            </w:r>
          </w:p>
        </w:tc>
        <w:tc>
          <w:tcPr>
            <w:tcW w:w="720" w:type="dxa"/>
            <w:shd w:val="clear" w:color="auto" w:fill="F2F2F2" w:themeFill="background1" w:themeFillShade="F2"/>
            <w:noWrap/>
            <w:vAlign w:val="center"/>
            <w:hideMark/>
          </w:tcPr>
          <w:p w14:paraId="2C5A3C9E" w14:textId="3B130AA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87.2%</w:t>
            </w:r>
          </w:p>
        </w:tc>
        <w:tc>
          <w:tcPr>
            <w:tcW w:w="720" w:type="dxa"/>
            <w:shd w:val="clear" w:color="auto" w:fill="F2F2F2" w:themeFill="background1" w:themeFillShade="F2"/>
            <w:noWrap/>
            <w:vAlign w:val="center"/>
            <w:hideMark/>
          </w:tcPr>
          <w:p w14:paraId="1CD449F3" w14:textId="6BCB127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86.5%</w:t>
            </w:r>
          </w:p>
        </w:tc>
        <w:tc>
          <w:tcPr>
            <w:tcW w:w="720" w:type="dxa"/>
            <w:shd w:val="clear" w:color="auto" w:fill="F2F2F2" w:themeFill="background1" w:themeFillShade="F2"/>
            <w:noWrap/>
            <w:vAlign w:val="center"/>
            <w:hideMark/>
          </w:tcPr>
          <w:p w14:paraId="1725ACDF" w14:textId="74D2390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66.4%</w:t>
            </w:r>
          </w:p>
        </w:tc>
        <w:tc>
          <w:tcPr>
            <w:tcW w:w="720" w:type="dxa"/>
            <w:shd w:val="clear" w:color="auto" w:fill="F2F2F2" w:themeFill="background1" w:themeFillShade="F2"/>
            <w:noWrap/>
            <w:vAlign w:val="center"/>
            <w:hideMark/>
          </w:tcPr>
          <w:p w14:paraId="1B65A654" w14:textId="232B4AA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75.4%</w:t>
            </w:r>
          </w:p>
        </w:tc>
        <w:tc>
          <w:tcPr>
            <w:tcW w:w="720" w:type="dxa"/>
            <w:shd w:val="clear" w:color="auto" w:fill="F2F2F2" w:themeFill="background1" w:themeFillShade="F2"/>
            <w:noWrap/>
            <w:vAlign w:val="center"/>
            <w:hideMark/>
          </w:tcPr>
          <w:p w14:paraId="25AAAAA7" w14:textId="6989764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94.9%</w:t>
            </w:r>
          </w:p>
        </w:tc>
        <w:tc>
          <w:tcPr>
            <w:tcW w:w="810" w:type="dxa"/>
            <w:shd w:val="clear" w:color="auto" w:fill="F2F2F2" w:themeFill="background1" w:themeFillShade="F2"/>
            <w:noWrap/>
            <w:vAlign w:val="center"/>
            <w:hideMark/>
          </w:tcPr>
          <w:p w14:paraId="1F617CBF" w14:textId="323878C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71.9%</w:t>
            </w:r>
          </w:p>
        </w:tc>
        <w:tc>
          <w:tcPr>
            <w:tcW w:w="720" w:type="dxa"/>
            <w:shd w:val="clear" w:color="auto" w:fill="F2F2F2" w:themeFill="background1" w:themeFillShade="F2"/>
            <w:noWrap/>
            <w:vAlign w:val="center"/>
            <w:hideMark/>
          </w:tcPr>
          <w:p w14:paraId="79FB6813" w14:textId="4BF022D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81.3%</w:t>
            </w:r>
          </w:p>
        </w:tc>
        <w:tc>
          <w:tcPr>
            <w:tcW w:w="720" w:type="dxa"/>
            <w:shd w:val="clear" w:color="auto" w:fill="F2F2F2" w:themeFill="background1" w:themeFillShade="F2"/>
            <w:noWrap/>
            <w:vAlign w:val="center"/>
            <w:hideMark/>
          </w:tcPr>
          <w:p w14:paraId="3CD4A60D" w14:textId="1852981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84.7%</w:t>
            </w:r>
          </w:p>
        </w:tc>
        <w:tc>
          <w:tcPr>
            <w:tcW w:w="1080" w:type="dxa"/>
            <w:shd w:val="clear" w:color="auto" w:fill="F2F2F2" w:themeFill="background1" w:themeFillShade="F2"/>
            <w:noWrap/>
            <w:vAlign w:val="center"/>
            <w:hideMark/>
          </w:tcPr>
          <w:p w14:paraId="44F31205" w14:textId="5AD4303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46.7%</w:t>
            </w:r>
          </w:p>
        </w:tc>
        <w:tc>
          <w:tcPr>
            <w:tcW w:w="720" w:type="dxa"/>
            <w:shd w:val="clear" w:color="auto" w:fill="F2F2F2" w:themeFill="background1" w:themeFillShade="F2"/>
            <w:noWrap/>
            <w:vAlign w:val="center"/>
            <w:hideMark/>
          </w:tcPr>
          <w:p w14:paraId="3C0726BA" w14:textId="78C2E17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75.4%</w:t>
            </w:r>
          </w:p>
        </w:tc>
        <w:tc>
          <w:tcPr>
            <w:tcW w:w="810" w:type="dxa"/>
            <w:shd w:val="clear" w:color="auto" w:fill="F2F2F2" w:themeFill="background1" w:themeFillShade="F2"/>
            <w:noWrap/>
            <w:vAlign w:val="center"/>
            <w:hideMark/>
          </w:tcPr>
          <w:p w14:paraId="79659066" w14:textId="2A56571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80.8%</w:t>
            </w:r>
          </w:p>
        </w:tc>
        <w:tc>
          <w:tcPr>
            <w:tcW w:w="810" w:type="dxa"/>
            <w:shd w:val="clear" w:color="auto" w:fill="F2F2F2" w:themeFill="background1" w:themeFillShade="F2"/>
            <w:noWrap/>
            <w:vAlign w:val="center"/>
            <w:hideMark/>
          </w:tcPr>
          <w:p w14:paraId="4861894C" w14:textId="62F6CB9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85.8%</w:t>
            </w:r>
          </w:p>
        </w:tc>
        <w:tc>
          <w:tcPr>
            <w:tcW w:w="810" w:type="dxa"/>
            <w:shd w:val="clear" w:color="auto" w:fill="F2F2F2" w:themeFill="background1" w:themeFillShade="F2"/>
            <w:noWrap/>
            <w:vAlign w:val="center"/>
            <w:hideMark/>
          </w:tcPr>
          <w:p w14:paraId="60DD0658" w14:textId="30F4F18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81.1%</w:t>
            </w:r>
          </w:p>
        </w:tc>
        <w:tc>
          <w:tcPr>
            <w:tcW w:w="720" w:type="dxa"/>
            <w:shd w:val="clear" w:color="auto" w:fill="F2F2F2" w:themeFill="background1" w:themeFillShade="F2"/>
            <w:noWrap/>
            <w:vAlign w:val="center"/>
            <w:hideMark/>
          </w:tcPr>
          <w:p w14:paraId="1A4940BA" w14:textId="64A2827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80.5%</w:t>
            </w:r>
          </w:p>
        </w:tc>
        <w:tc>
          <w:tcPr>
            <w:tcW w:w="720" w:type="dxa"/>
            <w:shd w:val="clear" w:color="auto" w:fill="F2F2F2" w:themeFill="background1" w:themeFillShade="F2"/>
            <w:noWrap/>
            <w:vAlign w:val="center"/>
            <w:hideMark/>
          </w:tcPr>
          <w:p w14:paraId="0744E27C" w14:textId="0F84C82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83.2%</w:t>
            </w:r>
          </w:p>
        </w:tc>
        <w:tc>
          <w:tcPr>
            <w:tcW w:w="990" w:type="dxa"/>
            <w:shd w:val="clear" w:color="auto" w:fill="F2F2F2" w:themeFill="background1" w:themeFillShade="F2"/>
            <w:noWrap/>
            <w:vAlign w:val="center"/>
            <w:hideMark/>
          </w:tcPr>
          <w:p w14:paraId="78B16A63" w14:textId="016C97B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64.5%</w:t>
            </w:r>
          </w:p>
        </w:tc>
        <w:tc>
          <w:tcPr>
            <w:tcW w:w="720" w:type="dxa"/>
            <w:shd w:val="clear" w:color="auto" w:fill="F2F2F2" w:themeFill="background1" w:themeFillShade="F2"/>
            <w:noWrap/>
            <w:vAlign w:val="center"/>
            <w:hideMark/>
          </w:tcPr>
          <w:p w14:paraId="494B52C6" w14:textId="357705D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48.5%</w:t>
            </w:r>
          </w:p>
        </w:tc>
        <w:tc>
          <w:tcPr>
            <w:tcW w:w="720" w:type="dxa"/>
            <w:shd w:val="clear" w:color="auto" w:fill="F2F2F2" w:themeFill="background1" w:themeFillShade="F2"/>
            <w:noWrap/>
            <w:vAlign w:val="center"/>
            <w:hideMark/>
          </w:tcPr>
          <w:p w14:paraId="69B344AD" w14:textId="57CE747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F2F2F2" w:themeFill="background1" w:themeFillShade="F2"/>
            <w:noWrap/>
            <w:vAlign w:val="center"/>
            <w:hideMark/>
          </w:tcPr>
          <w:p w14:paraId="1D5E9D62" w14:textId="1341862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F2F2F2" w:themeFill="background1" w:themeFillShade="F2"/>
            <w:noWrap/>
            <w:vAlign w:val="center"/>
            <w:hideMark/>
          </w:tcPr>
          <w:p w14:paraId="51C867BB" w14:textId="5BD8E13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r>
      <w:tr w:rsidR="00EF4C5F" w:rsidRPr="00884DD7" w14:paraId="003BC7E5" w14:textId="77777777" w:rsidTr="007308A3">
        <w:trPr>
          <w:trHeight w:val="290"/>
        </w:trPr>
        <w:tc>
          <w:tcPr>
            <w:tcW w:w="810" w:type="dxa"/>
            <w:shd w:val="clear" w:color="auto" w:fill="auto"/>
            <w:noWrap/>
            <w:hideMark/>
          </w:tcPr>
          <w:p w14:paraId="0EF42EEC"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IMA</w:t>
            </w:r>
          </w:p>
        </w:tc>
        <w:tc>
          <w:tcPr>
            <w:tcW w:w="2880" w:type="dxa"/>
            <w:shd w:val="clear" w:color="auto" w:fill="auto"/>
            <w:hideMark/>
          </w:tcPr>
          <w:p w14:paraId="48B8CC3B"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Immunization for Adolescents (combo 2)</w:t>
            </w:r>
          </w:p>
        </w:tc>
        <w:tc>
          <w:tcPr>
            <w:tcW w:w="810" w:type="dxa"/>
            <w:shd w:val="clear" w:color="auto" w:fill="auto"/>
            <w:noWrap/>
            <w:vAlign w:val="center"/>
            <w:hideMark/>
          </w:tcPr>
          <w:p w14:paraId="747FCB9F" w14:textId="27E5DF3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w:t>
            </w:r>
            <w:r w:rsidR="009D6E84">
              <w:rPr>
                <w:rFonts w:cs="Calibri"/>
                <w:color w:val="000000"/>
                <w:sz w:val="18"/>
                <w:szCs w:val="18"/>
              </w:rPr>
              <w:t>2</w:t>
            </w:r>
            <w:r w:rsidRPr="009520C8">
              <w:rPr>
                <w:rFonts w:cs="Calibri"/>
                <w:color w:val="000000"/>
                <w:sz w:val="18"/>
                <w:szCs w:val="18"/>
              </w:rPr>
              <w:t>.</w:t>
            </w:r>
            <w:r w:rsidR="009D6E84">
              <w:rPr>
                <w:rFonts w:cs="Calibri"/>
                <w:color w:val="000000"/>
                <w:sz w:val="18"/>
                <w:szCs w:val="18"/>
              </w:rPr>
              <w:t>2</w:t>
            </w:r>
            <w:r w:rsidRPr="009520C8">
              <w:rPr>
                <w:rFonts w:cs="Calibri"/>
                <w:color w:val="000000"/>
                <w:sz w:val="18"/>
                <w:szCs w:val="18"/>
              </w:rPr>
              <w:t>%</w:t>
            </w:r>
            <w:r w:rsidR="009D6E84">
              <w:rPr>
                <w:rFonts w:cs="Calibri"/>
                <w:color w:val="000000"/>
                <w:sz w:val="18"/>
                <w:szCs w:val="18"/>
              </w:rPr>
              <w:t>*</w:t>
            </w:r>
          </w:p>
        </w:tc>
        <w:tc>
          <w:tcPr>
            <w:tcW w:w="720" w:type="dxa"/>
            <w:shd w:val="clear" w:color="auto" w:fill="auto"/>
            <w:noWrap/>
            <w:vAlign w:val="center"/>
            <w:hideMark/>
          </w:tcPr>
          <w:p w14:paraId="65B38AF2" w14:textId="50B1418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13.2%</w:t>
            </w:r>
          </w:p>
        </w:tc>
        <w:tc>
          <w:tcPr>
            <w:tcW w:w="720" w:type="dxa"/>
            <w:shd w:val="clear" w:color="auto" w:fill="auto"/>
            <w:noWrap/>
            <w:vAlign w:val="center"/>
            <w:hideMark/>
          </w:tcPr>
          <w:p w14:paraId="33E64D3E" w14:textId="01BF09D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26.5%</w:t>
            </w:r>
          </w:p>
        </w:tc>
        <w:tc>
          <w:tcPr>
            <w:tcW w:w="720" w:type="dxa"/>
            <w:shd w:val="clear" w:color="auto" w:fill="auto"/>
            <w:noWrap/>
            <w:vAlign w:val="center"/>
            <w:hideMark/>
          </w:tcPr>
          <w:p w14:paraId="252E0982" w14:textId="38DC015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24.6%</w:t>
            </w:r>
          </w:p>
        </w:tc>
        <w:tc>
          <w:tcPr>
            <w:tcW w:w="720" w:type="dxa"/>
            <w:shd w:val="clear" w:color="auto" w:fill="auto"/>
            <w:noWrap/>
            <w:vAlign w:val="center"/>
            <w:hideMark/>
          </w:tcPr>
          <w:p w14:paraId="722F8CBA" w14:textId="244B040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35.0%</w:t>
            </w:r>
          </w:p>
        </w:tc>
        <w:tc>
          <w:tcPr>
            <w:tcW w:w="720" w:type="dxa"/>
            <w:shd w:val="clear" w:color="auto" w:fill="auto"/>
            <w:noWrap/>
            <w:vAlign w:val="center"/>
            <w:hideMark/>
          </w:tcPr>
          <w:p w14:paraId="2536A6DF" w14:textId="54B1892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45.0%</w:t>
            </w:r>
          </w:p>
        </w:tc>
        <w:tc>
          <w:tcPr>
            <w:tcW w:w="810" w:type="dxa"/>
            <w:shd w:val="clear" w:color="auto" w:fill="auto"/>
            <w:noWrap/>
            <w:vAlign w:val="center"/>
            <w:hideMark/>
          </w:tcPr>
          <w:p w14:paraId="3CAC70AF" w14:textId="7625489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27.0%</w:t>
            </w:r>
          </w:p>
        </w:tc>
        <w:tc>
          <w:tcPr>
            <w:tcW w:w="720" w:type="dxa"/>
            <w:shd w:val="clear" w:color="auto" w:fill="auto"/>
            <w:noWrap/>
            <w:vAlign w:val="center"/>
            <w:hideMark/>
          </w:tcPr>
          <w:p w14:paraId="3E6BC1D7" w14:textId="66F4B05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30.5%</w:t>
            </w:r>
          </w:p>
        </w:tc>
        <w:tc>
          <w:tcPr>
            <w:tcW w:w="720" w:type="dxa"/>
            <w:shd w:val="clear" w:color="auto" w:fill="auto"/>
            <w:noWrap/>
            <w:vAlign w:val="center"/>
            <w:hideMark/>
          </w:tcPr>
          <w:p w14:paraId="46F82DE5" w14:textId="1024403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50.6%</w:t>
            </w:r>
          </w:p>
        </w:tc>
        <w:tc>
          <w:tcPr>
            <w:tcW w:w="1080" w:type="dxa"/>
            <w:shd w:val="clear" w:color="auto" w:fill="auto"/>
            <w:noWrap/>
            <w:vAlign w:val="center"/>
            <w:hideMark/>
          </w:tcPr>
          <w:p w14:paraId="3A058D66" w14:textId="389E7C1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35.3%</w:t>
            </w:r>
          </w:p>
        </w:tc>
        <w:tc>
          <w:tcPr>
            <w:tcW w:w="720" w:type="dxa"/>
            <w:shd w:val="clear" w:color="auto" w:fill="auto"/>
            <w:noWrap/>
            <w:vAlign w:val="center"/>
            <w:hideMark/>
          </w:tcPr>
          <w:p w14:paraId="020E486B" w14:textId="381477F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47.9%</w:t>
            </w:r>
          </w:p>
        </w:tc>
        <w:tc>
          <w:tcPr>
            <w:tcW w:w="810" w:type="dxa"/>
            <w:shd w:val="clear" w:color="auto" w:fill="auto"/>
            <w:noWrap/>
            <w:vAlign w:val="center"/>
            <w:hideMark/>
          </w:tcPr>
          <w:p w14:paraId="78FCD37C" w14:textId="3FC0C59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34.0%</w:t>
            </w:r>
          </w:p>
        </w:tc>
        <w:tc>
          <w:tcPr>
            <w:tcW w:w="810" w:type="dxa"/>
            <w:shd w:val="clear" w:color="auto" w:fill="auto"/>
            <w:noWrap/>
            <w:vAlign w:val="center"/>
            <w:hideMark/>
          </w:tcPr>
          <w:p w14:paraId="164A391B" w14:textId="116C117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43.6%</w:t>
            </w:r>
          </w:p>
        </w:tc>
        <w:tc>
          <w:tcPr>
            <w:tcW w:w="810" w:type="dxa"/>
            <w:shd w:val="clear" w:color="auto" w:fill="auto"/>
            <w:noWrap/>
            <w:vAlign w:val="center"/>
            <w:hideMark/>
          </w:tcPr>
          <w:p w14:paraId="387D915B" w14:textId="18F1445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28.0%</w:t>
            </w:r>
          </w:p>
        </w:tc>
        <w:tc>
          <w:tcPr>
            <w:tcW w:w="720" w:type="dxa"/>
            <w:shd w:val="clear" w:color="auto" w:fill="auto"/>
            <w:noWrap/>
            <w:vAlign w:val="center"/>
            <w:hideMark/>
          </w:tcPr>
          <w:p w14:paraId="443E3403" w14:textId="5C360D5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50.4%</w:t>
            </w:r>
          </w:p>
        </w:tc>
        <w:tc>
          <w:tcPr>
            <w:tcW w:w="720" w:type="dxa"/>
            <w:shd w:val="clear" w:color="auto" w:fill="auto"/>
            <w:noWrap/>
            <w:vAlign w:val="center"/>
            <w:hideMark/>
          </w:tcPr>
          <w:p w14:paraId="215E3CC5" w14:textId="76C9293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38.2%</w:t>
            </w:r>
          </w:p>
        </w:tc>
        <w:tc>
          <w:tcPr>
            <w:tcW w:w="990" w:type="dxa"/>
            <w:shd w:val="clear" w:color="auto" w:fill="auto"/>
            <w:noWrap/>
            <w:vAlign w:val="center"/>
            <w:hideMark/>
          </w:tcPr>
          <w:p w14:paraId="374E17B3" w14:textId="5AE419F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29.9%</w:t>
            </w:r>
          </w:p>
        </w:tc>
        <w:tc>
          <w:tcPr>
            <w:tcW w:w="720" w:type="dxa"/>
            <w:shd w:val="clear" w:color="auto" w:fill="auto"/>
            <w:noWrap/>
            <w:vAlign w:val="center"/>
            <w:hideMark/>
          </w:tcPr>
          <w:p w14:paraId="49F00877" w14:textId="651AEE0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NA</w:t>
            </w:r>
          </w:p>
        </w:tc>
        <w:tc>
          <w:tcPr>
            <w:tcW w:w="720" w:type="dxa"/>
            <w:shd w:val="clear" w:color="auto" w:fill="auto"/>
            <w:noWrap/>
            <w:vAlign w:val="center"/>
            <w:hideMark/>
          </w:tcPr>
          <w:p w14:paraId="1881A04A" w14:textId="5BCCA0B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auto"/>
            <w:noWrap/>
            <w:vAlign w:val="center"/>
            <w:hideMark/>
          </w:tcPr>
          <w:p w14:paraId="3FEEEF4E" w14:textId="756D118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auto"/>
            <w:noWrap/>
            <w:vAlign w:val="center"/>
            <w:hideMark/>
          </w:tcPr>
          <w:p w14:paraId="4C5F548F" w14:textId="6A822C6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r>
      <w:tr w:rsidR="00255A16" w:rsidRPr="00884DD7" w14:paraId="522AA1B7" w14:textId="77777777" w:rsidTr="007308A3">
        <w:trPr>
          <w:trHeight w:val="290"/>
        </w:trPr>
        <w:tc>
          <w:tcPr>
            <w:tcW w:w="810" w:type="dxa"/>
            <w:shd w:val="clear" w:color="auto" w:fill="F2F2F2" w:themeFill="background1" w:themeFillShade="F2"/>
            <w:noWrap/>
            <w:hideMark/>
          </w:tcPr>
          <w:p w14:paraId="10705CC8"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EOHHS/ADA</w:t>
            </w:r>
          </w:p>
        </w:tc>
        <w:tc>
          <w:tcPr>
            <w:tcW w:w="2880" w:type="dxa"/>
            <w:shd w:val="clear" w:color="auto" w:fill="F2F2F2" w:themeFill="background1" w:themeFillShade="F2"/>
            <w:hideMark/>
          </w:tcPr>
          <w:p w14:paraId="41A42E2A"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Oral Health Evaluation</w:t>
            </w:r>
          </w:p>
        </w:tc>
        <w:tc>
          <w:tcPr>
            <w:tcW w:w="810" w:type="dxa"/>
            <w:shd w:val="clear" w:color="auto" w:fill="F2F2F2" w:themeFill="background1" w:themeFillShade="F2"/>
            <w:noWrap/>
            <w:vAlign w:val="center"/>
            <w:hideMark/>
          </w:tcPr>
          <w:p w14:paraId="528BCA5E" w14:textId="4E752BA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61.6%</w:t>
            </w:r>
          </w:p>
        </w:tc>
        <w:tc>
          <w:tcPr>
            <w:tcW w:w="720" w:type="dxa"/>
            <w:shd w:val="clear" w:color="auto" w:fill="F2F2F2" w:themeFill="background1" w:themeFillShade="F2"/>
            <w:noWrap/>
            <w:vAlign w:val="center"/>
            <w:hideMark/>
          </w:tcPr>
          <w:p w14:paraId="57DF64A5" w14:textId="7493A18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62.6%</w:t>
            </w:r>
          </w:p>
        </w:tc>
        <w:tc>
          <w:tcPr>
            <w:tcW w:w="720" w:type="dxa"/>
            <w:shd w:val="clear" w:color="auto" w:fill="F2F2F2" w:themeFill="background1" w:themeFillShade="F2"/>
            <w:noWrap/>
            <w:vAlign w:val="center"/>
            <w:hideMark/>
          </w:tcPr>
          <w:p w14:paraId="3024E862" w14:textId="19AE701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65.5%</w:t>
            </w:r>
          </w:p>
        </w:tc>
        <w:tc>
          <w:tcPr>
            <w:tcW w:w="720" w:type="dxa"/>
            <w:shd w:val="clear" w:color="auto" w:fill="F2F2F2" w:themeFill="background1" w:themeFillShade="F2"/>
            <w:noWrap/>
            <w:vAlign w:val="center"/>
            <w:hideMark/>
          </w:tcPr>
          <w:p w14:paraId="12F3B44C" w14:textId="7C2ADF8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63.5%</w:t>
            </w:r>
          </w:p>
        </w:tc>
        <w:tc>
          <w:tcPr>
            <w:tcW w:w="720" w:type="dxa"/>
            <w:shd w:val="clear" w:color="auto" w:fill="F2F2F2" w:themeFill="background1" w:themeFillShade="F2"/>
            <w:noWrap/>
            <w:vAlign w:val="center"/>
            <w:hideMark/>
          </w:tcPr>
          <w:p w14:paraId="2A588008" w14:textId="167CEAC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57.4%</w:t>
            </w:r>
          </w:p>
        </w:tc>
        <w:tc>
          <w:tcPr>
            <w:tcW w:w="720" w:type="dxa"/>
            <w:shd w:val="clear" w:color="auto" w:fill="F2F2F2" w:themeFill="background1" w:themeFillShade="F2"/>
            <w:noWrap/>
            <w:vAlign w:val="center"/>
            <w:hideMark/>
          </w:tcPr>
          <w:p w14:paraId="20348421" w14:textId="44B6CE1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64.7%</w:t>
            </w:r>
          </w:p>
        </w:tc>
        <w:tc>
          <w:tcPr>
            <w:tcW w:w="810" w:type="dxa"/>
            <w:shd w:val="clear" w:color="auto" w:fill="F2F2F2" w:themeFill="background1" w:themeFillShade="F2"/>
            <w:noWrap/>
            <w:vAlign w:val="center"/>
            <w:hideMark/>
          </w:tcPr>
          <w:p w14:paraId="19BDBBEF" w14:textId="23260C2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64.1%</w:t>
            </w:r>
          </w:p>
        </w:tc>
        <w:tc>
          <w:tcPr>
            <w:tcW w:w="720" w:type="dxa"/>
            <w:shd w:val="clear" w:color="auto" w:fill="F2F2F2" w:themeFill="background1" w:themeFillShade="F2"/>
            <w:noWrap/>
            <w:vAlign w:val="center"/>
            <w:hideMark/>
          </w:tcPr>
          <w:p w14:paraId="1EDF806A" w14:textId="6A2AA5A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70.5%</w:t>
            </w:r>
          </w:p>
        </w:tc>
        <w:tc>
          <w:tcPr>
            <w:tcW w:w="720" w:type="dxa"/>
            <w:shd w:val="clear" w:color="auto" w:fill="F2F2F2" w:themeFill="background1" w:themeFillShade="F2"/>
            <w:noWrap/>
            <w:vAlign w:val="center"/>
            <w:hideMark/>
          </w:tcPr>
          <w:p w14:paraId="7F4E2C02" w14:textId="30E1539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63.2%</w:t>
            </w:r>
          </w:p>
        </w:tc>
        <w:tc>
          <w:tcPr>
            <w:tcW w:w="1080" w:type="dxa"/>
            <w:shd w:val="clear" w:color="auto" w:fill="F2F2F2" w:themeFill="background1" w:themeFillShade="F2"/>
            <w:noWrap/>
            <w:vAlign w:val="center"/>
            <w:hideMark/>
          </w:tcPr>
          <w:p w14:paraId="74FB5032" w14:textId="4FE286F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63.2%</w:t>
            </w:r>
          </w:p>
        </w:tc>
        <w:tc>
          <w:tcPr>
            <w:tcW w:w="720" w:type="dxa"/>
            <w:shd w:val="clear" w:color="auto" w:fill="F2F2F2" w:themeFill="background1" w:themeFillShade="F2"/>
            <w:noWrap/>
            <w:vAlign w:val="center"/>
            <w:hideMark/>
          </w:tcPr>
          <w:p w14:paraId="68407796" w14:textId="4A6872D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56.3%</w:t>
            </w:r>
          </w:p>
        </w:tc>
        <w:tc>
          <w:tcPr>
            <w:tcW w:w="810" w:type="dxa"/>
            <w:shd w:val="clear" w:color="auto" w:fill="F2F2F2" w:themeFill="background1" w:themeFillShade="F2"/>
            <w:noWrap/>
            <w:vAlign w:val="center"/>
            <w:hideMark/>
          </w:tcPr>
          <w:p w14:paraId="0C38A537" w14:textId="3990BD2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60.6%</w:t>
            </w:r>
          </w:p>
        </w:tc>
        <w:tc>
          <w:tcPr>
            <w:tcW w:w="810" w:type="dxa"/>
            <w:shd w:val="clear" w:color="auto" w:fill="F2F2F2" w:themeFill="background1" w:themeFillShade="F2"/>
            <w:noWrap/>
            <w:vAlign w:val="center"/>
            <w:hideMark/>
          </w:tcPr>
          <w:p w14:paraId="7426DBC9" w14:textId="687A1C6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58.1%</w:t>
            </w:r>
          </w:p>
        </w:tc>
        <w:tc>
          <w:tcPr>
            <w:tcW w:w="810" w:type="dxa"/>
            <w:shd w:val="clear" w:color="auto" w:fill="F2F2F2" w:themeFill="background1" w:themeFillShade="F2"/>
            <w:noWrap/>
            <w:vAlign w:val="center"/>
            <w:hideMark/>
          </w:tcPr>
          <w:p w14:paraId="11CA9FB0" w14:textId="64F1709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50.8%</w:t>
            </w:r>
          </w:p>
        </w:tc>
        <w:tc>
          <w:tcPr>
            <w:tcW w:w="720" w:type="dxa"/>
            <w:shd w:val="clear" w:color="auto" w:fill="F2F2F2" w:themeFill="background1" w:themeFillShade="F2"/>
            <w:noWrap/>
            <w:vAlign w:val="center"/>
            <w:hideMark/>
          </w:tcPr>
          <w:p w14:paraId="255CEB8C" w14:textId="552F9B3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61.5%</w:t>
            </w:r>
          </w:p>
        </w:tc>
        <w:tc>
          <w:tcPr>
            <w:tcW w:w="720" w:type="dxa"/>
            <w:shd w:val="clear" w:color="auto" w:fill="F2F2F2" w:themeFill="background1" w:themeFillShade="F2"/>
            <w:noWrap/>
            <w:vAlign w:val="center"/>
            <w:hideMark/>
          </w:tcPr>
          <w:p w14:paraId="78C50DB5" w14:textId="2EB91FA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63.1%</w:t>
            </w:r>
          </w:p>
        </w:tc>
        <w:tc>
          <w:tcPr>
            <w:tcW w:w="990" w:type="dxa"/>
            <w:shd w:val="clear" w:color="auto" w:fill="F2F2F2" w:themeFill="background1" w:themeFillShade="F2"/>
            <w:noWrap/>
            <w:vAlign w:val="center"/>
            <w:hideMark/>
          </w:tcPr>
          <w:p w14:paraId="3AABCD45" w14:textId="013F94A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59.2%</w:t>
            </w:r>
          </w:p>
        </w:tc>
        <w:tc>
          <w:tcPr>
            <w:tcW w:w="720" w:type="dxa"/>
            <w:shd w:val="clear" w:color="auto" w:fill="F2F2F2" w:themeFill="background1" w:themeFillShade="F2"/>
            <w:noWrap/>
            <w:vAlign w:val="center"/>
            <w:hideMark/>
          </w:tcPr>
          <w:p w14:paraId="6BEE94EC" w14:textId="4DEFD5E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54.6%</w:t>
            </w:r>
          </w:p>
        </w:tc>
        <w:tc>
          <w:tcPr>
            <w:tcW w:w="720" w:type="dxa"/>
            <w:tcBorders>
              <w:bottom w:val="single" w:sz="4" w:space="0" w:color="auto"/>
            </w:tcBorders>
            <w:shd w:val="clear" w:color="auto" w:fill="F2F2F2" w:themeFill="background1" w:themeFillShade="F2"/>
            <w:noWrap/>
            <w:vAlign w:val="center"/>
            <w:hideMark/>
          </w:tcPr>
          <w:p w14:paraId="3AD41F2A" w14:textId="0BED2573"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54.2%</w:t>
            </w:r>
          </w:p>
        </w:tc>
        <w:tc>
          <w:tcPr>
            <w:tcW w:w="720" w:type="dxa"/>
            <w:tcBorders>
              <w:bottom w:val="single" w:sz="4" w:space="0" w:color="auto"/>
            </w:tcBorders>
            <w:shd w:val="clear" w:color="auto" w:fill="F2F2F2" w:themeFill="background1" w:themeFillShade="F2"/>
            <w:noWrap/>
            <w:vAlign w:val="center"/>
            <w:hideMark/>
          </w:tcPr>
          <w:p w14:paraId="76BC6ACB" w14:textId="71FC3A68"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51.4%</w:t>
            </w:r>
          </w:p>
        </w:tc>
        <w:tc>
          <w:tcPr>
            <w:tcW w:w="720" w:type="dxa"/>
            <w:tcBorders>
              <w:bottom w:val="single" w:sz="4" w:space="0" w:color="auto"/>
            </w:tcBorders>
            <w:shd w:val="clear" w:color="auto" w:fill="F2F2F2" w:themeFill="background1" w:themeFillShade="F2"/>
            <w:noWrap/>
            <w:vAlign w:val="center"/>
            <w:hideMark/>
          </w:tcPr>
          <w:p w14:paraId="3559D419" w14:textId="2A1BF382"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55.5%</w:t>
            </w:r>
          </w:p>
        </w:tc>
      </w:tr>
      <w:tr w:rsidR="00255A16" w:rsidRPr="00884DD7" w14:paraId="5B52B75D" w14:textId="77777777" w:rsidTr="007308A3">
        <w:trPr>
          <w:trHeight w:val="380"/>
        </w:trPr>
        <w:tc>
          <w:tcPr>
            <w:tcW w:w="810" w:type="dxa"/>
            <w:shd w:val="clear" w:color="auto" w:fill="auto"/>
            <w:noWrap/>
            <w:hideMark/>
          </w:tcPr>
          <w:p w14:paraId="488AD321"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auto"/>
            <w:hideMark/>
          </w:tcPr>
          <w:p w14:paraId="10D2772D"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Health-Related Social Needs Screening</w:t>
            </w:r>
          </w:p>
        </w:tc>
        <w:tc>
          <w:tcPr>
            <w:tcW w:w="810" w:type="dxa"/>
            <w:shd w:val="clear" w:color="auto" w:fill="auto"/>
            <w:noWrap/>
            <w:vAlign w:val="center"/>
            <w:hideMark/>
          </w:tcPr>
          <w:p w14:paraId="7532B92F" w14:textId="401B9CF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9.5%</w:t>
            </w:r>
          </w:p>
        </w:tc>
        <w:tc>
          <w:tcPr>
            <w:tcW w:w="720" w:type="dxa"/>
            <w:shd w:val="clear" w:color="auto" w:fill="auto"/>
            <w:noWrap/>
            <w:vAlign w:val="center"/>
            <w:hideMark/>
          </w:tcPr>
          <w:p w14:paraId="35F736FD" w14:textId="20BF31E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10.9%</w:t>
            </w:r>
          </w:p>
        </w:tc>
        <w:tc>
          <w:tcPr>
            <w:tcW w:w="720" w:type="dxa"/>
            <w:shd w:val="clear" w:color="auto" w:fill="auto"/>
            <w:noWrap/>
            <w:vAlign w:val="center"/>
            <w:hideMark/>
          </w:tcPr>
          <w:p w14:paraId="68054593" w14:textId="115D3E9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12.7%</w:t>
            </w:r>
          </w:p>
        </w:tc>
        <w:tc>
          <w:tcPr>
            <w:tcW w:w="720" w:type="dxa"/>
            <w:shd w:val="clear" w:color="auto" w:fill="auto"/>
            <w:noWrap/>
            <w:vAlign w:val="center"/>
            <w:hideMark/>
          </w:tcPr>
          <w:p w14:paraId="2D4B050D" w14:textId="75E3412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9.5%</w:t>
            </w:r>
          </w:p>
        </w:tc>
        <w:tc>
          <w:tcPr>
            <w:tcW w:w="720" w:type="dxa"/>
            <w:shd w:val="clear" w:color="auto" w:fill="auto"/>
            <w:noWrap/>
            <w:vAlign w:val="center"/>
            <w:hideMark/>
          </w:tcPr>
          <w:p w14:paraId="320D85BC" w14:textId="36F26AB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32.4%</w:t>
            </w:r>
          </w:p>
        </w:tc>
        <w:tc>
          <w:tcPr>
            <w:tcW w:w="720" w:type="dxa"/>
            <w:shd w:val="clear" w:color="auto" w:fill="auto"/>
            <w:noWrap/>
            <w:vAlign w:val="center"/>
            <w:hideMark/>
          </w:tcPr>
          <w:p w14:paraId="4BD0581C" w14:textId="0242FBB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w:t>
            </w:r>
          </w:p>
        </w:tc>
        <w:tc>
          <w:tcPr>
            <w:tcW w:w="810" w:type="dxa"/>
            <w:shd w:val="clear" w:color="auto" w:fill="auto"/>
            <w:noWrap/>
            <w:vAlign w:val="center"/>
            <w:hideMark/>
          </w:tcPr>
          <w:p w14:paraId="12D109B5" w14:textId="1AF2251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w:t>
            </w:r>
          </w:p>
        </w:tc>
        <w:tc>
          <w:tcPr>
            <w:tcW w:w="720" w:type="dxa"/>
            <w:shd w:val="clear" w:color="auto" w:fill="auto"/>
            <w:noWrap/>
            <w:vAlign w:val="center"/>
            <w:hideMark/>
          </w:tcPr>
          <w:p w14:paraId="786E2EEE" w14:textId="472D019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13.4%</w:t>
            </w:r>
          </w:p>
        </w:tc>
        <w:tc>
          <w:tcPr>
            <w:tcW w:w="720" w:type="dxa"/>
            <w:shd w:val="clear" w:color="auto" w:fill="auto"/>
            <w:noWrap/>
            <w:vAlign w:val="center"/>
            <w:hideMark/>
          </w:tcPr>
          <w:p w14:paraId="360B59EC" w14:textId="0B0A9A2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24.1%</w:t>
            </w:r>
          </w:p>
        </w:tc>
        <w:tc>
          <w:tcPr>
            <w:tcW w:w="1080" w:type="dxa"/>
            <w:shd w:val="clear" w:color="auto" w:fill="auto"/>
            <w:noWrap/>
            <w:vAlign w:val="center"/>
            <w:hideMark/>
          </w:tcPr>
          <w:p w14:paraId="6C857724" w14:textId="10AC782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14.6%</w:t>
            </w:r>
          </w:p>
        </w:tc>
        <w:tc>
          <w:tcPr>
            <w:tcW w:w="720" w:type="dxa"/>
            <w:shd w:val="clear" w:color="auto" w:fill="auto"/>
            <w:noWrap/>
            <w:vAlign w:val="center"/>
            <w:hideMark/>
          </w:tcPr>
          <w:p w14:paraId="57389A0F" w14:textId="7DA40DF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22.6%</w:t>
            </w:r>
          </w:p>
        </w:tc>
        <w:tc>
          <w:tcPr>
            <w:tcW w:w="810" w:type="dxa"/>
            <w:shd w:val="clear" w:color="auto" w:fill="auto"/>
            <w:noWrap/>
            <w:vAlign w:val="center"/>
            <w:hideMark/>
          </w:tcPr>
          <w:p w14:paraId="317B2690" w14:textId="6DDF05A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w:t>
            </w:r>
          </w:p>
        </w:tc>
        <w:tc>
          <w:tcPr>
            <w:tcW w:w="810" w:type="dxa"/>
            <w:shd w:val="clear" w:color="auto" w:fill="auto"/>
            <w:noWrap/>
            <w:vAlign w:val="center"/>
            <w:hideMark/>
          </w:tcPr>
          <w:p w14:paraId="5C83387B" w14:textId="58F836F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0.0%</w:t>
            </w:r>
          </w:p>
        </w:tc>
        <w:tc>
          <w:tcPr>
            <w:tcW w:w="810" w:type="dxa"/>
            <w:shd w:val="clear" w:color="auto" w:fill="auto"/>
            <w:noWrap/>
            <w:vAlign w:val="center"/>
            <w:hideMark/>
          </w:tcPr>
          <w:p w14:paraId="311A9C2E" w14:textId="51E68D7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w:t>
            </w:r>
          </w:p>
        </w:tc>
        <w:tc>
          <w:tcPr>
            <w:tcW w:w="720" w:type="dxa"/>
            <w:shd w:val="clear" w:color="auto" w:fill="auto"/>
            <w:noWrap/>
            <w:vAlign w:val="center"/>
            <w:hideMark/>
          </w:tcPr>
          <w:p w14:paraId="64E64DDA" w14:textId="1FF25BB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w:t>
            </w:r>
          </w:p>
        </w:tc>
        <w:tc>
          <w:tcPr>
            <w:tcW w:w="720" w:type="dxa"/>
            <w:shd w:val="clear" w:color="auto" w:fill="auto"/>
            <w:noWrap/>
            <w:vAlign w:val="center"/>
            <w:hideMark/>
          </w:tcPr>
          <w:p w14:paraId="7245866C" w14:textId="7DB3880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19.5%</w:t>
            </w:r>
          </w:p>
        </w:tc>
        <w:tc>
          <w:tcPr>
            <w:tcW w:w="990" w:type="dxa"/>
            <w:shd w:val="clear" w:color="auto" w:fill="auto"/>
            <w:noWrap/>
            <w:vAlign w:val="center"/>
            <w:hideMark/>
          </w:tcPr>
          <w:p w14:paraId="7042E274" w14:textId="631DA04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9.0%</w:t>
            </w:r>
          </w:p>
        </w:tc>
        <w:tc>
          <w:tcPr>
            <w:tcW w:w="720" w:type="dxa"/>
            <w:tcBorders>
              <w:right w:val="single" w:sz="4" w:space="0" w:color="auto"/>
            </w:tcBorders>
            <w:shd w:val="clear" w:color="auto" w:fill="auto"/>
            <w:noWrap/>
            <w:vAlign w:val="center"/>
            <w:hideMark/>
          </w:tcPr>
          <w:p w14:paraId="50F67AD8" w14:textId="5BBE4A3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AD3904E" w14:textId="2E328A2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153C006" w14:textId="63EA1CE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4FA8F27" w14:textId="16FD8FA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 </w:t>
            </w:r>
          </w:p>
        </w:tc>
      </w:tr>
      <w:tr w:rsidR="00255A16" w:rsidRPr="00884DD7" w14:paraId="378BB8AD" w14:textId="77777777" w:rsidTr="007308A3">
        <w:trPr>
          <w:trHeight w:val="458"/>
        </w:trPr>
        <w:tc>
          <w:tcPr>
            <w:tcW w:w="810" w:type="dxa"/>
            <w:shd w:val="clear" w:color="auto" w:fill="F2F2F2" w:themeFill="background1" w:themeFillShade="F2"/>
            <w:noWrap/>
            <w:hideMark/>
          </w:tcPr>
          <w:p w14:paraId="0F514FB8"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CBP</w:t>
            </w:r>
          </w:p>
        </w:tc>
        <w:tc>
          <w:tcPr>
            <w:tcW w:w="2880" w:type="dxa"/>
            <w:shd w:val="clear" w:color="auto" w:fill="F2F2F2" w:themeFill="background1" w:themeFillShade="F2"/>
            <w:hideMark/>
          </w:tcPr>
          <w:p w14:paraId="3D6BECA8"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Controlling High Blood Pressure</w:t>
            </w:r>
          </w:p>
        </w:tc>
        <w:tc>
          <w:tcPr>
            <w:tcW w:w="810" w:type="dxa"/>
            <w:shd w:val="clear" w:color="auto" w:fill="F2F2F2" w:themeFill="background1" w:themeFillShade="F2"/>
            <w:noWrap/>
            <w:vAlign w:val="center"/>
            <w:hideMark/>
          </w:tcPr>
          <w:p w14:paraId="7062C650" w14:textId="1810188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67.2%</w:t>
            </w:r>
          </w:p>
        </w:tc>
        <w:tc>
          <w:tcPr>
            <w:tcW w:w="720" w:type="dxa"/>
            <w:shd w:val="clear" w:color="auto" w:fill="F2F2F2" w:themeFill="background1" w:themeFillShade="F2"/>
            <w:noWrap/>
            <w:vAlign w:val="center"/>
            <w:hideMark/>
          </w:tcPr>
          <w:p w14:paraId="185EF0BD" w14:textId="6CF2E2F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61.3%</w:t>
            </w:r>
          </w:p>
        </w:tc>
        <w:tc>
          <w:tcPr>
            <w:tcW w:w="720" w:type="dxa"/>
            <w:shd w:val="clear" w:color="auto" w:fill="F2F2F2" w:themeFill="background1" w:themeFillShade="F2"/>
            <w:noWrap/>
            <w:vAlign w:val="center"/>
            <w:hideMark/>
          </w:tcPr>
          <w:p w14:paraId="0D4637F0" w14:textId="436BEFC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76.6%</w:t>
            </w:r>
          </w:p>
        </w:tc>
        <w:tc>
          <w:tcPr>
            <w:tcW w:w="720" w:type="dxa"/>
            <w:shd w:val="clear" w:color="auto" w:fill="F2F2F2" w:themeFill="background1" w:themeFillShade="F2"/>
            <w:noWrap/>
            <w:vAlign w:val="center"/>
            <w:hideMark/>
          </w:tcPr>
          <w:p w14:paraId="59DCAB48" w14:textId="502C6AA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64.2%</w:t>
            </w:r>
          </w:p>
        </w:tc>
        <w:tc>
          <w:tcPr>
            <w:tcW w:w="720" w:type="dxa"/>
            <w:shd w:val="clear" w:color="auto" w:fill="F2F2F2" w:themeFill="background1" w:themeFillShade="F2"/>
            <w:noWrap/>
            <w:vAlign w:val="center"/>
            <w:hideMark/>
          </w:tcPr>
          <w:p w14:paraId="01A3D2BC" w14:textId="61D5280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60.3%</w:t>
            </w:r>
          </w:p>
        </w:tc>
        <w:tc>
          <w:tcPr>
            <w:tcW w:w="720" w:type="dxa"/>
            <w:shd w:val="clear" w:color="auto" w:fill="F2F2F2" w:themeFill="background1" w:themeFillShade="F2"/>
            <w:noWrap/>
            <w:vAlign w:val="center"/>
            <w:hideMark/>
          </w:tcPr>
          <w:p w14:paraId="04D82727" w14:textId="7E7F6FD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73.5%</w:t>
            </w:r>
          </w:p>
        </w:tc>
        <w:tc>
          <w:tcPr>
            <w:tcW w:w="810" w:type="dxa"/>
            <w:shd w:val="clear" w:color="auto" w:fill="F2F2F2" w:themeFill="background1" w:themeFillShade="F2"/>
            <w:noWrap/>
            <w:vAlign w:val="center"/>
            <w:hideMark/>
          </w:tcPr>
          <w:p w14:paraId="7362C720" w14:textId="032058A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76.9%</w:t>
            </w:r>
          </w:p>
        </w:tc>
        <w:tc>
          <w:tcPr>
            <w:tcW w:w="720" w:type="dxa"/>
            <w:shd w:val="clear" w:color="auto" w:fill="F2F2F2" w:themeFill="background1" w:themeFillShade="F2"/>
            <w:noWrap/>
            <w:vAlign w:val="center"/>
            <w:hideMark/>
          </w:tcPr>
          <w:p w14:paraId="2F7E18A9" w14:textId="63B8F6B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66.9%</w:t>
            </w:r>
          </w:p>
        </w:tc>
        <w:tc>
          <w:tcPr>
            <w:tcW w:w="720" w:type="dxa"/>
            <w:shd w:val="clear" w:color="auto" w:fill="F2F2F2" w:themeFill="background1" w:themeFillShade="F2"/>
            <w:noWrap/>
            <w:vAlign w:val="center"/>
            <w:hideMark/>
          </w:tcPr>
          <w:p w14:paraId="1384D38E" w14:textId="35C7319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69.1%</w:t>
            </w:r>
          </w:p>
        </w:tc>
        <w:tc>
          <w:tcPr>
            <w:tcW w:w="1080" w:type="dxa"/>
            <w:shd w:val="clear" w:color="auto" w:fill="F2F2F2" w:themeFill="background1" w:themeFillShade="F2"/>
            <w:noWrap/>
            <w:vAlign w:val="center"/>
            <w:hideMark/>
          </w:tcPr>
          <w:p w14:paraId="69B49EFD" w14:textId="2BD1C84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63.6%</w:t>
            </w:r>
          </w:p>
        </w:tc>
        <w:tc>
          <w:tcPr>
            <w:tcW w:w="720" w:type="dxa"/>
            <w:shd w:val="clear" w:color="auto" w:fill="F2F2F2" w:themeFill="background1" w:themeFillShade="F2"/>
            <w:noWrap/>
            <w:vAlign w:val="center"/>
            <w:hideMark/>
          </w:tcPr>
          <w:p w14:paraId="514436C9" w14:textId="0605E74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58.2%</w:t>
            </w:r>
          </w:p>
        </w:tc>
        <w:tc>
          <w:tcPr>
            <w:tcW w:w="810" w:type="dxa"/>
            <w:shd w:val="clear" w:color="auto" w:fill="F2F2F2" w:themeFill="background1" w:themeFillShade="F2"/>
            <w:noWrap/>
            <w:vAlign w:val="center"/>
            <w:hideMark/>
          </w:tcPr>
          <w:p w14:paraId="40F6A5EB" w14:textId="44592CB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72.7%</w:t>
            </w:r>
          </w:p>
        </w:tc>
        <w:tc>
          <w:tcPr>
            <w:tcW w:w="810" w:type="dxa"/>
            <w:shd w:val="clear" w:color="auto" w:fill="F2F2F2" w:themeFill="background1" w:themeFillShade="F2"/>
            <w:noWrap/>
            <w:vAlign w:val="center"/>
            <w:hideMark/>
          </w:tcPr>
          <w:p w14:paraId="51480D99" w14:textId="202EB02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72.5%</w:t>
            </w:r>
          </w:p>
        </w:tc>
        <w:tc>
          <w:tcPr>
            <w:tcW w:w="810" w:type="dxa"/>
            <w:shd w:val="clear" w:color="auto" w:fill="F2F2F2" w:themeFill="background1" w:themeFillShade="F2"/>
            <w:noWrap/>
            <w:vAlign w:val="center"/>
            <w:hideMark/>
          </w:tcPr>
          <w:p w14:paraId="543E8FA1" w14:textId="3699312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78.6%</w:t>
            </w:r>
          </w:p>
        </w:tc>
        <w:tc>
          <w:tcPr>
            <w:tcW w:w="720" w:type="dxa"/>
            <w:shd w:val="clear" w:color="auto" w:fill="F2F2F2" w:themeFill="background1" w:themeFillShade="F2"/>
            <w:noWrap/>
            <w:vAlign w:val="center"/>
            <w:hideMark/>
          </w:tcPr>
          <w:p w14:paraId="7F1906A6" w14:textId="2021F62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69.1%</w:t>
            </w:r>
          </w:p>
        </w:tc>
        <w:tc>
          <w:tcPr>
            <w:tcW w:w="720" w:type="dxa"/>
            <w:shd w:val="clear" w:color="auto" w:fill="F2F2F2" w:themeFill="background1" w:themeFillShade="F2"/>
            <w:noWrap/>
            <w:vAlign w:val="center"/>
            <w:hideMark/>
          </w:tcPr>
          <w:p w14:paraId="7E211579" w14:textId="2B8CC05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67.2%</w:t>
            </w:r>
          </w:p>
        </w:tc>
        <w:tc>
          <w:tcPr>
            <w:tcW w:w="990" w:type="dxa"/>
            <w:shd w:val="clear" w:color="auto" w:fill="F2F2F2" w:themeFill="background1" w:themeFillShade="F2"/>
            <w:noWrap/>
            <w:vAlign w:val="center"/>
            <w:hideMark/>
          </w:tcPr>
          <w:p w14:paraId="5641B6DF" w14:textId="34F3576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60.1%</w:t>
            </w:r>
          </w:p>
        </w:tc>
        <w:tc>
          <w:tcPr>
            <w:tcW w:w="720" w:type="dxa"/>
            <w:shd w:val="clear" w:color="auto" w:fill="F2F2F2" w:themeFill="background1" w:themeFillShade="F2"/>
            <w:noWrap/>
            <w:vAlign w:val="center"/>
            <w:hideMark/>
          </w:tcPr>
          <w:p w14:paraId="321162DA" w14:textId="30BE523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65.2%</w:t>
            </w:r>
          </w:p>
        </w:tc>
        <w:tc>
          <w:tcPr>
            <w:tcW w:w="720" w:type="dxa"/>
            <w:tcBorders>
              <w:top w:val="single" w:sz="4" w:space="0" w:color="auto"/>
            </w:tcBorders>
            <w:shd w:val="clear" w:color="auto" w:fill="F2F2F2" w:themeFill="background1" w:themeFillShade="F2"/>
            <w:noWrap/>
            <w:vAlign w:val="center"/>
            <w:hideMark/>
          </w:tcPr>
          <w:p w14:paraId="600A16DE" w14:textId="687FBFD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tcBorders>
              <w:top w:val="single" w:sz="4" w:space="0" w:color="auto"/>
            </w:tcBorders>
            <w:shd w:val="clear" w:color="auto" w:fill="F2F2F2" w:themeFill="background1" w:themeFillShade="F2"/>
            <w:noWrap/>
            <w:vAlign w:val="center"/>
            <w:hideMark/>
          </w:tcPr>
          <w:p w14:paraId="7E1C1C09" w14:textId="65FEC5D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tcBorders>
              <w:top w:val="single" w:sz="4" w:space="0" w:color="auto"/>
            </w:tcBorders>
            <w:shd w:val="clear" w:color="auto" w:fill="F2F2F2" w:themeFill="background1" w:themeFillShade="F2"/>
            <w:noWrap/>
            <w:vAlign w:val="center"/>
            <w:hideMark/>
          </w:tcPr>
          <w:p w14:paraId="176C79DC" w14:textId="534DA70D"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w:t>
            </w:r>
          </w:p>
        </w:tc>
      </w:tr>
      <w:tr w:rsidR="00EF4C5F" w:rsidRPr="00884DD7" w14:paraId="074F4661" w14:textId="77777777" w:rsidTr="007308A3">
        <w:trPr>
          <w:trHeight w:val="290"/>
        </w:trPr>
        <w:tc>
          <w:tcPr>
            <w:tcW w:w="810" w:type="dxa"/>
            <w:shd w:val="clear" w:color="auto" w:fill="auto"/>
            <w:noWrap/>
            <w:hideMark/>
          </w:tcPr>
          <w:p w14:paraId="063890D4"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AMR</w:t>
            </w:r>
          </w:p>
        </w:tc>
        <w:tc>
          <w:tcPr>
            <w:tcW w:w="2880" w:type="dxa"/>
            <w:shd w:val="clear" w:color="auto" w:fill="auto"/>
            <w:hideMark/>
          </w:tcPr>
          <w:p w14:paraId="4318CF89"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Asthma Medication Ratio</w:t>
            </w:r>
          </w:p>
        </w:tc>
        <w:tc>
          <w:tcPr>
            <w:tcW w:w="810" w:type="dxa"/>
            <w:shd w:val="clear" w:color="auto" w:fill="auto"/>
            <w:noWrap/>
            <w:vAlign w:val="center"/>
            <w:hideMark/>
          </w:tcPr>
          <w:p w14:paraId="29DE8F4A" w14:textId="767827B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53.3%</w:t>
            </w:r>
          </w:p>
        </w:tc>
        <w:tc>
          <w:tcPr>
            <w:tcW w:w="720" w:type="dxa"/>
            <w:shd w:val="clear" w:color="auto" w:fill="auto"/>
            <w:noWrap/>
            <w:vAlign w:val="center"/>
            <w:hideMark/>
          </w:tcPr>
          <w:p w14:paraId="5A2BDF86" w14:textId="3D0DC6F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40.9%</w:t>
            </w:r>
          </w:p>
        </w:tc>
        <w:tc>
          <w:tcPr>
            <w:tcW w:w="720" w:type="dxa"/>
            <w:shd w:val="clear" w:color="auto" w:fill="auto"/>
            <w:noWrap/>
            <w:vAlign w:val="center"/>
            <w:hideMark/>
          </w:tcPr>
          <w:p w14:paraId="602B091F" w14:textId="18F217F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56.8%</w:t>
            </w:r>
          </w:p>
        </w:tc>
        <w:tc>
          <w:tcPr>
            <w:tcW w:w="720" w:type="dxa"/>
            <w:shd w:val="clear" w:color="auto" w:fill="auto"/>
            <w:noWrap/>
            <w:vAlign w:val="center"/>
            <w:hideMark/>
          </w:tcPr>
          <w:p w14:paraId="6E09C440" w14:textId="3DC373C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55.5%</w:t>
            </w:r>
          </w:p>
        </w:tc>
        <w:tc>
          <w:tcPr>
            <w:tcW w:w="720" w:type="dxa"/>
            <w:shd w:val="clear" w:color="auto" w:fill="auto"/>
            <w:noWrap/>
            <w:vAlign w:val="center"/>
            <w:hideMark/>
          </w:tcPr>
          <w:p w14:paraId="07BAAADD" w14:textId="7731B05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50.9%</w:t>
            </w:r>
          </w:p>
        </w:tc>
        <w:tc>
          <w:tcPr>
            <w:tcW w:w="720" w:type="dxa"/>
            <w:shd w:val="clear" w:color="auto" w:fill="auto"/>
            <w:noWrap/>
            <w:vAlign w:val="center"/>
            <w:hideMark/>
          </w:tcPr>
          <w:p w14:paraId="1F398B12" w14:textId="4E83D97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55.8%</w:t>
            </w:r>
          </w:p>
        </w:tc>
        <w:tc>
          <w:tcPr>
            <w:tcW w:w="810" w:type="dxa"/>
            <w:shd w:val="clear" w:color="auto" w:fill="auto"/>
            <w:noWrap/>
            <w:vAlign w:val="center"/>
            <w:hideMark/>
          </w:tcPr>
          <w:p w14:paraId="7D990083" w14:textId="616057F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54.9%</w:t>
            </w:r>
          </w:p>
        </w:tc>
        <w:tc>
          <w:tcPr>
            <w:tcW w:w="720" w:type="dxa"/>
            <w:shd w:val="clear" w:color="auto" w:fill="auto"/>
            <w:noWrap/>
            <w:vAlign w:val="center"/>
            <w:hideMark/>
          </w:tcPr>
          <w:p w14:paraId="71B58CA9" w14:textId="665F6BF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56.4%</w:t>
            </w:r>
          </w:p>
        </w:tc>
        <w:tc>
          <w:tcPr>
            <w:tcW w:w="720" w:type="dxa"/>
            <w:shd w:val="clear" w:color="auto" w:fill="auto"/>
            <w:noWrap/>
            <w:vAlign w:val="center"/>
            <w:hideMark/>
          </w:tcPr>
          <w:p w14:paraId="5CE21EF6" w14:textId="2CD298C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51.8%</w:t>
            </w:r>
          </w:p>
        </w:tc>
        <w:tc>
          <w:tcPr>
            <w:tcW w:w="1080" w:type="dxa"/>
            <w:shd w:val="clear" w:color="auto" w:fill="auto"/>
            <w:noWrap/>
            <w:vAlign w:val="center"/>
            <w:hideMark/>
          </w:tcPr>
          <w:p w14:paraId="69CAAF09" w14:textId="7A516DA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64.5%</w:t>
            </w:r>
          </w:p>
        </w:tc>
        <w:tc>
          <w:tcPr>
            <w:tcW w:w="720" w:type="dxa"/>
            <w:shd w:val="clear" w:color="auto" w:fill="auto"/>
            <w:noWrap/>
            <w:vAlign w:val="center"/>
            <w:hideMark/>
          </w:tcPr>
          <w:p w14:paraId="1FA9ED26" w14:textId="21650B5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48.2%</w:t>
            </w:r>
          </w:p>
        </w:tc>
        <w:tc>
          <w:tcPr>
            <w:tcW w:w="810" w:type="dxa"/>
            <w:shd w:val="clear" w:color="auto" w:fill="auto"/>
            <w:noWrap/>
            <w:vAlign w:val="center"/>
            <w:hideMark/>
          </w:tcPr>
          <w:p w14:paraId="54FB8E77" w14:textId="76FBF35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59.3%</w:t>
            </w:r>
          </w:p>
        </w:tc>
        <w:tc>
          <w:tcPr>
            <w:tcW w:w="810" w:type="dxa"/>
            <w:shd w:val="clear" w:color="auto" w:fill="auto"/>
            <w:noWrap/>
            <w:vAlign w:val="center"/>
            <w:hideMark/>
          </w:tcPr>
          <w:p w14:paraId="519545E5" w14:textId="00D5C9A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54.3%</w:t>
            </w:r>
          </w:p>
        </w:tc>
        <w:tc>
          <w:tcPr>
            <w:tcW w:w="810" w:type="dxa"/>
            <w:shd w:val="clear" w:color="auto" w:fill="auto"/>
            <w:noWrap/>
            <w:vAlign w:val="center"/>
            <w:hideMark/>
          </w:tcPr>
          <w:p w14:paraId="66A733C9" w14:textId="5B0BCAA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46.5%</w:t>
            </w:r>
          </w:p>
        </w:tc>
        <w:tc>
          <w:tcPr>
            <w:tcW w:w="720" w:type="dxa"/>
            <w:shd w:val="clear" w:color="auto" w:fill="auto"/>
            <w:noWrap/>
            <w:vAlign w:val="center"/>
            <w:hideMark/>
          </w:tcPr>
          <w:p w14:paraId="377A9ECE" w14:textId="7646CA5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50.6%</w:t>
            </w:r>
          </w:p>
        </w:tc>
        <w:tc>
          <w:tcPr>
            <w:tcW w:w="720" w:type="dxa"/>
            <w:shd w:val="clear" w:color="auto" w:fill="auto"/>
            <w:noWrap/>
            <w:vAlign w:val="center"/>
            <w:hideMark/>
          </w:tcPr>
          <w:p w14:paraId="762B172E" w14:textId="2352682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51.6%</w:t>
            </w:r>
          </w:p>
        </w:tc>
        <w:tc>
          <w:tcPr>
            <w:tcW w:w="990" w:type="dxa"/>
            <w:shd w:val="clear" w:color="auto" w:fill="auto"/>
            <w:noWrap/>
            <w:vAlign w:val="center"/>
            <w:hideMark/>
          </w:tcPr>
          <w:p w14:paraId="6E253173" w14:textId="38A3E9D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51.4%</w:t>
            </w:r>
          </w:p>
        </w:tc>
        <w:tc>
          <w:tcPr>
            <w:tcW w:w="720" w:type="dxa"/>
            <w:shd w:val="clear" w:color="auto" w:fill="auto"/>
            <w:noWrap/>
            <w:vAlign w:val="center"/>
            <w:hideMark/>
          </w:tcPr>
          <w:p w14:paraId="23E6FECB" w14:textId="1C0A375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45.6%</w:t>
            </w:r>
          </w:p>
        </w:tc>
        <w:tc>
          <w:tcPr>
            <w:tcW w:w="720" w:type="dxa"/>
            <w:shd w:val="clear" w:color="auto" w:fill="auto"/>
            <w:noWrap/>
            <w:vAlign w:val="center"/>
            <w:hideMark/>
          </w:tcPr>
          <w:p w14:paraId="6FC96884" w14:textId="38E1A761" w:rsidR="00C537E5" w:rsidRPr="009520C8" w:rsidRDefault="00C537E5" w:rsidP="00C537E5">
            <w:pPr>
              <w:spacing w:after="0"/>
              <w:jc w:val="center"/>
              <w:rPr>
                <w:rFonts w:eastAsia="Times New Roman" w:cs="Calibri"/>
                <w:sz w:val="18"/>
                <w:szCs w:val="18"/>
              </w:rPr>
            </w:pPr>
            <w:r w:rsidRPr="009520C8">
              <w:rPr>
                <w:rFonts w:cs="Calibri"/>
                <w:sz w:val="18"/>
                <w:szCs w:val="18"/>
              </w:rPr>
              <w:t>55.5%</w:t>
            </w:r>
          </w:p>
        </w:tc>
        <w:tc>
          <w:tcPr>
            <w:tcW w:w="720" w:type="dxa"/>
            <w:shd w:val="clear" w:color="auto" w:fill="auto"/>
            <w:noWrap/>
            <w:vAlign w:val="center"/>
            <w:hideMark/>
          </w:tcPr>
          <w:p w14:paraId="1CBB87B1" w14:textId="603FDA85" w:rsidR="00C537E5" w:rsidRPr="009520C8" w:rsidRDefault="00C537E5" w:rsidP="00C537E5">
            <w:pPr>
              <w:spacing w:after="0"/>
              <w:jc w:val="center"/>
              <w:rPr>
                <w:rFonts w:eastAsia="Times New Roman" w:cs="Calibri"/>
                <w:sz w:val="18"/>
                <w:szCs w:val="18"/>
              </w:rPr>
            </w:pPr>
            <w:r w:rsidRPr="009520C8">
              <w:rPr>
                <w:rFonts w:cs="Calibri"/>
                <w:sz w:val="18"/>
                <w:szCs w:val="18"/>
              </w:rPr>
              <w:t>50.8%</w:t>
            </w:r>
          </w:p>
        </w:tc>
        <w:tc>
          <w:tcPr>
            <w:tcW w:w="720" w:type="dxa"/>
            <w:shd w:val="clear" w:color="auto" w:fill="auto"/>
            <w:noWrap/>
            <w:vAlign w:val="center"/>
            <w:hideMark/>
          </w:tcPr>
          <w:p w14:paraId="61514EF7" w14:textId="33A23575" w:rsidR="00C537E5" w:rsidRPr="00226A99" w:rsidRDefault="00C537E5" w:rsidP="00C537E5">
            <w:pPr>
              <w:spacing w:after="0"/>
              <w:jc w:val="center"/>
              <w:rPr>
                <w:rFonts w:eastAsia="Times New Roman" w:cs="Calibri"/>
                <w:sz w:val="16"/>
                <w:szCs w:val="16"/>
              </w:rPr>
            </w:pPr>
            <w:r w:rsidRPr="00226A99">
              <w:rPr>
                <w:rFonts w:cs="Calibri"/>
                <w:sz w:val="16"/>
                <w:szCs w:val="16"/>
              </w:rPr>
              <w:t>57.2%</w:t>
            </w:r>
          </w:p>
        </w:tc>
      </w:tr>
      <w:tr w:rsidR="00255A16" w:rsidRPr="00884DD7" w14:paraId="2A9B383E" w14:textId="77777777" w:rsidTr="007308A3">
        <w:trPr>
          <w:trHeight w:val="465"/>
        </w:trPr>
        <w:tc>
          <w:tcPr>
            <w:tcW w:w="810" w:type="dxa"/>
            <w:shd w:val="clear" w:color="auto" w:fill="F2F2F2" w:themeFill="background1" w:themeFillShade="F2"/>
            <w:noWrap/>
            <w:hideMark/>
          </w:tcPr>
          <w:p w14:paraId="074BB941"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CDC</w:t>
            </w:r>
          </w:p>
        </w:tc>
        <w:tc>
          <w:tcPr>
            <w:tcW w:w="2880" w:type="dxa"/>
            <w:shd w:val="clear" w:color="auto" w:fill="F2F2F2" w:themeFill="background1" w:themeFillShade="F2"/>
            <w:hideMark/>
          </w:tcPr>
          <w:p w14:paraId="7F0EA70F" w14:textId="3613999B" w:rsidR="00C537E5" w:rsidRPr="00884DD7" w:rsidRDefault="00C537E5" w:rsidP="00C537E5">
            <w:pPr>
              <w:spacing w:after="0"/>
              <w:rPr>
                <w:rFonts w:eastAsia="Times New Roman" w:cs="Calibri"/>
                <w:sz w:val="16"/>
                <w:szCs w:val="16"/>
              </w:rPr>
            </w:pPr>
            <w:r w:rsidRPr="00884DD7">
              <w:rPr>
                <w:rFonts w:eastAsia="Times New Roman" w:cs="Calibri"/>
                <w:sz w:val="16"/>
                <w:szCs w:val="16"/>
              </w:rPr>
              <w:t xml:space="preserve">Comprehensive Diabetes Care: </w:t>
            </w:r>
            <w:r w:rsidR="00142A4B">
              <w:rPr>
                <w:rFonts w:eastAsia="Times New Roman" w:cs="Calibri"/>
                <w:sz w:val="16"/>
                <w:szCs w:val="16"/>
              </w:rPr>
              <w:t>A1C</w:t>
            </w:r>
            <w:r w:rsidRPr="00884DD7">
              <w:rPr>
                <w:rFonts w:eastAsia="Times New Roman" w:cs="Calibri"/>
                <w:sz w:val="16"/>
                <w:szCs w:val="16"/>
              </w:rPr>
              <w:t xml:space="preserve"> Poor Control (lower is better)</w:t>
            </w:r>
          </w:p>
        </w:tc>
        <w:tc>
          <w:tcPr>
            <w:tcW w:w="810" w:type="dxa"/>
            <w:shd w:val="clear" w:color="auto" w:fill="F2F2F2" w:themeFill="background1" w:themeFillShade="F2"/>
            <w:noWrap/>
            <w:vAlign w:val="center"/>
            <w:hideMark/>
          </w:tcPr>
          <w:p w14:paraId="702BF058" w14:textId="4D23C48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31.9%</w:t>
            </w:r>
          </w:p>
        </w:tc>
        <w:tc>
          <w:tcPr>
            <w:tcW w:w="720" w:type="dxa"/>
            <w:shd w:val="clear" w:color="auto" w:fill="F2F2F2" w:themeFill="background1" w:themeFillShade="F2"/>
            <w:noWrap/>
            <w:vAlign w:val="center"/>
            <w:hideMark/>
          </w:tcPr>
          <w:p w14:paraId="60B05096" w14:textId="247B196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26.5%</w:t>
            </w:r>
          </w:p>
        </w:tc>
        <w:tc>
          <w:tcPr>
            <w:tcW w:w="720" w:type="dxa"/>
            <w:shd w:val="clear" w:color="auto" w:fill="F2F2F2" w:themeFill="background1" w:themeFillShade="F2"/>
            <w:noWrap/>
            <w:vAlign w:val="center"/>
            <w:hideMark/>
          </w:tcPr>
          <w:p w14:paraId="671064A1" w14:textId="594B223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22.1%</w:t>
            </w:r>
          </w:p>
        </w:tc>
        <w:tc>
          <w:tcPr>
            <w:tcW w:w="720" w:type="dxa"/>
            <w:shd w:val="clear" w:color="auto" w:fill="F2F2F2" w:themeFill="background1" w:themeFillShade="F2"/>
            <w:noWrap/>
            <w:vAlign w:val="center"/>
            <w:hideMark/>
          </w:tcPr>
          <w:p w14:paraId="7AF16208" w14:textId="1845BCE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36.7%</w:t>
            </w:r>
          </w:p>
        </w:tc>
        <w:tc>
          <w:tcPr>
            <w:tcW w:w="720" w:type="dxa"/>
            <w:shd w:val="clear" w:color="auto" w:fill="F2F2F2" w:themeFill="background1" w:themeFillShade="F2"/>
            <w:noWrap/>
            <w:vAlign w:val="center"/>
            <w:hideMark/>
          </w:tcPr>
          <w:p w14:paraId="194ABC2D" w14:textId="6BE5BA9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39.2%</w:t>
            </w:r>
          </w:p>
        </w:tc>
        <w:tc>
          <w:tcPr>
            <w:tcW w:w="720" w:type="dxa"/>
            <w:shd w:val="clear" w:color="auto" w:fill="F2F2F2" w:themeFill="background1" w:themeFillShade="F2"/>
            <w:noWrap/>
            <w:vAlign w:val="center"/>
            <w:hideMark/>
          </w:tcPr>
          <w:p w14:paraId="6321DA25" w14:textId="2F9030C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36.5%</w:t>
            </w:r>
          </w:p>
        </w:tc>
        <w:tc>
          <w:tcPr>
            <w:tcW w:w="810" w:type="dxa"/>
            <w:shd w:val="clear" w:color="auto" w:fill="F2F2F2" w:themeFill="background1" w:themeFillShade="F2"/>
            <w:noWrap/>
            <w:vAlign w:val="center"/>
            <w:hideMark/>
          </w:tcPr>
          <w:p w14:paraId="24BAA871" w14:textId="467897E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26.8%</w:t>
            </w:r>
          </w:p>
        </w:tc>
        <w:tc>
          <w:tcPr>
            <w:tcW w:w="720" w:type="dxa"/>
            <w:shd w:val="clear" w:color="auto" w:fill="F2F2F2" w:themeFill="background1" w:themeFillShade="F2"/>
            <w:noWrap/>
            <w:vAlign w:val="center"/>
            <w:hideMark/>
          </w:tcPr>
          <w:p w14:paraId="27DCB937" w14:textId="6462192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23.8%</w:t>
            </w:r>
          </w:p>
        </w:tc>
        <w:tc>
          <w:tcPr>
            <w:tcW w:w="720" w:type="dxa"/>
            <w:shd w:val="clear" w:color="auto" w:fill="F2F2F2" w:themeFill="background1" w:themeFillShade="F2"/>
            <w:noWrap/>
            <w:vAlign w:val="center"/>
            <w:hideMark/>
          </w:tcPr>
          <w:p w14:paraId="59BA355E" w14:textId="74D089C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34.1%</w:t>
            </w:r>
          </w:p>
        </w:tc>
        <w:tc>
          <w:tcPr>
            <w:tcW w:w="1080" w:type="dxa"/>
            <w:shd w:val="clear" w:color="auto" w:fill="F2F2F2" w:themeFill="background1" w:themeFillShade="F2"/>
            <w:noWrap/>
            <w:vAlign w:val="center"/>
            <w:hideMark/>
          </w:tcPr>
          <w:p w14:paraId="579E2E70" w14:textId="29E57FC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52.7%</w:t>
            </w:r>
          </w:p>
        </w:tc>
        <w:tc>
          <w:tcPr>
            <w:tcW w:w="720" w:type="dxa"/>
            <w:shd w:val="clear" w:color="auto" w:fill="F2F2F2" w:themeFill="background1" w:themeFillShade="F2"/>
            <w:noWrap/>
            <w:vAlign w:val="center"/>
            <w:hideMark/>
          </w:tcPr>
          <w:p w14:paraId="6A686FFA" w14:textId="024840E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36.7%</w:t>
            </w:r>
          </w:p>
        </w:tc>
        <w:tc>
          <w:tcPr>
            <w:tcW w:w="810" w:type="dxa"/>
            <w:shd w:val="clear" w:color="auto" w:fill="F2F2F2" w:themeFill="background1" w:themeFillShade="F2"/>
            <w:noWrap/>
            <w:vAlign w:val="center"/>
            <w:hideMark/>
          </w:tcPr>
          <w:p w14:paraId="439CBC3C" w14:textId="4574391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31.9%</w:t>
            </w:r>
          </w:p>
        </w:tc>
        <w:tc>
          <w:tcPr>
            <w:tcW w:w="810" w:type="dxa"/>
            <w:shd w:val="clear" w:color="auto" w:fill="F2F2F2" w:themeFill="background1" w:themeFillShade="F2"/>
            <w:noWrap/>
            <w:vAlign w:val="center"/>
            <w:hideMark/>
          </w:tcPr>
          <w:p w14:paraId="6EEE31A5" w14:textId="5BC5B7E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26.3%</w:t>
            </w:r>
          </w:p>
        </w:tc>
        <w:tc>
          <w:tcPr>
            <w:tcW w:w="810" w:type="dxa"/>
            <w:shd w:val="clear" w:color="auto" w:fill="F2F2F2" w:themeFill="background1" w:themeFillShade="F2"/>
            <w:noWrap/>
            <w:vAlign w:val="center"/>
            <w:hideMark/>
          </w:tcPr>
          <w:p w14:paraId="42F37DB4" w14:textId="2B663C7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27.0%</w:t>
            </w:r>
          </w:p>
        </w:tc>
        <w:tc>
          <w:tcPr>
            <w:tcW w:w="720" w:type="dxa"/>
            <w:shd w:val="clear" w:color="auto" w:fill="F2F2F2" w:themeFill="background1" w:themeFillShade="F2"/>
            <w:noWrap/>
            <w:vAlign w:val="center"/>
            <w:hideMark/>
          </w:tcPr>
          <w:p w14:paraId="122A387D" w14:textId="2DC1145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35.8%</w:t>
            </w:r>
          </w:p>
        </w:tc>
        <w:tc>
          <w:tcPr>
            <w:tcW w:w="720" w:type="dxa"/>
            <w:shd w:val="clear" w:color="auto" w:fill="F2F2F2" w:themeFill="background1" w:themeFillShade="F2"/>
            <w:noWrap/>
            <w:vAlign w:val="center"/>
            <w:hideMark/>
          </w:tcPr>
          <w:p w14:paraId="78C5BB92" w14:textId="4CB1A2B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28.7%</w:t>
            </w:r>
          </w:p>
        </w:tc>
        <w:tc>
          <w:tcPr>
            <w:tcW w:w="990" w:type="dxa"/>
            <w:shd w:val="clear" w:color="auto" w:fill="F2F2F2" w:themeFill="background1" w:themeFillShade="F2"/>
            <w:noWrap/>
            <w:vAlign w:val="center"/>
            <w:hideMark/>
          </w:tcPr>
          <w:p w14:paraId="54B9B7AA" w14:textId="57FB6E9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44.3%</w:t>
            </w:r>
          </w:p>
        </w:tc>
        <w:tc>
          <w:tcPr>
            <w:tcW w:w="720" w:type="dxa"/>
            <w:shd w:val="clear" w:color="auto" w:fill="F2F2F2" w:themeFill="background1" w:themeFillShade="F2"/>
            <w:noWrap/>
            <w:vAlign w:val="center"/>
            <w:hideMark/>
          </w:tcPr>
          <w:p w14:paraId="73C7D6B0" w14:textId="10BDE1F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26.8%</w:t>
            </w:r>
          </w:p>
        </w:tc>
        <w:tc>
          <w:tcPr>
            <w:tcW w:w="720" w:type="dxa"/>
            <w:shd w:val="clear" w:color="auto" w:fill="F2F2F2" w:themeFill="background1" w:themeFillShade="F2"/>
            <w:noWrap/>
            <w:vAlign w:val="center"/>
            <w:hideMark/>
          </w:tcPr>
          <w:p w14:paraId="54840749" w14:textId="78541D5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F2F2F2" w:themeFill="background1" w:themeFillShade="F2"/>
            <w:noWrap/>
            <w:vAlign w:val="center"/>
            <w:hideMark/>
          </w:tcPr>
          <w:p w14:paraId="68186458" w14:textId="25B3641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w:t>
            </w:r>
          </w:p>
        </w:tc>
        <w:tc>
          <w:tcPr>
            <w:tcW w:w="720" w:type="dxa"/>
            <w:shd w:val="clear" w:color="auto" w:fill="F2F2F2" w:themeFill="background1" w:themeFillShade="F2"/>
            <w:noWrap/>
            <w:vAlign w:val="center"/>
            <w:hideMark/>
          </w:tcPr>
          <w:p w14:paraId="0ACE623B" w14:textId="7245C480"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w:t>
            </w:r>
          </w:p>
        </w:tc>
      </w:tr>
      <w:tr w:rsidR="00255A16" w:rsidRPr="00884DD7" w14:paraId="1DFAD007" w14:textId="77777777" w:rsidTr="007308A3">
        <w:trPr>
          <w:trHeight w:val="300"/>
        </w:trPr>
        <w:tc>
          <w:tcPr>
            <w:tcW w:w="810" w:type="dxa"/>
            <w:shd w:val="clear" w:color="auto" w:fill="auto"/>
            <w:noWrap/>
            <w:vAlign w:val="bottom"/>
            <w:hideMark/>
          </w:tcPr>
          <w:p w14:paraId="1FC96EF4" w14:textId="471C09B2" w:rsidR="00C537E5" w:rsidRPr="008D1B70" w:rsidRDefault="00911AAE" w:rsidP="00911AAE">
            <w:pPr>
              <w:jc w:val="center"/>
              <w:rPr>
                <w:rFonts w:eastAsia="Times New Roman" w:cs="Calibri"/>
                <w:sz w:val="16"/>
                <w:szCs w:val="16"/>
              </w:rPr>
            </w:pPr>
            <w:r w:rsidRPr="008D1B70">
              <w:rPr>
                <w:rFonts w:eastAsia="Times New Roman" w:cs="Calibri"/>
                <w:sz w:val="16"/>
                <w:szCs w:val="16"/>
              </w:rPr>
              <w:t>PCR-O/E</w:t>
            </w:r>
          </w:p>
        </w:tc>
        <w:tc>
          <w:tcPr>
            <w:tcW w:w="2880" w:type="dxa"/>
            <w:shd w:val="clear" w:color="auto" w:fill="auto"/>
            <w:hideMark/>
          </w:tcPr>
          <w:p w14:paraId="0DB2449C"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Plan All-Cause Readmissions (observed to expected ratio)</w:t>
            </w:r>
          </w:p>
        </w:tc>
        <w:tc>
          <w:tcPr>
            <w:tcW w:w="810" w:type="dxa"/>
            <w:shd w:val="clear" w:color="000000" w:fill="FFFFFF"/>
            <w:noWrap/>
            <w:vAlign w:val="center"/>
            <w:hideMark/>
          </w:tcPr>
          <w:p w14:paraId="0AFED078" w14:textId="337DA14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0.9676</w:t>
            </w:r>
          </w:p>
        </w:tc>
        <w:tc>
          <w:tcPr>
            <w:tcW w:w="720" w:type="dxa"/>
            <w:shd w:val="clear" w:color="auto" w:fill="auto"/>
            <w:noWrap/>
            <w:vAlign w:val="center"/>
            <w:hideMark/>
          </w:tcPr>
          <w:p w14:paraId="6C903D1E" w14:textId="1EB278F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0.8953</w:t>
            </w:r>
          </w:p>
        </w:tc>
        <w:tc>
          <w:tcPr>
            <w:tcW w:w="720" w:type="dxa"/>
            <w:shd w:val="clear" w:color="auto" w:fill="auto"/>
            <w:noWrap/>
            <w:vAlign w:val="center"/>
            <w:hideMark/>
          </w:tcPr>
          <w:p w14:paraId="7485AA92" w14:textId="40C4846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0.7835</w:t>
            </w:r>
          </w:p>
        </w:tc>
        <w:tc>
          <w:tcPr>
            <w:tcW w:w="720" w:type="dxa"/>
            <w:shd w:val="clear" w:color="auto" w:fill="auto"/>
            <w:noWrap/>
            <w:vAlign w:val="center"/>
            <w:hideMark/>
          </w:tcPr>
          <w:p w14:paraId="46ED9AD9" w14:textId="1E8F18E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1.0218</w:t>
            </w:r>
          </w:p>
        </w:tc>
        <w:tc>
          <w:tcPr>
            <w:tcW w:w="720" w:type="dxa"/>
            <w:shd w:val="clear" w:color="auto" w:fill="auto"/>
            <w:noWrap/>
            <w:vAlign w:val="center"/>
            <w:hideMark/>
          </w:tcPr>
          <w:p w14:paraId="245A61C2" w14:textId="3423EF8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0.7794</w:t>
            </w:r>
          </w:p>
        </w:tc>
        <w:tc>
          <w:tcPr>
            <w:tcW w:w="720" w:type="dxa"/>
            <w:shd w:val="clear" w:color="auto" w:fill="auto"/>
            <w:noWrap/>
            <w:vAlign w:val="center"/>
            <w:hideMark/>
          </w:tcPr>
          <w:p w14:paraId="3A650AAC" w14:textId="48B5201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0.8059</w:t>
            </w:r>
          </w:p>
        </w:tc>
        <w:tc>
          <w:tcPr>
            <w:tcW w:w="810" w:type="dxa"/>
            <w:shd w:val="clear" w:color="auto" w:fill="auto"/>
            <w:noWrap/>
            <w:vAlign w:val="center"/>
            <w:hideMark/>
          </w:tcPr>
          <w:p w14:paraId="51572EFE" w14:textId="23BDA4B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0.7313</w:t>
            </w:r>
          </w:p>
        </w:tc>
        <w:tc>
          <w:tcPr>
            <w:tcW w:w="720" w:type="dxa"/>
            <w:shd w:val="clear" w:color="auto" w:fill="auto"/>
            <w:noWrap/>
            <w:vAlign w:val="center"/>
            <w:hideMark/>
          </w:tcPr>
          <w:p w14:paraId="18B29D31" w14:textId="603DD74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0.9049</w:t>
            </w:r>
          </w:p>
        </w:tc>
        <w:tc>
          <w:tcPr>
            <w:tcW w:w="720" w:type="dxa"/>
            <w:shd w:val="clear" w:color="auto" w:fill="auto"/>
            <w:noWrap/>
            <w:vAlign w:val="center"/>
            <w:hideMark/>
          </w:tcPr>
          <w:p w14:paraId="17452F41" w14:textId="22A3BFC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1.1688</w:t>
            </w:r>
          </w:p>
        </w:tc>
        <w:tc>
          <w:tcPr>
            <w:tcW w:w="1080" w:type="dxa"/>
            <w:shd w:val="clear" w:color="auto" w:fill="auto"/>
            <w:noWrap/>
            <w:vAlign w:val="center"/>
            <w:hideMark/>
          </w:tcPr>
          <w:p w14:paraId="54328AE8" w14:textId="7B6E6E0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0.5757</w:t>
            </w:r>
          </w:p>
        </w:tc>
        <w:tc>
          <w:tcPr>
            <w:tcW w:w="720" w:type="dxa"/>
            <w:shd w:val="clear" w:color="auto" w:fill="auto"/>
            <w:noWrap/>
            <w:vAlign w:val="center"/>
            <w:hideMark/>
          </w:tcPr>
          <w:p w14:paraId="3207CC43" w14:textId="04F3CDC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1.0320</w:t>
            </w:r>
          </w:p>
        </w:tc>
        <w:tc>
          <w:tcPr>
            <w:tcW w:w="810" w:type="dxa"/>
            <w:shd w:val="clear" w:color="auto" w:fill="auto"/>
            <w:noWrap/>
            <w:vAlign w:val="center"/>
            <w:hideMark/>
          </w:tcPr>
          <w:p w14:paraId="7033E1FB" w14:textId="3AA1F4E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0.9992</w:t>
            </w:r>
          </w:p>
        </w:tc>
        <w:tc>
          <w:tcPr>
            <w:tcW w:w="810" w:type="dxa"/>
            <w:shd w:val="clear" w:color="auto" w:fill="auto"/>
            <w:noWrap/>
            <w:vAlign w:val="center"/>
            <w:hideMark/>
          </w:tcPr>
          <w:p w14:paraId="11714A81" w14:textId="0C47904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1.0443</w:t>
            </w:r>
          </w:p>
        </w:tc>
        <w:tc>
          <w:tcPr>
            <w:tcW w:w="810" w:type="dxa"/>
            <w:shd w:val="clear" w:color="auto" w:fill="auto"/>
            <w:noWrap/>
            <w:vAlign w:val="center"/>
            <w:hideMark/>
          </w:tcPr>
          <w:p w14:paraId="4243F521" w14:textId="5077F0B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0.9387</w:t>
            </w:r>
          </w:p>
        </w:tc>
        <w:tc>
          <w:tcPr>
            <w:tcW w:w="720" w:type="dxa"/>
            <w:shd w:val="clear" w:color="auto" w:fill="auto"/>
            <w:noWrap/>
            <w:vAlign w:val="center"/>
            <w:hideMark/>
          </w:tcPr>
          <w:p w14:paraId="441FCAA8" w14:textId="32453A8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0.9906</w:t>
            </w:r>
          </w:p>
        </w:tc>
        <w:tc>
          <w:tcPr>
            <w:tcW w:w="720" w:type="dxa"/>
            <w:shd w:val="clear" w:color="auto" w:fill="auto"/>
            <w:noWrap/>
            <w:vAlign w:val="center"/>
            <w:hideMark/>
          </w:tcPr>
          <w:p w14:paraId="12AE5671" w14:textId="3A76F0D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0.9349</w:t>
            </w:r>
          </w:p>
        </w:tc>
        <w:tc>
          <w:tcPr>
            <w:tcW w:w="990" w:type="dxa"/>
            <w:shd w:val="clear" w:color="auto" w:fill="auto"/>
            <w:noWrap/>
            <w:vAlign w:val="center"/>
            <w:hideMark/>
          </w:tcPr>
          <w:p w14:paraId="4536E47F" w14:textId="7312E24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0.9740</w:t>
            </w:r>
          </w:p>
        </w:tc>
        <w:tc>
          <w:tcPr>
            <w:tcW w:w="720" w:type="dxa"/>
            <w:shd w:val="clear" w:color="auto" w:fill="auto"/>
            <w:noWrap/>
            <w:vAlign w:val="center"/>
            <w:hideMark/>
          </w:tcPr>
          <w:p w14:paraId="65E8C5DC" w14:textId="6BC31CB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1.0253</w:t>
            </w:r>
          </w:p>
        </w:tc>
        <w:tc>
          <w:tcPr>
            <w:tcW w:w="720" w:type="dxa"/>
            <w:shd w:val="clear" w:color="auto" w:fill="auto"/>
            <w:noWrap/>
            <w:vAlign w:val="center"/>
            <w:hideMark/>
          </w:tcPr>
          <w:p w14:paraId="2DFB6E14" w14:textId="1F942E2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19.4%</w:t>
            </w:r>
          </w:p>
        </w:tc>
        <w:tc>
          <w:tcPr>
            <w:tcW w:w="720" w:type="dxa"/>
            <w:shd w:val="clear" w:color="auto" w:fill="auto"/>
            <w:noWrap/>
            <w:vAlign w:val="center"/>
            <w:hideMark/>
          </w:tcPr>
          <w:p w14:paraId="21BAB0FC" w14:textId="5FF8D79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19.8%</w:t>
            </w:r>
          </w:p>
        </w:tc>
        <w:tc>
          <w:tcPr>
            <w:tcW w:w="720" w:type="dxa"/>
            <w:shd w:val="clear" w:color="auto" w:fill="auto"/>
            <w:noWrap/>
            <w:vAlign w:val="center"/>
            <w:hideMark/>
          </w:tcPr>
          <w:p w14:paraId="12248479" w14:textId="58B5670E"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19.2%</w:t>
            </w:r>
          </w:p>
        </w:tc>
      </w:tr>
      <w:tr w:rsidR="00255A16" w:rsidRPr="00884DD7" w14:paraId="06C54A04" w14:textId="77777777" w:rsidTr="007308A3">
        <w:trPr>
          <w:trHeight w:val="780"/>
        </w:trPr>
        <w:tc>
          <w:tcPr>
            <w:tcW w:w="810" w:type="dxa"/>
            <w:shd w:val="clear" w:color="auto" w:fill="F2F2F2" w:themeFill="background1" w:themeFillShade="F2"/>
            <w:noWrap/>
            <w:hideMark/>
          </w:tcPr>
          <w:p w14:paraId="3A0B6D9E"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F2F2F2" w:themeFill="background1" w:themeFillShade="F2"/>
            <w:hideMark/>
          </w:tcPr>
          <w:p w14:paraId="63790E67" w14:textId="77777777" w:rsidR="00C537E5" w:rsidRPr="00884DD7" w:rsidRDefault="00C537E5" w:rsidP="00C537E5">
            <w:pPr>
              <w:spacing w:after="0"/>
              <w:rPr>
                <w:rFonts w:eastAsia="Times New Roman" w:cs="Calibri"/>
                <w:color w:val="000000"/>
                <w:sz w:val="16"/>
                <w:szCs w:val="16"/>
              </w:rPr>
            </w:pPr>
            <w:r w:rsidRPr="00884DD7">
              <w:rPr>
                <w:rFonts w:eastAsia="Times New Roman" w:cs="Calibri"/>
                <w:color w:val="000000"/>
                <w:sz w:val="16"/>
                <w:szCs w:val="16"/>
              </w:rPr>
              <w:t>Risk adjusted ratio (</w:t>
            </w:r>
            <w:proofErr w:type="spellStart"/>
            <w:r w:rsidRPr="00884DD7">
              <w:rPr>
                <w:rFonts w:eastAsia="Times New Roman" w:cs="Calibri"/>
                <w:color w:val="000000"/>
                <w:sz w:val="16"/>
                <w:szCs w:val="16"/>
              </w:rPr>
              <w:t>obs</w:t>
            </w:r>
            <w:proofErr w:type="spellEnd"/>
            <w:r w:rsidRPr="00884DD7">
              <w:rPr>
                <w:rFonts w:eastAsia="Times New Roman" w:cs="Calibri"/>
                <w:color w:val="000000"/>
                <w:sz w:val="16"/>
                <w:szCs w:val="16"/>
              </w:rPr>
              <w:t>/exp) of ED visits for members 18-65 identified with a diagnosis of serious mental illness, substance addiction, or co-occurring conditions</w:t>
            </w:r>
          </w:p>
        </w:tc>
        <w:tc>
          <w:tcPr>
            <w:tcW w:w="810" w:type="dxa"/>
            <w:shd w:val="clear" w:color="auto" w:fill="F2F2F2" w:themeFill="background1" w:themeFillShade="F2"/>
            <w:noWrap/>
            <w:vAlign w:val="center"/>
            <w:hideMark/>
          </w:tcPr>
          <w:p w14:paraId="362A749D" w14:textId="1331483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1.2782</w:t>
            </w:r>
          </w:p>
        </w:tc>
        <w:tc>
          <w:tcPr>
            <w:tcW w:w="720" w:type="dxa"/>
            <w:shd w:val="clear" w:color="auto" w:fill="F2F2F2" w:themeFill="background1" w:themeFillShade="F2"/>
            <w:noWrap/>
            <w:vAlign w:val="center"/>
            <w:hideMark/>
          </w:tcPr>
          <w:p w14:paraId="15C873CB" w14:textId="385F5A6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1.1815</w:t>
            </w:r>
          </w:p>
        </w:tc>
        <w:tc>
          <w:tcPr>
            <w:tcW w:w="720" w:type="dxa"/>
            <w:shd w:val="clear" w:color="auto" w:fill="F2F2F2" w:themeFill="background1" w:themeFillShade="F2"/>
            <w:noWrap/>
            <w:vAlign w:val="center"/>
            <w:hideMark/>
          </w:tcPr>
          <w:p w14:paraId="460EF488" w14:textId="19ECE13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1.1080</w:t>
            </w:r>
          </w:p>
        </w:tc>
        <w:tc>
          <w:tcPr>
            <w:tcW w:w="720" w:type="dxa"/>
            <w:shd w:val="clear" w:color="auto" w:fill="F2F2F2" w:themeFill="background1" w:themeFillShade="F2"/>
            <w:noWrap/>
            <w:vAlign w:val="center"/>
            <w:hideMark/>
          </w:tcPr>
          <w:p w14:paraId="46C7F1AD" w14:textId="5B26B57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1.2871</w:t>
            </w:r>
          </w:p>
        </w:tc>
        <w:tc>
          <w:tcPr>
            <w:tcW w:w="720" w:type="dxa"/>
            <w:shd w:val="clear" w:color="auto" w:fill="F2F2F2" w:themeFill="background1" w:themeFillShade="F2"/>
            <w:noWrap/>
            <w:vAlign w:val="center"/>
            <w:hideMark/>
          </w:tcPr>
          <w:p w14:paraId="7F8F65BE" w14:textId="2D159AB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1.0402</w:t>
            </w:r>
          </w:p>
        </w:tc>
        <w:tc>
          <w:tcPr>
            <w:tcW w:w="720" w:type="dxa"/>
            <w:shd w:val="clear" w:color="auto" w:fill="F2F2F2" w:themeFill="background1" w:themeFillShade="F2"/>
            <w:noWrap/>
            <w:vAlign w:val="center"/>
            <w:hideMark/>
          </w:tcPr>
          <w:p w14:paraId="3B3F1971" w14:textId="125B9D5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1.3632</w:t>
            </w:r>
          </w:p>
        </w:tc>
        <w:tc>
          <w:tcPr>
            <w:tcW w:w="810" w:type="dxa"/>
            <w:shd w:val="clear" w:color="auto" w:fill="F2F2F2" w:themeFill="background1" w:themeFillShade="F2"/>
            <w:noWrap/>
            <w:vAlign w:val="center"/>
            <w:hideMark/>
          </w:tcPr>
          <w:p w14:paraId="7EBFE1C8" w14:textId="5600CDD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1.0977</w:t>
            </w:r>
          </w:p>
        </w:tc>
        <w:tc>
          <w:tcPr>
            <w:tcW w:w="720" w:type="dxa"/>
            <w:shd w:val="clear" w:color="auto" w:fill="F2F2F2" w:themeFill="background1" w:themeFillShade="F2"/>
            <w:noWrap/>
            <w:vAlign w:val="center"/>
            <w:hideMark/>
          </w:tcPr>
          <w:p w14:paraId="2245BEC7" w14:textId="5B920CB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1.5355</w:t>
            </w:r>
          </w:p>
        </w:tc>
        <w:tc>
          <w:tcPr>
            <w:tcW w:w="720" w:type="dxa"/>
            <w:shd w:val="clear" w:color="auto" w:fill="F2F2F2" w:themeFill="background1" w:themeFillShade="F2"/>
            <w:noWrap/>
            <w:vAlign w:val="center"/>
            <w:hideMark/>
          </w:tcPr>
          <w:p w14:paraId="68B49B5A" w14:textId="06231B4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1.4721</w:t>
            </w:r>
          </w:p>
        </w:tc>
        <w:tc>
          <w:tcPr>
            <w:tcW w:w="1080" w:type="dxa"/>
            <w:shd w:val="clear" w:color="auto" w:fill="F2F2F2" w:themeFill="background1" w:themeFillShade="F2"/>
            <w:noWrap/>
            <w:vAlign w:val="center"/>
            <w:hideMark/>
          </w:tcPr>
          <w:p w14:paraId="73B8BB56" w14:textId="6244AA8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1.5091</w:t>
            </w:r>
          </w:p>
        </w:tc>
        <w:tc>
          <w:tcPr>
            <w:tcW w:w="720" w:type="dxa"/>
            <w:shd w:val="clear" w:color="auto" w:fill="F2F2F2" w:themeFill="background1" w:themeFillShade="F2"/>
            <w:noWrap/>
            <w:vAlign w:val="center"/>
            <w:hideMark/>
          </w:tcPr>
          <w:p w14:paraId="10F7C4D0" w14:textId="7E76A77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1.2750</w:t>
            </w:r>
          </w:p>
        </w:tc>
        <w:tc>
          <w:tcPr>
            <w:tcW w:w="810" w:type="dxa"/>
            <w:shd w:val="clear" w:color="auto" w:fill="F2F2F2" w:themeFill="background1" w:themeFillShade="F2"/>
            <w:noWrap/>
            <w:vAlign w:val="center"/>
            <w:hideMark/>
          </w:tcPr>
          <w:p w14:paraId="0C4608B4" w14:textId="1ED1DAA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1.0668</w:t>
            </w:r>
          </w:p>
        </w:tc>
        <w:tc>
          <w:tcPr>
            <w:tcW w:w="810" w:type="dxa"/>
            <w:shd w:val="clear" w:color="auto" w:fill="F2F2F2" w:themeFill="background1" w:themeFillShade="F2"/>
            <w:noWrap/>
            <w:vAlign w:val="center"/>
            <w:hideMark/>
          </w:tcPr>
          <w:p w14:paraId="75C88A26" w14:textId="660298E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1.2596</w:t>
            </w:r>
          </w:p>
        </w:tc>
        <w:tc>
          <w:tcPr>
            <w:tcW w:w="810" w:type="dxa"/>
            <w:shd w:val="clear" w:color="auto" w:fill="F2F2F2" w:themeFill="background1" w:themeFillShade="F2"/>
            <w:noWrap/>
            <w:vAlign w:val="center"/>
            <w:hideMark/>
          </w:tcPr>
          <w:p w14:paraId="2968CCD1" w14:textId="4E39CB6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1.2377</w:t>
            </w:r>
          </w:p>
        </w:tc>
        <w:tc>
          <w:tcPr>
            <w:tcW w:w="720" w:type="dxa"/>
            <w:shd w:val="clear" w:color="auto" w:fill="F2F2F2" w:themeFill="background1" w:themeFillShade="F2"/>
            <w:noWrap/>
            <w:vAlign w:val="center"/>
            <w:hideMark/>
          </w:tcPr>
          <w:p w14:paraId="34862EE4" w14:textId="4DFAE08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1.3677</w:t>
            </w:r>
          </w:p>
        </w:tc>
        <w:tc>
          <w:tcPr>
            <w:tcW w:w="720" w:type="dxa"/>
            <w:shd w:val="clear" w:color="auto" w:fill="F2F2F2" w:themeFill="background1" w:themeFillShade="F2"/>
            <w:noWrap/>
            <w:vAlign w:val="center"/>
            <w:hideMark/>
          </w:tcPr>
          <w:p w14:paraId="1AC1A6D0" w14:textId="0528261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1.0953</w:t>
            </w:r>
          </w:p>
        </w:tc>
        <w:tc>
          <w:tcPr>
            <w:tcW w:w="990" w:type="dxa"/>
            <w:shd w:val="clear" w:color="auto" w:fill="F2F2F2" w:themeFill="background1" w:themeFillShade="F2"/>
            <w:noWrap/>
            <w:vAlign w:val="center"/>
            <w:hideMark/>
          </w:tcPr>
          <w:p w14:paraId="12294611" w14:textId="4C41E8B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1.4221</w:t>
            </w:r>
          </w:p>
        </w:tc>
        <w:tc>
          <w:tcPr>
            <w:tcW w:w="720" w:type="dxa"/>
            <w:shd w:val="clear" w:color="auto" w:fill="F2F2F2" w:themeFill="background1" w:themeFillShade="F2"/>
            <w:noWrap/>
            <w:vAlign w:val="center"/>
            <w:hideMark/>
          </w:tcPr>
          <w:p w14:paraId="5471BF1C" w14:textId="7BA8400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1.4694</w:t>
            </w:r>
          </w:p>
        </w:tc>
        <w:tc>
          <w:tcPr>
            <w:tcW w:w="720" w:type="dxa"/>
            <w:shd w:val="clear" w:color="auto" w:fill="F2F2F2" w:themeFill="background1" w:themeFillShade="F2"/>
            <w:noWrap/>
            <w:vAlign w:val="center"/>
            <w:hideMark/>
          </w:tcPr>
          <w:p w14:paraId="2ABD7335" w14:textId="7503AB16" w:rsidR="00C537E5" w:rsidRPr="009520C8" w:rsidRDefault="00C537E5" w:rsidP="00C537E5">
            <w:pPr>
              <w:spacing w:after="0"/>
              <w:jc w:val="center"/>
              <w:rPr>
                <w:rFonts w:eastAsia="Times New Roman" w:cs="Calibri"/>
                <w:sz w:val="18"/>
                <w:szCs w:val="18"/>
              </w:rPr>
            </w:pPr>
            <w:r w:rsidRPr="009520C8">
              <w:rPr>
                <w:rFonts w:cs="Calibri"/>
                <w:sz w:val="18"/>
                <w:szCs w:val="18"/>
              </w:rPr>
              <w:t>0.9891</w:t>
            </w:r>
          </w:p>
        </w:tc>
        <w:tc>
          <w:tcPr>
            <w:tcW w:w="720" w:type="dxa"/>
            <w:shd w:val="clear" w:color="auto" w:fill="F2F2F2" w:themeFill="background1" w:themeFillShade="F2"/>
            <w:noWrap/>
            <w:vAlign w:val="center"/>
            <w:hideMark/>
          </w:tcPr>
          <w:p w14:paraId="40F99085" w14:textId="0490A414" w:rsidR="00C537E5" w:rsidRPr="009520C8" w:rsidRDefault="00C537E5" w:rsidP="00C537E5">
            <w:pPr>
              <w:spacing w:after="0"/>
              <w:jc w:val="center"/>
              <w:rPr>
                <w:rFonts w:eastAsia="Times New Roman" w:cs="Calibri"/>
                <w:sz w:val="18"/>
                <w:szCs w:val="18"/>
              </w:rPr>
            </w:pPr>
            <w:r w:rsidRPr="009520C8">
              <w:rPr>
                <w:rFonts w:cs="Calibri"/>
                <w:sz w:val="18"/>
                <w:szCs w:val="18"/>
              </w:rPr>
              <w:t>0.9642</w:t>
            </w:r>
          </w:p>
        </w:tc>
        <w:tc>
          <w:tcPr>
            <w:tcW w:w="720" w:type="dxa"/>
            <w:shd w:val="clear" w:color="auto" w:fill="F2F2F2" w:themeFill="background1" w:themeFillShade="F2"/>
            <w:noWrap/>
            <w:vAlign w:val="center"/>
            <w:hideMark/>
          </w:tcPr>
          <w:p w14:paraId="412A171B" w14:textId="7F079787" w:rsidR="00C537E5" w:rsidRPr="00226A99" w:rsidRDefault="00C537E5" w:rsidP="00C537E5">
            <w:pPr>
              <w:spacing w:after="0"/>
              <w:jc w:val="center"/>
              <w:rPr>
                <w:rFonts w:eastAsia="Times New Roman" w:cs="Calibri"/>
                <w:sz w:val="16"/>
                <w:szCs w:val="16"/>
              </w:rPr>
            </w:pPr>
            <w:r w:rsidRPr="00226A99">
              <w:rPr>
                <w:rFonts w:cs="Calibri"/>
                <w:sz w:val="16"/>
                <w:szCs w:val="16"/>
              </w:rPr>
              <w:t>1.0150</w:t>
            </w:r>
          </w:p>
        </w:tc>
      </w:tr>
      <w:tr w:rsidR="00EF4C5F" w:rsidRPr="00884DD7" w14:paraId="5D908D8F" w14:textId="77777777" w:rsidTr="007308A3">
        <w:trPr>
          <w:trHeight w:val="520"/>
        </w:trPr>
        <w:tc>
          <w:tcPr>
            <w:tcW w:w="810" w:type="dxa"/>
            <w:shd w:val="clear" w:color="auto" w:fill="auto"/>
            <w:noWrap/>
            <w:hideMark/>
          </w:tcPr>
          <w:p w14:paraId="59B541CF"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auto"/>
            <w:hideMark/>
          </w:tcPr>
          <w:p w14:paraId="19AA918C"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Risk adjusted ratio (</w:t>
            </w:r>
            <w:proofErr w:type="spellStart"/>
            <w:r w:rsidRPr="00884DD7">
              <w:rPr>
                <w:rFonts w:eastAsia="Times New Roman" w:cs="Calibri"/>
                <w:sz w:val="16"/>
                <w:szCs w:val="16"/>
              </w:rPr>
              <w:t>obs</w:t>
            </w:r>
            <w:proofErr w:type="spellEnd"/>
            <w:r w:rsidRPr="00884DD7">
              <w:rPr>
                <w:rFonts w:eastAsia="Times New Roman" w:cs="Calibri"/>
                <w:sz w:val="16"/>
                <w:szCs w:val="16"/>
              </w:rPr>
              <w:t>/exp) of Acute Unplanned Admissions for Individuals with Diabetes (Adult)</w:t>
            </w:r>
          </w:p>
        </w:tc>
        <w:tc>
          <w:tcPr>
            <w:tcW w:w="810" w:type="dxa"/>
            <w:shd w:val="clear" w:color="auto" w:fill="auto"/>
            <w:noWrap/>
            <w:vAlign w:val="center"/>
            <w:hideMark/>
          </w:tcPr>
          <w:p w14:paraId="3F9E5830" w14:textId="657ADF4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0.6162</w:t>
            </w:r>
          </w:p>
        </w:tc>
        <w:tc>
          <w:tcPr>
            <w:tcW w:w="720" w:type="dxa"/>
            <w:shd w:val="clear" w:color="auto" w:fill="auto"/>
            <w:noWrap/>
            <w:vAlign w:val="center"/>
            <w:hideMark/>
          </w:tcPr>
          <w:p w14:paraId="38AA0959" w14:textId="40D128D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0.7411</w:t>
            </w:r>
          </w:p>
        </w:tc>
        <w:tc>
          <w:tcPr>
            <w:tcW w:w="720" w:type="dxa"/>
            <w:shd w:val="clear" w:color="auto" w:fill="auto"/>
            <w:noWrap/>
            <w:vAlign w:val="center"/>
            <w:hideMark/>
          </w:tcPr>
          <w:p w14:paraId="6E3561FD" w14:textId="5588600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0.5472</w:t>
            </w:r>
          </w:p>
        </w:tc>
        <w:tc>
          <w:tcPr>
            <w:tcW w:w="720" w:type="dxa"/>
            <w:shd w:val="clear" w:color="auto" w:fill="auto"/>
            <w:noWrap/>
            <w:vAlign w:val="center"/>
            <w:hideMark/>
          </w:tcPr>
          <w:p w14:paraId="10FD0BC4" w14:textId="0576600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0.6880</w:t>
            </w:r>
          </w:p>
        </w:tc>
        <w:tc>
          <w:tcPr>
            <w:tcW w:w="720" w:type="dxa"/>
            <w:shd w:val="clear" w:color="auto" w:fill="auto"/>
            <w:noWrap/>
            <w:vAlign w:val="center"/>
            <w:hideMark/>
          </w:tcPr>
          <w:p w14:paraId="56B9248F" w14:textId="5C1B0E2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0.5804</w:t>
            </w:r>
          </w:p>
        </w:tc>
        <w:tc>
          <w:tcPr>
            <w:tcW w:w="720" w:type="dxa"/>
            <w:shd w:val="clear" w:color="auto" w:fill="auto"/>
            <w:noWrap/>
            <w:vAlign w:val="center"/>
            <w:hideMark/>
          </w:tcPr>
          <w:p w14:paraId="17BC714C" w14:textId="57E8082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0.7175</w:t>
            </w:r>
          </w:p>
        </w:tc>
        <w:tc>
          <w:tcPr>
            <w:tcW w:w="810" w:type="dxa"/>
            <w:shd w:val="clear" w:color="auto" w:fill="auto"/>
            <w:noWrap/>
            <w:vAlign w:val="center"/>
            <w:hideMark/>
          </w:tcPr>
          <w:p w14:paraId="335320F0" w14:textId="0F4F3B2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0.7224</w:t>
            </w:r>
          </w:p>
        </w:tc>
        <w:tc>
          <w:tcPr>
            <w:tcW w:w="720" w:type="dxa"/>
            <w:shd w:val="clear" w:color="auto" w:fill="auto"/>
            <w:noWrap/>
            <w:vAlign w:val="center"/>
            <w:hideMark/>
          </w:tcPr>
          <w:p w14:paraId="17237719" w14:textId="45EA57A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0.6359</w:t>
            </w:r>
          </w:p>
        </w:tc>
        <w:tc>
          <w:tcPr>
            <w:tcW w:w="720" w:type="dxa"/>
            <w:shd w:val="clear" w:color="auto" w:fill="auto"/>
            <w:noWrap/>
            <w:vAlign w:val="center"/>
            <w:hideMark/>
          </w:tcPr>
          <w:p w14:paraId="469CC0BD" w14:textId="48E85AA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0.6905</w:t>
            </w:r>
          </w:p>
        </w:tc>
        <w:tc>
          <w:tcPr>
            <w:tcW w:w="1080" w:type="dxa"/>
            <w:shd w:val="clear" w:color="auto" w:fill="auto"/>
            <w:noWrap/>
            <w:vAlign w:val="center"/>
            <w:hideMark/>
          </w:tcPr>
          <w:p w14:paraId="069AF784" w14:textId="65568F3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0.8254</w:t>
            </w:r>
          </w:p>
        </w:tc>
        <w:tc>
          <w:tcPr>
            <w:tcW w:w="720" w:type="dxa"/>
            <w:shd w:val="clear" w:color="auto" w:fill="auto"/>
            <w:noWrap/>
            <w:vAlign w:val="center"/>
            <w:hideMark/>
          </w:tcPr>
          <w:p w14:paraId="0216492A" w14:textId="5CE5FA1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0.6116</w:t>
            </w:r>
          </w:p>
        </w:tc>
        <w:tc>
          <w:tcPr>
            <w:tcW w:w="810" w:type="dxa"/>
            <w:shd w:val="clear" w:color="auto" w:fill="auto"/>
            <w:noWrap/>
            <w:vAlign w:val="center"/>
            <w:hideMark/>
          </w:tcPr>
          <w:p w14:paraId="2C018B4E" w14:textId="1A0C859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0.7234</w:t>
            </w:r>
          </w:p>
        </w:tc>
        <w:tc>
          <w:tcPr>
            <w:tcW w:w="810" w:type="dxa"/>
            <w:shd w:val="clear" w:color="auto" w:fill="auto"/>
            <w:noWrap/>
            <w:vAlign w:val="center"/>
            <w:hideMark/>
          </w:tcPr>
          <w:p w14:paraId="5249E7E9" w14:textId="4B34A9D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0.7514</w:t>
            </w:r>
          </w:p>
        </w:tc>
        <w:tc>
          <w:tcPr>
            <w:tcW w:w="810" w:type="dxa"/>
            <w:shd w:val="clear" w:color="auto" w:fill="auto"/>
            <w:noWrap/>
            <w:vAlign w:val="center"/>
            <w:hideMark/>
          </w:tcPr>
          <w:p w14:paraId="7852A571" w14:textId="2E427E73"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0.6214</w:t>
            </w:r>
          </w:p>
        </w:tc>
        <w:tc>
          <w:tcPr>
            <w:tcW w:w="720" w:type="dxa"/>
            <w:shd w:val="clear" w:color="auto" w:fill="auto"/>
            <w:noWrap/>
            <w:vAlign w:val="center"/>
            <w:hideMark/>
          </w:tcPr>
          <w:p w14:paraId="15A1CB0D" w14:textId="577C4D4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0.5317</w:t>
            </w:r>
          </w:p>
        </w:tc>
        <w:tc>
          <w:tcPr>
            <w:tcW w:w="720" w:type="dxa"/>
            <w:shd w:val="clear" w:color="auto" w:fill="auto"/>
            <w:noWrap/>
            <w:vAlign w:val="center"/>
            <w:hideMark/>
          </w:tcPr>
          <w:p w14:paraId="7AF773E2" w14:textId="70A5D6E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0.5748</w:t>
            </w:r>
          </w:p>
        </w:tc>
        <w:tc>
          <w:tcPr>
            <w:tcW w:w="990" w:type="dxa"/>
            <w:shd w:val="clear" w:color="auto" w:fill="auto"/>
            <w:noWrap/>
            <w:vAlign w:val="center"/>
            <w:hideMark/>
          </w:tcPr>
          <w:p w14:paraId="02258DDB" w14:textId="12BDDFC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0.6064</w:t>
            </w:r>
          </w:p>
        </w:tc>
        <w:tc>
          <w:tcPr>
            <w:tcW w:w="720" w:type="dxa"/>
            <w:shd w:val="clear" w:color="auto" w:fill="auto"/>
            <w:noWrap/>
            <w:vAlign w:val="center"/>
            <w:hideMark/>
          </w:tcPr>
          <w:p w14:paraId="75BFBBA2" w14:textId="29D96AC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0.6367</w:t>
            </w:r>
          </w:p>
        </w:tc>
        <w:tc>
          <w:tcPr>
            <w:tcW w:w="720" w:type="dxa"/>
            <w:shd w:val="clear" w:color="auto" w:fill="auto"/>
            <w:noWrap/>
            <w:vAlign w:val="center"/>
            <w:hideMark/>
          </w:tcPr>
          <w:p w14:paraId="578E3515" w14:textId="5F96030B" w:rsidR="00C537E5" w:rsidRPr="009520C8" w:rsidRDefault="00C537E5" w:rsidP="00C537E5">
            <w:pPr>
              <w:spacing w:after="0"/>
              <w:jc w:val="center"/>
              <w:rPr>
                <w:rFonts w:eastAsia="Times New Roman" w:cs="Calibri"/>
                <w:sz w:val="18"/>
                <w:szCs w:val="18"/>
              </w:rPr>
            </w:pPr>
            <w:r w:rsidRPr="009520C8">
              <w:rPr>
                <w:rFonts w:cs="Calibri"/>
                <w:sz w:val="18"/>
                <w:szCs w:val="18"/>
              </w:rPr>
              <w:t>0.7695</w:t>
            </w:r>
          </w:p>
        </w:tc>
        <w:tc>
          <w:tcPr>
            <w:tcW w:w="720" w:type="dxa"/>
            <w:shd w:val="clear" w:color="auto" w:fill="auto"/>
            <w:noWrap/>
            <w:vAlign w:val="center"/>
            <w:hideMark/>
          </w:tcPr>
          <w:p w14:paraId="05974185" w14:textId="244C933F" w:rsidR="00C537E5" w:rsidRPr="009520C8" w:rsidRDefault="00C537E5" w:rsidP="00C537E5">
            <w:pPr>
              <w:spacing w:after="0"/>
              <w:jc w:val="center"/>
              <w:rPr>
                <w:rFonts w:eastAsia="Times New Roman" w:cs="Calibri"/>
                <w:sz w:val="18"/>
                <w:szCs w:val="18"/>
              </w:rPr>
            </w:pPr>
            <w:r w:rsidRPr="009520C8">
              <w:rPr>
                <w:rFonts w:cs="Calibri"/>
                <w:sz w:val="18"/>
                <w:szCs w:val="18"/>
              </w:rPr>
              <w:t>0.7663</w:t>
            </w:r>
          </w:p>
        </w:tc>
        <w:tc>
          <w:tcPr>
            <w:tcW w:w="720" w:type="dxa"/>
            <w:shd w:val="clear" w:color="auto" w:fill="auto"/>
            <w:noWrap/>
            <w:vAlign w:val="center"/>
            <w:hideMark/>
          </w:tcPr>
          <w:p w14:paraId="16B94B75" w14:textId="74D0362A" w:rsidR="00C537E5" w:rsidRPr="00226A99" w:rsidRDefault="00C537E5" w:rsidP="00C537E5">
            <w:pPr>
              <w:spacing w:after="0"/>
              <w:jc w:val="center"/>
              <w:rPr>
                <w:rFonts w:eastAsia="Times New Roman" w:cs="Calibri"/>
                <w:sz w:val="16"/>
                <w:szCs w:val="16"/>
              </w:rPr>
            </w:pPr>
            <w:r w:rsidRPr="00226A99">
              <w:rPr>
                <w:rFonts w:cs="Calibri"/>
                <w:sz w:val="16"/>
                <w:szCs w:val="16"/>
              </w:rPr>
              <w:t>0.7706</w:t>
            </w:r>
          </w:p>
        </w:tc>
      </w:tr>
      <w:tr w:rsidR="00255A16" w:rsidRPr="00884DD7" w14:paraId="75A5130C" w14:textId="77777777" w:rsidTr="007308A3">
        <w:trPr>
          <w:trHeight w:val="570"/>
        </w:trPr>
        <w:tc>
          <w:tcPr>
            <w:tcW w:w="810" w:type="dxa"/>
            <w:shd w:val="clear" w:color="auto" w:fill="F2F2F2" w:themeFill="background1" w:themeFillShade="F2"/>
            <w:noWrap/>
            <w:hideMark/>
          </w:tcPr>
          <w:p w14:paraId="0D93A0C9"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IET-I</w:t>
            </w:r>
          </w:p>
        </w:tc>
        <w:tc>
          <w:tcPr>
            <w:tcW w:w="2880" w:type="dxa"/>
            <w:shd w:val="clear" w:color="auto" w:fill="F2F2F2" w:themeFill="background1" w:themeFillShade="F2"/>
            <w:hideMark/>
          </w:tcPr>
          <w:p w14:paraId="738BFFD4" w14:textId="5BAB1E47" w:rsidR="00C537E5" w:rsidRPr="00884DD7" w:rsidRDefault="00C537E5" w:rsidP="00C537E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(Initiation)</w:t>
            </w:r>
          </w:p>
        </w:tc>
        <w:tc>
          <w:tcPr>
            <w:tcW w:w="810" w:type="dxa"/>
            <w:shd w:val="clear" w:color="auto" w:fill="F2F2F2" w:themeFill="background1" w:themeFillShade="F2"/>
            <w:noWrap/>
            <w:vAlign w:val="center"/>
            <w:hideMark/>
          </w:tcPr>
          <w:p w14:paraId="5CE26CCA" w14:textId="06CF0EB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44.3%</w:t>
            </w:r>
          </w:p>
        </w:tc>
        <w:tc>
          <w:tcPr>
            <w:tcW w:w="720" w:type="dxa"/>
            <w:shd w:val="clear" w:color="auto" w:fill="F2F2F2" w:themeFill="background1" w:themeFillShade="F2"/>
            <w:noWrap/>
            <w:vAlign w:val="center"/>
            <w:hideMark/>
          </w:tcPr>
          <w:p w14:paraId="75745620" w14:textId="24529C62"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51.9%</w:t>
            </w:r>
          </w:p>
        </w:tc>
        <w:tc>
          <w:tcPr>
            <w:tcW w:w="720" w:type="dxa"/>
            <w:shd w:val="clear" w:color="auto" w:fill="F2F2F2" w:themeFill="background1" w:themeFillShade="F2"/>
            <w:noWrap/>
            <w:vAlign w:val="center"/>
            <w:hideMark/>
          </w:tcPr>
          <w:p w14:paraId="0B18F42D" w14:textId="6AFC811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31.5%</w:t>
            </w:r>
          </w:p>
        </w:tc>
        <w:tc>
          <w:tcPr>
            <w:tcW w:w="720" w:type="dxa"/>
            <w:shd w:val="clear" w:color="auto" w:fill="F2F2F2" w:themeFill="background1" w:themeFillShade="F2"/>
            <w:noWrap/>
            <w:vAlign w:val="center"/>
            <w:hideMark/>
          </w:tcPr>
          <w:p w14:paraId="575C2136" w14:textId="095E0B8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39.0%</w:t>
            </w:r>
          </w:p>
        </w:tc>
        <w:tc>
          <w:tcPr>
            <w:tcW w:w="720" w:type="dxa"/>
            <w:shd w:val="clear" w:color="auto" w:fill="F2F2F2" w:themeFill="background1" w:themeFillShade="F2"/>
            <w:noWrap/>
            <w:vAlign w:val="center"/>
            <w:hideMark/>
          </w:tcPr>
          <w:p w14:paraId="0472FDAC" w14:textId="5BF5A43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54.9%</w:t>
            </w:r>
          </w:p>
        </w:tc>
        <w:tc>
          <w:tcPr>
            <w:tcW w:w="720" w:type="dxa"/>
            <w:shd w:val="clear" w:color="auto" w:fill="F2F2F2" w:themeFill="background1" w:themeFillShade="F2"/>
            <w:noWrap/>
            <w:vAlign w:val="center"/>
            <w:hideMark/>
          </w:tcPr>
          <w:p w14:paraId="4A7A55EC" w14:textId="09A259A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33.5%</w:t>
            </w:r>
          </w:p>
        </w:tc>
        <w:tc>
          <w:tcPr>
            <w:tcW w:w="810" w:type="dxa"/>
            <w:shd w:val="clear" w:color="auto" w:fill="F2F2F2" w:themeFill="background1" w:themeFillShade="F2"/>
            <w:noWrap/>
            <w:vAlign w:val="center"/>
            <w:hideMark/>
          </w:tcPr>
          <w:p w14:paraId="523F1F8A" w14:textId="0120871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33.9%</w:t>
            </w:r>
          </w:p>
        </w:tc>
        <w:tc>
          <w:tcPr>
            <w:tcW w:w="720" w:type="dxa"/>
            <w:shd w:val="clear" w:color="auto" w:fill="F2F2F2" w:themeFill="background1" w:themeFillShade="F2"/>
            <w:noWrap/>
            <w:vAlign w:val="center"/>
            <w:hideMark/>
          </w:tcPr>
          <w:p w14:paraId="5AA9E50C" w14:textId="158C732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44.9%</w:t>
            </w:r>
          </w:p>
        </w:tc>
        <w:tc>
          <w:tcPr>
            <w:tcW w:w="720" w:type="dxa"/>
            <w:shd w:val="clear" w:color="auto" w:fill="F2F2F2" w:themeFill="background1" w:themeFillShade="F2"/>
            <w:noWrap/>
            <w:vAlign w:val="center"/>
            <w:hideMark/>
          </w:tcPr>
          <w:p w14:paraId="42C4D720" w14:textId="2E3DD475"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60.8%</w:t>
            </w:r>
          </w:p>
        </w:tc>
        <w:tc>
          <w:tcPr>
            <w:tcW w:w="1080" w:type="dxa"/>
            <w:shd w:val="clear" w:color="auto" w:fill="F2F2F2" w:themeFill="background1" w:themeFillShade="F2"/>
            <w:noWrap/>
            <w:vAlign w:val="center"/>
            <w:hideMark/>
          </w:tcPr>
          <w:p w14:paraId="147DB155" w14:textId="178E31D8"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27.6%</w:t>
            </w:r>
          </w:p>
        </w:tc>
        <w:tc>
          <w:tcPr>
            <w:tcW w:w="720" w:type="dxa"/>
            <w:shd w:val="clear" w:color="auto" w:fill="F2F2F2" w:themeFill="background1" w:themeFillShade="F2"/>
            <w:noWrap/>
            <w:vAlign w:val="center"/>
            <w:hideMark/>
          </w:tcPr>
          <w:p w14:paraId="3508C107" w14:textId="31D6A7E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46.8%</w:t>
            </w:r>
          </w:p>
        </w:tc>
        <w:tc>
          <w:tcPr>
            <w:tcW w:w="810" w:type="dxa"/>
            <w:shd w:val="clear" w:color="auto" w:fill="F2F2F2" w:themeFill="background1" w:themeFillShade="F2"/>
            <w:noWrap/>
            <w:vAlign w:val="center"/>
            <w:hideMark/>
          </w:tcPr>
          <w:p w14:paraId="2BE1F765" w14:textId="0E04E31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43.5%</w:t>
            </w:r>
          </w:p>
        </w:tc>
        <w:tc>
          <w:tcPr>
            <w:tcW w:w="810" w:type="dxa"/>
            <w:shd w:val="clear" w:color="auto" w:fill="F2F2F2" w:themeFill="background1" w:themeFillShade="F2"/>
            <w:noWrap/>
            <w:vAlign w:val="center"/>
            <w:hideMark/>
          </w:tcPr>
          <w:p w14:paraId="16DCACF8" w14:textId="2F7F3EE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50.6%</w:t>
            </w:r>
          </w:p>
        </w:tc>
        <w:tc>
          <w:tcPr>
            <w:tcW w:w="810" w:type="dxa"/>
            <w:shd w:val="clear" w:color="auto" w:fill="F2F2F2" w:themeFill="background1" w:themeFillShade="F2"/>
            <w:noWrap/>
            <w:vAlign w:val="center"/>
            <w:hideMark/>
          </w:tcPr>
          <w:p w14:paraId="2AE46051" w14:textId="3022D96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42.6%</w:t>
            </w:r>
          </w:p>
        </w:tc>
        <w:tc>
          <w:tcPr>
            <w:tcW w:w="720" w:type="dxa"/>
            <w:shd w:val="clear" w:color="auto" w:fill="F2F2F2" w:themeFill="background1" w:themeFillShade="F2"/>
            <w:noWrap/>
            <w:vAlign w:val="center"/>
            <w:hideMark/>
          </w:tcPr>
          <w:p w14:paraId="164FBC13" w14:textId="413E4FE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43.3%</w:t>
            </w:r>
          </w:p>
        </w:tc>
        <w:tc>
          <w:tcPr>
            <w:tcW w:w="720" w:type="dxa"/>
            <w:shd w:val="clear" w:color="auto" w:fill="F2F2F2" w:themeFill="background1" w:themeFillShade="F2"/>
            <w:noWrap/>
            <w:vAlign w:val="center"/>
            <w:hideMark/>
          </w:tcPr>
          <w:p w14:paraId="0BEEE4AB" w14:textId="0F6B381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44.8%</w:t>
            </w:r>
          </w:p>
        </w:tc>
        <w:tc>
          <w:tcPr>
            <w:tcW w:w="990" w:type="dxa"/>
            <w:shd w:val="clear" w:color="auto" w:fill="F2F2F2" w:themeFill="background1" w:themeFillShade="F2"/>
            <w:noWrap/>
            <w:vAlign w:val="center"/>
            <w:hideMark/>
          </w:tcPr>
          <w:p w14:paraId="66C73DB3" w14:textId="6BB9EB3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42.0%</w:t>
            </w:r>
          </w:p>
        </w:tc>
        <w:tc>
          <w:tcPr>
            <w:tcW w:w="720" w:type="dxa"/>
            <w:shd w:val="clear" w:color="auto" w:fill="F2F2F2" w:themeFill="background1" w:themeFillShade="F2"/>
            <w:noWrap/>
            <w:vAlign w:val="center"/>
            <w:hideMark/>
          </w:tcPr>
          <w:p w14:paraId="0496E41B" w14:textId="1CDDB977"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52.2%</w:t>
            </w:r>
          </w:p>
        </w:tc>
        <w:tc>
          <w:tcPr>
            <w:tcW w:w="720" w:type="dxa"/>
            <w:shd w:val="clear" w:color="auto" w:fill="F2F2F2" w:themeFill="background1" w:themeFillShade="F2"/>
            <w:noWrap/>
            <w:vAlign w:val="center"/>
            <w:hideMark/>
          </w:tcPr>
          <w:p w14:paraId="2BB99EC0" w14:textId="6398923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49.8%</w:t>
            </w:r>
          </w:p>
        </w:tc>
        <w:tc>
          <w:tcPr>
            <w:tcW w:w="720" w:type="dxa"/>
            <w:shd w:val="clear" w:color="auto" w:fill="F2F2F2" w:themeFill="background1" w:themeFillShade="F2"/>
            <w:noWrap/>
            <w:vAlign w:val="center"/>
            <w:hideMark/>
          </w:tcPr>
          <w:p w14:paraId="0B0BF568" w14:textId="49EAD2A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51.1%</w:t>
            </w:r>
          </w:p>
        </w:tc>
        <w:tc>
          <w:tcPr>
            <w:tcW w:w="720" w:type="dxa"/>
            <w:shd w:val="clear" w:color="auto" w:fill="F2F2F2" w:themeFill="background1" w:themeFillShade="F2"/>
            <w:noWrap/>
            <w:vAlign w:val="center"/>
            <w:hideMark/>
          </w:tcPr>
          <w:p w14:paraId="64D25F76" w14:textId="365312BF"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48.7%</w:t>
            </w:r>
          </w:p>
        </w:tc>
      </w:tr>
      <w:tr w:rsidR="00255A16" w:rsidRPr="00884DD7" w14:paraId="37566EB5" w14:textId="77777777" w:rsidTr="007308A3">
        <w:trPr>
          <w:trHeight w:val="525"/>
        </w:trPr>
        <w:tc>
          <w:tcPr>
            <w:tcW w:w="810" w:type="dxa"/>
            <w:shd w:val="clear" w:color="auto" w:fill="auto"/>
            <w:noWrap/>
            <w:hideMark/>
          </w:tcPr>
          <w:p w14:paraId="58D8A3C0"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IET-E</w:t>
            </w:r>
          </w:p>
        </w:tc>
        <w:tc>
          <w:tcPr>
            <w:tcW w:w="2880" w:type="dxa"/>
            <w:shd w:val="clear" w:color="auto" w:fill="auto"/>
            <w:hideMark/>
          </w:tcPr>
          <w:p w14:paraId="0A0EE847" w14:textId="4EB5758A" w:rsidR="00C537E5" w:rsidRPr="00884DD7" w:rsidRDefault="00C537E5" w:rsidP="00C537E5">
            <w:pPr>
              <w:spacing w:after="0"/>
              <w:rPr>
                <w:rFonts w:eastAsia="Times New Roman" w:cs="Calibri"/>
                <w:sz w:val="16"/>
                <w:szCs w:val="16"/>
              </w:rPr>
            </w:pPr>
            <w:r w:rsidRPr="00884DD7">
              <w:rPr>
                <w:rFonts w:eastAsia="Times New Roman" w:cs="Calibri"/>
                <w:sz w:val="16"/>
                <w:szCs w:val="16"/>
              </w:rPr>
              <w:t>Initiation and Engagement of Alcohol, Opioid, or Other Drug Abuse or Dependence Treatment (Engagement)</w:t>
            </w:r>
          </w:p>
        </w:tc>
        <w:tc>
          <w:tcPr>
            <w:tcW w:w="810" w:type="dxa"/>
            <w:shd w:val="clear" w:color="auto" w:fill="auto"/>
            <w:noWrap/>
            <w:vAlign w:val="center"/>
            <w:hideMark/>
          </w:tcPr>
          <w:p w14:paraId="78F19201" w14:textId="09D662C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17.0%</w:t>
            </w:r>
          </w:p>
        </w:tc>
        <w:tc>
          <w:tcPr>
            <w:tcW w:w="720" w:type="dxa"/>
            <w:shd w:val="clear" w:color="auto" w:fill="auto"/>
            <w:noWrap/>
            <w:vAlign w:val="center"/>
            <w:hideMark/>
          </w:tcPr>
          <w:p w14:paraId="667B22A0" w14:textId="06B1AD8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24.4%</w:t>
            </w:r>
          </w:p>
        </w:tc>
        <w:tc>
          <w:tcPr>
            <w:tcW w:w="720" w:type="dxa"/>
            <w:shd w:val="clear" w:color="auto" w:fill="auto"/>
            <w:noWrap/>
            <w:vAlign w:val="center"/>
            <w:hideMark/>
          </w:tcPr>
          <w:p w14:paraId="1CEC547B" w14:textId="71FA49B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11.8%</w:t>
            </w:r>
          </w:p>
        </w:tc>
        <w:tc>
          <w:tcPr>
            <w:tcW w:w="720" w:type="dxa"/>
            <w:shd w:val="clear" w:color="auto" w:fill="auto"/>
            <w:noWrap/>
            <w:vAlign w:val="center"/>
            <w:hideMark/>
          </w:tcPr>
          <w:p w14:paraId="3171ABEE" w14:textId="641C1CF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14.3%</w:t>
            </w:r>
          </w:p>
        </w:tc>
        <w:tc>
          <w:tcPr>
            <w:tcW w:w="720" w:type="dxa"/>
            <w:shd w:val="clear" w:color="auto" w:fill="auto"/>
            <w:noWrap/>
            <w:vAlign w:val="center"/>
            <w:hideMark/>
          </w:tcPr>
          <w:p w14:paraId="70DD9A9B" w14:textId="34BD3D8A"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18.4%</w:t>
            </w:r>
          </w:p>
        </w:tc>
        <w:tc>
          <w:tcPr>
            <w:tcW w:w="720" w:type="dxa"/>
            <w:shd w:val="clear" w:color="auto" w:fill="auto"/>
            <w:noWrap/>
            <w:vAlign w:val="center"/>
            <w:hideMark/>
          </w:tcPr>
          <w:p w14:paraId="008121A7" w14:textId="10B2018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10.6%</w:t>
            </w:r>
          </w:p>
        </w:tc>
        <w:tc>
          <w:tcPr>
            <w:tcW w:w="810" w:type="dxa"/>
            <w:shd w:val="clear" w:color="auto" w:fill="auto"/>
            <w:noWrap/>
            <w:vAlign w:val="center"/>
            <w:hideMark/>
          </w:tcPr>
          <w:p w14:paraId="74F4A229" w14:textId="17DAF05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14.2%</w:t>
            </w:r>
          </w:p>
        </w:tc>
        <w:tc>
          <w:tcPr>
            <w:tcW w:w="720" w:type="dxa"/>
            <w:shd w:val="clear" w:color="auto" w:fill="auto"/>
            <w:noWrap/>
            <w:vAlign w:val="center"/>
            <w:hideMark/>
          </w:tcPr>
          <w:p w14:paraId="67FDFC53" w14:textId="31018DA9"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15.7%</w:t>
            </w:r>
          </w:p>
        </w:tc>
        <w:tc>
          <w:tcPr>
            <w:tcW w:w="720" w:type="dxa"/>
            <w:shd w:val="clear" w:color="auto" w:fill="auto"/>
            <w:noWrap/>
            <w:vAlign w:val="center"/>
            <w:hideMark/>
          </w:tcPr>
          <w:p w14:paraId="15C5E415" w14:textId="715826F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16.6%</w:t>
            </w:r>
          </w:p>
        </w:tc>
        <w:tc>
          <w:tcPr>
            <w:tcW w:w="1080" w:type="dxa"/>
            <w:shd w:val="clear" w:color="auto" w:fill="auto"/>
            <w:noWrap/>
            <w:vAlign w:val="center"/>
            <w:hideMark/>
          </w:tcPr>
          <w:p w14:paraId="63CBAAA1" w14:textId="690589A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9.5%</w:t>
            </w:r>
          </w:p>
        </w:tc>
        <w:tc>
          <w:tcPr>
            <w:tcW w:w="720" w:type="dxa"/>
            <w:shd w:val="clear" w:color="auto" w:fill="auto"/>
            <w:noWrap/>
            <w:vAlign w:val="center"/>
            <w:hideMark/>
          </w:tcPr>
          <w:p w14:paraId="175DDAC0" w14:textId="0830C596"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18.4%</w:t>
            </w:r>
          </w:p>
        </w:tc>
        <w:tc>
          <w:tcPr>
            <w:tcW w:w="810" w:type="dxa"/>
            <w:shd w:val="clear" w:color="auto" w:fill="auto"/>
            <w:noWrap/>
            <w:vAlign w:val="center"/>
            <w:hideMark/>
          </w:tcPr>
          <w:p w14:paraId="069DBFAF" w14:textId="1D514004"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18.8%</w:t>
            </w:r>
          </w:p>
        </w:tc>
        <w:tc>
          <w:tcPr>
            <w:tcW w:w="810" w:type="dxa"/>
            <w:shd w:val="clear" w:color="auto" w:fill="auto"/>
            <w:noWrap/>
            <w:vAlign w:val="center"/>
            <w:hideMark/>
          </w:tcPr>
          <w:p w14:paraId="6CCF5E6F" w14:textId="29107B5E"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21.2%</w:t>
            </w:r>
          </w:p>
        </w:tc>
        <w:tc>
          <w:tcPr>
            <w:tcW w:w="810" w:type="dxa"/>
            <w:shd w:val="clear" w:color="auto" w:fill="auto"/>
            <w:noWrap/>
            <w:vAlign w:val="center"/>
            <w:hideMark/>
          </w:tcPr>
          <w:p w14:paraId="6A66BB90" w14:textId="1F55172F"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19.6%</w:t>
            </w:r>
          </w:p>
        </w:tc>
        <w:tc>
          <w:tcPr>
            <w:tcW w:w="720" w:type="dxa"/>
            <w:shd w:val="clear" w:color="auto" w:fill="auto"/>
            <w:noWrap/>
            <w:vAlign w:val="center"/>
            <w:hideMark/>
          </w:tcPr>
          <w:p w14:paraId="02366B3E" w14:textId="73E48C8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17.2%</w:t>
            </w:r>
          </w:p>
        </w:tc>
        <w:tc>
          <w:tcPr>
            <w:tcW w:w="720" w:type="dxa"/>
            <w:shd w:val="clear" w:color="auto" w:fill="auto"/>
            <w:noWrap/>
            <w:vAlign w:val="center"/>
            <w:hideMark/>
          </w:tcPr>
          <w:p w14:paraId="7CBCDA86" w14:textId="2EA29C21"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16.9%</w:t>
            </w:r>
          </w:p>
        </w:tc>
        <w:tc>
          <w:tcPr>
            <w:tcW w:w="990" w:type="dxa"/>
            <w:shd w:val="clear" w:color="auto" w:fill="auto"/>
            <w:noWrap/>
            <w:vAlign w:val="center"/>
            <w:hideMark/>
          </w:tcPr>
          <w:p w14:paraId="74183EF0" w14:textId="244D29CD"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16.0%</w:t>
            </w:r>
          </w:p>
        </w:tc>
        <w:tc>
          <w:tcPr>
            <w:tcW w:w="720" w:type="dxa"/>
            <w:shd w:val="clear" w:color="auto" w:fill="auto"/>
            <w:noWrap/>
            <w:vAlign w:val="center"/>
            <w:hideMark/>
          </w:tcPr>
          <w:p w14:paraId="6133827C" w14:textId="7D344F1B"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19.1%</w:t>
            </w:r>
          </w:p>
        </w:tc>
        <w:tc>
          <w:tcPr>
            <w:tcW w:w="720" w:type="dxa"/>
            <w:shd w:val="clear" w:color="000000" w:fill="FFFFFF"/>
            <w:noWrap/>
            <w:vAlign w:val="center"/>
            <w:hideMark/>
          </w:tcPr>
          <w:p w14:paraId="1021AE49" w14:textId="559C8590"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22.5%</w:t>
            </w:r>
          </w:p>
        </w:tc>
        <w:tc>
          <w:tcPr>
            <w:tcW w:w="720" w:type="dxa"/>
            <w:shd w:val="clear" w:color="auto" w:fill="auto"/>
            <w:noWrap/>
            <w:vAlign w:val="center"/>
            <w:hideMark/>
          </w:tcPr>
          <w:p w14:paraId="7727D4D2" w14:textId="14ECA21C" w:rsidR="00C537E5" w:rsidRPr="009520C8" w:rsidRDefault="00C537E5" w:rsidP="00C537E5">
            <w:pPr>
              <w:spacing w:after="0"/>
              <w:jc w:val="center"/>
              <w:rPr>
                <w:rFonts w:eastAsia="Times New Roman" w:cs="Calibri"/>
                <w:color w:val="000000"/>
                <w:sz w:val="18"/>
                <w:szCs w:val="18"/>
              </w:rPr>
            </w:pPr>
            <w:r w:rsidRPr="009520C8">
              <w:rPr>
                <w:rFonts w:cs="Calibri"/>
                <w:color w:val="000000"/>
                <w:sz w:val="18"/>
                <w:szCs w:val="18"/>
              </w:rPr>
              <w:t>23.9%</w:t>
            </w:r>
          </w:p>
        </w:tc>
        <w:tc>
          <w:tcPr>
            <w:tcW w:w="720" w:type="dxa"/>
            <w:shd w:val="clear" w:color="auto" w:fill="auto"/>
            <w:noWrap/>
            <w:vAlign w:val="center"/>
            <w:hideMark/>
          </w:tcPr>
          <w:p w14:paraId="4E1C863B" w14:textId="7219500F" w:rsidR="00C537E5" w:rsidRPr="00226A99" w:rsidRDefault="00C537E5" w:rsidP="00C537E5">
            <w:pPr>
              <w:spacing w:after="0"/>
              <w:jc w:val="center"/>
              <w:rPr>
                <w:rFonts w:eastAsia="Times New Roman" w:cs="Calibri"/>
                <w:color w:val="000000"/>
                <w:sz w:val="16"/>
                <w:szCs w:val="16"/>
              </w:rPr>
            </w:pPr>
            <w:r w:rsidRPr="00226A99">
              <w:rPr>
                <w:rFonts w:cs="Calibri"/>
                <w:color w:val="000000"/>
                <w:sz w:val="16"/>
                <w:szCs w:val="16"/>
              </w:rPr>
              <w:t>21.3%</w:t>
            </w:r>
          </w:p>
        </w:tc>
      </w:tr>
      <w:tr w:rsidR="00255A16" w:rsidRPr="00884DD7" w14:paraId="3CFBD296" w14:textId="77777777" w:rsidTr="007308A3">
        <w:trPr>
          <w:trHeight w:val="290"/>
        </w:trPr>
        <w:tc>
          <w:tcPr>
            <w:tcW w:w="810" w:type="dxa"/>
            <w:shd w:val="clear" w:color="auto" w:fill="F2F2F2" w:themeFill="background1" w:themeFillShade="F2"/>
            <w:noWrap/>
            <w:hideMark/>
          </w:tcPr>
          <w:p w14:paraId="09E1F777"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lastRenderedPageBreak/>
              <w:t>FUH-7</w:t>
            </w:r>
          </w:p>
        </w:tc>
        <w:tc>
          <w:tcPr>
            <w:tcW w:w="2880" w:type="dxa"/>
            <w:shd w:val="clear" w:color="auto" w:fill="F2F2F2" w:themeFill="background1" w:themeFillShade="F2"/>
            <w:hideMark/>
          </w:tcPr>
          <w:p w14:paraId="3CDF3E50"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Follow-Up After Hospitalization for Mental Illness (7 days)</w:t>
            </w:r>
          </w:p>
        </w:tc>
        <w:tc>
          <w:tcPr>
            <w:tcW w:w="810" w:type="dxa"/>
            <w:shd w:val="clear" w:color="auto" w:fill="F2F2F2" w:themeFill="background1" w:themeFillShade="F2"/>
            <w:noWrap/>
            <w:vAlign w:val="center"/>
            <w:hideMark/>
          </w:tcPr>
          <w:p w14:paraId="5B6651BC" w14:textId="286F91A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49.4%</w:t>
            </w:r>
          </w:p>
        </w:tc>
        <w:tc>
          <w:tcPr>
            <w:tcW w:w="720" w:type="dxa"/>
            <w:shd w:val="clear" w:color="auto" w:fill="F2F2F2" w:themeFill="background1" w:themeFillShade="F2"/>
            <w:noWrap/>
            <w:vAlign w:val="center"/>
            <w:hideMark/>
          </w:tcPr>
          <w:p w14:paraId="7F5A8EDB" w14:textId="37AAA20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47.1%</w:t>
            </w:r>
          </w:p>
        </w:tc>
        <w:tc>
          <w:tcPr>
            <w:tcW w:w="720" w:type="dxa"/>
            <w:shd w:val="clear" w:color="auto" w:fill="F2F2F2" w:themeFill="background1" w:themeFillShade="F2"/>
            <w:noWrap/>
            <w:vAlign w:val="center"/>
            <w:hideMark/>
          </w:tcPr>
          <w:p w14:paraId="50276789" w14:textId="00A7A27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47.3%</w:t>
            </w:r>
          </w:p>
        </w:tc>
        <w:tc>
          <w:tcPr>
            <w:tcW w:w="720" w:type="dxa"/>
            <w:shd w:val="clear" w:color="auto" w:fill="F2F2F2" w:themeFill="background1" w:themeFillShade="F2"/>
            <w:noWrap/>
            <w:vAlign w:val="center"/>
            <w:hideMark/>
          </w:tcPr>
          <w:p w14:paraId="12BBD5E7" w14:textId="2EE492F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42.9%</w:t>
            </w:r>
          </w:p>
        </w:tc>
        <w:tc>
          <w:tcPr>
            <w:tcW w:w="720" w:type="dxa"/>
            <w:shd w:val="clear" w:color="auto" w:fill="F2F2F2" w:themeFill="background1" w:themeFillShade="F2"/>
            <w:noWrap/>
            <w:vAlign w:val="center"/>
            <w:hideMark/>
          </w:tcPr>
          <w:p w14:paraId="4B09BE4F" w14:textId="4EF8BC6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52.4%</w:t>
            </w:r>
          </w:p>
        </w:tc>
        <w:tc>
          <w:tcPr>
            <w:tcW w:w="720" w:type="dxa"/>
            <w:shd w:val="clear" w:color="auto" w:fill="F2F2F2" w:themeFill="background1" w:themeFillShade="F2"/>
            <w:noWrap/>
            <w:vAlign w:val="center"/>
            <w:hideMark/>
          </w:tcPr>
          <w:p w14:paraId="4FD6A9CD" w14:textId="1A9C544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45.5%</w:t>
            </w:r>
          </w:p>
        </w:tc>
        <w:tc>
          <w:tcPr>
            <w:tcW w:w="810" w:type="dxa"/>
            <w:shd w:val="clear" w:color="auto" w:fill="F2F2F2" w:themeFill="background1" w:themeFillShade="F2"/>
            <w:noWrap/>
            <w:vAlign w:val="center"/>
            <w:hideMark/>
          </w:tcPr>
          <w:p w14:paraId="793CF3C9" w14:textId="798D824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45.1%</w:t>
            </w:r>
          </w:p>
        </w:tc>
        <w:tc>
          <w:tcPr>
            <w:tcW w:w="720" w:type="dxa"/>
            <w:shd w:val="clear" w:color="auto" w:fill="F2F2F2" w:themeFill="background1" w:themeFillShade="F2"/>
            <w:noWrap/>
            <w:vAlign w:val="center"/>
            <w:hideMark/>
          </w:tcPr>
          <w:p w14:paraId="32616FD0" w14:textId="56E60CD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43.6%</w:t>
            </w:r>
          </w:p>
        </w:tc>
        <w:tc>
          <w:tcPr>
            <w:tcW w:w="720" w:type="dxa"/>
            <w:shd w:val="clear" w:color="auto" w:fill="F2F2F2" w:themeFill="background1" w:themeFillShade="F2"/>
            <w:noWrap/>
            <w:vAlign w:val="center"/>
            <w:hideMark/>
          </w:tcPr>
          <w:p w14:paraId="5F0B59E6" w14:textId="61EB163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48.0%</w:t>
            </w:r>
          </w:p>
        </w:tc>
        <w:tc>
          <w:tcPr>
            <w:tcW w:w="1080" w:type="dxa"/>
            <w:shd w:val="clear" w:color="auto" w:fill="F2F2F2" w:themeFill="background1" w:themeFillShade="F2"/>
            <w:noWrap/>
            <w:vAlign w:val="center"/>
            <w:hideMark/>
          </w:tcPr>
          <w:p w14:paraId="5184B681" w14:textId="56525C7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52.4%</w:t>
            </w:r>
          </w:p>
        </w:tc>
        <w:tc>
          <w:tcPr>
            <w:tcW w:w="720" w:type="dxa"/>
            <w:shd w:val="clear" w:color="auto" w:fill="F2F2F2" w:themeFill="background1" w:themeFillShade="F2"/>
            <w:noWrap/>
            <w:vAlign w:val="center"/>
            <w:hideMark/>
          </w:tcPr>
          <w:p w14:paraId="6B5A468E" w14:textId="59951BD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45.4%</w:t>
            </w:r>
          </w:p>
        </w:tc>
        <w:tc>
          <w:tcPr>
            <w:tcW w:w="810" w:type="dxa"/>
            <w:shd w:val="clear" w:color="auto" w:fill="F2F2F2" w:themeFill="background1" w:themeFillShade="F2"/>
            <w:noWrap/>
            <w:vAlign w:val="center"/>
            <w:hideMark/>
          </w:tcPr>
          <w:p w14:paraId="0151B1AC" w14:textId="4B179D4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55.5%</w:t>
            </w:r>
          </w:p>
        </w:tc>
        <w:tc>
          <w:tcPr>
            <w:tcW w:w="810" w:type="dxa"/>
            <w:shd w:val="clear" w:color="auto" w:fill="F2F2F2" w:themeFill="background1" w:themeFillShade="F2"/>
            <w:noWrap/>
            <w:vAlign w:val="center"/>
            <w:hideMark/>
          </w:tcPr>
          <w:p w14:paraId="3619BF2B" w14:textId="12EC214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51.6%</w:t>
            </w:r>
          </w:p>
        </w:tc>
        <w:tc>
          <w:tcPr>
            <w:tcW w:w="810" w:type="dxa"/>
            <w:shd w:val="clear" w:color="auto" w:fill="F2F2F2" w:themeFill="background1" w:themeFillShade="F2"/>
            <w:noWrap/>
            <w:vAlign w:val="center"/>
            <w:hideMark/>
          </w:tcPr>
          <w:p w14:paraId="14C7AA7E" w14:textId="31795AB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55.0%</w:t>
            </w:r>
          </w:p>
        </w:tc>
        <w:tc>
          <w:tcPr>
            <w:tcW w:w="720" w:type="dxa"/>
            <w:shd w:val="clear" w:color="auto" w:fill="F2F2F2" w:themeFill="background1" w:themeFillShade="F2"/>
            <w:noWrap/>
            <w:vAlign w:val="center"/>
            <w:hideMark/>
          </w:tcPr>
          <w:p w14:paraId="4AE468DB" w14:textId="12FBDEA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51.2%</w:t>
            </w:r>
          </w:p>
        </w:tc>
        <w:tc>
          <w:tcPr>
            <w:tcW w:w="720" w:type="dxa"/>
            <w:shd w:val="clear" w:color="auto" w:fill="F2F2F2" w:themeFill="background1" w:themeFillShade="F2"/>
            <w:noWrap/>
            <w:vAlign w:val="center"/>
            <w:hideMark/>
          </w:tcPr>
          <w:p w14:paraId="37978588" w14:textId="3BF40C4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52.4%</w:t>
            </w:r>
          </w:p>
        </w:tc>
        <w:tc>
          <w:tcPr>
            <w:tcW w:w="990" w:type="dxa"/>
            <w:shd w:val="clear" w:color="auto" w:fill="F2F2F2" w:themeFill="background1" w:themeFillShade="F2"/>
            <w:noWrap/>
            <w:vAlign w:val="center"/>
            <w:hideMark/>
          </w:tcPr>
          <w:p w14:paraId="4AEA826E" w14:textId="43B5116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52.1%</w:t>
            </w:r>
          </w:p>
        </w:tc>
        <w:tc>
          <w:tcPr>
            <w:tcW w:w="720" w:type="dxa"/>
            <w:shd w:val="clear" w:color="auto" w:fill="F2F2F2" w:themeFill="background1" w:themeFillShade="F2"/>
            <w:noWrap/>
            <w:vAlign w:val="center"/>
            <w:hideMark/>
          </w:tcPr>
          <w:p w14:paraId="219A8F81" w14:textId="5C7DCFB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52.3%</w:t>
            </w:r>
          </w:p>
        </w:tc>
        <w:tc>
          <w:tcPr>
            <w:tcW w:w="720" w:type="dxa"/>
            <w:shd w:val="clear" w:color="auto" w:fill="F2F2F2" w:themeFill="background1" w:themeFillShade="F2"/>
            <w:noWrap/>
            <w:vAlign w:val="center"/>
            <w:hideMark/>
          </w:tcPr>
          <w:p w14:paraId="417FFDA9" w14:textId="4711860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47.4%</w:t>
            </w:r>
          </w:p>
        </w:tc>
        <w:tc>
          <w:tcPr>
            <w:tcW w:w="720" w:type="dxa"/>
            <w:shd w:val="clear" w:color="auto" w:fill="F2F2F2" w:themeFill="background1" w:themeFillShade="F2"/>
            <w:noWrap/>
            <w:vAlign w:val="center"/>
            <w:hideMark/>
          </w:tcPr>
          <w:p w14:paraId="66332644" w14:textId="1D3442B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47.8%</w:t>
            </w:r>
          </w:p>
        </w:tc>
        <w:tc>
          <w:tcPr>
            <w:tcW w:w="720" w:type="dxa"/>
            <w:shd w:val="clear" w:color="auto" w:fill="F2F2F2" w:themeFill="background1" w:themeFillShade="F2"/>
            <w:noWrap/>
            <w:vAlign w:val="center"/>
            <w:hideMark/>
          </w:tcPr>
          <w:p w14:paraId="534FF1CB" w14:textId="1786420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47.1%</w:t>
            </w:r>
          </w:p>
        </w:tc>
      </w:tr>
      <w:tr w:rsidR="00255A16" w:rsidRPr="00884DD7" w14:paraId="5EADF5F0" w14:textId="77777777" w:rsidTr="007308A3">
        <w:trPr>
          <w:trHeight w:val="520"/>
        </w:trPr>
        <w:tc>
          <w:tcPr>
            <w:tcW w:w="810" w:type="dxa"/>
            <w:shd w:val="clear" w:color="auto" w:fill="auto"/>
            <w:noWrap/>
            <w:hideMark/>
          </w:tcPr>
          <w:p w14:paraId="23CA962B"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FUM-7</w:t>
            </w:r>
          </w:p>
        </w:tc>
        <w:tc>
          <w:tcPr>
            <w:tcW w:w="2880" w:type="dxa"/>
            <w:shd w:val="clear" w:color="auto" w:fill="auto"/>
            <w:hideMark/>
          </w:tcPr>
          <w:p w14:paraId="2DEFA2A6"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Follow-Up After Emergency Department Visit for Mental Illness (7 days)</w:t>
            </w:r>
          </w:p>
        </w:tc>
        <w:tc>
          <w:tcPr>
            <w:tcW w:w="810" w:type="dxa"/>
            <w:shd w:val="clear" w:color="auto" w:fill="auto"/>
            <w:noWrap/>
            <w:vAlign w:val="center"/>
            <w:hideMark/>
          </w:tcPr>
          <w:p w14:paraId="5D3F8887" w14:textId="4DF6E3F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76.</w:t>
            </w:r>
            <w:r w:rsidR="007308A3">
              <w:rPr>
                <w:rFonts w:cs="Calibri"/>
                <w:color w:val="000000"/>
                <w:sz w:val="16"/>
                <w:szCs w:val="16"/>
              </w:rPr>
              <w:t>0</w:t>
            </w:r>
            <w:r w:rsidRPr="00394EC7">
              <w:rPr>
                <w:rFonts w:cs="Calibri"/>
                <w:color w:val="000000"/>
                <w:sz w:val="16"/>
                <w:szCs w:val="16"/>
              </w:rPr>
              <w:t>%</w:t>
            </w:r>
          </w:p>
        </w:tc>
        <w:tc>
          <w:tcPr>
            <w:tcW w:w="720" w:type="dxa"/>
            <w:shd w:val="clear" w:color="auto" w:fill="auto"/>
            <w:noWrap/>
            <w:vAlign w:val="center"/>
            <w:hideMark/>
          </w:tcPr>
          <w:p w14:paraId="69659528" w14:textId="376A1E5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69.2%</w:t>
            </w:r>
          </w:p>
        </w:tc>
        <w:tc>
          <w:tcPr>
            <w:tcW w:w="720" w:type="dxa"/>
            <w:shd w:val="clear" w:color="auto" w:fill="auto"/>
            <w:noWrap/>
            <w:vAlign w:val="center"/>
            <w:hideMark/>
          </w:tcPr>
          <w:p w14:paraId="791811DE" w14:textId="234E2DF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79.8%</w:t>
            </w:r>
          </w:p>
        </w:tc>
        <w:tc>
          <w:tcPr>
            <w:tcW w:w="720" w:type="dxa"/>
            <w:shd w:val="clear" w:color="auto" w:fill="auto"/>
            <w:noWrap/>
            <w:vAlign w:val="center"/>
            <w:hideMark/>
          </w:tcPr>
          <w:p w14:paraId="2B7278E5" w14:textId="4762AD6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77.0%</w:t>
            </w:r>
          </w:p>
        </w:tc>
        <w:tc>
          <w:tcPr>
            <w:tcW w:w="720" w:type="dxa"/>
            <w:shd w:val="clear" w:color="auto" w:fill="auto"/>
            <w:noWrap/>
            <w:vAlign w:val="center"/>
            <w:hideMark/>
          </w:tcPr>
          <w:p w14:paraId="6194BDC9" w14:textId="75D7B9C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77.0%</w:t>
            </w:r>
          </w:p>
        </w:tc>
        <w:tc>
          <w:tcPr>
            <w:tcW w:w="720" w:type="dxa"/>
            <w:shd w:val="clear" w:color="auto" w:fill="auto"/>
            <w:noWrap/>
            <w:vAlign w:val="center"/>
            <w:hideMark/>
          </w:tcPr>
          <w:p w14:paraId="2241A4A2" w14:textId="37BB167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73.0%</w:t>
            </w:r>
          </w:p>
        </w:tc>
        <w:tc>
          <w:tcPr>
            <w:tcW w:w="810" w:type="dxa"/>
            <w:shd w:val="clear" w:color="auto" w:fill="auto"/>
            <w:noWrap/>
            <w:vAlign w:val="center"/>
            <w:hideMark/>
          </w:tcPr>
          <w:p w14:paraId="4B55A1CF" w14:textId="63BDE67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73.9%</w:t>
            </w:r>
          </w:p>
        </w:tc>
        <w:tc>
          <w:tcPr>
            <w:tcW w:w="720" w:type="dxa"/>
            <w:shd w:val="clear" w:color="auto" w:fill="auto"/>
            <w:noWrap/>
            <w:vAlign w:val="center"/>
            <w:hideMark/>
          </w:tcPr>
          <w:p w14:paraId="2F2D5C90" w14:textId="14BF6FD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73.3%</w:t>
            </w:r>
          </w:p>
        </w:tc>
        <w:tc>
          <w:tcPr>
            <w:tcW w:w="720" w:type="dxa"/>
            <w:shd w:val="clear" w:color="auto" w:fill="auto"/>
            <w:noWrap/>
            <w:vAlign w:val="center"/>
            <w:hideMark/>
          </w:tcPr>
          <w:p w14:paraId="7A44DC65" w14:textId="0CE1102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71.7%</w:t>
            </w:r>
          </w:p>
        </w:tc>
        <w:tc>
          <w:tcPr>
            <w:tcW w:w="1080" w:type="dxa"/>
            <w:shd w:val="clear" w:color="auto" w:fill="auto"/>
            <w:noWrap/>
            <w:vAlign w:val="center"/>
            <w:hideMark/>
          </w:tcPr>
          <w:p w14:paraId="3EC817F6" w14:textId="7488BF2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83.5%</w:t>
            </w:r>
          </w:p>
        </w:tc>
        <w:tc>
          <w:tcPr>
            <w:tcW w:w="720" w:type="dxa"/>
            <w:shd w:val="clear" w:color="auto" w:fill="auto"/>
            <w:noWrap/>
            <w:vAlign w:val="center"/>
            <w:hideMark/>
          </w:tcPr>
          <w:p w14:paraId="1D4C0938" w14:textId="3D2081A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77.5%</w:t>
            </w:r>
          </w:p>
        </w:tc>
        <w:tc>
          <w:tcPr>
            <w:tcW w:w="810" w:type="dxa"/>
            <w:shd w:val="clear" w:color="auto" w:fill="auto"/>
            <w:noWrap/>
            <w:vAlign w:val="center"/>
            <w:hideMark/>
          </w:tcPr>
          <w:p w14:paraId="090A5C73" w14:textId="28A1883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77.8%</w:t>
            </w:r>
          </w:p>
        </w:tc>
        <w:tc>
          <w:tcPr>
            <w:tcW w:w="810" w:type="dxa"/>
            <w:shd w:val="clear" w:color="auto" w:fill="auto"/>
            <w:noWrap/>
            <w:vAlign w:val="center"/>
            <w:hideMark/>
          </w:tcPr>
          <w:p w14:paraId="6D89569B" w14:textId="105361E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73.5%</w:t>
            </w:r>
          </w:p>
        </w:tc>
        <w:tc>
          <w:tcPr>
            <w:tcW w:w="810" w:type="dxa"/>
            <w:shd w:val="clear" w:color="auto" w:fill="auto"/>
            <w:noWrap/>
            <w:vAlign w:val="center"/>
            <w:hideMark/>
          </w:tcPr>
          <w:p w14:paraId="48CC664E" w14:textId="2587DFD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82.1%</w:t>
            </w:r>
          </w:p>
        </w:tc>
        <w:tc>
          <w:tcPr>
            <w:tcW w:w="720" w:type="dxa"/>
            <w:shd w:val="clear" w:color="auto" w:fill="auto"/>
            <w:noWrap/>
            <w:vAlign w:val="center"/>
            <w:hideMark/>
          </w:tcPr>
          <w:p w14:paraId="647D8AB0" w14:textId="53AF365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75.8%</w:t>
            </w:r>
          </w:p>
        </w:tc>
        <w:tc>
          <w:tcPr>
            <w:tcW w:w="720" w:type="dxa"/>
            <w:shd w:val="clear" w:color="auto" w:fill="auto"/>
            <w:noWrap/>
            <w:vAlign w:val="center"/>
            <w:hideMark/>
          </w:tcPr>
          <w:p w14:paraId="3F3E5F4C" w14:textId="37A3896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76.9%</w:t>
            </w:r>
          </w:p>
        </w:tc>
        <w:tc>
          <w:tcPr>
            <w:tcW w:w="990" w:type="dxa"/>
            <w:shd w:val="clear" w:color="auto" w:fill="auto"/>
            <w:noWrap/>
            <w:vAlign w:val="center"/>
            <w:hideMark/>
          </w:tcPr>
          <w:p w14:paraId="56DACCE3" w14:textId="403099B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72.2%</w:t>
            </w:r>
          </w:p>
        </w:tc>
        <w:tc>
          <w:tcPr>
            <w:tcW w:w="720" w:type="dxa"/>
            <w:shd w:val="clear" w:color="auto" w:fill="auto"/>
            <w:noWrap/>
            <w:vAlign w:val="center"/>
            <w:hideMark/>
          </w:tcPr>
          <w:p w14:paraId="22F2F7FC" w14:textId="524F765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68.9%</w:t>
            </w:r>
          </w:p>
        </w:tc>
        <w:tc>
          <w:tcPr>
            <w:tcW w:w="720" w:type="dxa"/>
            <w:shd w:val="clear" w:color="000000" w:fill="FFFFFF"/>
            <w:noWrap/>
            <w:vAlign w:val="center"/>
            <w:hideMark/>
          </w:tcPr>
          <w:p w14:paraId="5E203804" w14:textId="188C36B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72.6%</w:t>
            </w:r>
          </w:p>
        </w:tc>
        <w:tc>
          <w:tcPr>
            <w:tcW w:w="720" w:type="dxa"/>
            <w:shd w:val="clear" w:color="auto" w:fill="auto"/>
            <w:noWrap/>
            <w:vAlign w:val="center"/>
            <w:hideMark/>
          </w:tcPr>
          <w:p w14:paraId="1511D782" w14:textId="1632E14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70.2%</w:t>
            </w:r>
          </w:p>
        </w:tc>
        <w:tc>
          <w:tcPr>
            <w:tcW w:w="720" w:type="dxa"/>
            <w:shd w:val="clear" w:color="auto" w:fill="auto"/>
            <w:noWrap/>
            <w:vAlign w:val="center"/>
            <w:hideMark/>
          </w:tcPr>
          <w:p w14:paraId="688558D6" w14:textId="3138C25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74.4%</w:t>
            </w:r>
          </w:p>
        </w:tc>
      </w:tr>
      <w:tr w:rsidR="00255A16" w:rsidRPr="00884DD7" w14:paraId="179FE99B" w14:textId="77777777" w:rsidTr="007308A3">
        <w:trPr>
          <w:trHeight w:val="405"/>
        </w:trPr>
        <w:tc>
          <w:tcPr>
            <w:tcW w:w="810" w:type="dxa"/>
            <w:shd w:val="clear" w:color="auto" w:fill="auto"/>
            <w:noWrap/>
            <w:hideMark/>
          </w:tcPr>
          <w:p w14:paraId="52C0DD1D"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APM</w:t>
            </w:r>
          </w:p>
        </w:tc>
        <w:tc>
          <w:tcPr>
            <w:tcW w:w="2880" w:type="dxa"/>
            <w:shd w:val="clear" w:color="auto" w:fill="auto"/>
            <w:hideMark/>
          </w:tcPr>
          <w:p w14:paraId="4BEF9513"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Metabolic Monitoring for Children and Adolescents on Antipsychotics</w:t>
            </w:r>
          </w:p>
        </w:tc>
        <w:tc>
          <w:tcPr>
            <w:tcW w:w="810" w:type="dxa"/>
            <w:shd w:val="clear" w:color="auto" w:fill="auto"/>
            <w:noWrap/>
            <w:vAlign w:val="center"/>
            <w:hideMark/>
          </w:tcPr>
          <w:p w14:paraId="4136D730" w14:textId="04A897E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36.4%</w:t>
            </w:r>
          </w:p>
        </w:tc>
        <w:tc>
          <w:tcPr>
            <w:tcW w:w="720" w:type="dxa"/>
            <w:shd w:val="clear" w:color="auto" w:fill="auto"/>
            <w:noWrap/>
            <w:vAlign w:val="center"/>
            <w:hideMark/>
          </w:tcPr>
          <w:p w14:paraId="6FEA2BBE" w14:textId="442A158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059D1A07" w14:textId="45D8651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35.2%</w:t>
            </w:r>
          </w:p>
        </w:tc>
        <w:tc>
          <w:tcPr>
            <w:tcW w:w="720" w:type="dxa"/>
            <w:shd w:val="clear" w:color="auto" w:fill="auto"/>
            <w:noWrap/>
            <w:vAlign w:val="center"/>
            <w:hideMark/>
          </w:tcPr>
          <w:p w14:paraId="76FC37B6" w14:textId="5407679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31.4%</w:t>
            </w:r>
          </w:p>
        </w:tc>
        <w:tc>
          <w:tcPr>
            <w:tcW w:w="720" w:type="dxa"/>
            <w:shd w:val="clear" w:color="auto" w:fill="auto"/>
            <w:noWrap/>
            <w:vAlign w:val="center"/>
            <w:hideMark/>
          </w:tcPr>
          <w:p w14:paraId="44F231A9" w14:textId="5D1C9AD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33.3%</w:t>
            </w:r>
          </w:p>
        </w:tc>
        <w:tc>
          <w:tcPr>
            <w:tcW w:w="720" w:type="dxa"/>
            <w:shd w:val="clear" w:color="auto" w:fill="auto"/>
            <w:noWrap/>
            <w:vAlign w:val="center"/>
            <w:hideMark/>
          </w:tcPr>
          <w:p w14:paraId="1A67F3A4" w14:textId="3CC6A7A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36.8%</w:t>
            </w:r>
          </w:p>
        </w:tc>
        <w:tc>
          <w:tcPr>
            <w:tcW w:w="810" w:type="dxa"/>
            <w:shd w:val="clear" w:color="auto" w:fill="auto"/>
            <w:noWrap/>
            <w:vAlign w:val="center"/>
            <w:hideMark/>
          </w:tcPr>
          <w:p w14:paraId="20FAACDA" w14:textId="0A6DBC3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46.2%</w:t>
            </w:r>
          </w:p>
        </w:tc>
        <w:tc>
          <w:tcPr>
            <w:tcW w:w="720" w:type="dxa"/>
            <w:shd w:val="clear" w:color="auto" w:fill="auto"/>
            <w:noWrap/>
            <w:vAlign w:val="center"/>
            <w:hideMark/>
          </w:tcPr>
          <w:p w14:paraId="4BC5EB9B" w14:textId="03B6F73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02EC6CEF" w14:textId="64AE477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17.1%</w:t>
            </w:r>
          </w:p>
        </w:tc>
        <w:tc>
          <w:tcPr>
            <w:tcW w:w="1080" w:type="dxa"/>
            <w:shd w:val="clear" w:color="auto" w:fill="auto"/>
            <w:noWrap/>
            <w:vAlign w:val="center"/>
            <w:hideMark/>
          </w:tcPr>
          <w:p w14:paraId="431BB536" w14:textId="272443D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34.9%</w:t>
            </w:r>
          </w:p>
        </w:tc>
        <w:tc>
          <w:tcPr>
            <w:tcW w:w="720" w:type="dxa"/>
            <w:shd w:val="clear" w:color="auto" w:fill="auto"/>
            <w:noWrap/>
            <w:vAlign w:val="center"/>
            <w:hideMark/>
          </w:tcPr>
          <w:p w14:paraId="1903AECA" w14:textId="0FD09FE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41.5%</w:t>
            </w:r>
          </w:p>
        </w:tc>
        <w:tc>
          <w:tcPr>
            <w:tcW w:w="810" w:type="dxa"/>
            <w:shd w:val="clear" w:color="auto" w:fill="auto"/>
            <w:noWrap/>
            <w:vAlign w:val="center"/>
            <w:hideMark/>
          </w:tcPr>
          <w:p w14:paraId="3D554184" w14:textId="35DE011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36.3%</w:t>
            </w:r>
          </w:p>
        </w:tc>
        <w:tc>
          <w:tcPr>
            <w:tcW w:w="810" w:type="dxa"/>
            <w:shd w:val="clear" w:color="auto" w:fill="auto"/>
            <w:noWrap/>
            <w:vAlign w:val="center"/>
            <w:hideMark/>
          </w:tcPr>
          <w:p w14:paraId="0ABF3F65" w14:textId="72F1181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810" w:type="dxa"/>
            <w:shd w:val="clear" w:color="auto" w:fill="auto"/>
            <w:noWrap/>
            <w:vAlign w:val="center"/>
            <w:hideMark/>
          </w:tcPr>
          <w:p w14:paraId="65EFC262" w14:textId="790B02E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3A010863" w14:textId="1D9E1BB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44.7%</w:t>
            </w:r>
          </w:p>
        </w:tc>
        <w:tc>
          <w:tcPr>
            <w:tcW w:w="720" w:type="dxa"/>
            <w:shd w:val="clear" w:color="auto" w:fill="auto"/>
            <w:noWrap/>
            <w:vAlign w:val="center"/>
            <w:hideMark/>
          </w:tcPr>
          <w:p w14:paraId="54AB8F30" w14:textId="73614AD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41.2%</w:t>
            </w:r>
          </w:p>
        </w:tc>
        <w:tc>
          <w:tcPr>
            <w:tcW w:w="990" w:type="dxa"/>
            <w:shd w:val="clear" w:color="auto" w:fill="auto"/>
            <w:noWrap/>
            <w:vAlign w:val="center"/>
            <w:hideMark/>
          </w:tcPr>
          <w:p w14:paraId="54A0FA61" w14:textId="4DEA27C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34.0%</w:t>
            </w:r>
          </w:p>
        </w:tc>
        <w:tc>
          <w:tcPr>
            <w:tcW w:w="720" w:type="dxa"/>
            <w:shd w:val="clear" w:color="auto" w:fill="auto"/>
            <w:noWrap/>
            <w:vAlign w:val="center"/>
            <w:hideMark/>
          </w:tcPr>
          <w:p w14:paraId="3EB24231" w14:textId="60BE5FD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tcBorders>
              <w:bottom w:val="single" w:sz="4" w:space="0" w:color="auto"/>
            </w:tcBorders>
            <w:shd w:val="clear" w:color="000000" w:fill="FFFFFF"/>
            <w:noWrap/>
            <w:vAlign w:val="center"/>
            <w:hideMark/>
          </w:tcPr>
          <w:p w14:paraId="57A21B4E" w14:textId="11FBE83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26.6%</w:t>
            </w:r>
          </w:p>
        </w:tc>
        <w:tc>
          <w:tcPr>
            <w:tcW w:w="720" w:type="dxa"/>
            <w:tcBorders>
              <w:bottom w:val="single" w:sz="4" w:space="0" w:color="auto"/>
            </w:tcBorders>
            <w:shd w:val="clear" w:color="auto" w:fill="auto"/>
            <w:noWrap/>
            <w:vAlign w:val="center"/>
            <w:hideMark/>
          </w:tcPr>
          <w:p w14:paraId="00FE6072" w14:textId="160DF8C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24.3%</w:t>
            </w:r>
          </w:p>
        </w:tc>
        <w:tc>
          <w:tcPr>
            <w:tcW w:w="720" w:type="dxa"/>
            <w:tcBorders>
              <w:bottom w:val="single" w:sz="4" w:space="0" w:color="auto"/>
            </w:tcBorders>
            <w:shd w:val="clear" w:color="auto" w:fill="auto"/>
            <w:noWrap/>
            <w:vAlign w:val="center"/>
            <w:hideMark/>
          </w:tcPr>
          <w:p w14:paraId="39C6B87A" w14:textId="058F63B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27.4%</w:t>
            </w:r>
          </w:p>
        </w:tc>
      </w:tr>
      <w:tr w:rsidR="00255A16" w:rsidRPr="00884DD7" w14:paraId="4B1B7664" w14:textId="77777777" w:rsidTr="007308A3">
        <w:trPr>
          <w:trHeight w:val="630"/>
        </w:trPr>
        <w:tc>
          <w:tcPr>
            <w:tcW w:w="810" w:type="dxa"/>
            <w:shd w:val="clear" w:color="auto" w:fill="F2F2F2" w:themeFill="background1" w:themeFillShade="F2"/>
            <w:noWrap/>
            <w:hideMark/>
          </w:tcPr>
          <w:p w14:paraId="6CD1909C"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DSF</w:t>
            </w:r>
          </w:p>
        </w:tc>
        <w:tc>
          <w:tcPr>
            <w:tcW w:w="2880" w:type="dxa"/>
            <w:shd w:val="clear" w:color="auto" w:fill="F2F2F2" w:themeFill="background1" w:themeFillShade="F2"/>
            <w:hideMark/>
          </w:tcPr>
          <w:p w14:paraId="3EA59E71"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Screening for Depression and Follow-Up Plan</w:t>
            </w:r>
          </w:p>
        </w:tc>
        <w:tc>
          <w:tcPr>
            <w:tcW w:w="810" w:type="dxa"/>
            <w:shd w:val="clear" w:color="auto" w:fill="F2F2F2" w:themeFill="background1" w:themeFillShade="F2"/>
            <w:noWrap/>
            <w:vAlign w:val="center"/>
            <w:hideMark/>
          </w:tcPr>
          <w:p w14:paraId="72BC32EF" w14:textId="2B54622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40.2%</w:t>
            </w:r>
          </w:p>
        </w:tc>
        <w:tc>
          <w:tcPr>
            <w:tcW w:w="720" w:type="dxa"/>
            <w:shd w:val="clear" w:color="auto" w:fill="F2F2F2" w:themeFill="background1" w:themeFillShade="F2"/>
            <w:noWrap/>
            <w:vAlign w:val="center"/>
            <w:hideMark/>
          </w:tcPr>
          <w:p w14:paraId="38FAEB84" w14:textId="38CD4BD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4.7%</w:t>
            </w:r>
          </w:p>
        </w:tc>
        <w:tc>
          <w:tcPr>
            <w:tcW w:w="720" w:type="dxa"/>
            <w:shd w:val="clear" w:color="auto" w:fill="F2F2F2" w:themeFill="background1" w:themeFillShade="F2"/>
            <w:noWrap/>
            <w:vAlign w:val="center"/>
            <w:hideMark/>
          </w:tcPr>
          <w:p w14:paraId="0D2A07FD" w14:textId="6EA49B7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18.2%</w:t>
            </w:r>
          </w:p>
        </w:tc>
        <w:tc>
          <w:tcPr>
            <w:tcW w:w="720" w:type="dxa"/>
            <w:shd w:val="clear" w:color="auto" w:fill="F2F2F2" w:themeFill="background1" w:themeFillShade="F2"/>
            <w:noWrap/>
            <w:vAlign w:val="center"/>
            <w:hideMark/>
          </w:tcPr>
          <w:p w14:paraId="20813101" w14:textId="028D2C7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6.3%</w:t>
            </w:r>
          </w:p>
        </w:tc>
        <w:tc>
          <w:tcPr>
            <w:tcW w:w="720" w:type="dxa"/>
            <w:shd w:val="clear" w:color="auto" w:fill="F2F2F2" w:themeFill="background1" w:themeFillShade="F2"/>
            <w:noWrap/>
            <w:vAlign w:val="center"/>
            <w:hideMark/>
          </w:tcPr>
          <w:p w14:paraId="1741C0C4" w14:textId="6FF2C5C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61.3%</w:t>
            </w:r>
          </w:p>
        </w:tc>
        <w:tc>
          <w:tcPr>
            <w:tcW w:w="720" w:type="dxa"/>
            <w:shd w:val="clear" w:color="auto" w:fill="F2F2F2" w:themeFill="background1" w:themeFillShade="F2"/>
            <w:noWrap/>
            <w:vAlign w:val="center"/>
            <w:hideMark/>
          </w:tcPr>
          <w:p w14:paraId="508CEB08" w14:textId="5DC5AD4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40.2%</w:t>
            </w:r>
          </w:p>
        </w:tc>
        <w:tc>
          <w:tcPr>
            <w:tcW w:w="810" w:type="dxa"/>
            <w:shd w:val="clear" w:color="auto" w:fill="F2F2F2" w:themeFill="background1" w:themeFillShade="F2"/>
            <w:noWrap/>
            <w:vAlign w:val="center"/>
            <w:hideMark/>
          </w:tcPr>
          <w:p w14:paraId="492164DA" w14:textId="71E9F57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19.6%</w:t>
            </w:r>
          </w:p>
        </w:tc>
        <w:tc>
          <w:tcPr>
            <w:tcW w:w="720" w:type="dxa"/>
            <w:shd w:val="clear" w:color="auto" w:fill="F2F2F2" w:themeFill="background1" w:themeFillShade="F2"/>
            <w:noWrap/>
            <w:vAlign w:val="center"/>
            <w:hideMark/>
          </w:tcPr>
          <w:p w14:paraId="2126DBF5" w14:textId="6DA0D45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37.7%</w:t>
            </w:r>
          </w:p>
        </w:tc>
        <w:tc>
          <w:tcPr>
            <w:tcW w:w="720" w:type="dxa"/>
            <w:shd w:val="clear" w:color="auto" w:fill="F2F2F2" w:themeFill="background1" w:themeFillShade="F2"/>
            <w:noWrap/>
            <w:vAlign w:val="center"/>
            <w:hideMark/>
          </w:tcPr>
          <w:p w14:paraId="6AD11AE5" w14:textId="778C432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41.6%</w:t>
            </w:r>
          </w:p>
        </w:tc>
        <w:tc>
          <w:tcPr>
            <w:tcW w:w="1080" w:type="dxa"/>
            <w:shd w:val="clear" w:color="auto" w:fill="F2F2F2" w:themeFill="background1" w:themeFillShade="F2"/>
            <w:noWrap/>
            <w:vAlign w:val="center"/>
            <w:hideMark/>
          </w:tcPr>
          <w:p w14:paraId="7301BBAC" w14:textId="2A2A015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44.5%</w:t>
            </w:r>
          </w:p>
        </w:tc>
        <w:tc>
          <w:tcPr>
            <w:tcW w:w="720" w:type="dxa"/>
            <w:shd w:val="clear" w:color="auto" w:fill="F2F2F2" w:themeFill="background1" w:themeFillShade="F2"/>
            <w:noWrap/>
            <w:vAlign w:val="center"/>
            <w:hideMark/>
          </w:tcPr>
          <w:p w14:paraId="2489B8B0" w14:textId="0676489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44.3%</w:t>
            </w:r>
          </w:p>
        </w:tc>
        <w:tc>
          <w:tcPr>
            <w:tcW w:w="810" w:type="dxa"/>
            <w:shd w:val="clear" w:color="auto" w:fill="F2F2F2" w:themeFill="background1" w:themeFillShade="F2"/>
            <w:noWrap/>
            <w:vAlign w:val="center"/>
            <w:hideMark/>
          </w:tcPr>
          <w:p w14:paraId="527EED83" w14:textId="7165A16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9.5%</w:t>
            </w:r>
          </w:p>
        </w:tc>
        <w:tc>
          <w:tcPr>
            <w:tcW w:w="810" w:type="dxa"/>
            <w:shd w:val="clear" w:color="auto" w:fill="F2F2F2" w:themeFill="background1" w:themeFillShade="F2"/>
            <w:noWrap/>
            <w:vAlign w:val="center"/>
            <w:hideMark/>
          </w:tcPr>
          <w:p w14:paraId="6A6A8F8E" w14:textId="35F8558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57.6%</w:t>
            </w:r>
          </w:p>
        </w:tc>
        <w:tc>
          <w:tcPr>
            <w:tcW w:w="810" w:type="dxa"/>
            <w:shd w:val="clear" w:color="auto" w:fill="F2F2F2" w:themeFill="background1" w:themeFillShade="F2"/>
            <w:noWrap/>
            <w:vAlign w:val="center"/>
            <w:hideMark/>
          </w:tcPr>
          <w:p w14:paraId="15123A0B" w14:textId="78B16F4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22.1%</w:t>
            </w:r>
          </w:p>
        </w:tc>
        <w:tc>
          <w:tcPr>
            <w:tcW w:w="720" w:type="dxa"/>
            <w:shd w:val="clear" w:color="auto" w:fill="F2F2F2" w:themeFill="background1" w:themeFillShade="F2"/>
            <w:noWrap/>
            <w:vAlign w:val="center"/>
            <w:hideMark/>
          </w:tcPr>
          <w:p w14:paraId="77496A58" w14:textId="337094F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58.6%</w:t>
            </w:r>
          </w:p>
        </w:tc>
        <w:tc>
          <w:tcPr>
            <w:tcW w:w="720" w:type="dxa"/>
            <w:shd w:val="clear" w:color="auto" w:fill="F2F2F2" w:themeFill="background1" w:themeFillShade="F2"/>
            <w:noWrap/>
            <w:vAlign w:val="center"/>
            <w:hideMark/>
          </w:tcPr>
          <w:p w14:paraId="5681B491" w14:textId="2DCA566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52.1%</w:t>
            </w:r>
          </w:p>
        </w:tc>
        <w:tc>
          <w:tcPr>
            <w:tcW w:w="990" w:type="dxa"/>
            <w:shd w:val="clear" w:color="auto" w:fill="F2F2F2" w:themeFill="background1" w:themeFillShade="F2"/>
            <w:noWrap/>
            <w:vAlign w:val="center"/>
            <w:hideMark/>
          </w:tcPr>
          <w:p w14:paraId="48F90F98" w14:textId="297D0A6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24.8%</w:t>
            </w:r>
          </w:p>
        </w:tc>
        <w:tc>
          <w:tcPr>
            <w:tcW w:w="720" w:type="dxa"/>
            <w:tcBorders>
              <w:right w:val="single" w:sz="4" w:space="0" w:color="auto"/>
            </w:tcBorders>
            <w:shd w:val="clear" w:color="auto" w:fill="F2F2F2" w:themeFill="background1" w:themeFillShade="F2"/>
            <w:noWrap/>
            <w:vAlign w:val="center"/>
            <w:hideMark/>
          </w:tcPr>
          <w:p w14:paraId="15D809CC" w14:textId="772E22F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41.0%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BFC86D7" w14:textId="613026E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1CDB4A1" w14:textId="63CD49E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B976C1E" w14:textId="77B5A86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2294142B" w14:textId="77777777" w:rsidTr="007308A3">
        <w:trPr>
          <w:trHeight w:val="300"/>
        </w:trPr>
        <w:tc>
          <w:tcPr>
            <w:tcW w:w="810" w:type="dxa"/>
            <w:shd w:val="clear" w:color="auto" w:fill="auto"/>
            <w:noWrap/>
            <w:hideMark/>
          </w:tcPr>
          <w:p w14:paraId="7799BCB5"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DRR</w:t>
            </w:r>
          </w:p>
        </w:tc>
        <w:tc>
          <w:tcPr>
            <w:tcW w:w="2880" w:type="dxa"/>
            <w:shd w:val="clear" w:color="auto" w:fill="auto"/>
            <w:hideMark/>
          </w:tcPr>
          <w:p w14:paraId="5FE9588C"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Depression Remission or Response</w:t>
            </w:r>
          </w:p>
        </w:tc>
        <w:tc>
          <w:tcPr>
            <w:tcW w:w="810" w:type="dxa"/>
            <w:shd w:val="clear" w:color="auto" w:fill="auto"/>
            <w:noWrap/>
            <w:vAlign w:val="center"/>
            <w:hideMark/>
          </w:tcPr>
          <w:p w14:paraId="15F6E92D" w14:textId="7FC9604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4.8%</w:t>
            </w:r>
            <w:r w:rsidR="001D683B">
              <w:rPr>
                <w:rFonts w:cs="Calibri"/>
                <w:color w:val="000000"/>
                <w:sz w:val="16"/>
                <w:szCs w:val="16"/>
              </w:rPr>
              <w:t>*</w:t>
            </w:r>
          </w:p>
        </w:tc>
        <w:tc>
          <w:tcPr>
            <w:tcW w:w="720" w:type="dxa"/>
            <w:shd w:val="clear" w:color="auto" w:fill="auto"/>
            <w:noWrap/>
            <w:vAlign w:val="center"/>
            <w:hideMark/>
          </w:tcPr>
          <w:p w14:paraId="3C5C0F8E" w14:textId="2E1E3A0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4.9%</w:t>
            </w:r>
          </w:p>
        </w:tc>
        <w:tc>
          <w:tcPr>
            <w:tcW w:w="720" w:type="dxa"/>
            <w:shd w:val="clear" w:color="auto" w:fill="auto"/>
            <w:noWrap/>
            <w:vAlign w:val="center"/>
            <w:hideMark/>
          </w:tcPr>
          <w:p w14:paraId="32CD9ADF" w14:textId="60298F5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720" w:type="dxa"/>
            <w:shd w:val="clear" w:color="auto" w:fill="auto"/>
            <w:noWrap/>
            <w:vAlign w:val="center"/>
            <w:hideMark/>
          </w:tcPr>
          <w:p w14:paraId="14BB2027" w14:textId="127B645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720" w:type="dxa"/>
            <w:shd w:val="clear" w:color="auto" w:fill="auto"/>
            <w:noWrap/>
            <w:vAlign w:val="center"/>
            <w:hideMark/>
          </w:tcPr>
          <w:p w14:paraId="69CD220D" w14:textId="63B8A97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1.7%</w:t>
            </w:r>
          </w:p>
        </w:tc>
        <w:tc>
          <w:tcPr>
            <w:tcW w:w="720" w:type="dxa"/>
            <w:shd w:val="clear" w:color="auto" w:fill="auto"/>
            <w:noWrap/>
            <w:vAlign w:val="center"/>
            <w:hideMark/>
          </w:tcPr>
          <w:p w14:paraId="7DA03B2A" w14:textId="54E3BD5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9.1%</w:t>
            </w:r>
          </w:p>
        </w:tc>
        <w:tc>
          <w:tcPr>
            <w:tcW w:w="810" w:type="dxa"/>
            <w:shd w:val="clear" w:color="auto" w:fill="auto"/>
            <w:noWrap/>
            <w:vAlign w:val="center"/>
            <w:hideMark/>
          </w:tcPr>
          <w:p w14:paraId="070AB06C" w14:textId="160BB48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401EE3F2" w14:textId="380FBE7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4.8%</w:t>
            </w:r>
          </w:p>
        </w:tc>
        <w:tc>
          <w:tcPr>
            <w:tcW w:w="720" w:type="dxa"/>
            <w:shd w:val="clear" w:color="auto" w:fill="auto"/>
            <w:noWrap/>
            <w:vAlign w:val="center"/>
            <w:hideMark/>
          </w:tcPr>
          <w:p w14:paraId="7C1B840A" w14:textId="57B76A2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10.7%</w:t>
            </w:r>
          </w:p>
        </w:tc>
        <w:tc>
          <w:tcPr>
            <w:tcW w:w="1080" w:type="dxa"/>
            <w:shd w:val="clear" w:color="auto" w:fill="auto"/>
            <w:noWrap/>
            <w:vAlign w:val="center"/>
            <w:hideMark/>
          </w:tcPr>
          <w:p w14:paraId="46A57EA0" w14:textId="35ADB02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4.3%</w:t>
            </w:r>
          </w:p>
        </w:tc>
        <w:tc>
          <w:tcPr>
            <w:tcW w:w="720" w:type="dxa"/>
            <w:shd w:val="clear" w:color="auto" w:fill="auto"/>
            <w:noWrap/>
            <w:vAlign w:val="center"/>
            <w:hideMark/>
          </w:tcPr>
          <w:p w14:paraId="55F797DD" w14:textId="531AC42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8.1%</w:t>
            </w:r>
          </w:p>
        </w:tc>
        <w:tc>
          <w:tcPr>
            <w:tcW w:w="810" w:type="dxa"/>
            <w:shd w:val="clear" w:color="auto" w:fill="auto"/>
            <w:noWrap/>
            <w:vAlign w:val="center"/>
            <w:hideMark/>
          </w:tcPr>
          <w:p w14:paraId="1689EE07" w14:textId="006FD40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810" w:type="dxa"/>
            <w:shd w:val="clear" w:color="auto" w:fill="auto"/>
            <w:noWrap/>
            <w:vAlign w:val="center"/>
            <w:hideMark/>
          </w:tcPr>
          <w:p w14:paraId="447D35DE" w14:textId="647FF66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2.7%</w:t>
            </w:r>
          </w:p>
        </w:tc>
        <w:tc>
          <w:tcPr>
            <w:tcW w:w="810" w:type="dxa"/>
            <w:shd w:val="clear" w:color="auto" w:fill="auto"/>
            <w:noWrap/>
            <w:vAlign w:val="center"/>
            <w:hideMark/>
          </w:tcPr>
          <w:p w14:paraId="12886FC0" w14:textId="263A7AF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1733D405" w14:textId="1A3A780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4.8%</w:t>
            </w:r>
          </w:p>
        </w:tc>
        <w:tc>
          <w:tcPr>
            <w:tcW w:w="720" w:type="dxa"/>
            <w:shd w:val="clear" w:color="auto" w:fill="auto"/>
            <w:noWrap/>
            <w:vAlign w:val="center"/>
            <w:hideMark/>
          </w:tcPr>
          <w:p w14:paraId="3A59914B" w14:textId="25036EF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1.3%</w:t>
            </w:r>
          </w:p>
        </w:tc>
        <w:tc>
          <w:tcPr>
            <w:tcW w:w="990" w:type="dxa"/>
            <w:shd w:val="clear" w:color="auto" w:fill="auto"/>
            <w:noWrap/>
            <w:vAlign w:val="center"/>
            <w:hideMark/>
          </w:tcPr>
          <w:p w14:paraId="1927BD0B" w14:textId="6FA6EB4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tcBorders>
              <w:right w:val="single" w:sz="4" w:space="0" w:color="auto"/>
            </w:tcBorders>
            <w:shd w:val="clear" w:color="auto" w:fill="auto"/>
            <w:noWrap/>
            <w:vAlign w:val="center"/>
            <w:hideMark/>
          </w:tcPr>
          <w:p w14:paraId="248C1DD3" w14:textId="039BBC4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9.2%</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E60DE6D" w14:textId="2CE2331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541CCF8" w14:textId="517BBCA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86129F9" w14:textId="322EA53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000FC589" w14:textId="77777777" w:rsidTr="007308A3">
        <w:trPr>
          <w:trHeight w:val="320"/>
        </w:trPr>
        <w:tc>
          <w:tcPr>
            <w:tcW w:w="810" w:type="dxa"/>
            <w:shd w:val="clear" w:color="auto" w:fill="F2F2F2" w:themeFill="background1" w:themeFillShade="F2"/>
            <w:noWrap/>
            <w:hideMark/>
          </w:tcPr>
          <w:p w14:paraId="25D67FE1"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F2F2F2" w:themeFill="background1" w:themeFillShade="F2"/>
            <w:hideMark/>
          </w:tcPr>
          <w:p w14:paraId="30F48E71"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LTSS Community Partner Engagement </w:t>
            </w:r>
          </w:p>
        </w:tc>
        <w:tc>
          <w:tcPr>
            <w:tcW w:w="810" w:type="dxa"/>
            <w:shd w:val="clear" w:color="auto" w:fill="F2F2F2" w:themeFill="background1" w:themeFillShade="F2"/>
            <w:noWrap/>
            <w:vAlign w:val="center"/>
            <w:hideMark/>
          </w:tcPr>
          <w:p w14:paraId="31094544" w14:textId="7565221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w:t>
            </w:r>
          </w:p>
        </w:tc>
        <w:tc>
          <w:tcPr>
            <w:tcW w:w="720" w:type="dxa"/>
            <w:shd w:val="clear" w:color="auto" w:fill="F2F2F2" w:themeFill="background1" w:themeFillShade="F2"/>
            <w:noWrap/>
            <w:vAlign w:val="center"/>
            <w:hideMark/>
          </w:tcPr>
          <w:p w14:paraId="4BB30EBB" w14:textId="22BDC39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4.3%</w:t>
            </w:r>
          </w:p>
        </w:tc>
        <w:tc>
          <w:tcPr>
            <w:tcW w:w="720" w:type="dxa"/>
            <w:shd w:val="clear" w:color="auto" w:fill="F2F2F2" w:themeFill="background1" w:themeFillShade="F2"/>
            <w:noWrap/>
            <w:vAlign w:val="center"/>
            <w:hideMark/>
          </w:tcPr>
          <w:p w14:paraId="2F48EB49" w14:textId="33F1CAB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1.9%</w:t>
            </w:r>
          </w:p>
        </w:tc>
        <w:tc>
          <w:tcPr>
            <w:tcW w:w="720" w:type="dxa"/>
            <w:shd w:val="clear" w:color="auto" w:fill="F2F2F2" w:themeFill="background1" w:themeFillShade="F2"/>
            <w:noWrap/>
            <w:vAlign w:val="center"/>
            <w:hideMark/>
          </w:tcPr>
          <w:p w14:paraId="1B7710B6" w14:textId="14CD8AB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1.3%</w:t>
            </w:r>
          </w:p>
        </w:tc>
        <w:tc>
          <w:tcPr>
            <w:tcW w:w="720" w:type="dxa"/>
            <w:shd w:val="clear" w:color="auto" w:fill="F2F2F2" w:themeFill="background1" w:themeFillShade="F2"/>
            <w:noWrap/>
            <w:vAlign w:val="center"/>
            <w:hideMark/>
          </w:tcPr>
          <w:p w14:paraId="41C8CAA4" w14:textId="1A8533D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0.1%</w:t>
            </w:r>
          </w:p>
        </w:tc>
        <w:tc>
          <w:tcPr>
            <w:tcW w:w="720" w:type="dxa"/>
            <w:shd w:val="clear" w:color="auto" w:fill="F2F2F2" w:themeFill="background1" w:themeFillShade="F2"/>
            <w:noWrap/>
            <w:vAlign w:val="center"/>
            <w:hideMark/>
          </w:tcPr>
          <w:p w14:paraId="4F12DC14" w14:textId="7F61536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810" w:type="dxa"/>
            <w:shd w:val="clear" w:color="auto" w:fill="F2F2F2" w:themeFill="background1" w:themeFillShade="F2"/>
            <w:noWrap/>
            <w:vAlign w:val="center"/>
            <w:hideMark/>
          </w:tcPr>
          <w:p w14:paraId="2191D7B0" w14:textId="51D00E3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720" w:type="dxa"/>
            <w:shd w:val="clear" w:color="auto" w:fill="F2F2F2" w:themeFill="background1" w:themeFillShade="F2"/>
            <w:noWrap/>
            <w:vAlign w:val="center"/>
            <w:hideMark/>
          </w:tcPr>
          <w:p w14:paraId="730C4E68" w14:textId="55424FE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2.4%</w:t>
            </w:r>
          </w:p>
        </w:tc>
        <w:tc>
          <w:tcPr>
            <w:tcW w:w="720" w:type="dxa"/>
            <w:shd w:val="clear" w:color="auto" w:fill="F2F2F2" w:themeFill="background1" w:themeFillShade="F2"/>
            <w:noWrap/>
            <w:vAlign w:val="center"/>
            <w:hideMark/>
          </w:tcPr>
          <w:p w14:paraId="3A28D2F5" w14:textId="6867C80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1080" w:type="dxa"/>
            <w:shd w:val="clear" w:color="auto" w:fill="F2F2F2" w:themeFill="background1" w:themeFillShade="F2"/>
            <w:noWrap/>
            <w:vAlign w:val="center"/>
            <w:hideMark/>
          </w:tcPr>
          <w:p w14:paraId="4B31DF7D" w14:textId="7923F6F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2.1%</w:t>
            </w:r>
          </w:p>
        </w:tc>
        <w:tc>
          <w:tcPr>
            <w:tcW w:w="720" w:type="dxa"/>
            <w:shd w:val="clear" w:color="auto" w:fill="F2F2F2" w:themeFill="background1" w:themeFillShade="F2"/>
            <w:noWrap/>
            <w:vAlign w:val="center"/>
            <w:hideMark/>
          </w:tcPr>
          <w:p w14:paraId="53579A1F" w14:textId="0B8B24A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2.3%</w:t>
            </w:r>
          </w:p>
        </w:tc>
        <w:tc>
          <w:tcPr>
            <w:tcW w:w="810" w:type="dxa"/>
            <w:shd w:val="clear" w:color="auto" w:fill="F2F2F2" w:themeFill="background1" w:themeFillShade="F2"/>
            <w:noWrap/>
            <w:vAlign w:val="center"/>
            <w:hideMark/>
          </w:tcPr>
          <w:p w14:paraId="62C07DB0" w14:textId="4D88B20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w:t>
            </w:r>
          </w:p>
        </w:tc>
        <w:tc>
          <w:tcPr>
            <w:tcW w:w="810" w:type="dxa"/>
            <w:shd w:val="clear" w:color="auto" w:fill="F2F2F2" w:themeFill="background1" w:themeFillShade="F2"/>
            <w:noWrap/>
            <w:vAlign w:val="center"/>
            <w:hideMark/>
          </w:tcPr>
          <w:p w14:paraId="0DA2AE65" w14:textId="048EBD2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6.9%</w:t>
            </w:r>
          </w:p>
        </w:tc>
        <w:tc>
          <w:tcPr>
            <w:tcW w:w="810" w:type="dxa"/>
            <w:shd w:val="clear" w:color="auto" w:fill="F2F2F2" w:themeFill="background1" w:themeFillShade="F2"/>
            <w:noWrap/>
            <w:vAlign w:val="center"/>
            <w:hideMark/>
          </w:tcPr>
          <w:p w14:paraId="350909EC" w14:textId="40B12BA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1.6%</w:t>
            </w:r>
          </w:p>
        </w:tc>
        <w:tc>
          <w:tcPr>
            <w:tcW w:w="720" w:type="dxa"/>
            <w:shd w:val="clear" w:color="auto" w:fill="F2F2F2" w:themeFill="background1" w:themeFillShade="F2"/>
            <w:noWrap/>
            <w:vAlign w:val="center"/>
            <w:hideMark/>
          </w:tcPr>
          <w:p w14:paraId="36CE632C" w14:textId="5B62E26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w:t>
            </w:r>
          </w:p>
        </w:tc>
        <w:tc>
          <w:tcPr>
            <w:tcW w:w="720" w:type="dxa"/>
            <w:shd w:val="clear" w:color="auto" w:fill="F2F2F2" w:themeFill="background1" w:themeFillShade="F2"/>
            <w:noWrap/>
            <w:vAlign w:val="center"/>
            <w:hideMark/>
          </w:tcPr>
          <w:p w14:paraId="26BF70EB" w14:textId="6AA42FB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0.5%</w:t>
            </w:r>
          </w:p>
        </w:tc>
        <w:tc>
          <w:tcPr>
            <w:tcW w:w="990" w:type="dxa"/>
            <w:shd w:val="clear" w:color="auto" w:fill="F2F2F2" w:themeFill="background1" w:themeFillShade="F2"/>
            <w:noWrap/>
            <w:vAlign w:val="center"/>
            <w:hideMark/>
          </w:tcPr>
          <w:p w14:paraId="195BAA5C" w14:textId="665E216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0.4%</w:t>
            </w:r>
          </w:p>
        </w:tc>
        <w:tc>
          <w:tcPr>
            <w:tcW w:w="720" w:type="dxa"/>
            <w:shd w:val="clear" w:color="auto" w:fill="F2F2F2" w:themeFill="background1" w:themeFillShade="F2"/>
            <w:noWrap/>
            <w:vAlign w:val="center"/>
            <w:hideMark/>
          </w:tcPr>
          <w:p w14:paraId="6CA34DBB" w14:textId="01A374D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2.9%</w:t>
            </w:r>
          </w:p>
        </w:tc>
        <w:tc>
          <w:tcPr>
            <w:tcW w:w="720" w:type="dxa"/>
            <w:tcBorders>
              <w:top w:val="single" w:sz="4" w:space="0" w:color="auto"/>
            </w:tcBorders>
            <w:shd w:val="clear" w:color="auto" w:fill="F2F2F2" w:themeFill="background1" w:themeFillShade="F2"/>
            <w:noWrap/>
            <w:vAlign w:val="center"/>
            <w:hideMark/>
          </w:tcPr>
          <w:p w14:paraId="4FE9F59F" w14:textId="0BC855E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0.2%</w:t>
            </w:r>
          </w:p>
        </w:tc>
        <w:tc>
          <w:tcPr>
            <w:tcW w:w="720" w:type="dxa"/>
            <w:tcBorders>
              <w:top w:val="single" w:sz="4" w:space="0" w:color="auto"/>
            </w:tcBorders>
            <w:shd w:val="clear" w:color="auto" w:fill="F2F2F2" w:themeFill="background1" w:themeFillShade="F2"/>
            <w:noWrap/>
            <w:vAlign w:val="center"/>
            <w:hideMark/>
          </w:tcPr>
          <w:p w14:paraId="5D80A3CF" w14:textId="22D16C6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720" w:type="dxa"/>
            <w:tcBorders>
              <w:top w:val="single" w:sz="4" w:space="0" w:color="auto"/>
            </w:tcBorders>
            <w:shd w:val="clear" w:color="auto" w:fill="F2F2F2" w:themeFill="background1" w:themeFillShade="F2"/>
            <w:noWrap/>
            <w:vAlign w:val="center"/>
            <w:hideMark/>
          </w:tcPr>
          <w:p w14:paraId="2B192E3E" w14:textId="3ADF369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0.4%</w:t>
            </w:r>
          </w:p>
        </w:tc>
      </w:tr>
      <w:tr w:rsidR="00255A16" w:rsidRPr="00884DD7" w14:paraId="01AB7729" w14:textId="77777777" w:rsidTr="007308A3">
        <w:trPr>
          <w:trHeight w:val="290"/>
        </w:trPr>
        <w:tc>
          <w:tcPr>
            <w:tcW w:w="810" w:type="dxa"/>
            <w:shd w:val="clear" w:color="000000" w:fill="FFFFFF"/>
            <w:noWrap/>
            <w:hideMark/>
          </w:tcPr>
          <w:p w14:paraId="7819D768"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000000" w:fill="FFFFFF"/>
            <w:hideMark/>
          </w:tcPr>
          <w:p w14:paraId="1269AB4B"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Community Tenure - BSP (Risk adjusted O/E ratio)</w:t>
            </w:r>
          </w:p>
        </w:tc>
        <w:tc>
          <w:tcPr>
            <w:tcW w:w="810" w:type="dxa"/>
            <w:shd w:val="clear" w:color="auto" w:fill="auto"/>
            <w:noWrap/>
            <w:vAlign w:val="center"/>
            <w:hideMark/>
          </w:tcPr>
          <w:p w14:paraId="7ADD1CC2" w14:textId="79DE67C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0.7827</w:t>
            </w:r>
          </w:p>
        </w:tc>
        <w:tc>
          <w:tcPr>
            <w:tcW w:w="720" w:type="dxa"/>
            <w:shd w:val="clear" w:color="auto" w:fill="auto"/>
            <w:noWrap/>
            <w:vAlign w:val="center"/>
            <w:hideMark/>
          </w:tcPr>
          <w:p w14:paraId="0FA52761" w14:textId="0066F0F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0.4181</w:t>
            </w:r>
          </w:p>
        </w:tc>
        <w:tc>
          <w:tcPr>
            <w:tcW w:w="720" w:type="dxa"/>
            <w:shd w:val="clear" w:color="auto" w:fill="auto"/>
            <w:noWrap/>
            <w:vAlign w:val="center"/>
            <w:hideMark/>
          </w:tcPr>
          <w:p w14:paraId="4DE4731A" w14:textId="362F600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0.2851</w:t>
            </w:r>
          </w:p>
        </w:tc>
        <w:tc>
          <w:tcPr>
            <w:tcW w:w="720" w:type="dxa"/>
            <w:shd w:val="clear" w:color="auto" w:fill="auto"/>
            <w:noWrap/>
            <w:vAlign w:val="center"/>
            <w:hideMark/>
          </w:tcPr>
          <w:p w14:paraId="5020957E" w14:textId="446CC20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0.3513</w:t>
            </w:r>
          </w:p>
        </w:tc>
        <w:tc>
          <w:tcPr>
            <w:tcW w:w="720" w:type="dxa"/>
            <w:shd w:val="clear" w:color="auto" w:fill="auto"/>
            <w:noWrap/>
            <w:vAlign w:val="center"/>
            <w:hideMark/>
          </w:tcPr>
          <w:p w14:paraId="0D13F5F1" w14:textId="4ED12CA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0.6962</w:t>
            </w:r>
          </w:p>
        </w:tc>
        <w:tc>
          <w:tcPr>
            <w:tcW w:w="720" w:type="dxa"/>
            <w:shd w:val="clear" w:color="auto" w:fill="auto"/>
            <w:noWrap/>
            <w:vAlign w:val="center"/>
            <w:hideMark/>
          </w:tcPr>
          <w:p w14:paraId="51CED8FE" w14:textId="6091A67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0.8003</w:t>
            </w:r>
          </w:p>
        </w:tc>
        <w:tc>
          <w:tcPr>
            <w:tcW w:w="810" w:type="dxa"/>
            <w:shd w:val="clear" w:color="auto" w:fill="auto"/>
            <w:noWrap/>
            <w:vAlign w:val="center"/>
            <w:hideMark/>
          </w:tcPr>
          <w:p w14:paraId="07677C31" w14:textId="603F733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0.8474</w:t>
            </w:r>
          </w:p>
        </w:tc>
        <w:tc>
          <w:tcPr>
            <w:tcW w:w="720" w:type="dxa"/>
            <w:shd w:val="clear" w:color="auto" w:fill="auto"/>
            <w:noWrap/>
            <w:vAlign w:val="center"/>
            <w:hideMark/>
          </w:tcPr>
          <w:p w14:paraId="28141734" w14:textId="629D741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0.9106</w:t>
            </w:r>
          </w:p>
        </w:tc>
        <w:tc>
          <w:tcPr>
            <w:tcW w:w="720" w:type="dxa"/>
            <w:shd w:val="clear" w:color="auto" w:fill="auto"/>
            <w:noWrap/>
            <w:vAlign w:val="center"/>
            <w:hideMark/>
          </w:tcPr>
          <w:p w14:paraId="25CAF099" w14:textId="14B132A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0.8292</w:t>
            </w:r>
          </w:p>
        </w:tc>
        <w:tc>
          <w:tcPr>
            <w:tcW w:w="1080" w:type="dxa"/>
            <w:shd w:val="clear" w:color="auto" w:fill="auto"/>
            <w:noWrap/>
            <w:vAlign w:val="center"/>
            <w:hideMark/>
          </w:tcPr>
          <w:p w14:paraId="757CD4BA" w14:textId="6ADB714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0.9369</w:t>
            </w:r>
          </w:p>
        </w:tc>
        <w:tc>
          <w:tcPr>
            <w:tcW w:w="720" w:type="dxa"/>
            <w:shd w:val="clear" w:color="auto" w:fill="auto"/>
            <w:noWrap/>
            <w:vAlign w:val="center"/>
            <w:hideMark/>
          </w:tcPr>
          <w:p w14:paraId="50F9D7C9" w14:textId="0BC7F39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0.9088</w:t>
            </w:r>
          </w:p>
        </w:tc>
        <w:tc>
          <w:tcPr>
            <w:tcW w:w="810" w:type="dxa"/>
            <w:shd w:val="clear" w:color="auto" w:fill="auto"/>
            <w:noWrap/>
            <w:vAlign w:val="center"/>
            <w:hideMark/>
          </w:tcPr>
          <w:p w14:paraId="1BD8095F" w14:textId="44D09FD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0.8971</w:t>
            </w:r>
          </w:p>
        </w:tc>
        <w:tc>
          <w:tcPr>
            <w:tcW w:w="810" w:type="dxa"/>
            <w:shd w:val="clear" w:color="auto" w:fill="auto"/>
            <w:noWrap/>
            <w:vAlign w:val="center"/>
            <w:hideMark/>
          </w:tcPr>
          <w:p w14:paraId="49EC42B3" w14:textId="4BF4F2F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0.8590</w:t>
            </w:r>
          </w:p>
        </w:tc>
        <w:tc>
          <w:tcPr>
            <w:tcW w:w="810" w:type="dxa"/>
            <w:shd w:val="clear" w:color="auto" w:fill="auto"/>
            <w:noWrap/>
            <w:vAlign w:val="center"/>
            <w:hideMark/>
          </w:tcPr>
          <w:p w14:paraId="07C7A7EB" w14:textId="6D48E3D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0.8832</w:t>
            </w:r>
          </w:p>
        </w:tc>
        <w:tc>
          <w:tcPr>
            <w:tcW w:w="720" w:type="dxa"/>
            <w:shd w:val="clear" w:color="auto" w:fill="auto"/>
            <w:noWrap/>
            <w:vAlign w:val="center"/>
            <w:hideMark/>
          </w:tcPr>
          <w:p w14:paraId="1181A283" w14:textId="2E8CDA1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0.7840</w:t>
            </w:r>
          </w:p>
        </w:tc>
        <w:tc>
          <w:tcPr>
            <w:tcW w:w="720" w:type="dxa"/>
            <w:shd w:val="clear" w:color="auto" w:fill="auto"/>
            <w:noWrap/>
            <w:vAlign w:val="center"/>
            <w:hideMark/>
          </w:tcPr>
          <w:p w14:paraId="354441A6" w14:textId="7C2F9E5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0.7902</w:t>
            </w:r>
          </w:p>
        </w:tc>
        <w:tc>
          <w:tcPr>
            <w:tcW w:w="990" w:type="dxa"/>
            <w:shd w:val="clear" w:color="auto" w:fill="auto"/>
            <w:noWrap/>
            <w:vAlign w:val="center"/>
            <w:hideMark/>
          </w:tcPr>
          <w:p w14:paraId="169750C7" w14:textId="61866A51"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0.7805</w:t>
            </w:r>
          </w:p>
        </w:tc>
        <w:tc>
          <w:tcPr>
            <w:tcW w:w="720" w:type="dxa"/>
            <w:shd w:val="clear" w:color="auto" w:fill="auto"/>
            <w:noWrap/>
            <w:vAlign w:val="center"/>
            <w:hideMark/>
          </w:tcPr>
          <w:p w14:paraId="4602A31B" w14:textId="0F58B04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0.9190</w:t>
            </w:r>
          </w:p>
        </w:tc>
        <w:tc>
          <w:tcPr>
            <w:tcW w:w="720" w:type="dxa"/>
            <w:shd w:val="clear" w:color="auto" w:fill="auto"/>
            <w:noWrap/>
            <w:vAlign w:val="center"/>
            <w:hideMark/>
          </w:tcPr>
          <w:p w14:paraId="6E382137" w14:textId="5F8FC8D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1.1738</w:t>
            </w:r>
          </w:p>
        </w:tc>
        <w:tc>
          <w:tcPr>
            <w:tcW w:w="720" w:type="dxa"/>
            <w:shd w:val="clear" w:color="auto" w:fill="auto"/>
            <w:noWrap/>
            <w:vAlign w:val="center"/>
            <w:hideMark/>
          </w:tcPr>
          <w:p w14:paraId="7A5F3616" w14:textId="205DA0E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1.2469</w:t>
            </w:r>
          </w:p>
        </w:tc>
        <w:tc>
          <w:tcPr>
            <w:tcW w:w="720" w:type="dxa"/>
            <w:shd w:val="clear" w:color="auto" w:fill="auto"/>
            <w:noWrap/>
            <w:vAlign w:val="center"/>
            <w:hideMark/>
          </w:tcPr>
          <w:p w14:paraId="31AAD49E" w14:textId="7B7EF75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1.0987</w:t>
            </w:r>
          </w:p>
        </w:tc>
      </w:tr>
      <w:tr w:rsidR="00255A16" w:rsidRPr="00884DD7" w14:paraId="362DCF5B" w14:textId="77777777" w:rsidTr="007308A3">
        <w:trPr>
          <w:trHeight w:val="290"/>
        </w:trPr>
        <w:tc>
          <w:tcPr>
            <w:tcW w:w="810" w:type="dxa"/>
            <w:shd w:val="clear" w:color="auto" w:fill="F2F2F2" w:themeFill="background1" w:themeFillShade="F2"/>
            <w:noWrap/>
            <w:hideMark/>
          </w:tcPr>
          <w:p w14:paraId="2A07177E" w14:textId="79E64A03"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 </w:t>
            </w:r>
          </w:p>
        </w:tc>
        <w:tc>
          <w:tcPr>
            <w:tcW w:w="2880" w:type="dxa"/>
            <w:shd w:val="clear" w:color="auto" w:fill="F2F2F2" w:themeFill="background1" w:themeFillShade="F2"/>
            <w:hideMark/>
          </w:tcPr>
          <w:p w14:paraId="6D1D0E12"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Community Tenure - LTSS (non-BSP) Risk adjusted O/E ratio</w:t>
            </w:r>
          </w:p>
        </w:tc>
        <w:tc>
          <w:tcPr>
            <w:tcW w:w="810" w:type="dxa"/>
            <w:shd w:val="clear" w:color="auto" w:fill="F2F2F2" w:themeFill="background1" w:themeFillShade="F2"/>
            <w:noWrap/>
            <w:vAlign w:val="center"/>
            <w:hideMark/>
          </w:tcPr>
          <w:p w14:paraId="0EB1BC75" w14:textId="5F60B75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0.9324</w:t>
            </w:r>
          </w:p>
        </w:tc>
        <w:tc>
          <w:tcPr>
            <w:tcW w:w="720" w:type="dxa"/>
            <w:shd w:val="clear" w:color="auto" w:fill="F2F2F2" w:themeFill="background1" w:themeFillShade="F2"/>
            <w:noWrap/>
            <w:vAlign w:val="center"/>
            <w:hideMark/>
          </w:tcPr>
          <w:p w14:paraId="539787FB" w14:textId="48F5C14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0.4525</w:t>
            </w:r>
          </w:p>
        </w:tc>
        <w:tc>
          <w:tcPr>
            <w:tcW w:w="720" w:type="dxa"/>
            <w:shd w:val="clear" w:color="auto" w:fill="F2F2F2" w:themeFill="background1" w:themeFillShade="F2"/>
            <w:noWrap/>
            <w:vAlign w:val="center"/>
            <w:hideMark/>
          </w:tcPr>
          <w:p w14:paraId="774879DA" w14:textId="0C9796F3"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0.3564</w:t>
            </w:r>
          </w:p>
        </w:tc>
        <w:tc>
          <w:tcPr>
            <w:tcW w:w="720" w:type="dxa"/>
            <w:shd w:val="clear" w:color="auto" w:fill="F2F2F2" w:themeFill="background1" w:themeFillShade="F2"/>
            <w:noWrap/>
            <w:vAlign w:val="center"/>
            <w:hideMark/>
          </w:tcPr>
          <w:p w14:paraId="32779FF3" w14:textId="001D09B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0.5097</w:t>
            </w:r>
          </w:p>
        </w:tc>
        <w:tc>
          <w:tcPr>
            <w:tcW w:w="720" w:type="dxa"/>
            <w:shd w:val="clear" w:color="auto" w:fill="F2F2F2" w:themeFill="background1" w:themeFillShade="F2"/>
            <w:noWrap/>
            <w:vAlign w:val="center"/>
            <w:hideMark/>
          </w:tcPr>
          <w:p w14:paraId="323FFB94" w14:textId="5258F55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0.7388</w:t>
            </w:r>
          </w:p>
        </w:tc>
        <w:tc>
          <w:tcPr>
            <w:tcW w:w="720" w:type="dxa"/>
            <w:shd w:val="clear" w:color="auto" w:fill="F2F2F2" w:themeFill="background1" w:themeFillShade="F2"/>
            <w:noWrap/>
            <w:vAlign w:val="center"/>
            <w:hideMark/>
          </w:tcPr>
          <w:p w14:paraId="5BA32F7C" w14:textId="4EF57D5E"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1.0903</w:t>
            </w:r>
          </w:p>
        </w:tc>
        <w:tc>
          <w:tcPr>
            <w:tcW w:w="810" w:type="dxa"/>
            <w:shd w:val="clear" w:color="auto" w:fill="F2F2F2" w:themeFill="background1" w:themeFillShade="F2"/>
            <w:noWrap/>
            <w:vAlign w:val="center"/>
            <w:hideMark/>
          </w:tcPr>
          <w:p w14:paraId="1E619645" w14:textId="70AC088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0.9534</w:t>
            </w:r>
          </w:p>
        </w:tc>
        <w:tc>
          <w:tcPr>
            <w:tcW w:w="720" w:type="dxa"/>
            <w:shd w:val="clear" w:color="auto" w:fill="F2F2F2" w:themeFill="background1" w:themeFillShade="F2"/>
            <w:noWrap/>
            <w:vAlign w:val="center"/>
            <w:hideMark/>
          </w:tcPr>
          <w:p w14:paraId="20CE8FF6" w14:textId="5823DFC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0.9605</w:t>
            </w:r>
          </w:p>
        </w:tc>
        <w:tc>
          <w:tcPr>
            <w:tcW w:w="720" w:type="dxa"/>
            <w:shd w:val="clear" w:color="auto" w:fill="F2F2F2" w:themeFill="background1" w:themeFillShade="F2"/>
            <w:noWrap/>
            <w:vAlign w:val="center"/>
            <w:hideMark/>
          </w:tcPr>
          <w:p w14:paraId="2F75A15E" w14:textId="5299364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1.0618</w:t>
            </w:r>
          </w:p>
        </w:tc>
        <w:tc>
          <w:tcPr>
            <w:tcW w:w="1080" w:type="dxa"/>
            <w:shd w:val="clear" w:color="auto" w:fill="F2F2F2" w:themeFill="background1" w:themeFillShade="F2"/>
            <w:noWrap/>
            <w:vAlign w:val="center"/>
            <w:hideMark/>
          </w:tcPr>
          <w:p w14:paraId="4EBC5430" w14:textId="2C48D6D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0.8605</w:t>
            </w:r>
          </w:p>
        </w:tc>
        <w:tc>
          <w:tcPr>
            <w:tcW w:w="720" w:type="dxa"/>
            <w:shd w:val="clear" w:color="auto" w:fill="F2F2F2" w:themeFill="background1" w:themeFillShade="F2"/>
            <w:noWrap/>
            <w:vAlign w:val="center"/>
            <w:hideMark/>
          </w:tcPr>
          <w:p w14:paraId="29F68264" w14:textId="7903AB8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1.0404</w:t>
            </w:r>
          </w:p>
        </w:tc>
        <w:tc>
          <w:tcPr>
            <w:tcW w:w="810" w:type="dxa"/>
            <w:shd w:val="clear" w:color="auto" w:fill="F2F2F2" w:themeFill="background1" w:themeFillShade="F2"/>
            <w:noWrap/>
            <w:vAlign w:val="center"/>
            <w:hideMark/>
          </w:tcPr>
          <w:p w14:paraId="70F4FEB5" w14:textId="511CE5D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0.8822</w:t>
            </w:r>
          </w:p>
        </w:tc>
        <w:tc>
          <w:tcPr>
            <w:tcW w:w="810" w:type="dxa"/>
            <w:shd w:val="clear" w:color="auto" w:fill="F2F2F2" w:themeFill="background1" w:themeFillShade="F2"/>
            <w:noWrap/>
            <w:vAlign w:val="center"/>
            <w:hideMark/>
          </w:tcPr>
          <w:p w14:paraId="01DC516E" w14:textId="07C652E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0.9971</w:t>
            </w:r>
          </w:p>
        </w:tc>
        <w:tc>
          <w:tcPr>
            <w:tcW w:w="810" w:type="dxa"/>
            <w:shd w:val="clear" w:color="auto" w:fill="F2F2F2" w:themeFill="background1" w:themeFillShade="F2"/>
            <w:noWrap/>
            <w:vAlign w:val="center"/>
            <w:hideMark/>
          </w:tcPr>
          <w:p w14:paraId="7C2C9D2F" w14:textId="2AE212F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1.0032</w:t>
            </w:r>
          </w:p>
        </w:tc>
        <w:tc>
          <w:tcPr>
            <w:tcW w:w="720" w:type="dxa"/>
            <w:shd w:val="clear" w:color="auto" w:fill="F2F2F2" w:themeFill="background1" w:themeFillShade="F2"/>
            <w:noWrap/>
            <w:vAlign w:val="center"/>
            <w:hideMark/>
          </w:tcPr>
          <w:p w14:paraId="56970511" w14:textId="6D944D9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0.9707</w:t>
            </w:r>
          </w:p>
        </w:tc>
        <w:tc>
          <w:tcPr>
            <w:tcW w:w="720" w:type="dxa"/>
            <w:shd w:val="clear" w:color="auto" w:fill="F2F2F2" w:themeFill="background1" w:themeFillShade="F2"/>
            <w:noWrap/>
            <w:vAlign w:val="center"/>
            <w:hideMark/>
          </w:tcPr>
          <w:p w14:paraId="7AAA4ACB" w14:textId="2DD8F14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0.9869</w:t>
            </w:r>
          </w:p>
        </w:tc>
        <w:tc>
          <w:tcPr>
            <w:tcW w:w="990" w:type="dxa"/>
            <w:shd w:val="clear" w:color="auto" w:fill="F2F2F2" w:themeFill="background1" w:themeFillShade="F2"/>
            <w:noWrap/>
            <w:vAlign w:val="center"/>
            <w:hideMark/>
          </w:tcPr>
          <w:p w14:paraId="720443FB" w14:textId="3F8486E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1.0764</w:t>
            </w:r>
          </w:p>
        </w:tc>
        <w:tc>
          <w:tcPr>
            <w:tcW w:w="720" w:type="dxa"/>
            <w:shd w:val="clear" w:color="auto" w:fill="F2F2F2" w:themeFill="background1" w:themeFillShade="F2"/>
            <w:noWrap/>
            <w:vAlign w:val="center"/>
            <w:hideMark/>
          </w:tcPr>
          <w:p w14:paraId="28B0E64D" w14:textId="562D6EA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0.8382</w:t>
            </w:r>
          </w:p>
        </w:tc>
        <w:tc>
          <w:tcPr>
            <w:tcW w:w="720" w:type="dxa"/>
            <w:shd w:val="clear" w:color="auto" w:fill="F2F2F2" w:themeFill="background1" w:themeFillShade="F2"/>
            <w:noWrap/>
            <w:vAlign w:val="center"/>
            <w:hideMark/>
          </w:tcPr>
          <w:p w14:paraId="257FE407" w14:textId="63FFFA7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1.2318</w:t>
            </w:r>
          </w:p>
        </w:tc>
        <w:tc>
          <w:tcPr>
            <w:tcW w:w="720" w:type="dxa"/>
            <w:shd w:val="clear" w:color="auto" w:fill="F2F2F2" w:themeFill="background1" w:themeFillShade="F2"/>
            <w:noWrap/>
            <w:vAlign w:val="center"/>
            <w:hideMark/>
          </w:tcPr>
          <w:p w14:paraId="365BA208" w14:textId="7E39DA4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1.2624</w:t>
            </w:r>
          </w:p>
        </w:tc>
        <w:tc>
          <w:tcPr>
            <w:tcW w:w="720" w:type="dxa"/>
            <w:shd w:val="clear" w:color="auto" w:fill="F2F2F2" w:themeFill="background1" w:themeFillShade="F2"/>
            <w:noWrap/>
            <w:vAlign w:val="center"/>
            <w:hideMark/>
          </w:tcPr>
          <w:p w14:paraId="7463DD4D" w14:textId="4CF452F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1.2035</w:t>
            </w:r>
          </w:p>
        </w:tc>
      </w:tr>
      <w:tr w:rsidR="00255A16" w:rsidRPr="00884DD7" w14:paraId="2D0AD569" w14:textId="77777777" w:rsidTr="007308A3">
        <w:trPr>
          <w:trHeight w:val="285"/>
        </w:trPr>
        <w:tc>
          <w:tcPr>
            <w:tcW w:w="810" w:type="dxa"/>
            <w:shd w:val="clear" w:color="auto" w:fill="auto"/>
            <w:noWrap/>
            <w:hideMark/>
          </w:tcPr>
          <w:p w14:paraId="16789D9E" w14:textId="77777777" w:rsidR="00C537E5" w:rsidRPr="008D1B70" w:rsidRDefault="00C537E5" w:rsidP="00C537E5">
            <w:pPr>
              <w:spacing w:after="0"/>
              <w:jc w:val="center"/>
              <w:rPr>
                <w:rFonts w:eastAsia="Times New Roman" w:cs="Calibri"/>
                <w:sz w:val="16"/>
                <w:szCs w:val="16"/>
              </w:rPr>
            </w:pPr>
            <w:r w:rsidRPr="008D1B70">
              <w:rPr>
                <w:rFonts w:eastAsia="Times New Roman" w:cs="Calibri"/>
                <w:sz w:val="16"/>
                <w:szCs w:val="16"/>
              </w:rPr>
              <w:t>EOHHS</w:t>
            </w:r>
          </w:p>
        </w:tc>
        <w:tc>
          <w:tcPr>
            <w:tcW w:w="2880" w:type="dxa"/>
            <w:shd w:val="clear" w:color="auto" w:fill="auto"/>
            <w:hideMark/>
          </w:tcPr>
          <w:p w14:paraId="2C437BC9" w14:textId="77777777" w:rsidR="00C537E5" w:rsidRPr="00884DD7" w:rsidRDefault="00C537E5" w:rsidP="00C537E5">
            <w:pPr>
              <w:spacing w:after="0"/>
              <w:rPr>
                <w:rFonts w:eastAsia="Times New Roman" w:cs="Calibri"/>
                <w:sz w:val="16"/>
                <w:szCs w:val="16"/>
              </w:rPr>
            </w:pPr>
            <w:r w:rsidRPr="00884DD7">
              <w:rPr>
                <w:rFonts w:eastAsia="Times New Roman" w:cs="Calibri"/>
                <w:sz w:val="16"/>
                <w:szCs w:val="16"/>
              </w:rPr>
              <w:t>Behavioral Health Community Partner Engagement </w:t>
            </w:r>
          </w:p>
        </w:tc>
        <w:tc>
          <w:tcPr>
            <w:tcW w:w="810" w:type="dxa"/>
            <w:shd w:val="clear" w:color="auto" w:fill="auto"/>
            <w:noWrap/>
            <w:vAlign w:val="center"/>
            <w:hideMark/>
          </w:tcPr>
          <w:p w14:paraId="33F08924" w14:textId="71AB1489"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4.9%</w:t>
            </w:r>
          </w:p>
        </w:tc>
        <w:tc>
          <w:tcPr>
            <w:tcW w:w="720" w:type="dxa"/>
            <w:shd w:val="clear" w:color="auto" w:fill="auto"/>
            <w:noWrap/>
            <w:vAlign w:val="center"/>
            <w:hideMark/>
          </w:tcPr>
          <w:p w14:paraId="2DC9E99E" w14:textId="65846F0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3.5%</w:t>
            </w:r>
          </w:p>
        </w:tc>
        <w:tc>
          <w:tcPr>
            <w:tcW w:w="720" w:type="dxa"/>
            <w:shd w:val="clear" w:color="auto" w:fill="auto"/>
            <w:noWrap/>
            <w:vAlign w:val="center"/>
            <w:hideMark/>
          </w:tcPr>
          <w:p w14:paraId="36142D70" w14:textId="5D2E877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1.3%</w:t>
            </w:r>
          </w:p>
        </w:tc>
        <w:tc>
          <w:tcPr>
            <w:tcW w:w="720" w:type="dxa"/>
            <w:shd w:val="clear" w:color="auto" w:fill="auto"/>
            <w:noWrap/>
            <w:vAlign w:val="center"/>
            <w:hideMark/>
          </w:tcPr>
          <w:p w14:paraId="3F1FEFC3" w14:textId="57A5DEB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4.5%</w:t>
            </w:r>
          </w:p>
        </w:tc>
        <w:tc>
          <w:tcPr>
            <w:tcW w:w="720" w:type="dxa"/>
            <w:shd w:val="clear" w:color="auto" w:fill="auto"/>
            <w:noWrap/>
            <w:vAlign w:val="center"/>
            <w:hideMark/>
          </w:tcPr>
          <w:p w14:paraId="473DF005" w14:textId="7CE0F42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2.1%</w:t>
            </w:r>
          </w:p>
        </w:tc>
        <w:tc>
          <w:tcPr>
            <w:tcW w:w="720" w:type="dxa"/>
            <w:shd w:val="clear" w:color="auto" w:fill="auto"/>
            <w:noWrap/>
            <w:vAlign w:val="center"/>
            <w:hideMark/>
          </w:tcPr>
          <w:p w14:paraId="2E2DC40A" w14:textId="4307387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0.0%</w:t>
            </w:r>
          </w:p>
        </w:tc>
        <w:tc>
          <w:tcPr>
            <w:tcW w:w="810" w:type="dxa"/>
            <w:shd w:val="clear" w:color="auto" w:fill="auto"/>
            <w:noWrap/>
            <w:vAlign w:val="center"/>
            <w:hideMark/>
          </w:tcPr>
          <w:p w14:paraId="2CC66D67" w14:textId="60F8B5B5"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3.9%</w:t>
            </w:r>
          </w:p>
        </w:tc>
        <w:tc>
          <w:tcPr>
            <w:tcW w:w="720" w:type="dxa"/>
            <w:shd w:val="clear" w:color="auto" w:fill="auto"/>
            <w:noWrap/>
            <w:vAlign w:val="center"/>
            <w:hideMark/>
          </w:tcPr>
          <w:p w14:paraId="535FE3FB" w14:textId="35F5EED4"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3.0%</w:t>
            </w:r>
          </w:p>
        </w:tc>
        <w:tc>
          <w:tcPr>
            <w:tcW w:w="720" w:type="dxa"/>
            <w:shd w:val="clear" w:color="auto" w:fill="auto"/>
            <w:noWrap/>
            <w:vAlign w:val="center"/>
            <w:hideMark/>
          </w:tcPr>
          <w:p w14:paraId="20B9ECAD" w14:textId="18CA9C92"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1.5%</w:t>
            </w:r>
          </w:p>
        </w:tc>
        <w:tc>
          <w:tcPr>
            <w:tcW w:w="1080" w:type="dxa"/>
            <w:shd w:val="clear" w:color="auto" w:fill="auto"/>
            <w:noWrap/>
            <w:vAlign w:val="center"/>
            <w:hideMark/>
          </w:tcPr>
          <w:p w14:paraId="17B9702F" w14:textId="0D020A6D"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NA</w:t>
            </w:r>
          </w:p>
        </w:tc>
        <w:tc>
          <w:tcPr>
            <w:tcW w:w="720" w:type="dxa"/>
            <w:shd w:val="clear" w:color="auto" w:fill="auto"/>
            <w:noWrap/>
            <w:vAlign w:val="center"/>
            <w:hideMark/>
          </w:tcPr>
          <w:p w14:paraId="40116B8E" w14:textId="70A8F82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11.2%</w:t>
            </w:r>
          </w:p>
        </w:tc>
        <w:tc>
          <w:tcPr>
            <w:tcW w:w="810" w:type="dxa"/>
            <w:shd w:val="clear" w:color="auto" w:fill="auto"/>
            <w:noWrap/>
            <w:vAlign w:val="center"/>
            <w:hideMark/>
          </w:tcPr>
          <w:p w14:paraId="7757EE11" w14:textId="277F040F"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1.1%</w:t>
            </w:r>
          </w:p>
        </w:tc>
        <w:tc>
          <w:tcPr>
            <w:tcW w:w="810" w:type="dxa"/>
            <w:shd w:val="clear" w:color="auto" w:fill="auto"/>
            <w:noWrap/>
            <w:vAlign w:val="center"/>
            <w:hideMark/>
          </w:tcPr>
          <w:p w14:paraId="0354E6F5" w14:textId="7200C12A"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5.2%</w:t>
            </w:r>
          </w:p>
        </w:tc>
        <w:tc>
          <w:tcPr>
            <w:tcW w:w="810" w:type="dxa"/>
            <w:shd w:val="clear" w:color="auto" w:fill="auto"/>
            <w:noWrap/>
            <w:vAlign w:val="center"/>
            <w:hideMark/>
          </w:tcPr>
          <w:p w14:paraId="6B2D0451" w14:textId="5C6BBEA7"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5.1%</w:t>
            </w:r>
          </w:p>
        </w:tc>
        <w:tc>
          <w:tcPr>
            <w:tcW w:w="720" w:type="dxa"/>
            <w:shd w:val="clear" w:color="auto" w:fill="auto"/>
            <w:noWrap/>
            <w:vAlign w:val="center"/>
            <w:hideMark/>
          </w:tcPr>
          <w:p w14:paraId="390B83ED" w14:textId="770EE33B"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2.6%</w:t>
            </w:r>
          </w:p>
        </w:tc>
        <w:tc>
          <w:tcPr>
            <w:tcW w:w="720" w:type="dxa"/>
            <w:shd w:val="clear" w:color="auto" w:fill="auto"/>
            <w:noWrap/>
            <w:vAlign w:val="center"/>
            <w:hideMark/>
          </w:tcPr>
          <w:p w14:paraId="09D0E641" w14:textId="016BA14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3.5%</w:t>
            </w:r>
          </w:p>
        </w:tc>
        <w:tc>
          <w:tcPr>
            <w:tcW w:w="990" w:type="dxa"/>
            <w:shd w:val="clear" w:color="auto" w:fill="auto"/>
            <w:noWrap/>
            <w:vAlign w:val="center"/>
            <w:hideMark/>
          </w:tcPr>
          <w:p w14:paraId="2E1E0635" w14:textId="72A7A73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5.1%</w:t>
            </w:r>
          </w:p>
        </w:tc>
        <w:tc>
          <w:tcPr>
            <w:tcW w:w="720" w:type="dxa"/>
            <w:shd w:val="clear" w:color="auto" w:fill="auto"/>
            <w:noWrap/>
            <w:vAlign w:val="center"/>
            <w:hideMark/>
          </w:tcPr>
          <w:p w14:paraId="50E0FABE" w14:textId="17540D30"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2.7%</w:t>
            </w:r>
          </w:p>
        </w:tc>
        <w:tc>
          <w:tcPr>
            <w:tcW w:w="720" w:type="dxa"/>
            <w:tcBorders>
              <w:bottom w:val="single" w:sz="4" w:space="0" w:color="auto"/>
            </w:tcBorders>
            <w:shd w:val="clear" w:color="auto" w:fill="auto"/>
            <w:noWrap/>
            <w:vAlign w:val="center"/>
            <w:hideMark/>
          </w:tcPr>
          <w:p w14:paraId="62001C8B" w14:textId="770F8938"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1.2%</w:t>
            </w:r>
          </w:p>
        </w:tc>
        <w:tc>
          <w:tcPr>
            <w:tcW w:w="720" w:type="dxa"/>
            <w:tcBorders>
              <w:bottom w:val="single" w:sz="4" w:space="0" w:color="auto"/>
            </w:tcBorders>
            <w:shd w:val="clear" w:color="auto" w:fill="auto"/>
            <w:noWrap/>
            <w:vAlign w:val="center"/>
            <w:hideMark/>
          </w:tcPr>
          <w:p w14:paraId="3953F250" w14:textId="48C91506"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0.9%</w:t>
            </w:r>
          </w:p>
        </w:tc>
        <w:tc>
          <w:tcPr>
            <w:tcW w:w="720" w:type="dxa"/>
            <w:tcBorders>
              <w:bottom w:val="single" w:sz="4" w:space="0" w:color="auto"/>
            </w:tcBorders>
            <w:shd w:val="clear" w:color="auto" w:fill="auto"/>
            <w:noWrap/>
            <w:vAlign w:val="center"/>
            <w:hideMark/>
          </w:tcPr>
          <w:p w14:paraId="6483BD87" w14:textId="3E4AF5DC" w:rsidR="00C537E5" w:rsidRPr="00394EC7" w:rsidRDefault="00C537E5" w:rsidP="00C537E5">
            <w:pPr>
              <w:spacing w:after="0"/>
              <w:jc w:val="center"/>
              <w:rPr>
                <w:rFonts w:eastAsia="Times New Roman" w:cs="Calibri"/>
                <w:color w:val="000000"/>
                <w:sz w:val="16"/>
                <w:szCs w:val="16"/>
              </w:rPr>
            </w:pPr>
            <w:r w:rsidRPr="00394EC7">
              <w:rPr>
                <w:rFonts w:cs="Calibri"/>
                <w:color w:val="000000"/>
                <w:sz w:val="16"/>
                <w:szCs w:val="16"/>
              </w:rPr>
              <w:t>1.5%</w:t>
            </w:r>
          </w:p>
        </w:tc>
      </w:tr>
      <w:tr w:rsidR="00255A16" w:rsidRPr="00884DD7" w14:paraId="1DF1877D" w14:textId="77777777" w:rsidTr="007308A3">
        <w:trPr>
          <w:trHeight w:val="285"/>
        </w:trPr>
        <w:tc>
          <w:tcPr>
            <w:tcW w:w="810" w:type="dxa"/>
            <w:shd w:val="clear" w:color="auto" w:fill="F2F2F2" w:themeFill="background1" w:themeFillShade="F2"/>
            <w:noWrap/>
          </w:tcPr>
          <w:p w14:paraId="08FF867B" w14:textId="3BE62610"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F2F2F2" w:themeFill="background1" w:themeFillShade="F2"/>
          </w:tcPr>
          <w:p w14:paraId="4DD6D16F" w14:textId="27358CC8" w:rsidR="0049760A" w:rsidRPr="00597EE2" w:rsidRDefault="0049760A" w:rsidP="0049760A">
            <w:pPr>
              <w:spacing w:after="0"/>
              <w:rPr>
                <w:rFonts w:eastAsia="Times New Roman" w:cs="Calibri"/>
                <w:sz w:val="16"/>
                <w:szCs w:val="16"/>
              </w:rPr>
            </w:pPr>
            <w:r w:rsidRPr="00597EE2">
              <w:rPr>
                <w:rFonts w:cs="Calibri"/>
                <w:color w:val="000000"/>
                <w:sz w:val="16"/>
                <w:szCs w:val="16"/>
              </w:rPr>
              <w:t>Adult: Overall Rating and Care Delivery: Willingness to recommend</w:t>
            </w:r>
          </w:p>
        </w:tc>
        <w:tc>
          <w:tcPr>
            <w:tcW w:w="810" w:type="dxa"/>
            <w:shd w:val="clear" w:color="auto" w:fill="F2F2F2" w:themeFill="background1" w:themeFillShade="F2"/>
            <w:noWrap/>
            <w:vAlign w:val="center"/>
          </w:tcPr>
          <w:p w14:paraId="452D645E" w14:textId="70C7C99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90.4%</w:t>
            </w:r>
          </w:p>
        </w:tc>
        <w:tc>
          <w:tcPr>
            <w:tcW w:w="720" w:type="dxa"/>
            <w:shd w:val="clear" w:color="auto" w:fill="F2F2F2" w:themeFill="background1" w:themeFillShade="F2"/>
            <w:noWrap/>
            <w:vAlign w:val="center"/>
          </w:tcPr>
          <w:p w14:paraId="79704A34" w14:textId="3B8E28E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83.1%</w:t>
            </w:r>
          </w:p>
        </w:tc>
        <w:tc>
          <w:tcPr>
            <w:tcW w:w="720" w:type="dxa"/>
            <w:shd w:val="clear" w:color="auto" w:fill="F2F2F2" w:themeFill="background1" w:themeFillShade="F2"/>
            <w:noWrap/>
            <w:vAlign w:val="center"/>
          </w:tcPr>
          <w:p w14:paraId="63DBA7D9" w14:textId="57C33D6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89.8%</w:t>
            </w:r>
          </w:p>
        </w:tc>
        <w:tc>
          <w:tcPr>
            <w:tcW w:w="720" w:type="dxa"/>
            <w:shd w:val="clear" w:color="auto" w:fill="F2F2F2" w:themeFill="background1" w:themeFillShade="F2"/>
            <w:noWrap/>
            <w:vAlign w:val="center"/>
          </w:tcPr>
          <w:p w14:paraId="7CC30C84" w14:textId="7817169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93.0%</w:t>
            </w:r>
          </w:p>
        </w:tc>
        <w:tc>
          <w:tcPr>
            <w:tcW w:w="720" w:type="dxa"/>
            <w:shd w:val="clear" w:color="auto" w:fill="F2F2F2" w:themeFill="background1" w:themeFillShade="F2"/>
            <w:noWrap/>
            <w:vAlign w:val="center"/>
          </w:tcPr>
          <w:p w14:paraId="61C4183D" w14:textId="28CB9DD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87.9%</w:t>
            </w:r>
          </w:p>
        </w:tc>
        <w:tc>
          <w:tcPr>
            <w:tcW w:w="720" w:type="dxa"/>
            <w:shd w:val="clear" w:color="auto" w:fill="F2F2F2" w:themeFill="background1" w:themeFillShade="F2"/>
            <w:noWrap/>
            <w:vAlign w:val="center"/>
          </w:tcPr>
          <w:p w14:paraId="3AE2D8C4" w14:textId="26721C7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88.5%</w:t>
            </w:r>
          </w:p>
        </w:tc>
        <w:tc>
          <w:tcPr>
            <w:tcW w:w="810" w:type="dxa"/>
            <w:shd w:val="clear" w:color="auto" w:fill="F2F2F2" w:themeFill="background1" w:themeFillShade="F2"/>
            <w:noWrap/>
            <w:vAlign w:val="center"/>
          </w:tcPr>
          <w:p w14:paraId="2BA2B3AB" w14:textId="02BBBEC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84.2%</w:t>
            </w:r>
          </w:p>
        </w:tc>
        <w:tc>
          <w:tcPr>
            <w:tcW w:w="720" w:type="dxa"/>
            <w:shd w:val="clear" w:color="auto" w:fill="F2F2F2" w:themeFill="background1" w:themeFillShade="F2"/>
            <w:noWrap/>
            <w:vAlign w:val="center"/>
          </w:tcPr>
          <w:p w14:paraId="1BD36025" w14:textId="7792AA3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91.2%</w:t>
            </w:r>
          </w:p>
        </w:tc>
        <w:tc>
          <w:tcPr>
            <w:tcW w:w="720" w:type="dxa"/>
            <w:shd w:val="clear" w:color="auto" w:fill="F2F2F2" w:themeFill="background1" w:themeFillShade="F2"/>
            <w:noWrap/>
            <w:vAlign w:val="center"/>
          </w:tcPr>
          <w:p w14:paraId="171C27B0" w14:textId="5097E1B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85.0%</w:t>
            </w:r>
          </w:p>
        </w:tc>
        <w:tc>
          <w:tcPr>
            <w:tcW w:w="1080" w:type="dxa"/>
            <w:shd w:val="clear" w:color="auto" w:fill="F2F2F2" w:themeFill="background1" w:themeFillShade="F2"/>
            <w:noWrap/>
            <w:vAlign w:val="center"/>
          </w:tcPr>
          <w:p w14:paraId="2E2B3FEA" w14:textId="6DBBC23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89.2%</w:t>
            </w:r>
          </w:p>
        </w:tc>
        <w:tc>
          <w:tcPr>
            <w:tcW w:w="720" w:type="dxa"/>
            <w:shd w:val="clear" w:color="auto" w:fill="F2F2F2" w:themeFill="background1" w:themeFillShade="F2"/>
            <w:noWrap/>
            <w:vAlign w:val="center"/>
          </w:tcPr>
          <w:p w14:paraId="4C3FB798" w14:textId="571768F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86.7%</w:t>
            </w:r>
          </w:p>
        </w:tc>
        <w:tc>
          <w:tcPr>
            <w:tcW w:w="810" w:type="dxa"/>
            <w:shd w:val="clear" w:color="auto" w:fill="F2F2F2" w:themeFill="background1" w:themeFillShade="F2"/>
            <w:noWrap/>
            <w:vAlign w:val="center"/>
          </w:tcPr>
          <w:p w14:paraId="437315EA" w14:textId="3821A3D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89.9%</w:t>
            </w:r>
          </w:p>
        </w:tc>
        <w:tc>
          <w:tcPr>
            <w:tcW w:w="810" w:type="dxa"/>
            <w:shd w:val="clear" w:color="auto" w:fill="F2F2F2" w:themeFill="background1" w:themeFillShade="F2"/>
            <w:noWrap/>
            <w:vAlign w:val="center"/>
          </w:tcPr>
          <w:p w14:paraId="311C87BA" w14:textId="164DDE0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90.4%</w:t>
            </w:r>
          </w:p>
        </w:tc>
        <w:tc>
          <w:tcPr>
            <w:tcW w:w="810" w:type="dxa"/>
            <w:shd w:val="clear" w:color="auto" w:fill="F2F2F2" w:themeFill="background1" w:themeFillShade="F2"/>
            <w:noWrap/>
            <w:vAlign w:val="center"/>
          </w:tcPr>
          <w:p w14:paraId="2E8FBC9E" w14:textId="444AAEE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83.1%</w:t>
            </w:r>
          </w:p>
        </w:tc>
        <w:tc>
          <w:tcPr>
            <w:tcW w:w="720" w:type="dxa"/>
            <w:shd w:val="clear" w:color="auto" w:fill="F2F2F2" w:themeFill="background1" w:themeFillShade="F2"/>
            <w:noWrap/>
            <w:vAlign w:val="center"/>
          </w:tcPr>
          <w:p w14:paraId="5B43CF44" w14:textId="00245B9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89.8%</w:t>
            </w:r>
          </w:p>
        </w:tc>
        <w:tc>
          <w:tcPr>
            <w:tcW w:w="720" w:type="dxa"/>
            <w:shd w:val="clear" w:color="auto" w:fill="F2F2F2" w:themeFill="background1" w:themeFillShade="F2"/>
            <w:noWrap/>
            <w:vAlign w:val="center"/>
          </w:tcPr>
          <w:p w14:paraId="537343AF" w14:textId="0DD96B0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93.0%</w:t>
            </w:r>
          </w:p>
        </w:tc>
        <w:tc>
          <w:tcPr>
            <w:tcW w:w="990" w:type="dxa"/>
            <w:shd w:val="clear" w:color="auto" w:fill="F2F2F2" w:themeFill="background1" w:themeFillShade="F2"/>
            <w:noWrap/>
            <w:vAlign w:val="center"/>
          </w:tcPr>
          <w:p w14:paraId="07F88491" w14:textId="68EB722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87.9%</w:t>
            </w:r>
          </w:p>
        </w:tc>
        <w:tc>
          <w:tcPr>
            <w:tcW w:w="720" w:type="dxa"/>
            <w:tcBorders>
              <w:right w:val="single" w:sz="4" w:space="0" w:color="auto"/>
            </w:tcBorders>
            <w:shd w:val="clear" w:color="auto" w:fill="F2F2F2" w:themeFill="background1" w:themeFillShade="F2"/>
            <w:noWrap/>
            <w:vAlign w:val="center"/>
          </w:tcPr>
          <w:p w14:paraId="6402690B" w14:textId="2B86905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88.5%</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84B7F1" w14:textId="491EA9B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D917670" w14:textId="378B925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0797105" w14:textId="68EE20E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1109FA3B" w14:textId="77777777" w:rsidTr="007308A3">
        <w:trPr>
          <w:trHeight w:val="285"/>
        </w:trPr>
        <w:tc>
          <w:tcPr>
            <w:tcW w:w="810" w:type="dxa"/>
            <w:shd w:val="clear" w:color="auto" w:fill="auto"/>
            <w:noWrap/>
          </w:tcPr>
          <w:p w14:paraId="39A40AA6" w14:textId="5EF57F92"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auto"/>
          </w:tcPr>
          <w:p w14:paraId="65394BCF" w14:textId="19891817" w:rsidR="0049760A" w:rsidRPr="00597EE2" w:rsidRDefault="0049760A" w:rsidP="0049760A">
            <w:pPr>
              <w:spacing w:after="0"/>
              <w:rPr>
                <w:rFonts w:eastAsia="Times New Roman" w:cs="Calibri"/>
                <w:sz w:val="16"/>
                <w:szCs w:val="16"/>
              </w:rPr>
            </w:pPr>
            <w:r w:rsidRPr="00597EE2">
              <w:rPr>
                <w:rFonts w:cs="Calibri"/>
                <w:color w:val="000000"/>
                <w:sz w:val="16"/>
                <w:szCs w:val="16"/>
              </w:rPr>
              <w:t>Child: Overall Rating and Care Delivery: Willingness to recommend</w:t>
            </w:r>
          </w:p>
        </w:tc>
        <w:tc>
          <w:tcPr>
            <w:tcW w:w="810" w:type="dxa"/>
            <w:shd w:val="clear" w:color="auto" w:fill="auto"/>
            <w:noWrap/>
            <w:vAlign w:val="center"/>
          </w:tcPr>
          <w:p w14:paraId="621E254E" w14:textId="7D96609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94.5%</w:t>
            </w:r>
          </w:p>
        </w:tc>
        <w:tc>
          <w:tcPr>
            <w:tcW w:w="720" w:type="dxa"/>
            <w:shd w:val="clear" w:color="auto" w:fill="auto"/>
            <w:noWrap/>
            <w:vAlign w:val="center"/>
          </w:tcPr>
          <w:p w14:paraId="398A0AC3" w14:textId="0D046EA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88.7%</w:t>
            </w:r>
          </w:p>
        </w:tc>
        <w:tc>
          <w:tcPr>
            <w:tcW w:w="720" w:type="dxa"/>
            <w:shd w:val="clear" w:color="auto" w:fill="auto"/>
            <w:noWrap/>
            <w:vAlign w:val="center"/>
          </w:tcPr>
          <w:p w14:paraId="7FCBA41E" w14:textId="7E14CE0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90.8%</w:t>
            </w:r>
          </w:p>
        </w:tc>
        <w:tc>
          <w:tcPr>
            <w:tcW w:w="720" w:type="dxa"/>
            <w:shd w:val="clear" w:color="auto" w:fill="auto"/>
            <w:noWrap/>
            <w:vAlign w:val="center"/>
          </w:tcPr>
          <w:p w14:paraId="42640577" w14:textId="7F30136A"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92.8%</w:t>
            </w:r>
          </w:p>
        </w:tc>
        <w:tc>
          <w:tcPr>
            <w:tcW w:w="720" w:type="dxa"/>
            <w:shd w:val="clear" w:color="auto" w:fill="auto"/>
            <w:noWrap/>
            <w:vAlign w:val="center"/>
          </w:tcPr>
          <w:p w14:paraId="123275BC" w14:textId="7265D0E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90.3%</w:t>
            </w:r>
          </w:p>
        </w:tc>
        <w:tc>
          <w:tcPr>
            <w:tcW w:w="720" w:type="dxa"/>
            <w:shd w:val="clear" w:color="auto" w:fill="auto"/>
            <w:noWrap/>
            <w:vAlign w:val="center"/>
          </w:tcPr>
          <w:p w14:paraId="34DB560F" w14:textId="470C107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89.6%</w:t>
            </w:r>
          </w:p>
        </w:tc>
        <w:tc>
          <w:tcPr>
            <w:tcW w:w="810" w:type="dxa"/>
            <w:shd w:val="clear" w:color="auto" w:fill="auto"/>
            <w:noWrap/>
            <w:vAlign w:val="center"/>
          </w:tcPr>
          <w:p w14:paraId="5D815018" w14:textId="34DFE03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89.3%</w:t>
            </w:r>
          </w:p>
        </w:tc>
        <w:tc>
          <w:tcPr>
            <w:tcW w:w="720" w:type="dxa"/>
            <w:shd w:val="clear" w:color="auto" w:fill="auto"/>
            <w:noWrap/>
            <w:vAlign w:val="center"/>
          </w:tcPr>
          <w:p w14:paraId="44EA8FF8" w14:textId="0BA9B96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94.4%</w:t>
            </w:r>
          </w:p>
        </w:tc>
        <w:tc>
          <w:tcPr>
            <w:tcW w:w="720" w:type="dxa"/>
            <w:shd w:val="clear" w:color="auto" w:fill="auto"/>
            <w:noWrap/>
            <w:vAlign w:val="center"/>
          </w:tcPr>
          <w:p w14:paraId="75A20278" w14:textId="0939B3C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88.1%</w:t>
            </w:r>
          </w:p>
        </w:tc>
        <w:tc>
          <w:tcPr>
            <w:tcW w:w="1080" w:type="dxa"/>
            <w:shd w:val="clear" w:color="auto" w:fill="auto"/>
            <w:noWrap/>
            <w:vAlign w:val="center"/>
          </w:tcPr>
          <w:p w14:paraId="6345AC94" w14:textId="05B3991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91.6%</w:t>
            </w:r>
          </w:p>
        </w:tc>
        <w:tc>
          <w:tcPr>
            <w:tcW w:w="720" w:type="dxa"/>
            <w:shd w:val="clear" w:color="auto" w:fill="auto"/>
            <w:noWrap/>
            <w:vAlign w:val="center"/>
          </w:tcPr>
          <w:p w14:paraId="02FA94B1" w14:textId="5604C41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92.7%</w:t>
            </w:r>
          </w:p>
        </w:tc>
        <w:tc>
          <w:tcPr>
            <w:tcW w:w="810" w:type="dxa"/>
            <w:shd w:val="clear" w:color="auto" w:fill="auto"/>
            <w:noWrap/>
            <w:vAlign w:val="center"/>
          </w:tcPr>
          <w:p w14:paraId="6227057E" w14:textId="0FE4BF0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92.7%</w:t>
            </w:r>
          </w:p>
        </w:tc>
        <w:tc>
          <w:tcPr>
            <w:tcW w:w="810" w:type="dxa"/>
            <w:shd w:val="clear" w:color="auto" w:fill="auto"/>
            <w:noWrap/>
            <w:vAlign w:val="center"/>
          </w:tcPr>
          <w:p w14:paraId="0E0A9FA6" w14:textId="645B838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94.5%</w:t>
            </w:r>
          </w:p>
        </w:tc>
        <w:tc>
          <w:tcPr>
            <w:tcW w:w="810" w:type="dxa"/>
            <w:shd w:val="clear" w:color="auto" w:fill="auto"/>
            <w:noWrap/>
            <w:vAlign w:val="center"/>
          </w:tcPr>
          <w:p w14:paraId="489B6ADC" w14:textId="25D11DB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88.7%</w:t>
            </w:r>
          </w:p>
        </w:tc>
        <w:tc>
          <w:tcPr>
            <w:tcW w:w="720" w:type="dxa"/>
            <w:shd w:val="clear" w:color="auto" w:fill="auto"/>
            <w:noWrap/>
            <w:vAlign w:val="center"/>
          </w:tcPr>
          <w:p w14:paraId="0D5F65AC" w14:textId="626EE41A"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90.8%</w:t>
            </w:r>
          </w:p>
        </w:tc>
        <w:tc>
          <w:tcPr>
            <w:tcW w:w="720" w:type="dxa"/>
            <w:shd w:val="clear" w:color="auto" w:fill="auto"/>
            <w:noWrap/>
            <w:vAlign w:val="center"/>
          </w:tcPr>
          <w:p w14:paraId="1FCC329B" w14:textId="5331B0B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92.8%</w:t>
            </w:r>
          </w:p>
        </w:tc>
        <w:tc>
          <w:tcPr>
            <w:tcW w:w="990" w:type="dxa"/>
            <w:shd w:val="clear" w:color="auto" w:fill="auto"/>
            <w:noWrap/>
            <w:vAlign w:val="center"/>
          </w:tcPr>
          <w:p w14:paraId="77BE23D8" w14:textId="3455D65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90.3%</w:t>
            </w:r>
          </w:p>
        </w:tc>
        <w:tc>
          <w:tcPr>
            <w:tcW w:w="720" w:type="dxa"/>
            <w:tcBorders>
              <w:right w:val="single" w:sz="4" w:space="0" w:color="auto"/>
            </w:tcBorders>
            <w:shd w:val="clear" w:color="auto" w:fill="auto"/>
            <w:noWrap/>
            <w:vAlign w:val="center"/>
          </w:tcPr>
          <w:p w14:paraId="547216DE" w14:textId="5C0DA53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89.6%</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7E4372A" w14:textId="38615F1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9250B0B" w14:textId="0079CAA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D257519" w14:textId="1270C39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4613B7E1" w14:textId="77777777" w:rsidTr="007308A3">
        <w:trPr>
          <w:trHeight w:val="285"/>
        </w:trPr>
        <w:tc>
          <w:tcPr>
            <w:tcW w:w="810" w:type="dxa"/>
            <w:shd w:val="clear" w:color="auto" w:fill="F2F2F2" w:themeFill="background1" w:themeFillShade="F2"/>
            <w:noWrap/>
          </w:tcPr>
          <w:p w14:paraId="6B2DCAFA" w14:textId="2948B8C5"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tcPr>
          <w:p w14:paraId="56D0CD7C" w14:textId="001ACF1C" w:rsidR="0049760A" w:rsidRPr="00597EE2" w:rsidRDefault="0049760A" w:rsidP="0049760A">
            <w:pPr>
              <w:spacing w:after="0"/>
              <w:rPr>
                <w:rFonts w:eastAsia="Times New Roman" w:cs="Calibri"/>
                <w:sz w:val="16"/>
                <w:szCs w:val="16"/>
              </w:rPr>
            </w:pPr>
            <w:r w:rsidRPr="00597EE2">
              <w:rPr>
                <w:rFonts w:cs="Calibri"/>
                <w:color w:val="000000"/>
                <w:sz w:val="16"/>
                <w:szCs w:val="16"/>
              </w:rPr>
              <w:t>Adult: Overall Rating and Care Delivery: Communication</w:t>
            </w:r>
          </w:p>
        </w:tc>
        <w:tc>
          <w:tcPr>
            <w:tcW w:w="810" w:type="dxa"/>
            <w:shd w:val="clear" w:color="auto" w:fill="F2F2F2" w:themeFill="background1" w:themeFillShade="F2"/>
            <w:noWrap/>
            <w:vAlign w:val="center"/>
          </w:tcPr>
          <w:p w14:paraId="2367E0D8" w14:textId="5580C98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90.4%</w:t>
            </w:r>
          </w:p>
        </w:tc>
        <w:tc>
          <w:tcPr>
            <w:tcW w:w="720" w:type="dxa"/>
            <w:shd w:val="clear" w:color="auto" w:fill="F2F2F2" w:themeFill="background1" w:themeFillShade="F2"/>
            <w:noWrap/>
            <w:vAlign w:val="center"/>
          </w:tcPr>
          <w:p w14:paraId="63298D4B" w14:textId="48C122E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85.5%</w:t>
            </w:r>
          </w:p>
        </w:tc>
        <w:tc>
          <w:tcPr>
            <w:tcW w:w="720" w:type="dxa"/>
            <w:shd w:val="clear" w:color="auto" w:fill="F2F2F2" w:themeFill="background1" w:themeFillShade="F2"/>
            <w:noWrap/>
            <w:vAlign w:val="center"/>
          </w:tcPr>
          <w:p w14:paraId="4C1E5362" w14:textId="3464DB5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91.2%</w:t>
            </w:r>
          </w:p>
        </w:tc>
        <w:tc>
          <w:tcPr>
            <w:tcW w:w="720" w:type="dxa"/>
            <w:shd w:val="clear" w:color="auto" w:fill="F2F2F2" w:themeFill="background1" w:themeFillShade="F2"/>
            <w:noWrap/>
            <w:vAlign w:val="center"/>
          </w:tcPr>
          <w:p w14:paraId="4271A7F9" w14:textId="1C3FC09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94.5%</w:t>
            </w:r>
          </w:p>
        </w:tc>
        <w:tc>
          <w:tcPr>
            <w:tcW w:w="720" w:type="dxa"/>
            <w:shd w:val="clear" w:color="auto" w:fill="F2F2F2" w:themeFill="background1" w:themeFillShade="F2"/>
            <w:noWrap/>
            <w:vAlign w:val="center"/>
          </w:tcPr>
          <w:p w14:paraId="1D45DF57" w14:textId="54CC6A3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89.9%</w:t>
            </w:r>
          </w:p>
        </w:tc>
        <w:tc>
          <w:tcPr>
            <w:tcW w:w="720" w:type="dxa"/>
            <w:shd w:val="clear" w:color="auto" w:fill="F2F2F2" w:themeFill="background1" w:themeFillShade="F2"/>
            <w:noWrap/>
            <w:vAlign w:val="center"/>
          </w:tcPr>
          <w:p w14:paraId="1C95C4F4" w14:textId="4112FE5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87.4%</w:t>
            </w:r>
          </w:p>
        </w:tc>
        <w:tc>
          <w:tcPr>
            <w:tcW w:w="810" w:type="dxa"/>
            <w:shd w:val="clear" w:color="auto" w:fill="F2F2F2" w:themeFill="background1" w:themeFillShade="F2"/>
            <w:noWrap/>
            <w:vAlign w:val="center"/>
          </w:tcPr>
          <w:p w14:paraId="38B18EE5" w14:textId="10B44B5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88.1%</w:t>
            </w:r>
          </w:p>
        </w:tc>
        <w:tc>
          <w:tcPr>
            <w:tcW w:w="720" w:type="dxa"/>
            <w:shd w:val="clear" w:color="auto" w:fill="F2F2F2" w:themeFill="background1" w:themeFillShade="F2"/>
            <w:noWrap/>
            <w:vAlign w:val="center"/>
          </w:tcPr>
          <w:p w14:paraId="0EC3C142" w14:textId="6FBA11A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90.6%</w:t>
            </w:r>
          </w:p>
        </w:tc>
        <w:tc>
          <w:tcPr>
            <w:tcW w:w="720" w:type="dxa"/>
            <w:shd w:val="clear" w:color="auto" w:fill="F2F2F2" w:themeFill="background1" w:themeFillShade="F2"/>
            <w:noWrap/>
            <w:vAlign w:val="center"/>
          </w:tcPr>
          <w:p w14:paraId="06D9C132" w14:textId="504337F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87.7%</w:t>
            </w:r>
          </w:p>
        </w:tc>
        <w:tc>
          <w:tcPr>
            <w:tcW w:w="1080" w:type="dxa"/>
            <w:shd w:val="clear" w:color="auto" w:fill="F2F2F2" w:themeFill="background1" w:themeFillShade="F2"/>
            <w:noWrap/>
            <w:vAlign w:val="center"/>
          </w:tcPr>
          <w:p w14:paraId="6AD541D3" w14:textId="3DC6B68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90.4%</w:t>
            </w:r>
          </w:p>
        </w:tc>
        <w:tc>
          <w:tcPr>
            <w:tcW w:w="720" w:type="dxa"/>
            <w:shd w:val="clear" w:color="auto" w:fill="F2F2F2" w:themeFill="background1" w:themeFillShade="F2"/>
            <w:noWrap/>
            <w:vAlign w:val="center"/>
          </w:tcPr>
          <w:p w14:paraId="124B315E" w14:textId="0B56256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89.3%</w:t>
            </w:r>
          </w:p>
        </w:tc>
        <w:tc>
          <w:tcPr>
            <w:tcW w:w="810" w:type="dxa"/>
            <w:shd w:val="clear" w:color="auto" w:fill="F2F2F2" w:themeFill="background1" w:themeFillShade="F2"/>
            <w:noWrap/>
            <w:vAlign w:val="center"/>
          </w:tcPr>
          <w:p w14:paraId="69B1A469" w14:textId="02E6972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89.0%</w:t>
            </w:r>
          </w:p>
        </w:tc>
        <w:tc>
          <w:tcPr>
            <w:tcW w:w="810" w:type="dxa"/>
            <w:shd w:val="clear" w:color="auto" w:fill="F2F2F2" w:themeFill="background1" w:themeFillShade="F2"/>
            <w:noWrap/>
            <w:vAlign w:val="center"/>
          </w:tcPr>
          <w:p w14:paraId="5EFD3200" w14:textId="128843B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90.4%</w:t>
            </w:r>
          </w:p>
        </w:tc>
        <w:tc>
          <w:tcPr>
            <w:tcW w:w="810" w:type="dxa"/>
            <w:shd w:val="clear" w:color="auto" w:fill="F2F2F2" w:themeFill="background1" w:themeFillShade="F2"/>
            <w:noWrap/>
            <w:vAlign w:val="center"/>
          </w:tcPr>
          <w:p w14:paraId="32740C62" w14:textId="109A8C5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85.5%</w:t>
            </w:r>
          </w:p>
        </w:tc>
        <w:tc>
          <w:tcPr>
            <w:tcW w:w="720" w:type="dxa"/>
            <w:shd w:val="clear" w:color="auto" w:fill="F2F2F2" w:themeFill="background1" w:themeFillShade="F2"/>
            <w:noWrap/>
            <w:vAlign w:val="center"/>
          </w:tcPr>
          <w:p w14:paraId="290BD209" w14:textId="1405A1D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91.2%</w:t>
            </w:r>
          </w:p>
        </w:tc>
        <w:tc>
          <w:tcPr>
            <w:tcW w:w="720" w:type="dxa"/>
            <w:shd w:val="clear" w:color="auto" w:fill="F2F2F2" w:themeFill="background1" w:themeFillShade="F2"/>
            <w:noWrap/>
            <w:vAlign w:val="center"/>
          </w:tcPr>
          <w:p w14:paraId="45857338" w14:textId="371DB71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94.5%</w:t>
            </w:r>
          </w:p>
        </w:tc>
        <w:tc>
          <w:tcPr>
            <w:tcW w:w="990" w:type="dxa"/>
            <w:shd w:val="clear" w:color="auto" w:fill="F2F2F2" w:themeFill="background1" w:themeFillShade="F2"/>
            <w:noWrap/>
            <w:vAlign w:val="center"/>
          </w:tcPr>
          <w:p w14:paraId="2BA1FDEB" w14:textId="0A05402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89.9%</w:t>
            </w:r>
          </w:p>
        </w:tc>
        <w:tc>
          <w:tcPr>
            <w:tcW w:w="720" w:type="dxa"/>
            <w:tcBorders>
              <w:right w:val="single" w:sz="4" w:space="0" w:color="auto"/>
            </w:tcBorders>
            <w:shd w:val="clear" w:color="auto" w:fill="F2F2F2" w:themeFill="background1" w:themeFillShade="F2"/>
            <w:noWrap/>
            <w:vAlign w:val="center"/>
          </w:tcPr>
          <w:p w14:paraId="0096DA4B" w14:textId="067BC3E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87.4%</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6413262" w14:textId="0A8ADDF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E36A9D9" w14:textId="5B613C1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21EE3BE" w14:textId="0B0D306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161FD3DA" w14:textId="77777777" w:rsidTr="007308A3">
        <w:trPr>
          <w:trHeight w:val="285"/>
        </w:trPr>
        <w:tc>
          <w:tcPr>
            <w:tcW w:w="810" w:type="dxa"/>
            <w:shd w:val="clear" w:color="auto" w:fill="auto"/>
            <w:noWrap/>
          </w:tcPr>
          <w:p w14:paraId="7D8213FE" w14:textId="258F0463"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auto"/>
          </w:tcPr>
          <w:p w14:paraId="0245EEA3" w14:textId="40520A92" w:rsidR="0049760A" w:rsidRPr="00597EE2" w:rsidRDefault="0049760A" w:rsidP="0049760A">
            <w:pPr>
              <w:spacing w:after="0"/>
              <w:rPr>
                <w:rFonts w:eastAsia="Times New Roman" w:cs="Calibri"/>
                <w:sz w:val="16"/>
                <w:szCs w:val="16"/>
              </w:rPr>
            </w:pPr>
            <w:r w:rsidRPr="00597EE2">
              <w:rPr>
                <w:rFonts w:cs="Calibri"/>
                <w:color w:val="000000"/>
                <w:sz w:val="16"/>
                <w:szCs w:val="16"/>
              </w:rPr>
              <w:t>Child: Overall Rating and Care Delivery: Communication</w:t>
            </w:r>
          </w:p>
        </w:tc>
        <w:tc>
          <w:tcPr>
            <w:tcW w:w="810" w:type="dxa"/>
            <w:shd w:val="clear" w:color="auto" w:fill="auto"/>
            <w:noWrap/>
            <w:vAlign w:val="center"/>
          </w:tcPr>
          <w:p w14:paraId="4FE0A454" w14:textId="63414A6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94.9%</w:t>
            </w:r>
          </w:p>
        </w:tc>
        <w:tc>
          <w:tcPr>
            <w:tcW w:w="720" w:type="dxa"/>
            <w:shd w:val="clear" w:color="auto" w:fill="auto"/>
            <w:noWrap/>
            <w:vAlign w:val="center"/>
          </w:tcPr>
          <w:p w14:paraId="780CFE6F" w14:textId="5ACFEA5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90.0%</w:t>
            </w:r>
          </w:p>
        </w:tc>
        <w:tc>
          <w:tcPr>
            <w:tcW w:w="720" w:type="dxa"/>
            <w:shd w:val="clear" w:color="auto" w:fill="auto"/>
            <w:noWrap/>
            <w:vAlign w:val="center"/>
          </w:tcPr>
          <w:p w14:paraId="2589E9F4" w14:textId="755F1BA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720" w:type="dxa"/>
            <w:shd w:val="clear" w:color="auto" w:fill="auto"/>
            <w:noWrap/>
            <w:vAlign w:val="center"/>
          </w:tcPr>
          <w:p w14:paraId="36E0F269" w14:textId="5CB480A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93.1%</w:t>
            </w:r>
          </w:p>
        </w:tc>
        <w:tc>
          <w:tcPr>
            <w:tcW w:w="720" w:type="dxa"/>
            <w:shd w:val="clear" w:color="auto" w:fill="auto"/>
            <w:noWrap/>
            <w:vAlign w:val="center"/>
          </w:tcPr>
          <w:p w14:paraId="6EC06588" w14:textId="13B950E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720" w:type="dxa"/>
            <w:shd w:val="clear" w:color="auto" w:fill="auto"/>
            <w:noWrap/>
            <w:vAlign w:val="center"/>
          </w:tcPr>
          <w:p w14:paraId="660405DE" w14:textId="47608E0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90.0%</w:t>
            </w:r>
          </w:p>
        </w:tc>
        <w:tc>
          <w:tcPr>
            <w:tcW w:w="810" w:type="dxa"/>
            <w:shd w:val="clear" w:color="auto" w:fill="auto"/>
            <w:noWrap/>
            <w:vAlign w:val="center"/>
          </w:tcPr>
          <w:p w14:paraId="43621267" w14:textId="5E353E3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88.3%</w:t>
            </w:r>
          </w:p>
        </w:tc>
        <w:tc>
          <w:tcPr>
            <w:tcW w:w="720" w:type="dxa"/>
            <w:shd w:val="clear" w:color="auto" w:fill="auto"/>
            <w:noWrap/>
            <w:vAlign w:val="center"/>
          </w:tcPr>
          <w:p w14:paraId="2468E3D1" w14:textId="3B9FB89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93.0%</w:t>
            </w:r>
          </w:p>
        </w:tc>
        <w:tc>
          <w:tcPr>
            <w:tcW w:w="720" w:type="dxa"/>
            <w:shd w:val="clear" w:color="auto" w:fill="auto"/>
            <w:noWrap/>
            <w:vAlign w:val="center"/>
          </w:tcPr>
          <w:p w14:paraId="66F8A011" w14:textId="797A3E9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90.2%</w:t>
            </w:r>
          </w:p>
        </w:tc>
        <w:tc>
          <w:tcPr>
            <w:tcW w:w="1080" w:type="dxa"/>
            <w:shd w:val="clear" w:color="auto" w:fill="auto"/>
            <w:noWrap/>
            <w:vAlign w:val="center"/>
          </w:tcPr>
          <w:p w14:paraId="6B218F87" w14:textId="61BF313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92.4%</w:t>
            </w:r>
          </w:p>
        </w:tc>
        <w:tc>
          <w:tcPr>
            <w:tcW w:w="720" w:type="dxa"/>
            <w:shd w:val="clear" w:color="auto" w:fill="auto"/>
            <w:noWrap/>
            <w:vAlign w:val="center"/>
          </w:tcPr>
          <w:p w14:paraId="018C28B4" w14:textId="7ED0049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93.5%</w:t>
            </w:r>
          </w:p>
        </w:tc>
        <w:tc>
          <w:tcPr>
            <w:tcW w:w="810" w:type="dxa"/>
            <w:shd w:val="clear" w:color="auto" w:fill="auto"/>
            <w:noWrap/>
            <w:vAlign w:val="center"/>
          </w:tcPr>
          <w:p w14:paraId="79024233" w14:textId="0D4CE72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91.9%</w:t>
            </w:r>
          </w:p>
        </w:tc>
        <w:tc>
          <w:tcPr>
            <w:tcW w:w="810" w:type="dxa"/>
            <w:shd w:val="clear" w:color="auto" w:fill="auto"/>
            <w:noWrap/>
            <w:vAlign w:val="center"/>
          </w:tcPr>
          <w:p w14:paraId="66B2A34D" w14:textId="55167E2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94.9%</w:t>
            </w:r>
          </w:p>
        </w:tc>
        <w:tc>
          <w:tcPr>
            <w:tcW w:w="810" w:type="dxa"/>
            <w:shd w:val="clear" w:color="auto" w:fill="auto"/>
            <w:noWrap/>
            <w:vAlign w:val="center"/>
          </w:tcPr>
          <w:p w14:paraId="6E2FA141" w14:textId="5AF2A23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90.0%</w:t>
            </w:r>
          </w:p>
        </w:tc>
        <w:tc>
          <w:tcPr>
            <w:tcW w:w="720" w:type="dxa"/>
            <w:shd w:val="clear" w:color="auto" w:fill="auto"/>
            <w:noWrap/>
            <w:vAlign w:val="center"/>
          </w:tcPr>
          <w:p w14:paraId="344A241D" w14:textId="29450D9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720" w:type="dxa"/>
            <w:shd w:val="clear" w:color="auto" w:fill="auto"/>
            <w:noWrap/>
            <w:vAlign w:val="center"/>
          </w:tcPr>
          <w:p w14:paraId="1B583CC9" w14:textId="592720E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93.1%</w:t>
            </w:r>
          </w:p>
        </w:tc>
        <w:tc>
          <w:tcPr>
            <w:tcW w:w="990" w:type="dxa"/>
            <w:shd w:val="clear" w:color="auto" w:fill="auto"/>
            <w:noWrap/>
            <w:vAlign w:val="center"/>
          </w:tcPr>
          <w:p w14:paraId="2320B31A" w14:textId="4D2585C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720" w:type="dxa"/>
            <w:tcBorders>
              <w:right w:val="single" w:sz="4" w:space="0" w:color="auto"/>
            </w:tcBorders>
            <w:shd w:val="clear" w:color="auto" w:fill="auto"/>
            <w:noWrap/>
            <w:vAlign w:val="center"/>
          </w:tcPr>
          <w:p w14:paraId="3883BC3F" w14:textId="338ABB1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90.0%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0D98186" w14:textId="0C72EF7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4AB3D8" w14:textId="3C4B381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E227DC" w14:textId="1405EAF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1ACF2CBA" w14:textId="77777777" w:rsidTr="007308A3">
        <w:trPr>
          <w:trHeight w:val="285"/>
        </w:trPr>
        <w:tc>
          <w:tcPr>
            <w:tcW w:w="810" w:type="dxa"/>
            <w:shd w:val="clear" w:color="auto" w:fill="F2F2F2" w:themeFill="background1" w:themeFillShade="F2"/>
            <w:noWrap/>
          </w:tcPr>
          <w:p w14:paraId="6FB74B93" w14:textId="096403E4"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F2F2F2" w:themeFill="background1" w:themeFillShade="F2"/>
          </w:tcPr>
          <w:p w14:paraId="65DB42A2" w14:textId="22F25AEB" w:rsidR="0049760A" w:rsidRPr="00597EE2" w:rsidRDefault="0049760A" w:rsidP="0049760A">
            <w:pPr>
              <w:spacing w:after="0"/>
              <w:rPr>
                <w:rFonts w:eastAsia="Times New Roman" w:cs="Calibri"/>
                <w:sz w:val="16"/>
                <w:szCs w:val="16"/>
              </w:rPr>
            </w:pPr>
            <w:r w:rsidRPr="00597EE2">
              <w:rPr>
                <w:rFonts w:cs="Calibri"/>
                <w:color w:val="000000"/>
                <w:sz w:val="16"/>
                <w:szCs w:val="16"/>
              </w:rPr>
              <w:t>Adult: Person-Centered Integrated Care: Integration of Care</w:t>
            </w:r>
          </w:p>
        </w:tc>
        <w:tc>
          <w:tcPr>
            <w:tcW w:w="810" w:type="dxa"/>
            <w:shd w:val="clear" w:color="auto" w:fill="F2F2F2" w:themeFill="background1" w:themeFillShade="F2"/>
            <w:noWrap/>
            <w:vAlign w:val="center"/>
          </w:tcPr>
          <w:p w14:paraId="279820FD" w14:textId="5A4BA18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81.8%</w:t>
            </w:r>
          </w:p>
        </w:tc>
        <w:tc>
          <w:tcPr>
            <w:tcW w:w="720" w:type="dxa"/>
            <w:shd w:val="clear" w:color="auto" w:fill="F2F2F2" w:themeFill="background1" w:themeFillShade="F2"/>
            <w:noWrap/>
            <w:vAlign w:val="center"/>
          </w:tcPr>
          <w:p w14:paraId="12363F1D" w14:textId="2281596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77.7%</w:t>
            </w:r>
          </w:p>
        </w:tc>
        <w:tc>
          <w:tcPr>
            <w:tcW w:w="720" w:type="dxa"/>
            <w:shd w:val="clear" w:color="auto" w:fill="F2F2F2" w:themeFill="background1" w:themeFillShade="F2"/>
            <w:noWrap/>
            <w:vAlign w:val="center"/>
          </w:tcPr>
          <w:p w14:paraId="461FEDAA" w14:textId="5750246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80.2%</w:t>
            </w:r>
          </w:p>
        </w:tc>
        <w:tc>
          <w:tcPr>
            <w:tcW w:w="720" w:type="dxa"/>
            <w:shd w:val="clear" w:color="auto" w:fill="F2F2F2" w:themeFill="background1" w:themeFillShade="F2"/>
            <w:noWrap/>
            <w:vAlign w:val="center"/>
          </w:tcPr>
          <w:p w14:paraId="51ED5A17" w14:textId="3890742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86.5%</w:t>
            </w:r>
          </w:p>
        </w:tc>
        <w:tc>
          <w:tcPr>
            <w:tcW w:w="720" w:type="dxa"/>
            <w:shd w:val="clear" w:color="auto" w:fill="F2F2F2" w:themeFill="background1" w:themeFillShade="F2"/>
            <w:noWrap/>
            <w:vAlign w:val="center"/>
          </w:tcPr>
          <w:p w14:paraId="19A5FB33" w14:textId="18C4F0F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80.6%</w:t>
            </w:r>
          </w:p>
        </w:tc>
        <w:tc>
          <w:tcPr>
            <w:tcW w:w="720" w:type="dxa"/>
            <w:shd w:val="clear" w:color="auto" w:fill="F2F2F2" w:themeFill="background1" w:themeFillShade="F2"/>
            <w:noWrap/>
            <w:vAlign w:val="center"/>
          </w:tcPr>
          <w:p w14:paraId="0FA29B03" w14:textId="565DADD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80.7%</w:t>
            </w:r>
          </w:p>
        </w:tc>
        <w:tc>
          <w:tcPr>
            <w:tcW w:w="810" w:type="dxa"/>
            <w:shd w:val="clear" w:color="auto" w:fill="F2F2F2" w:themeFill="background1" w:themeFillShade="F2"/>
            <w:noWrap/>
            <w:vAlign w:val="center"/>
          </w:tcPr>
          <w:p w14:paraId="6C218081" w14:textId="62E2F71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79.8%</w:t>
            </w:r>
          </w:p>
        </w:tc>
        <w:tc>
          <w:tcPr>
            <w:tcW w:w="720" w:type="dxa"/>
            <w:shd w:val="clear" w:color="auto" w:fill="F2F2F2" w:themeFill="background1" w:themeFillShade="F2"/>
            <w:noWrap/>
            <w:vAlign w:val="center"/>
          </w:tcPr>
          <w:p w14:paraId="5C4BBA77" w14:textId="382DC2A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81.9%</w:t>
            </w:r>
          </w:p>
        </w:tc>
        <w:tc>
          <w:tcPr>
            <w:tcW w:w="720" w:type="dxa"/>
            <w:shd w:val="clear" w:color="auto" w:fill="F2F2F2" w:themeFill="background1" w:themeFillShade="F2"/>
            <w:noWrap/>
            <w:vAlign w:val="center"/>
          </w:tcPr>
          <w:p w14:paraId="603D4CC2" w14:textId="4E90B12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76.2%</w:t>
            </w:r>
          </w:p>
        </w:tc>
        <w:tc>
          <w:tcPr>
            <w:tcW w:w="1080" w:type="dxa"/>
            <w:shd w:val="clear" w:color="auto" w:fill="F2F2F2" w:themeFill="background1" w:themeFillShade="F2"/>
            <w:noWrap/>
            <w:vAlign w:val="center"/>
          </w:tcPr>
          <w:p w14:paraId="2AB68D0A" w14:textId="1FE9A32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81.8%</w:t>
            </w:r>
          </w:p>
        </w:tc>
        <w:tc>
          <w:tcPr>
            <w:tcW w:w="720" w:type="dxa"/>
            <w:shd w:val="clear" w:color="auto" w:fill="F2F2F2" w:themeFill="background1" w:themeFillShade="F2"/>
            <w:noWrap/>
            <w:vAlign w:val="center"/>
          </w:tcPr>
          <w:p w14:paraId="384D74F3" w14:textId="6125C60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79.7%</w:t>
            </w:r>
          </w:p>
        </w:tc>
        <w:tc>
          <w:tcPr>
            <w:tcW w:w="810" w:type="dxa"/>
            <w:shd w:val="clear" w:color="auto" w:fill="F2F2F2" w:themeFill="background1" w:themeFillShade="F2"/>
            <w:noWrap/>
            <w:vAlign w:val="center"/>
          </w:tcPr>
          <w:p w14:paraId="0E8C7096" w14:textId="012B85E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82.3%</w:t>
            </w:r>
          </w:p>
        </w:tc>
        <w:tc>
          <w:tcPr>
            <w:tcW w:w="810" w:type="dxa"/>
            <w:shd w:val="clear" w:color="auto" w:fill="F2F2F2" w:themeFill="background1" w:themeFillShade="F2"/>
            <w:noWrap/>
            <w:vAlign w:val="center"/>
          </w:tcPr>
          <w:p w14:paraId="3CC7E9F5" w14:textId="6C37AB2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81.8%</w:t>
            </w:r>
          </w:p>
        </w:tc>
        <w:tc>
          <w:tcPr>
            <w:tcW w:w="810" w:type="dxa"/>
            <w:shd w:val="clear" w:color="auto" w:fill="F2F2F2" w:themeFill="background1" w:themeFillShade="F2"/>
            <w:noWrap/>
            <w:vAlign w:val="center"/>
          </w:tcPr>
          <w:p w14:paraId="5C673012" w14:textId="2EAEF76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77.7%</w:t>
            </w:r>
          </w:p>
        </w:tc>
        <w:tc>
          <w:tcPr>
            <w:tcW w:w="720" w:type="dxa"/>
            <w:shd w:val="clear" w:color="auto" w:fill="F2F2F2" w:themeFill="background1" w:themeFillShade="F2"/>
            <w:noWrap/>
            <w:vAlign w:val="center"/>
          </w:tcPr>
          <w:p w14:paraId="7DAC1B18" w14:textId="0955EF4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80.2%</w:t>
            </w:r>
          </w:p>
        </w:tc>
        <w:tc>
          <w:tcPr>
            <w:tcW w:w="720" w:type="dxa"/>
            <w:shd w:val="clear" w:color="auto" w:fill="F2F2F2" w:themeFill="background1" w:themeFillShade="F2"/>
            <w:noWrap/>
            <w:vAlign w:val="center"/>
          </w:tcPr>
          <w:p w14:paraId="4E9871E3" w14:textId="40C94DD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86.5%</w:t>
            </w:r>
          </w:p>
        </w:tc>
        <w:tc>
          <w:tcPr>
            <w:tcW w:w="990" w:type="dxa"/>
            <w:shd w:val="clear" w:color="auto" w:fill="F2F2F2" w:themeFill="background1" w:themeFillShade="F2"/>
            <w:noWrap/>
            <w:vAlign w:val="center"/>
          </w:tcPr>
          <w:p w14:paraId="4955E935" w14:textId="05BCCD5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80.6%</w:t>
            </w:r>
          </w:p>
        </w:tc>
        <w:tc>
          <w:tcPr>
            <w:tcW w:w="720" w:type="dxa"/>
            <w:tcBorders>
              <w:right w:val="single" w:sz="4" w:space="0" w:color="auto"/>
            </w:tcBorders>
            <w:shd w:val="clear" w:color="auto" w:fill="F2F2F2" w:themeFill="background1" w:themeFillShade="F2"/>
            <w:noWrap/>
            <w:vAlign w:val="center"/>
          </w:tcPr>
          <w:p w14:paraId="7FE064A0" w14:textId="371D281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80.7%</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814E2D" w14:textId="305905F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1A0FE86" w14:textId="2CB49C3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8511CEB" w14:textId="42146EA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011BA2DD" w14:textId="77777777" w:rsidTr="007308A3">
        <w:trPr>
          <w:trHeight w:val="285"/>
        </w:trPr>
        <w:tc>
          <w:tcPr>
            <w:tcW w:w="810" w:type="dxa"/>
            <w:shd w:val="clear" w:color="auto" w:fill="auto"/>
            <w:noWrap/>
          </w:tcPr>
          <w:p w14:paraId="18F3AEBE" w14:textId="29BA7805"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auto"/>
          </w:tcPr>
          <w:p w14:paraId="57837A53" w14:textId="1BDAF932" w:rsidR="0049760A" w:rsidRPr="00597EE2" w:rsidRDefault="0049760A" w:rsidP="0049760A">
            <w:pPr>
              <w:spacing w:after="0"/>
              <w:rPr>
                <w:rFonts w:eastAsia="Times New Roman" w:cs="Calibri"/>
                <w:sz w:val="16"/>
                <w:szCs w:val="16"/>
              </w:rPr>
            </w:pPr>
            <w:r w:rsidRPr="00597EE2">
              <w:rPr>
                <w:rFonts w:cs="Calibri"/>
                <w:color w:val="000000"/>
                <w:sz w:val="16"/>
                <w:szCs w:val="16"/>
              </w:rPr>
              <w:t>Child:  Person-Centered Integrated Care: Integration of Care</w:t>
            </w:r>
          </w:p>
        </w:tc>
        <w:tc>
          <w:tcPr>
            <w:tcW w:w="810" w:type="dxa"/>
            <w:shd w:val="clear" w:color="auto" w:fill="auto"/>
            <w:noWrap/>
            <w:vAlign w:val="center"/>
          </w:tcPr>
          <w:p w14:paraId="69F8B10B" w14:textId="7DBC32E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720" w:type="dxa"/>
            <w:shd w:val="clear" w:color="auto" w:fill="auto"/>
            <w:noWrap/>
            <w:vAlign w:val="center"/>
          </w:tcPr>
          <w:p w14:paraId="04ACEC9C" w14:textId="37F98EC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77.4%</w:t>
            </w:r>
          </w:p>
        </w:tc>
        <w:tc>
          <w:tcPr>
            <w:tcW w:w="720" w:type="dxa"/>
            <w:shd w:val="clear" w:color="auto" w:fill="auto"/>
            <w:noWrap/>
            <w:vAlign w:val="center"/>
          </w:tcPr>
          <w:p w14:paraId="78FDC894" w14:textId="7BE82D6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77.7%</w:t>
            </w:r>
          </w:p>
        </w:tc>
        <w:tc>
          <w:tcPr>
            <w:tcW w:w="720" w:type="dxa"/>
            <w:shd w:val="clear" w:color="auto" w:fill="auto"/>
            <w:noWrap/>
            <w:vAlign w:val="center"/>
          </w:tcPr>
          <w:p w14:paraId="3B04C08A" w14:textId="1522CDF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81.1%</w:t>
            </w:r>
          </w:p>
        </w:tc>
        <w:tc>
          <w:tcPr>
            <w:tcW w:w="720" w:type="dxa"/>
            <w:shd w:val="clear" w:color="auto" w:fill="auto"/>
            <w:noWrap/>
            <w:vAlign w:val="center"/>
          </w:tcPr>
          <w:p w14:paraId="405B41D4" w14:textId="73436466"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77.8%</w:t>
            </w:r>
          </w:p>
        </w:tc>
        <w:tc>
          <w:tcPr>
            <w:tcW w:w="720" w:type="dxa"/>
            <w:shd w:val="clear" w:color="auto" w:fill="auto"/>
            <w:noWrap/>
            <w:vAlign w:val="center"/>
          </w:tcPr>
          <w:p w14:paraId="07F937BD" w14:textId="7B6F92B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78.4%</w:t>
            </w:r>
          </w:p>
        </w:tc>
        <w:tc>
          <w:tcPr>
            <w:tcW w:w="810" w:type="dxa"/>
            <w:shd w:val="clear" w:color="auto" w:fill="auto"/>
            <w:noWrap/>
            <w:vAlign w:val="center"/>
          </w:tcPr>
          <w:p w14:paraId="7EDBF957" w14:textId="025B710A"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79.9%</w:t>
            </w:r>
          </w:p>
        </w:tc>
        <w:tc>
          <w:tcPr>
            <w:tcW w:w="720" w:type="dxa"/>
            <w:shd w:val="clear" w:color="auto" w:fill="auto"/>
            <w:noWrap/>
            <w:vAlign w:val="center"/>
          </w:tcPr>
          <w:p w14:paraId="57F97AD6" w14:textId="090C2CE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81.9%</w:t>
            </w:r>
          </w:p>
        </w:tc>
        <w:tc>
          <w:tcPr>
            <w:tcW w:w="720" w:type="dxa"/>
            <w:shd w:val="clear" w:color="auto" w:fill="auto"/>
            <w:noWrap/>
            <w:vAlign w:val="center"/>
          </w:tcPr>
          <w:p w14:paraId="18EA43E1" w14:textId="332464F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74.2%</w:t>
            </w:r>
          </w:p>
        </w:tc>
        <w:tc>
          <w:tcPr>
            <w:tcW w:w="1080" w:type="dxa"/>
            <w:shd w:val="clear" w:color="auto" w:fill="auto"/>
            <w:noWrap/>
            <w:vAlign w:val="center"/>
          </w:tcPr>
          <w:p w14:paraId="6E3AC3EF" w14:textId="1641C1D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79.7%</w:t>
            </w:r>
          </w:p>
        </w:tc>
        <w:tc>
          <w:tcPr>
            <w:tcW w:w="720" w:type="dxa"/>
            <w:shd w:val="clear" w:color="auto" w:fill="auto"/>
            <w:noWrap/>
            <w:vAlign w:val="center"/>
          </w:tcPr>
          <w:p w14:paraId="5F7BA6AD" w14:textId="73B6448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81.7%</w:t>
            </w:r>
          </w:p>
        </w:tc>
        <w:tc>
          <w:tcPr>
            <w:tcW w:w="810" w:type="dxa"/>
            <w:shd w:val="clear" w:color="auto" w:fill="auto"/>
            <w:noWrap/>
            <w:vAlign w:val="center"/>
          </w:tcPr>
          <w:p w14:paraId="25B6289F" w14:textId="32711647"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72.2%</w:t>
            </w:r>
          </w:p>
        </w:tc>
        <w:tc>
          <w:tcPr>
            <w:tcW w:w="810" w:type="dxa"/>
            <w:shd w:val="clear" w:color="auto" w:fill="auto"/>
            <w:noWrap/>
            <w:vAlign w:val="center"/>
          </w:tcPr>
          <w:p w14:paraId="58411335" w14:textId="7498C74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810" w:type="dxa"/>
            <w:shd w:val="clear" w:color="auto" w:fill="auto"/>
            <w:noWrap/>
            <w:vAlign w:val="center"/>
          </w:tcPr>
          <w:p w14:paraId="538AC1FA" w14:textId="2421304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77.4%</w:t>
            </w:r>
          </w:p>
        </w:tc>
        <w:tc>
          <w:tcPr>
            <w:tcW w:w="720" w:type="dxa"/>
            <w:shd w:val="clear" w:color="auto" w:fill="auto"/>
            <w:noWrap/>
            <w:vAlign w:val="center"/>
          </w:tcPr>
          <w:p w14:paraId="0D4078FA" w14:textId="2846E79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77.7%</w:t>
            </w:r>
          </w:p>
        </w:tc>
        <w:tc>
          <w:tcPr>
            <w:tcW w:w="720" w:type="dxa"/>
            <w:shd w:val="clear" w:color="auto" w:fill="auto"/>
            <w:noWrap/>
            <w:vAlign w:val="center"/>
          </w:tcPr>
          <w:p w14:paraId="7D6DCA89" w14:textId="432F8218"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81.1%</w:t>
            </w:r>
          </w:p>
        </w:tc>
        <w:tc>
          <w:tcPr>
            <w:tcW w:w="990" w:type="dxa"/>
            <w:shd w:val="clear" w:color="auto" w:fill="auto"/>
            <w:noWrap/>
            <w:vAlign w:val="center"/>
          </w:tcPr>
          <w:p w14:paraId="77FFE10D" w14:textId="109E9E5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77.8%</w:t>
            </w:r>
          </w:p>
        </w:tc>
        <w:tc>
          <w:tcPr>
            <w:tcW w:w="720" w:type="dxa"/>
            <w:tcBorders>
              <w:right w:val="single" w:sz="4" w:space="0" w:color="auto"/>
            </w:tcBorders>
            <w:shd w:val="clear" w:color="auto" w:fill="auto"/>
            <w:noWrap/>
            <w:vAlign w:val="center"/>
          </w:tcPr>
          <w:p w14:paraId="2E69B685" w14:textId="302C943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78.4%</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88BDD77" w14:textId="6247945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BBED35" w14:textId="27D977C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87CEF6" w14:textId="24E6FEB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7C64530E" w14:textId="77777777" w:rsidTr="007308A3">
        <w:trPr>
          <w:trHeight w:val="285"/>
        </w:trPr>
        <w:tc>
          <w:tcPr>
            <w:tcW w:w="810" w:type="dxa"/>
            <w:shd w:val="clear" w:color="auto" w:fill="F2F2F2" w:themeFill="background1" w:themeFillShade="F2"/>
            <w:noWrap/>
          </w:tcPr>
          <w:p w14:paraId="1C43B68E" w14:textId="481A2BF8"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vAlign w:val="bottom"/>
          </w:tcPr>
          <w:p w14:paraId="6CBF16E3" w14:textId="41F96270" w:rsidR="0049760A" w:rsidRPr="00597EE2" w:rsidRDefault="0049760A" w:rsidP="0049760A">
            <w:pPr>
              <w:spacing w:after="0"/>
              <w:rPr>
                <w:rFonts w:eastAsia="Times New Roman" w:cs="Calibri"/>
                <w:sz w:val="16"/>
                <w:szCs w:val="16"/>
              </w:rPr>
            </w:pPr>
            <w:r w:rsidRPr="00597EE2">
              <w:rPr>
                <w:rFonts w:cs="Calibri"/>
                <w:color w:val="000000"/>
                <w:sz w:val="16"/>
                <w:szCs w:val="16"/>
              </w:rPr>
              <w:t>Adult:  Person-Centered Integrated Care: Knowledge of Patient</w:t>
            </w:r>
          </w:p>
        </w:tc>
        <w:tc>
          <w:tcPr>
            <w:tcW w:w="810" w:type="dxa"/>
            <w:shd w:val="clear" w:color="auto" w:fill="F2F2F2" w:themeFill="background1" w:themeFillShade="F2"/>
            <w:noWrap/>
            <w:vAlign w:val="center"/>
          </w:tcPr>
          <w:p w14:paraId="79DDFBBC" w14:textId="3770687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84.3%</w:t>
            </w:r>
          </w:p>
        </w:tc>
        <w:tc>
          <w:tcPr>
            <w:tcW w:w="720" w:type="dxa"/>
            <w:shd w:val="clear" w:color="auto" w:fill="F2F2F2" w:themeFill="background1" w:themeFillShade="F2"/>
            <w:noWrap/>
            <w:vAlign w:val="center"/>
          </w:tcPr>
          <w:p w14:paraId="540F47DE" w14:textId="6E63E8A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80.6%</w:t>
            </w:r>
          </w:p>
        </w:tc>
        <w:tc>
          <w:tcPr>
            <w:tcW w:w="720" w:type="dxa"/>
            <w:shd w:val="clear" w:color="auto" w:fill="F2F2F2" w:themeFill="background1" w:themeFillShade="F2"/>
            <w:noWrap/>
            <w:vAlign w:val="center"/>
          </w:tcPr>
          <w:p w14:paraId="6944F121" w14:textId="09E0551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720" w:type="dxa"/>
            <w:shd w:val="clear" w:color="auto" w:fill="F2F2F2" w:themeFill="background1" w:themeFillShade="F2"/>
            <w:noWrap/>
            <w:vAlign w:val="center"/>
          </w:tcPr>
          <w:p w14:paraId="14E364E5" w14:textId="7E2C01E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91.1%</w:t>
            </w:r>
          </w:p>
        </w:tc>
        <w:tc>
          <w:tcPr>
            <w:tcW w:w="720" w:type="dxa"/>
            <w:shd w:val="clear" w:color="auto" w:fill="F2F2F2" w:themeFill="background1" w:themeFillShade="F2"/>
            <w:noWrap/>
            <w:vAlign w:val="center"/>
          </w:tcPr>
          <w:p w14:paraId="72A259DD" w14:textId="7952ED5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84.5%</w:t>
            </w:r>
          </w:p>
        </w:tc>
        <w:tc>
          <w:tcPr>
            <w:tcW w:w="720" w:type="dxa"/>
            <w:shd w:val="clear" w:color="auto" w:fill="F2F2F2" w:themeFill="background1" w:themeFillShade="F2"/>
            <w:noWrap/>
            <w:vAlign w:val="center"/>
          </w:tcPr>
          <w:p w14:paraId="595E67B9" w14:textId="7D68E3D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81.3%</w:t>
            </w:r>
          </w:p>
        </w:tc>
        <w:tc>
          <w:tcPr>
            <w:tcW w:w="810" w:type="dxa"/>
            <w:shd w:val="clear" w:color="auto" w:fill="F2F2F2" w:themeFill="background1" w:themeFillShade="F2"/>
            <w:noWrap/>
            <w:vAlign w:val="center"/>
          </w:tcPr>
          <w:p w14:paraId="15BE088A" w14:textId="3BF8E3C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81.8%</w:t>
            </w:r>
          </w:p>
        </w:tc>
        <w:tc>
          <w:tcPr>
            <w:tcW w:w="720" w:type="dxa"/>
            <w:shd w:val="clear" w:color="auto" w:fill="F2F2F2" w:themeFill="background1" w:themeFillShade="F2"/>
            <w:noWrap/>
            <w:vAlign w:val="center"/>
          </w:tcPr>
          <w:p w14:paraId="365A51ED" w14:textId="56481AB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720" w:type="dxa"/>
            <w:shd w:val="clear" w:color="auto" w:fill="F2F2F2" w:themeFill="background1" w:themeFillShade="F2"/>
            <w:noWrap/>
            <w:vAlign w:val="center"/>
          </w:tcPr>
          <w:p w14:paraId="4205C8FD" w14:textId="2734F5B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81.6%</w:t>
            </w:r>
          </w:p>
        </w:tc>
        <w:tc>
          <w:tcPr>
            <w:tcW w:w="1080" w:type="dxa"/>
            <w:shd w:val="clear" w:color="auto" w:fill="F2F2F2" w:themeFill="background1" w:themeFillShade="F2"/>
            <w:noWrap/>
            <w:vAlign w:val="center"/>
          </w:tcPr>
          <w:p w14:paraId="72FC6E38" w14:textId="35C3E35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85.3%</w:t>
            </w:r>
          </w:p>
        </w:tc>
        <w:tc>
          <w:tcPr>
            <w:tcW w:w="720" w:type="dxa"/>
            <w:shd w:val="clear" w:color="auto" w:fill="F2F2F2" w:themeFill="background1" w:themeFillShade="F2"/>
            <w:noWrap/>
            <w:vAlign w:val="center"/>
          </w:tcPr>
          <w:p w14:paraId="591D5227" w14:textId="36F4993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83.9%</w:t>
            </w:r>
          </w:p>
        </w:tc>
        <w:tc>
          <w:tcPr>
            <w:tcW w:w="810" w:type="dxa"/>
            <w:shd w:val="clear" w:color="auto" w:fill="F2F2F2" w:themeFill="background1" w:themeFillShade="F2"/>
            <w:noWrap/>
            <w:vAlign w:val="center"/>
          </w:tcPr>
          <w:p w14:paraId="54E58D17" w14:textId="60A6469E"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810" w:type="dxa"/>
            <w:shd w:val="clear" w:color="auto" w:fill="F2F2F2" w:themeFill="background1" w:themeFillShade="F2"/>
            <w:noWrap/>
            <w:vAlign w:val="center"/>
          </w:tcPr>
          <w:p w14:paraId="05628CEA" w14:textId="393E04ED"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84.3%</w:t>
            </w:r>
          </w:p>
        </w:tc>
        <w:tc>
          <w:tcPr>
            <w:tcW w:w="810" w:type="dxa"/>
            <w:shd w:val="clear" w:color="auto" w:fill="F2F2F2" w:themeFill="background1" w:themeFillShade="F2"/>
            <w:noWrap/>
            <w:vAlign w:val="center"/>
          </w:tcPr>
          <w:p w14:paraId="30C4B384" w14:textId="1B4FCBD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80.6%</w:t>
            </w:r>
          </w:p>
        </w:tc>
        <w:tc>
          <w:tcPr>
            <w:tcW w:w="720" w:type="dxa"/>
            <w:shd w:val="clear" w:color="auto" w:fill="F2F2F2" w:themeFill="background1" w:themeFillShade="F2"/>
            <w:noWrap/>
            <w:vAlign w:val="center"/>
          </w:tcPr>
          <w:p w14:paraId="0527A5E0" w14:textId="5F4CE05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85.1%</w:t>
            </w:r>
          </w:p>
        </w:tc>
        <w:tc>
          <w:tcPr>
            <w:tcW w:w="720" w:type="dxa"/>
            <w:shd w:val="clear" w:color="auto" w:fill="F2F2F2" w:themeFill="background1" w:themeFillShade="F2"/>
            <w:noWrap/>
            <w:vAlign w:val="center"/>
          </w:tcPr>
          <w:p w14:paraId="5D132A76" w14:textId="2347112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91.1%</w:t>
            </w:r>
          </w:p>
        </w:tc>
        <w:tc>
          <w:tcPr>
            <w:tcW w:w="990" w:type="dxa"/>
            <w:shd w:val="clear" w:color="auto" w:fill="F2F2F2" w:themeFill="background1" w:themeFillShade="F2"/>
            <w:noWrap/>
            <w:vAlign w:val="center"/>
          </w:tcPr>
          <w:p w14:paraId="4350D186" w14:textId="786A74D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84.5%</w:t>
            </w:r>
          </w:p>
        </w:tc>
        <w:tc>
          <w:tcPr>
            <w:tcW w:w="720" w:type="dxa"/>
            <w:tcBorders>
              <w:right w:val="single" w:sz="4" w:space="0" w:color="auto"/>
            </w:tcBorders>
            <w:shd w:val="clear" w:color="auto" w:fill="F2F2F2" w:themeFill="background1" w:themeFillShade="F2"/>
            <w:noWrap/>
            <w:vAlign w:val="center"/>
          </w:tcPr>
          <w:p w14:paraId="0E82E7A9" w14:textId="27121EC0"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81.3%</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EFDFA09" w14:textId="6F13FC1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06E1B97" w14:textId="5CD4843A"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B252E0C" w14:textId="4CC5EBA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r w:rsidR="00255A16" w:rsidRPr="00884DD7" w14:paraId="709D5178" w14:textId="77777777" w:rsidTr="007308A3">
        <w:trPr>
          <w:trHeight w:val="285"/>
        </w:trPr>
        <w:tc>
          <w:tcPr>
            <w:tcW w:w="810" w:type="dxa"/>
            <w:shd w:val="clear" w:color="auto" w:fill="auto"/>
            <w:noWrap/>
          </w:tcPr>
          <w:p w14:paraId="2FD33D7B" w14:textId="03726AB2" w:rsidR="0049760A" w:rsidRPr="00597EE2" w:rsidRDefault="0049760A" w:rsidP="0049760A">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auto"/>
            <w:vAlign w:val="bottom"/>
          </w:tcPr>
          <w:p w14:paraId="55EA5D71" w14:textId="633B5729" w:rsidR="0049760A" w:rsidRPr="00597EE2" w:rsidRDefault="0049760A" w:rsidP="0049760A">
            <w:pPr>
              <w:spacing w:after="0"/>
              <w:rPr>
                <w:rFonts w:eastAsia="Times New Roman" w:cs="Calibri"/>
                <w:sz w:val="16"/>
                <w:szCs w:val="16"/>
              </w:rPr>
            </w:pPr>
            <w:r w:rsidRPr="00597EE2">
              <w:rPr>
                <w:rFonts w:cs="Calibri"/>
                <w:color w:val="000000"/>
                <w:sz w:val="16"/>
                <w:szCs w:val="16"/>
              </w:rPr>
              <w:t>Child:  Person-Centered Integrated Care: Knowledge of Patient</w:t>
            </w:r>
          </w:p>
        </w:tc>
        <w:tc>
          <w:tcPr>
            <w:tcW w:w="810" w:type="dxa"/>
            <w:shd w:val="clear" w:color="auto" w:fill="auto"/>
            <w:noWrap/>
            <w:vAlign w:val="center"/>
          </w:tcPr>
          <w:p w14:paraId="1B0F9603" w14:textId="65EFF65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720" w:type="dxa"/>
            <w:shd w:val="clear" w:color="auto" w:fill="auto"/>
            <w:noWrap/>
            <w:vAlign w:val="center"/>
          </w:tcPr>
          <w:p w14:paraId="3FFAC263" w14:textId="41CB14E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85.5%</w:t>
            </w:r>
          </w:p>
        </w:tc>
        <w:tc>
          <w:tcPr>
            <w:tcW w:w="720" w:type="dxa"/>
            <w:shd w:val="clear" w:color="auto" w:fill="auto"/>
            <w:noWrap/>
            <w:vAlign w:val="center"/>
          </w:tcPr>
          <w:p w14:paraId="12002CE1" w14:textId="26ED572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87.4%</w:t>
            </w:r>
          </w:p>
        </w:tc>
        <w:tc>
          <w:tcPr>
            <w:tcW w:w="720" w:type="dxa"/>
            <w:shd w:val="clear" w:color="auto" w:fill="auto"/>
            <w:noWrap/>
            <w:vAlign w:val="center"/>
          </w:tcPr>
          <w:p w14:paraId="2BC67035" w14:textId="7A3460D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89.3%</w:t>
            </w:r>
          </w:p>
        </w:tc>
        <w:tc>
          <w:tcPr>
            <w:tcW w:w="720" w:type="dxa"/>
            <w:shd w:val="clear" w:color="auto" w:fill="auto"/>
            <w:noWrap/>
            <w:vAlign w:val="center"/>
          </w:tcPr>
          <w:p w14:paraId="76CB6B21" w14:textId="4673AF0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87.6%</w:t>
            </w:r>
          </w:p>
        </w:tc>
        <w:tc>
          <w:tcPr>
            <w:tcW w:w="720" w:type="dxa"/>
            <w:shd w:val="clear" w:color="auto" w:fill="auto"/>
            <w:noWrap/>
            <w:vAlign w:val="center"/>
          </w:tcPr>
          <w:p w14:paraId="74D9D4EF" w14:textId="5F0EB63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86.0%</w:t>
            </w:r>
          </w:p>
        </w:tc>
        <w:tc>
          <w:tcPr>
            <w:tcW w:w="810" w:type="dxa"/>
            <w:shd w:val="clear" w:color="auto" w:fill="auto"/>
            <w:noWrap/>
            <w:vAlign w:val="center"/>
          </w:tcPr>
          <w:p w14:paraId="63CAD014" w14:textId="52718D43"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83.4%</w:t>
            </w:r>
          </w:p>
        </w:tc>
        <w:tc>
          <w:tcPr>
            <w:tcW w:w="720" w:type="dxa"/>
            <w:shd w:val="clear" w:color="auto" w:fill="auto"/>
            <w:noWrap/>
            <w:vAlign w:val="center"/>
          </w:tcPr>
          <w:p w14:paraId="769D87D2" w14:textId="69451409"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89.3%</w:t>
            </w:r>
          </w:p>
        </w:tc>
        <w:tc>
          <w:tcPr>
            <w:tcW w:w="720" w:type="dxa"/>
            <w:shd w:val="clear" w:color="auto" w:fill="auto"/>
            <w:noWrap/>
            <w:vAlign w:val="center"/>
          </w:tcPr>
          <w:p w14:paraId="14708D76" w14:textId="1A1E8F2A"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85.2%</w:t>
            </w:r>
          </w:p>
        </w:tc>
        <w:tc>
          <w:tcPr>
            <w:tcW w:w="1080" w:type="dxa"/>
            <w:shd w:val="clear" w:color="auto" w:fill="auto"/>
            <w:noWrap/>
            <w:vAlign w:val="center"/>
          </w:tcPr>
          <w:p w14:paraId="3CEF993F" w14:textId="2166F555"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87.5%</w:t>
            </w:r>
          </w:p>
        </w:tc>
        <w:tc>
          <w:tcPr>
            <w:tcW w:w="720" w:type="dxa"/>
            <w:shd w:val="clear" w:color="auto" w:fill="auto"/>
            <w:noWrap/>
            <w:vAlign w:val="center"/>
          </w:tcPr>
          <w:p w14:paraId="4ED6D443" w14:textId="05DE84C4"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89.5%</w:t>
            </w:r>
          </w:p>
        </w:tc>
        <w:tc>
          <w:tcPr>
            <w:tcW w:w="810" w:type="dxa"/>
            <w:shd w:val="clear" w:color="auto" w:fill="auto"/>
            <w:noWrap/>
            <w:vAlign w:val="center"/>
          </w:tcPr>
          <w:p w14:paraId="2299E808" w14:textId="4498003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87.8%</w:t>
            </w:r>
          </w:p>
        </w:tc>
        <w:tc>
          <w:tcPr>
            <w:tcW w:w="810" w:type="dxa"/>
            <w:shd w:val="clear" w:color="auto" w:fill="auto"/>
            <w:noWrap/>
            <w:vAlign w:val="center"/>
          </w:tcPr>
          <w:p w14:paraId="05673EA5" w14:textId="7D3264E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91.8%</w:t>
            </w:r>
          </w:p>
        </w:tc>
        <w:tc>
          <w:tcPr>
            <w:tcW w:w="810" w:type="dxa"/>
            <w:shd w:val="clear" w:color="auto" w:fill="auto"/>
            <w:noWrap/>
            <w:vAlign w:val="center"/>
          </w:tcPr>
          <w:p w14:paraId="64DAFB35" w14:textId="11567BE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85.5%</w:t>
            </w:r>
          </w:p>
        </w:tc>
        <w:tc>
          <w:tcPr>
            <w:tcW w:w="720" w:type="dxa"/>
            <w:shd w:val="clear" w:color="auto" w:fill="auto"/>
            <w:noWrap/>
            <w:vAlign w:val="center"/>
          </w:tcPr>
          <w:p w14:paraId="3FE41418" w14:textId="3DDC9341"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87.4%</w:t>
            </w:r>
          </w:p>
        </w:tc>
        <w:tc>
          <w:tcPr>
            <w:tcW w:w="720" w:type="dxa"/>
            <w:shd w:val="clear" w:color="auto" w:fill="auto"/>
            <w:noWrap/>
            <w:vAlign w:val="center"/>
          </w:tcPr>
          <w:p w14:paraId="2BE3AF84" w14:textId="5209F6E2"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89.3%</w:t>
            </w:r>
          </w:p>
        </w:tc>
        <w:tc>
          <w:tcPr>
            <w:tcW w:w="990" w:type="dxa"/>
            <w:shd w:val="clear" w:color="auto" w:fill="auto"/>
            <w:noWrap/>
            <w:vAlign w:val="center"/>
          </w:tcPr>
          <w:p w14:paraId="58D129C7" w14:textId="635126D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87.6%</w:t>
            </w:r>
          </w:p>
        </w:tc>
        <w:tc>
          <w:tcPr>
            <w:tcW w:w="720" w:type="dxa"/>
            <w:tcBorders>
              <w:right w:val="single" w:sz="4" w:space="0" w:color="auto"/>
            </w:tcBorders>
            <w:shd w:val="clear" w:color="auto" w:fill="auto"/>
            <w:noWrap/>
            <w:vAlign w:val="center"/>
          </w:tcPr>
          <w:p w14:paraId="6B3C946D" w14:textId="3B4D32FF"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86.0%</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E171156" w14:textId="6CBA062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00CDE9" w14:textId="5FE17FBB"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7E829EE" w14:textId="5FEF0CBC" w:rsidR="0049760A" w:rsidRPr="00394EC7" w:rsidRDefault="0049760A" w:rsidP="0049760A">
            <w:pPr>
              <w:spacing w:after="0"/>
              <w:jc w:val="center"/>
              <w:rPr>
                <w:rFonts w:eastAsia="Times New Roman" w:cs="Calibri"/>
                <w:color w:val="000000"/>
                <w:sz w:val="16"/>
                <w:szCs w:val="16"/>
              </w:rPr>
            </w:pPr>
            <w:r w:rsidRPr="00394EC7">
              <w:rPr>
                <w:rFonts w:cs="Calibri"/>
                <w:color w:val="000000"/>
                <w:sz w:val="16"/>
                <w:szCs w:val="16"/>
              </w:rPr>
              <w:t> </w:t>
            </w:r>
          </w:p>
        </w:tc>
      </w:tr>
    </w:tbl>
    <w:p w14:paraId="03F22C78" w14:textId="77777777" w:rsidR="00426FB8" w:rsidRDefault="00426FB8">
      <w:pPr>
        <w:spacing w:after="160" w:line="259" w:lineRule="auto"/>
        <w:rPr>
          <w:rFonts w:eastAsia="Times New Roman" w:cs="Calibri"/>
          <w:b/>
          <w:bCs/>
          <w:color w:val="000000"/>
          <w:sz w:val="20"/>
          <w:szCs w:val="20"/>
        </w:rPr>
      </w:pPr>
      <w:r>
        <w:rPr>
          <w:rFonts w:eastAsia="Times New Roman" w:cs="Calibri"/>
          <w:b/>
          <w:bCs/>
          <w:color w:val="000000"/>
          <w:sz w:val="20"/>
          <w:szCs w:val="20"/>
        </w:rPr>
        <w:br w:type="page"/>
      </w:r>
    </w:p>
    <w:p w14:paraId="02639EE8" w14:textId="73DCC449" w:rsidR="005B4367" w:rsidRDefault="005B4367" w:rsidP="005B4367">
      <w:pPr>
        <w:ind w:left="-810"/>
        <w:rPr>
          <w:rFonts w:eastAsia="Times New Roman" w:cs="Calibri"/>
          <w:b/>
          <w:bCs/>
          <w:color w:val="000000"/>
          <w:sz w:val="20"/>
          <w:szCs w:val="20"/>
        </w:rPr>
      </w:pPr>
      <w:r w:rsidRPr="21CA7F43">
        <w:rPr>
          <w:rFonts w:eastAsia="Times New Roman" w:cs="Calibri"/>
          <w:b/>
          <w:bCs/>
          <w:color w:val="000000" w:themeColor="text1"/>
          <w:sz w:val="20"/>
          <w:szCs w:val="20"/>
        </w:rPr>
        <w:lastRenderedPageBreak/>
        <w:t xml:space="preserve">Appendix </w:t>
      </w:r>
      <w:r w:rsidR="003177BF"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BE5434" w:rsidRPr="21CA7F43">
        <w:rPr>
          <w:rFonts w:eastAsia="Times New Roman" w:cs="Calibri"/>
          <w:b/>
          <w:bCs/>
          <w:color w:val="000000" w:themeColor="text1"/>
          <w:sz w:val="20"/>
          <w:szCs w:val="20"/>
        </w:rPr>
        <w:t>2</w:t>
      </w:r>
      <w:r w:rsidRPr="21CA7F43">
        <w:rPr>
          <w:rFonts w:eastAsia="Times New Roman" w:cs="Calibri"/>
          <w:b/>
          <w:bCs/>
          <w:color w:val="000000" w:themeColor="text1"/>
          <w:sz w:val="20"/>
          <w:szCs w:val="20"/>
        </w:rPr>
        <w:t>: Contract</w:t>
      </w:r>
      <w:r w:rsidR="009B7DDD" w:rsidRPr="21CA7F43">
        <w:rPr>
          <w:rFonts w:eastAsia="Times New Roman" w:cs="Calibri"/>
          <w:b/>
          <w:bCs/>
          <w:color w:val="000000" w:themeColor="text1"/>
          <w:sz w:val="20"/>
          <w:szCs w:val="20"/>
        </w:rPr>
        <w:t xml:space="preserve"> Level</w:t>
      </w:r>
      <w:r w:rsidRPr="21CA7F43">
        <w:rPr>
          <w:rFonts w:eastAsia="Times New Roman" w:cs="Calibri"/>
          <w:b/>
          <w:bCs/>
          <w:color w:val="000000" w:themeColor="text1"/>
          <w:sz w:val="20"/>
          <w:szCs w:val="20"/>
        </w:rPr>
        <w:t xml:space="preserve"> Performance, </w:t>
      </w:r>
      <w:r w:rsidR="7020102A" w:rsidRPr="21CA7F43">
        <w:rPr>
          <w:rFonts w:eastAsia="Times New Roman" w:cs="Calibri"/>
          <w:b/>
          <w:bCs/>
          <w:color w:val="000000" w:themeColor="text1"/>
          <w:sz w:val="20"/>
          <w:szCs w:val="20"/>
        </w:rPr>
        <w:t>M</w:t>
      </w:r>
      <w:r w:rsidR="003D4231" w:rsidRPr="21CA7F43">
        <w:rPr>
          <w:rFonts w:eastAsia="Times New Roman" w:cs="Calibri"/>
          <w:b/>
          <w:bCs/>
          <w:color w:val="000000" w:themeColor="text1"/>
          <w:sz w:val="20"/>
          <w:szCs w:val="20"/>
        </w:rPr>
        <w:t xml:space="preserve">Y </w:t>
      </w:r>
      <w:r w:rsidRPr="21CA7F43">
        <w:rPr>
          <w:rFonts w:eastAsia="Times New Roman" w:cs="Calibri"/>
          <w:b/>
          <w:bCs/>
          <w:color w:val="000000" w:themeColor="text1"/>
          <w:sz w:val="20"/>
          <w:szCs w:val="20"/>
        </w:rPr>
        <w:t>2019</w:t>
      </w:r>
      <w:r w:rsidR="009B7DDD" w:rsidRPr="21CA7F43">
        <w:rPr>
          <w:rFonts w:eastAsia="Times New Roman" w:cs="Calibri"/>
          <w:b/>
          <w:bCs/>
          <w:color w:val="000000" w:themeColor="text1"/>
          <w:sz w:val="20"/>
          <w:szCs w:val="20"/>
        </w:rPr>
        <w:t xml:space="preserve"> (ACO and MCO Programs)</w:t>
      </w:r>
    </w:p>
    <w:p w14:paraId="6C7EB721" w14:textId="1430FAB7" w:rsidR="00E27D01" w:rsidRPr="00CE61A0" w:rsidRDefault="001A3881" w:rsidP="00C7442E">
      <w:pPr>
        <w:ind w:left="-900"/>
        <w:rPr>
          <w:shd w:val="clear" w:color="auto" w:fill="FFFFFF"/>
        </w:rPr>
      </w:pPr>
      <w:r>
        <w:rPr>
          <w:rStyle w:val="normaltextrun"/>
          <w:shd w:val="clear" w:color="auto" w:fill="FFFFFF"/>
        </w:rPr>
        <w:t xml:space="preserve">2019 </w:t>
      </w:r>
      <w:r w:rsidR="00E27D01">
        <w:rPr>
          <w:rStyle w:val="normaltextrun"/>
          <w:shd w:val="clear" w:color="auto" w:fill="FFFFFF"/>
        </w:rPr>
        <w:t>quality measure performance</w:t>
      </w:r>
      <w:r>
        <w:rPr>
          <w:rStyle w:val="normaltextrun"/>
          <w:shd w:val="clear" w:color="auto" w:fill="FFFFFF"/>
        </w:rPr>
        <w:t xml:space="preserve"> for individual ACO and MCO plans</w:t>
      </w:r>
      <w:r w:rsidR="00E27D01">
        <w:rPr>
          <w:rStyle w:val="normaltextrun"/>
          <w:shd w:val="clear" w:color="auto" w:fill="FFFFFF"/>
        </w:rPr>
        <w:t xml:space="preserve"> is presented in Table </w:t>
      </w:r>
      <w:r w:rsidR="003177BF">
        <w:rPr>
          <w:rStyle w:val="normaltextrun"/>
          <w:shd w:val="clear" w:color="auto" w:fill="FFFFFF"/>
        </w:rPr>
        <w:t>B</w:t>
      </w:r>
      <w:r w:rsidR="00E27D01">
        <w:rPr>
          <w:rStyle w:val="normaltextrun"/>
          <w:shd w:val="clear" w:color="auto" w:fill="FFFFFF"/>
        </w:rPr>
        <w:t>-</w:t>
      </w:r>
      <w:r w:rsidR="00DB1E8E">
        <w:rPr>
          <w:rStyle w:val="normaltextrun"/>
          <w:shd w:val="clear" w:color="auto" w:fill="FFFFFF"/>
        </w:rPr>
        <w:t>2</w:t>
      </w:r>
      <w:r w:rsidR="00E27D01">
        <w:rPr>
          <w:rStyle w:val="normaltextrun"/>
          <w:shd w:val="clear" w:color="auto" w:fill="FFFFFF"/>
        </w:rPr>
        <w:t xml:space="preserve">. </w:t>
      </w:r>
      <w:r w:rsidR="003177BF">
        <w:rPr>
          <w:rStyle w:val="normaltextrun"/>
          <w:shd w:val="clear" w:color="auto" w:fill="FFFFFF"/>
        </w:rPr>
        <w:t xml:space="preserve">Program-level totals are weighted means (WM). </w:t>
      </w:r>
      <w:r w:rsidR="00C7442E">
        <w:rPr>
          <w:rStyle w:val="normaltextrun"/>
          <w:shd w:val="clear" w:color="auto" w:fill="FFFFFF"/>
        </w:rPr>
        <w:t xml:space="preserve">Please see Appendix </w:t>
      </w:r>
      <w:r w:rsidR="003177BF">
        <w:rPr>
          <w:rStyle w:val="normaltextrun"/>
          <w:shd w:val="clear" w:color="auto" w:fill="FFFFFF"/>
        </w:rPr>
        <w:t>A</w:t>
      </w:r>
      <w:r w:rsidR="00C7442E">
        <w:rPr>
          <w:rStyle w:val="normaltextrun"/>
          <w:shd w:val="clear" w:color="auto" w:fill="FFFFFF"/>
        </w:rPr>
        <w:t xml:space="preserve"> for a list of MassHealth’s managed care plans.</w:t>
      </w:r>
    </w:p>
    <w:p w14:paraId="54445045" w14:textId="77777777" w:rsidR="00E27D01" w:rsidRDefault="00E27D01">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0FC9E16A" w14:textId="7BB2E0C9" w:rsidR="00C400C9" w:rsidRPr="00887418" w:rsidRDefault="00E27D01">
      <w:pPr>
        <w:pStyle w:val="ListParagraph"/>
        <w:numPr>
          <w:ilvl w:val="0"/>
          <w:numId w:val="3"/>
        </w:numPr>
        <w:ind w:left="-360" w:firstLine="0"/>
        <w:rPr>
          <w:b/>
          <w:bCs/>
        </w:rPr>
      </w:pPr>
      <w:r>
        <w:rPr>
          <w:b/>
          <w:bCs/>
        </w:rPr>
        <w:t>“NA” indicates that the rate was not included due to small denominator (n &lt;30).</w:t>
      </w:r>
    </w:p>
    <w:tbl>
      <w:tblPr>
        <w:tblW w:w="19689"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880"/>
        <w:gridCol w:w="662"/>
        <w:gridCol w:w="688"/>
        <w:gridCol w:w="662"/>
        <w:gridCol w:w="688"/>
        <w:gridCol w:w="810"/>
        <w:gridCol w:w="810"/>
        <w:gridCol w:w="720"/>
        <w:gridCol w:w="720"/>
        <w:gridCol w:w="662"/>
        <w:gridCol w:w="1000"/>
        <w:gridCol w:w="906"/>
        <w:gridCol w:w="852"/>
        <w:gridCol w:w="662"/>
        <w:gridCol w:w="737"/>
        <w:gridCol w:w="666"/>
        <w:gridCol w:w="662"/>
        <w:gridCol w:w="958"/>
        <w:gridCol w:w="879"/>
        <w:gridCol w:w="720"/>
        <w:gridCol w:w="720"/>
        <w:gridCol w:w="810"/>
      </w:tblGrid>
      <w:tr w:rsidR="00255A16" w:rsidRPr="00E341A9" w14:paraId="00C7EC2D" w14:textId="77777777" w:rsidTr="00A54D21">
        <w:trPr>
          <w:trHeight w:val="720"/>
          <w:tblHeader/>
        </w:trPr>
        <w:tc>
          <w:tcPr>
            <w:tcW w:w="815" w:type="dxa"/>
            <w:shd w:val="clear" w:color="auto" w:fill="auto"/>
            <w:noWrap/>
            <w:vAlign w:val="center"/>
            <w:hideMark/>
          </w:tcPr>
          <w:p w14:paraId="0C5E7FE1" w14:textId="36E1C8A6" w:rsidR="00E341A9" w:rsidRPr="00E341A9" w:rsidRDefault="00A361CD" w:rsidP="00E341A9">
            <w:pPr>
              <w:spacing w:after="0"/>
              <w:jc w:val="center"/>
              <w:rPr>
                <w:rFonts w:eastAsia="Times New Roman" w:cs="Calibri"/>
                <w:b/>
                <w:bCs/>
                <w:color w:val="000000"/>
                <w:sz w:val="16"/>
                <w:szCs w:val="16"/>
              </w:rPr>
            </w:pPr>
            <w:r>
              <w:rPr>
                <w:rFonts w:eastAsia="Times New Roman" w:cs="Calibri"/>
                <w:b/>
                <w:bCs/>
                <w:color w:val="000000"/>
                <w:sz w:val="16"/>
                <w:szCs w:val="16"/>
              </w:rPr>
              <w:t>Ref</w:t>
            </w:r>
          </w:p>
        </w:tc>
        <w:tc>
          <w:tcPr>
            <w:tcW w:w="2880" w:type="dxa"/>
            <w:shd w:val="clear" w:color="auto" w:fill="auto"/>
            <w:noWrap/>
            <w:vAlign w:val="center"/>
            <w:hideMark/>
          </w:tcPr>
          <w:p w14:paraId="205C9C4E" w14:textId="00711122" w:rsidR="00E341A9" w:rsidRPr="00E341A9" w:rsidRDefault="005B4367" w:rsidP="00E341A9">
            <w:pPr>
              <w:spacing w:after="0"/>
              <w:jc w:val="center"/>
              <w:rPr>
                <w:rFonts w:eastAsia="Times New Roman" w:cs="Calibri"/>
                <w:b/>
                <w:bCs/>
                <w:color w:val="000000"/>
                <w:sz w:val="16"/>
                <w:szCs w:val="16"/>
              </w:rPr>
            </w:pPr>
            <w:r>
              <w:rPr>
                <w:rFonts w:eastAsia="Times New Roman" w:cs="Calibri"/>
                <w:b/>
                <w:bCs/>
                <w:color w:val="000000"/>
                <w:sz w:val="16"/>
                <w:szCs w:val="16"/>
              </w:rPr>
              <w:t xml:space="preserve">2019 </w:t>
            </w:r>
            <w:r w:rsidR="00E341A9" w:rsidRPr="00E341A9">
              <w:rPr>
                <w:rFonts w:eastAsia="Times New Roman" w:cs="Calibri"/>
                <w:b/>
                <w:bCs/>
                <w:color w:val="000000"/>
                <w:sz w:val="16"/>
                <w:szCs w:val="16"/>
              </w:rPr>
              <w:t>Measure</w:t>
            </w:r>
          </w:p>
        </w:tc>
        <w:tc>
          <w:tcPr>
            <w:tcW w:w="662" w:type="dxa"/>
            <w:shd w:val="clear" w:color="auto" w:fill="8EAADB" w:themeFill="accent1" w:themeFillTint="99"/>
            <w:noWrap/>
            <w:vAlign w:val="center"/>
            <w:hideMark/>
          </w:tcPr>
          <w:p w14:paraId="1BE50D57"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Total ACO</w:t>
            </w:r>
          </w:p>
        </w:tc>
        <w:tc>
          <w:tcPr>
            <w:tcW w:w="688" w:type="dxa"/>
            <w:shd w:val="clear" w:color="auto" w:fill="8EAADB" w:themeFill="accent1" w:themeFillTint="99"/>
            <w:vAlign w:val="center"/>
            <w:hideMark/>
          </w:tcPr>
          <w:p w14:paraId="3D3D9481"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FH BERK</w:t>
            </w:r>
          </w:p>
        </w:tc>
        <w:tc>
          <w:tcPr>
            <w:tcW w:w="662" w:type="dxa"/>
            <w:shd w:val="clear" w:color="auto" w:fill="8EAADB" w:themeFill="accent1" w:themeFillTint="99"/>
            <w:vAlign w:val="center"/>
            <w:hideMark/>
          </w:tcPr>
          <w:p w14:paraId="7E76E0CA"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FH 365</w:t>
            </w:r>
          </w:p>
        </w:tc>
        <w:tc>
          <w:tcPr>
            <w:tcW w:w="688" w:type="dxa"/>
            <w:shd w:val="clear" w:color="auto" w:fill="8EAADB" w:themeFill="accent1" w:themeFillTint="99"/>
            <w:vAlign w:val="center"/>
            <w:hideMark/>
          </w:tcPr>
          <w:p w14:paraId="319AB3F9"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FH WFC</w:t>
            </w:r>
          </w:p>
        </w:tc>
        <w:tc>
          <w:tcPr>
            <w:tcW w:w="810" w:type="dxa"/>
            <w:shd w:val="clear" w:color="auto" w:fill="8EAADB" w:themeFill="accent1" w:themeFillTint="99"/>
            <w:vAlign w:val="center"/>
            <w:hideMark/>
          </w:tcPr>
          <w:p w14:paraId="16F72469"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HNE</w:t>
            </w:r>
          </w:p>
        </w:tc>
        <w:tc>
          <w:tcPr>
            <w:tcW w:w="810" w:type="dxa"/>
            <w:shd w:val="clear" w:color="auto" w:fill="8EAADB" w:themeFill="accent1" w:themeFillTint="99"/>
            <w:vAlign w:val="center"/>
            <w:hideMark/>
          </w:tcPr>
          <w:p w14:paraId="223C9887"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AHP</w:t>
            </w:r>
          </w:p>
        </w:tc>
        <w:tc>
          <w:tcPr>
            <w:tcW w:w="720" w:type="dxa"/>
            <w:shd w:val="clear" w:color="auto" w:fill="8EAADB" w:themeFill="accent1" w:themeFillTint="99"/>
            <w:vAlign w:val="center"/>
            <w:hideMark/>
          </w:tcPr>
          <w:p w14:paraId="09B4385B" w14:textId="3506CDF3"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THP</w:t>
            </w:r>
            <w:r w:rsidR="00F31687">
              <w:rPr>
                <w:rFonts w:eastAsia="Times New Roman" w:cs="Calibri"/>
                <w:b/>
                <w:bCs/>
                <w:color w:val="000000"/>
                <w:sz w:val="16"/>
                <w:szCs w:val="16"/>
              </w:rPr>
              <w:t xml:space="preserve"> </w:t>
            </w:r>
            <w:r w:rsidRPr="00E341A9">
              <w:rPr>
                <w:rFonts w:eastAsia="Times New Roman" w:cs="Calibri"/>
                <w:b/>
                <w:bCs/>
                <w:color w:val="000000"/>
                <w:sz w:val="16"/>
                <w:szCs w:val="16"/>
              </w:rPr>
              <w:t>ATRIUS</w:t>
            </w:r>
          </w:p>
        </w:tc>
        <w:tc>
          <w:tcPr>
            <w:tcW w:w="720" w:type="dxa"/>
            <w:shd w:val="clear" w:color="auto" w:fill="8EAADB" w:themeFill="accent1" w:themeFillTint="99"/>
            <w:vAlign w:val="center"/>
            <w:hideMark/>
          </w:tcPr>
          <w:p w14:paraId="61E2AF35" w14:textId="6117AAD5"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THP BIDCO</w:t>
            </w:r>
          </w:p>
        </w:tc>
        <w:tc>
          <w:tcPr>
            <w:tcW w:w="662" w:type="dxa"/>
            <w:shd w:val="clear" w:color="auto" w:fill="8EAADB" w:themeFill="accent1" w:themeFillTint="99"/>
            <w:vAlign w:val="center"/>
            <w:hideMark/>
          </w:tcPr>
          <w:p w14:paraId="50686E47" w14:textId="64019920"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THP CHA</w:t>
            </w:r>
          </w:p>
        </w:tc>
        <w:tc>
          <w:tcPr>
            <w:tcW w:w="1000" w:type="dxa"/>
            <w:shd w:val="clear" w:color="auto" w:fill="8EAADB" w:themeFill="accent1" w:themeFillTint="99"/>
            <w:vAlign w:val="center"/>
            <w:hideMark/>
          </w:tcPr>
          <w:p w14:paraId="49141263" w14:textId="2C5C421C" w:rsidR="00F31687"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THP</w:t>
            </w:r>
          </w:p>
          <w:p w14:paraId="515B7475" w14:textId="3844F913"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CHILDREN'S</w:t>
            </w:r>
          </w:p>
        </w:tc>
        <w:tc>
          <w:tcPr>
            <w:tcW w:w="906" w:type="dxa"/>
            <w:shd w:val="clear" w:color="auto" w:fill="8EAADB" w:themeFill="accent1" w:themeFillTint="99"/>
            <w:vAlign w:val="center"/>
            <w:hideMark/>
          </w:tcPr>
          <w:p w14:paraId="3C8F7E1A"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BMC BACO</w:t>
            </w:r>
          </w:p>
        </w:tc>
        <w:tc>
          <w:tcPr>
            <w:tcW w:w="852" w:type="dxa"/>
            <w:shd w:val="clear" w:color="auto" w:fill="8EAADB" w:themeFill="accent1" w:themeFillTint="99"/>
            <w:vAlign w:val="center"/>
            <w:hideMark/>
          </w:tcPr>
          <w:p w14:paraId="67E57DDD"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BMC MERCY</w:t>
            </w:r>
          </w:p>
        </w:tc>
        <w:tc>
          <w:tcPr>
            <w:tcW w:w="662" w:type="dxa"/>
            <w:shd w:val="clear" w:color="auto" w:fill="8EAADB" w:themeFill="accent1" w:themeFillTint="99"/>
            <w:vAlign w:val="center"/>
            <w:hideMark/>
          </w:tcPr>
          <w:p w14:paraId="6A1A7FFE"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BMC SIGN</w:t>
            </w:r>
          </w:p>
        </w:tc>
        <w:tc>
          <w:tcPr>
            <w:tcW w:w="737" w:type="dxa"/>
            <w:shd w:val="clear" w:color="auto" w:fill="8EAADB" w:themeFill="accent1" w:themeFillTint="99"/>
            <w:vAlign w:val="center"/>
            <w:hideMark/>
          </w:tcPr>
          <w:p w14:paraId="15AD2504"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BMC SCOAST</w:t>
            </w:r>
          </w:p>
        </w:tc>
        <w:tc>
          <w:tcPr>
            <w:tcW w:w="666" w:type="dxa"/>
            <w:shd w:val="clear" w:color="auto" w:fill="8EAADB" w:themeFill="accent1" w:themeFillTint="99"/>
            <w:vAlign w:val="center"/>
            <w:hideMark/>
          </w:tcPr>
          <w:p w14:paraId="2E71D9F4"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C3</w:t>
            </w:r>
          </w:p>
        </w:tc>
        <w:tc>
          <w:tcPr>
            <w:tcW w:w="662" w:type="dxa"/>
            <w:shd w:val="clear" w:color="auto" w:fill="8EAADB" w:themeFill="accent1" w:themeFillTint="99"/>
            <w:vAlign w:val="center"/>
            <w:hideMark/>
          </w:tcPr>
          <w:p w14:paraId="60C334C3"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MGB</w:t>
            </w:r>
          </w:p>
        </w:tc>
        <w:tc>
          <w:tcPr>
            <w:tcW w:w="958" w:type="dxa"/>
            <w:shd w:val="clear" w:color="auto" w:fill="8EAADB" w:themeFill="accent1" w:themeFillTint="99"/>
            <w:vAlign w:val="center"/>
            <w:hideMark/>
          </w:tcPr>
          <w:p w14:paraId="3BCC15DA"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STEWARD</w:t>
            </w:r>
          </w:p>
        </w:tc>
        <w:tc>
          <w:tcPr>
            <w:tcW w:w="879" w:type="dxa"/>
            <w:shd w:val="clear" w:color="auto" w:fill="8EAADB" w:themeFill="accent1" w:themeFillTint="99"/>
            <w:vAlign w:val="center"/>
            <w:hideMark/>
          </w:tcPr>
          <w:p w14:paraId="1F6F0D16" w14:textId="77777777" w:rsidR="00E341A9" w:rsidRPr="00E341A9" w:rsidRDefault="00E341A9" w:rsidP="00E341A9">
            <w:pPr>
              <w:spacing w:after="0"/>
              <w:jc w:val="center"/>
              <w:rPr>
                <w:rFonts w:eastAsia="Times New Roman" w:cs="Calibri"/>
                <w:b/>
                <w:bCs/>
                <w:color w:val="000000"/>
                <w:sz w:val="16"/>
                <w:szCs w:val="16"/>
              </w:rPr>
            </w:pPr>
            <w:r w:rsidRPr="00E341A9">
              <w:rPr>
                <w:rFonts w:eastAsia="Times New Roman" w:cs="Calibri"/>
                <w:b/>
                <w:bCs/>
                <w:color w:val="000000"/>
                <w:sz w:val="16"/>
                <w:szCs w:val="16"/>
              </w:rPr>
              <w:t>LAHEY</w:t>
            </w:r>
          </w:p>
        </w:tc>
        <w:tc>
          <w:tcPr>
            <w:tcW w:w="720" w:type="dxa"/>
            <w:shd w:val="clear" w:color="auto" w:fill="2F5496" w:themeFill="accent1" w:themeFillShade="BF"/>
            <w:noWrap/>
            <w:vAlign w:val="center"/>
            <w:hideMark/>
          </w:tcPr>
          <w:p w14:paraId="0255C403" w14:textId="77777777" w:rsidR="00E341A9" w:rsidRPr="00A54D21" w:rsidRDefault="00E341A9" w:rsidP="00E341A9">
            <w:pPr>
              <w:spacing w:after="0"/>
              <w:jc w:val="center"/>
              <w:rPr>
                <w:rFonts w:eastAsia="Times New Roman" w:cs="Calibri"/>
                <w:b/>
                <w:bCs/>
                <w:color w:val="FFFFFF" w:themeColor="background1"/>
                <w:sz w:val="16"/>
                <w:szCs w:val="16"/>
              </w:rPr>
            </w:pPr>
            <w:r w:rsidRPr="00A54D21">
              <w:rPr>
                <w:rFonts w:eastAsia="Times New Roman" w:cs="Calibri"/>
                <w:b/>
                <w:bCs/>
                <w:color w:val="FFFFFF" w:themeColor="background1"/>
                <w:sz w:val="16"/>
                <w:szCs w:val="16"/>
              </w:rPr>
              <w:t>Total MCO</w:t>
            </w:r>
          </w:p>
        </w:tc>
        <w:tc>
          <w:tcPr>
            <w:tcW w:w="720" w:type="dxa"/>
            <w:shd w:val="clear" w:color="auto" w:fill="2F5496" w:themeFill="accent1" w:themeFillShade="BF"/>
            <w:noWrap/>
            <w:vAlign w:val="center"/>
            <w:hideMark/>
          </w:tcPr>
          <w:p w14:paraId="2F4D515A" w14:textId="77777777" w:rsidR="00E341A9" w:rsidRPr="00A54D21" w:rsidRDefault="00E341A9" w:rsidP="00E341A9">
            <w:pPr>
              <w:spacing w:after="0"/>
              <w:jc w:val="center"/>
              <w:rPr>
                <w:rFonts w:eastAsia="Times New Roman" w:cs="Calibri"/>
                <w:b/>
                <w:bCs/>
                <w:color w:val="FFFFFF" w:themeColor="background1"/>
                <w:sz w:val="16"/>
                <w:szCs w:val="16"/>
              </w:rPr>
            </w:pPr>
            <w:r w:rsidRPr="00A54D21">
              <w:rPr>
                <w:rFonts w:eastAsia="Times New Roman" w:cs="Calibri"/>
                <w:b/>
                <w:bCs/>
                <w:color w:val="FFFFFF" w:themeColor="background1"/>
                <w:sz w:val="16"/>
                <w:szCs w:val="16"/>
              </w:rPr>
              <w:t>BMC MCO</w:t>
            </w:r>
          </w:p>
        </w:tc>
        <w:tc>
          <w:tcPr>
            <w:tcW w:w="810" w:type="dxa"/>
            <w:shd w:val="clear" w:color="auto" w:fill="2F5496" w:themeFill="accent1" w:themeFillShade="BF"/>
            <w:noWrap/>
            <w:vAlign w:val="center"/>
            <w:hideMark/>
          </w:tcPr>
          <w:p w14:paraId="4436AE42" w14:textId="2C9BF7B8" w:rsidR="00E341A9" w:rsidRPr="00A54D21" w:rsidRDefault="00C001E7" w:rsidP="00E341A9">
            <w:pPr>
              <w:spacing w:after="0"/>
              <w:jc w:val="center"/>
              <w:rPr>
                <w:rFonts w:eastAsia="Times New Roman" w:cs="Calibri"/>
                <w:b/>
                <w:bCs/>
                <w:color w:val="FFFFFF" w:themeColor="background1"/>
                <w:sz w:val="16"/>
                <w:szCs w:val="16"/>
              </w:rPr>
            </w:pPr>
            <w:r w:rsidRPr="00A54D21">
              <w:rPr>
                <w:rFonts w:eastAsia="Times New Roman" w:cs="Calibri"/>
                <w:b/>
                <w:bCs/>
                <w:color w:val="FFFFFF" w:themeColor="background1"/>
                <w:sz w:val="16"/>
                <w:szCs w:val="16"/>
              </w:rPr>
              <w:t>T</w:t>
            </w:r>
            <w:r>
              <w:rPr>
                <w:rFonts w:eastAsia="Times New Roman" w:cs="Calibri"/>
                <w:b/>
                <w:bCs/>
                <w:color w:val="FFFFFF" w:themeColor="background1"/>
                <w:sz w:val="16"/>
                <w:szCs w:val="16"/>
              </w:rPr>
              <w:t xml:space="preserve">HP </w:t>
            </w:r>
            <w:r w:rsidRPr="00A54D21">
              <w:rPr>
                <w:rFonts w:eastAsia="Times New Roman" w:cs="Calibri"/>
                <w:b/>
                <w:bCs/>
                <w:color w:val="FFFFFF" w:themeColor="background1"/>
                <w:sz w:val="16"/>
                <w:szCs w:val="16"/>
              </w:rPr>
              <w:t>MCO</w:t>
            </w:r>
          </w:p>
        </w:tc>
      </w:tr>
      <w:tr w:rsidR="00EF4C5F" w:rsidRPr="00E341A9" w14:paraId="39B9F9B0" w14:textId="77777777" w:rsidTr="005D332F">
        <w:trPr>
          <w:trHeight w:val="320"/>
        </w:trPr>
        <w:tc>
          <w:tcPr>
            <w:tcW w:w="815" w:type="dxa"/>
            <w:shd w:val="clear" w:color="auto" w:fill="auto"/>
            <w:hideMark/>
          </w:tcPr>
          <w:p w14:paraId="10BC37CB" w14:textId="77777777" w:rsidR="00D57F3A" w:rsidRPr="00E341A9" w:rsidRDefault="00D57F3A" w:rsidP="00D57F3A">
            <w:pPr>
              <w:spacing w:after="0"/>
              <w:jc w:val="center"/>
              <w:rPr>
                <w:rFonts w:eastAsia="Times New Roman" w:cs="Calibri"/>
                <w:sz w:val="16"/>
                <w:szCs w:val="16"/>
              </w:rPr>
            </w:pPr>
            <w:r w:rsidRPr="00E341A9">
              <w:rPr>
                <w:rFonts w:eastAsia="Times New Roman" w:cs="Calibri"/>
                <w:sz w:val="16"/>
                <w:szCs w:val="16"/>
              </w:rPr>
              <w:t>CIS</w:t>
            </w:r>
          </w:p>
        </w:tc>
        <w:tc>
          <w:tcPr>
            <w:tcW w:w="2880" w:type="dxa"/>
            <w:shd w:val="clear" w:color="auto" w:fill="auto"/>
            <w:hideMark/>
          </w:tcPr>
          <w:p w14:paraId="1FB51821"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Childhood Immunization Status (combo 10)</w:t>
            </w:r>
          </w:p>
        </w:tc>
        <w:tc>
          <w:tcPr>
            <w:tcW w:w="662" w:type="dxa"/>
            <w:shd w:val="clear" w:color="auto" w:fill="auto"/>
            <w:noWrap/>
            <w:vAlign w:val="center"/>
            <w:hideMark/>
          </w:tcPr>
          <w:p w14:paraId="016B5D81" w14:textId="05DB86A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56.1%</w:t>
            </w:r>
          </w:p>
        </w:tc>
        <w:tc>
          <w:tcPr>
            <w:tcW w:w="688" w:type="dxa"/>
            <w:shd w:val="clear" w:color="auto" w:fill="auto"/>
            <w:noWrap/>
            <w:vAlign w:val="center"/>
            <w:hideMark/>
          </w:tcPr>
          <w:p w14:paraId="0EEEDFD7" w14:textId="34B61BB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44.3%</w:t>
            </w:r>
          </w:p>
        </w:tc>
        <w:tc>
          <w:tcPr>
            <w:tcW w:w="662" w:type="dxa"/>
            <w:shd w:val="clear" w:color="auto" w:fill="auto"/>
            <w:noWrap/>
            <w:vAlign w:val="center"/>
            <w:hideMark/>
          </w:tcPr>
          <w:p w14:paraId="7D0DFF40" w14:textId="19CD58D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64.1%</w:t>
            </w:r>
          </w:p>
        </w:tc>
        <w:tc>
          <w:tcPr>
            <w:tcW w:w="688" w:type="dxa"/>
            <w:shd w:val="clear" w:color="auto" w:fill="auto"/>
            <w:noWrap/>
            <w:vAlign w:val="center"/>
            <w:hideMark/>
          </w:tcPr>
          <w:p w14:paraId="1D063A88" w14:textId="2D8ACEA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54.7%</w:t>
            </w:r>
          </w:p>
        </w:tc>
        <w:tc>
          <w:tcPr>
            <w:tcW w:w="810" w:type="dxa"/>
            <w:shd w:val="clear" w:color="auto" w:fill="auto"/>
            <w:noWrap/>
            <w:vAlign w:val="center"/>
            <w:hideMark/>
          </w:tcPr>
          <w:p w14:paraId="130025B0" w14:textId="6664CDC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48.9%</w:t>
            </w:r>
          </w:p>
        </w:tc>
        <w:tc>
          <w:tcPr>
            <w:tcW w:w="810" w:type="dxa"/>
            <w:shd w:val="clear" w:color="auto" w:fill="auto"/>
            <w:noWrap/>
            <w:vAlign w:val="center"/>
            <w:hideMark/>
          </w:tcPr>
          <w:p w14:paraId="07B27FD9" w14:textId="05AEAFC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29.9%</w:t>
            </w:r>
          </w:p>
        </w:tc>
        <w:tc>
          <w:tcPr>
            <w:tcW w:w="720" w:type="dxa"/>
            <w:shd w:val="clear" w:color="auto" w:fill="auto"/>
            <w:noWrap/>
            <w:vAlign w:val="center"/>
            <w:hideMark/>
          </w:tcPr>
          <w:p w14:paraId="65DF5011" w14:textId="22793C1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60.3%</w:t>
            </w:r>
          </w:p>
        </w:tc>
        <w:tc>
          <w:tcPr>
            <w:tcW w:w="720" w:type="dxa"/>
            <w:shd w:val="clear" w:color="auto" w:fill="auto"/>
            <w:noWrap/>
            <w:vAlign w:val="center"/>
            <w:hideMark/>
          </w:tcPr>
          <w:p w14:paraId="430F8AC5" w14:textId="2769BF1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72.8%</w:t>
            </w:r>
          </w:p>
        </w:tc>
        <w:tc>
          <w:tcPr>
            <w:tcW w:w="662" w:type="dxa"/>
            <w:shd w:val="clear" w:color="auto" w:fill="auto"/>
            <w:noWrap/>
            <w:vAlign w:val="center"/>
            <w:hideMark/>
          </w:tcPr>
          <w:p w14:paraId="464B854D" w14:textId="4980E9A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72.9%</w:t>
            </w:r>
          </w:p>
        </w:tc>
        <w:tc>
          <w:tcPr>
            <w:tcW w:w="1000" w:type="dxa"/>
            <w:shd w:val="clear" w:color="auto" w:fill="auto"/>
            <w:noWrap/>
            <w:vAlign w:val="center"/>
            <w:hideMark/>
          </w:tcPr>
          <w:p w14:paraId="5A45BDBA" w14:textId="29AD1B8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56.8%</w:t>
            </w:r>
          </w:p>
        </w:tc>
        <w:tc>
          <w:tcPr>
            <w:tcW w:w="906" w:type="dxa"/>
            <w:shd w:val="clear" w:color="auto" w:fill="auto"/>
            <w:noWrap/>
            <w:vAlign w:val="center"/>
            <w:hideMark/>
          </w:tcPr>
          <w:p w14:paraId="408C71D8" w14:textId="3333CC6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55.0%</w:t>
            </w:r>
          </w:p>
        </w:tc>
        <w:tc>
          <w:tcPr>
            <w:tcW w:w="852" w:type="dxa"/>
            <w:shd w:val="clear" w:color="auto" w:fill="auto"/>
            <w:noWrap/>
            <w:vAlign w:val="center"/>
            <w:hideMark/>
          </w:tcPr>
          <w:p w14:paraId="66F84D2C" w14:textId="520C268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53.8%</w:t>
            </w:r>
          </w:p>
        </w:tc>
        <w:tc>
          <w:tcPr>
            <w:tcW w:w="662" w:type="dxa"/>
            <w:shd w:val="clear" w:color="auto" w:fill="auto"/>
            <w:noWrap/>
            <w:vAlign w:val="center"/>
            <w:hideMark/>
          </w:tcPr>
          <w:p w14:paraId="5EB58BCA" w14:textId="78952A7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63.6%</w:t>
            </w:r>
          </w:p>
        </w:tc>
        <w:tc>
          <w:tcPr>
            <w:tcW w:w="737" w:type="dxa"/>
            <w:shd w:val="clear" w:color="auto" w:fill="auto"/>
            <w:noWrap/>
            <w:vAlign w:val="center"/>
            <w:hideMark/>
          </w:tcPr>
          <w:p w14:paraId="75C0B96B" w14:textId="2124CCC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37.7%</w:t>
            </w:r>
          </w:p>
        </w:tc>
        <w:tc>
          <w:tcPr>
            <w:tcW w:w="666" w:type="dxa"/>
            <w:shd w:val="clear" w:color="auto" w:fill="auto"/>
            <w:noWrap/>
            <w:vAlign w:val="center"/>
            <w:hideMark/>
          </w:tcPr>
          <w:p w14:paraId="7D96336E" w14:textId="31364D9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65.8%</w:t>
            </w:r>
          </w:p>
        </w:tc>
        <w:tc>
          <w:tcPr>
            <w:tcW w:w="662" w:type="dxa"/>
            <w:shd w:val="clear" w:color="auto" w:fill="auto"/>
            <w:noWrap/>
            <w:vAlign w:val="center"/>
            <w:hideMark/>
          </w:tcPr>
          <w:p w14:paraId="06400304" w14:textId="4B22F91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56.3%</w:t>
            </w:r>
          </w:p>
        </w:tc>
        <w:tc>
          <w:tcPr>
            <w:tcW w:w="958" w:type="dxa"/>
            <w:shd w:val="clear" w:color="auto" w:fill="auto"/>
            <w:noWrap/>
            <w:vAlign w:val="center"/>
            <w:hideMark/>
          </w:tcPr>
          <w:p w14:paraId="60C07443" w14:textId="5CA4896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49.1%</w:t>
            </w:r>
          </w:p>
        </w:tc>
        <w:tc>
          <w:tcPr>
            <w:tcW w:w="879" w:type="dxa"/>
            <w:shd w:val="clear" w:color="auto" w:fill="auto"/>
            <w:noWrap/>
            <w:vAlign w:val="center"/>
            <w:hideMark/>
          </w:tcPr>
          <w:p w14:paraId="523916F0" w14:textId="1EC8359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720" w:type="dxa"/>
            <w:shd w:val="clear" w:color="auto" w:fill="auto"/>
            <w:noWrap/>
            <w:vAlign w:val="center"/>
            <w:hideMark/>
          </w:tcPr>
          <w:p w14:paraId="7331E4E7" w14:textId="28F91C0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720" w:type="dxa"/>
            <w:shd w:val="clear" w:color="auto" w:fill="auto"/>
            <w:noWrap/>
            <w:vAlign w:val="center"/>
            <w:hideMark/>
          </w:tcPr>
          <w:p w14:paraId="5C276B73" w14:textId="664A54B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810" w:type="dxa"/>
            <w:shd w:val="clear" w:color="auto" w:fill="auto"/>
            <w:noWrap/>
            <w:vAlign w:val="center"/>
            <w:hideMark/>
          </w:tcPr>
          <w:p w14:paraId="6F520C97" w14:textId="2A4E29CA" w:rsidR="00D57F3A" w:rsidRPr="008350BD" w:rsidRDefault="00D57F3A" w:rsidP="00D57F3A">
            <w:pPr>
              <w:spacing w:after="0"/>
              <w:jc w:val="center"/>
              <w:rPr>
                <w:rFonts w:eastAsia="Times New Roman" w:cs="Calibri"/>
                <w:b/>
                <w:bCs/>
                <w:color w:val="000000"/>
                <w:sz w:val="16"/>
                <w:szCs w:val="16"/>
              </w:rPr>
            </w:pPr>
            <w:r w:rsidRPr="008350BD">
              <w:rPr>
                <w:rFonts w:cs="Calibri"/>
                <w:b/>
                <w:bCs/>
                <w:color w:val="000000"/>
                <w:sz w:val="16"/>
                <w:szCs w:val="16"/>
              </w:rPr>
              <w:t>--</w:t>
            </w:r>
          </w:p>
        </w:tc>
      </w:tr>
      <w:tr w:rsidR="00255A16" w:rsidRPr="00E341A9" w14:paraId="52B180D7" w14:textId="77777777" w:rsidTr="007358E6">
        <w:trPr>
          <w:trHeight w:val="310"/>
        </w:trPr>
        <w:tc>
          <w:tcPr>
            <w:tcW w:w="815" w:type="dxa"/>
            <w:shd w:val="clear" w:color="auto" w:fill="F2F2F2" w:themeFill="background1" w:themeFillShade="F2"/>
            <w:noWrap/>
            <w:hideMark/>
          </w:tcPr>
          <w:p w14:paraId="2EACA018"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PPC</w:t>
            </w:r>
          </w:p>
        </w:tc>
        <w:tc>
          <w:tcPr>
            <w:tcW w:w="2880" w:type="dxa"/>
            <w:shd w:val="clear" w:color="auto" w:fill="F2F2F2" w:themeFill="background1" w:themeFillShade="F2"/>
            <w:hideMark/>
          </w:tcPr>
          <w:p w14:paraId="2F867350"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Timeliness of Prenatal Care </w:t>
            </w:r>
          </w:p>
        </w:tc>
        <w:tc>
          <w:tcPr>
            <w:tcW w:w="662" w:type="dxa"/>
            <w:shd w:val="clear" w:color="auto" w:fill="F2F2F2" w:themeFill="background1" w:themeFillShade="F2"/>
            <w:noWrap/>
            <w:vAlign w:val="center"/>
            <w:hideMark/>
          </w:tcPr>
          <w:p w14:paraId="54029F8D" w14:textId="61A99FA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85.5%</w:t>
            </w:r>
          </w:p>
        </w:tc>
        <w:tc>
          <w:tcPr>
            <w:tcW w:w="688" w:type="dxa"/>
            <w:shd w:val="clear" w:color="auto" w:fill="F2F2F2" w:themeFill="background1" w:themeFillShade="F2"/>
            <w:noWrap/>
            <w:vAlign w:val="center"/>
            <w:hideMark/>
          </w:tcPr>
          <w:p w14:paraId="03AFB5C0" w14:textId="0D85E0C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94.5%</w:t>
            </w:r>
          </w:p>
        </w:tc>
        <w:tc>
          <w:tcPr>
            <w:tcW w:w="662" w:type="dxa"/>
            <w:shd w:val="clear" w:color="auto" w:fill="F2F2F2" w:themeFill="background1" w:themeFillShade="F2"/>
            <w:noWrap/>
            <w:vAlign w:val="center"/>
            <w:hideMark/>
          </w:tcPr>
          <w:p w14:paraId="06DC2BD8" w14:textId="71C2E2D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90.5%</w:t>
            </w:r>
          </w:p>
        </w:tc>
        <w:tc>
          <w:tcPr>
            <w:tcW w:w="688" w:type="dxa"/>
            <w:shd w:val="clear" w:color="auto" w:fill="F2F2F2" w:themeFill="background1" w:themeFillShade="F2"/>
            <w:noWrap/>
            <w:vAlign w:val="center"/>
            <w:hideMark/>
          </w:tcPr>
          <w:p w14:paraId="478AAD93" w14:textId="5622683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85.6%</w:t>
            </w:r>
          </w:p>
        </w:tc>
        <w:tc>
          <w:tcPr>
            <w:tcW w:w="810" w:type="dxa"/>
            <w:shd w:val="clear" w:color="auto" w:fill="F2F2F2" w:themeFill="background1" w:themeFillShade="F2"/>
            <w:noWrap/>
            <w:vAlign w:val="center"/>
            <w:hideMark/>
          </w:tcPr>
          <w:p w14:paraId="2E31AB68" w14:textId="49D966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91.2%</w:t>
            </w:r>
          </w:p>
        </w:tc>
        <w:tc>
          <w:tcPr>
            <w:tcW w:w="810" w:type="dxa"/>
            <w:shd w:val="clear" w:color="auto" w:fill="F2F2F2" w:themeFill="background1" w:themeFillShade="F2"/>
            <w:noWrap/>
            <w:vAlign w:val="center"/>
            <w:hideMark/>
          </w:tcPr>
          <w:p w14:paraId="428987CD" w14:textId="26A801F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98.1%</w:t>
            </w:r>
          </w:p>
        </w:tc>
        <w:tc>
          <w:tcPr>
            <w:tcW w:w="720" w:type="dxa"/>
            <w:shd w:val="clear" w:color="auto" w:fill="F2F2F2" w:themeFill="background1" w:themeFillShade="F2"/>
            <w:noWrap/>
            <w:vAlign w:val="center"/>
            <w:hideMark/>
          </w:tcPr>
          <w:p w14:paraId="312BA734" w14:textId="215B7AA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75.9%</w:t>
            </w:r>
          </w:p>
        </w:tc>
        <w:tc>
          <w:tcPr>
            <w:tcW w:w="720" w:type="dxa"/>
            <w:shd w:val="clear" w:color="auto" w:fill="F2F2F2" w:themeFill="background1" w:themeFillShade="F2"/>
            <w:noWrap/>
            <w:vAlign w:val="center"/>
            <w:hideMark/>
          </w:tcPr>
          <w:p w14:paraId="72BA46A9" w14:textId="72E5F5E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86.4%</w:t>
            </w:r>
          </w:p>
        </w:tc>
        <w:tc>
          <w:tcPr>
            <w:tcW w:w="662" w:type="dxa"/>
            <w:shd w:val="clear" w:color="auto" w:fill="F2F2F2" w:themeFill="background1" w:themeFillShade="F2"/>
            <w:noWrap/>
            <w:vAlign w:val="center"/>
            <w:hideMark/>
          </w:tcPr>
          <w:p w14:paraId="6F35BA40" w14:textId="5C1C5F7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89.3%</w:t>
            </w:r>
          </w:p>
        </w:tc>
        <w:tc>
          <w:tcPr>
            <w:tcW w:w="1000" w:type="dxa"/>
            <w:shd w:val="clear" w:color="auto" w:fill="F2F2F2" w:themeFill="background1" w:themeFillShade="F2"/>
            <w:noWrap/>
            <w:vAlign w:val="center"/>
            <w:hideMark/>
          </w:tcPr>
          <w:p w14:paraId="7B372900" w14:textId="3F7526E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36.4%</w:t>
            </w:r>
          </w:p>
        </w:tc>
        <w:tc>
          <w:tcPr>
            <w:tcW w:w="906" w:type="dxa"/>
            <w:shd w:val="clear" w:color="auto" w:fill="F2F2F2" w:themeFill="background1" w:themeFillShade="F2"/>
            <w:noWrap/>
            <w:vAlign w:val="center"/>
            <w:hideMark/>
          </w:tcPr>
          <w:p w14:paraId="0E2CD9AB" w14:textId="32B322C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84.2%</w:t>
            </w:r>
          </w:p>
        </w:tc>
        <w:tc>
          <w:tcPr>
            <w:tcW w:w="852" w:type="dxa"/>
            <w:shd w:val="clear" w:color="auto" w:fill="F2F2F2" w:themeFill="background1" w:themeFillShade="F2"/>
            <w:noWrap/>
            <w:vAlign w:val="center"/>
            <w:hideMark/>
          </w:tcPr>
          <w:p w14:paraId="69A7218D" w14:textId="45D2A52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80.3%</w:t>
            </w:r>
          </w:p>
        </w:tc>
        <w:tc>
          <w:tcPr>
            <w:tcW w:w="662" w:type="dxa"/>
            <w:shd w:val="clear" w:color="auto" w:fill="F2F2F2" w:themeFill="background1" w:themeFillShade="F2"/>
            <w:noWrap/>
            <w:vAlign w:val="center"/>
            <w:hideMark/>
          </w:tcPr>
          <w:p w14:paraId="4BBF1369" w14:textId="54261E5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91.0%</w:t>
            </w:r>
          </w:p>
        </w:tc>
        <w:tc>
          <w:tcPr>
            <w:tcW w:w="737" w:type="dxa"/>
            <w:shd w:val="clear" w:color="auto" w:fill="F2F2F2" w:themeFill="background1" w:themeFillShade="F2"/>
            <w:noWrap/>
            <w:vAlign w:val="center"/>
            <w:hideMark/>
          </w:tcPr>
          <w:p w14:paraId="7C588047" w14:textId="4738AF6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95.9%</w:t>
            </w:r>
          </w:p>
        </w:tc>
        <w:tc>
          <w:tcPr>
            <w:tcW w:w="666" w:type="dxa"/>
            <w:shd w:val="clear" w:color="auto" w:fill="F2F2F2" w:themeFill="background1" w:themeFillShade="F2"/>
            <w:noWrap/>
            <w:vAlign w:val="center"/>
            <w:hideMark/>
          </w:tcPr>
          <w:p w14:paraId="6A3E1B87" w14:textId="7A46FFE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88.3%</w:t>
            </w:r>
          </w:p>
        </w:tc>
        <w:tc>
          <w:tcPr>
            <w:tcW w:w="662" w:type="dxa"/>
            <w:shd w:val="clear" w:color="auto" w:fill="F2F2F2" w:themeFill="background1" w:themeFillShade="F2"/>
            <w:noWrap/>
            <w:vAlign w:val="center"/>
            <w:hideMark/>
          </w:tcPr>
          <w:p w14:paraId="6BB2EE12" w14:textId="404AC98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85.2%</w:t>
            </w:r>
          </w:p>
        </w:tc>
        <w:tc>
          <w:tcPr>
            <w:tcW w:w="958" w:type="dxa"/>
            <w:shd w:val="clear" w:color="auto" w:fill="F2F2F2" w:themeFill="background1" w:themeFillShade="F2"/>
            <w:noWrap/>
            <w:vAlign w:val="center"/>
            <w:hideMark/>
          </w:tcPr>
          <w:p w14:paraId="4A64152F" w14:textId="77BA97E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75.2%</w:t>
            </w:r>
          </w:p>
        </w:tc>
        <w:tc>
          <w:tcPr>
            <w:tcW w:w="879" w:type="dxa"/>
            <w:shd w:val="clear" w:color="auto" w:fill="F2F2F2" w:themeFill="background1" w:themeFillShade="F2"/>
            <w:noWrap/>
            <w:vAlign w:val="center"/>
            <w:hideMark/>
          </w:tcPr>
          <w:p w14:paraId="7C8D9499" w14:textId="6078642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75.8%</w:t>
            </w:r>
          </w:p>
        </w:tc>
        <w:tc>
          <w:tcPr>
            <w:tcW w:w="720" w:type="dxa"/>
            <w:shd w:val="clear" w:color="auto" w:fill="F2F2F2" w:themeFill="background1" w:themeFillShade="F2"/>
            <w:noWrap/>
            <w:vAlign w:val="center"/>
            <w:hideMark/>
          </w:tcPr>
          <w:p w14:paraId="5E8A9A55" w14:textId="204BE9D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720" w:type="dxa"/>
            <w:shd w:val="clear" w:color="auto" w:fill="F2F2F2" w:themeFill="background1" w:themeFillShade="F2"/>
            <w:noWrap/>
            <w:vAlign w:val="center"/>
            <w:hideMark/>
          </w:tcPr>
          <w:p w14:paraId="064F8653" w14:textId="3DEA807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810" w:type="dxa"/>
            <w:shd w:val="clear" w:color="auto" w:fill="F2F2F2" w:themeFill="background1" w:themeFillShade="F2"/>
            <w:noWrap/>
            <w:vAlign w:val="center"/>
            <w:hideMark/>
          </w:tcPr>
          <w:p w14:paraId="33E0D0A8" w14:textId="2633E996" w:rsidR="00D57F3A" w:rsidRPr="008350BD" w:rsidRDefault="00D57F3A" w:rsidP="00D57F3A">
            <w:pPr>
              <w:spacing w:after="0"/>
              <w:jc w:val="center"/>
              <w:rPr>
                <w:rFonts w:eastAsia="Times New Roman" w:cs="Calibri"/>
                <w:b/>
                <w:bCs/>
                <w:color w:val="000000"/>
                <w:sz w:val="16"/>
                <w:szCs w:val="16"/>
              </w:rPr>
            </w:pPr>
            <w:r w:rsidRPr="008350BD">
              <w:rPr>
                <w:rFonts w:cs="Calibri"/>
                <w:b/>
                <w:bCs/>
                <w:color w:val="000000"/>
                <w:sz w:val="16"/>
                <w:szCs w:val="16"/>
              </w:rPr>
              <w:t>--</w:t>
            </w:r>
          </w:p>
        </w:tc>
      </w:tr>
      <w:tr w:rsidR="00EF4C5F" w:rsidRPr="00E341A9" w14:paraId="153AA9F0" w14:textId="77777777" w:rsidTr="005D332F">
        <w:trPr>
          <w:trHeight w:val="310"/>
        </w:trPr>
        <w:tc>
          <w:tcPr>
            <w:tcW w:w="815" w:type="dxa"/>
            <w:shd w:val="clear" w:color="auto" w:fill="auto"/>
            <w:noWrap/>
            <w:hideMark/>
          </w:tcPr>
          <w:p w14:paraId="7EA8A0B4"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IMA</w:t>
            </w:r>
          </w:p>
        </w:tc>
        <w:tc>
          <w:tcPr>
            <w:tcW w:w="2880" w:type="dxa"/>
            <w:shd w:val="clear" w:color="auto" w:fill="auto"/>
            <w:hideMark/>
          </w:tcPr>
          <w:p w14:paraId="262A091C"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Immunization for Adolescents (combo 2)</w:t>
            </w:r>
          </w:p>
        </w:tc>
        <w:tc>
          <w:tcPr>
            <w:tcW w:w="662" w:type="dxa"/>
            <w:shd w:val="clear" w:color="auto" w:fill="auto"/>
            <w:noWrap/>
            <w:vAlign w:val="center"/>
            <w:hideMark/>
          </w:tcPr>
          <w:p w14:paraId="35AC4A6B" w14:textId="5B23069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44.7%</w:t>
            </w:r>
          </w:p>
        </w:tc>
        <w:tc>
          <w:tcPr>
            <w:tcW w:w="688" w:type="dxa"/>
            <w:shd w:val="clear" w:color="auto" w:fill="auto"/>
            <w:noWrap/>
            <w:vAlign w:val="center"/>
            <w:hideMark/>
          </w:tcPr>
          <w:p w14:paraId="2DAFBD25" w14:textId="2B269B5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20.0%</w:t>
            </w:r>
          </w:p>
        </w:tc>
        <w:tc>
          <w:tcPr>
            <w:tcW w:w="662" w:type="dxa"/>
            <w:shd w:val="clear" w:color="auto" w:fill="auto"/>
            <w:noWrap/>
            <w:vAlign w:val="center"/>
            <w:hideMark/>
          </w:tcPr>
          <w:p w14:paraId="49F7F8DA" w14:textId="26E6610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33.6%</w:t>
            </w:r>
          </w:p>
        </w:tc>
        <w:tc>
          <w:tcPr>
            <w:tcW w:w="688" w:type="dxa"/>
            <w:shd w:val="clear" w:color="auto" w:fill="auto"/>
            <w:noWrap/>
            <w:vAlign w:val="center"/>
            <w:hideMark/>
          </w:tcPr>
          <w:p w14:paraId="491296D1" w14:textId="2101E53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44.5%</w:t>
            </w:r>
          </w:p>
        </w:tc>
        <w:tc>
          <w:tcPr>
            <w:tcW w:w="810" w:type="dxa"/>
            <w:shd w:val="clear" w:color="auto" w:fill="auto"/>
            <w:noWrap/>
            <w:vAlign w:val="center"/>
            <w:hideMark/>
          </w:tcPr>
          <w:p w14:paraId="69309EAC" w14:textId="471112C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54.0%</w:t>
            </w:r>
          </w:p>
        </w:tc>
        <w:tc>
          <w:tcPr>
            <w:tcW w:w="810" w:type="dxa"/>
            <w:shd w:val="clear" w:color="auto" w:fill="auto"/>
            <w:noWrap/>
            <w:vAlign w:val="center"/>
            <w:hideMark/>
          </w:tcPr>
          <w:p w14:paraId="09442905" w14:textId="235E4CF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52.8%</w:t>
            </w:r>
          </w:p>
        </w:tc>
        <w:tc>
          <w:tcPr>
            <w:tcW w:w="720" w:type="dxa"/>
            <w:shd w:val="clear" w:color="auto" w:fill="auto"/>
            <w:noWrap/>
            <w:vAlign w:val="center"/>
            <w:hideMark/>
          </w:tcPr>
          <w:p w14:paraId="16E653F3" w14:textId="525CF28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33.6%</w:t>
            </w:r>
          </w:p>
        </w:tc>
        <w:tc>
          <w:tcPr>
            <w:tcW w:w="720" w:type="dxa"/>
            <w:shd w:val="clear" w:color="auto" w:fill="auto"/>
            <w:noWrap/>
            <w:vAlign w:val="center"/>
            <w:hideMark/>
          </w:tcPr>
          <w:p w14:paraId="1D2F4E6C" w14:textId="6584DBC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30.6%</w:t>
            </w:r>
          </w:p>
        </w:tc>
        <w:tc>
          <w:tcPr>
            <w:tcW w:w="662" w:type="dxa"/>
            <w:shd w:val="clear" w:color="auto" w:fill="auto"/>
            <w:noWrap/>
            <w:vAlign w:val="center"/>
            <w:hideMark/>
          </w:tcPr>
          <w:p w14:paraId="3AE0411A" w14:textId="7FC0118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55.7%</w:t>
            </w:r>
          </w:p>
        </w:tc>
        <w:tc>
          <w:tcPr>
            <w:tcW w:w="1000" w:type="dxa"/>
            <w:shd w:val="clear" w:color="auto" w:fill="auto"/>
            <w:noWrap/>
            <w:vAlign w:val="center"/>
            <w:hideMark/>
          </w:tcPr>
          <w:p w14:paraId="482E614E" w14:textId="21611F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44.3%</w:t>
            </w:r>
          </w:p>
        </w:tc>
        <w:tc>
          <w:tcPr>
            <w:tcW w:w="906" w:type="dxa"/>
            <w:shd w:val="clear" w:color="auto" w:fill="auto"/>
            <w:noWrap/>
            <w:vAlign w:val="center"/>
            <w:hideMark/>
          </w:tcPr>
          <w:p w14:paraId="3657C587" w14:textId="73BD3DF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57.7%</w:t>
            </w:r>
          </w:p>
        </w:tc>
        <w:tc>
          <w:tcPr>
            <w:tcW w:w="852" w:type="dxa"/>
            <w:shd w:val="clear" w:color="auto" w:fill="auto"/>
            <w:noWrap/>
            <w:vAlign w:val="center"/>
            <w:hideMark/>
          </w:tcPr>
          <w:p w14:paraId="60419DDD" w14:textId="5F128A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38.0%</w:t>
            </w:r>
          </w:p>
        </w:tc>
        <w:tc>
          <w:tcPr>
            <w:tcW w:w="662" w:type="dxa"/>
            <w:shd w:val="clear" w:color="auto" w:fill="auto"/>
            <w:noWrap/>
            <w:vAlign w:val="center"/>
            <w:hideMark/>
          </w:tcPr>
          <w:p w14:paraId="50520E9C" w14:textId="3B5E780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53.6%</w:t>
            </w:r>
          </w:p>
        </w:tc>
        <w:tc>
          <w:tcPr>
            <w:tcW w:w="737" w:type="dxa"/>
            <w:shd w:val="clear" w:color="auto" w:fill="auto"/>
            <w:noWrap/>
            <w:vAlign w:val="center"/>
            <w:hideMark/>
          </w:tcPr>
          <w:p w14:paraId="77076304" w14:textId="4318977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30.9%</w:t>
            </w:r>
          </w:p>
        </w:tc>
        <w:tc>
          <w:tcPr>
            <w:tcW w:w="666" w:type="dxa"/>
            <w:shd w:val="clear" w:color="auto" w:fill="auto"/>
            <w:noWrap/>
            <w:vAlign w:val="center"/>
            <w:hideMark/>
          </w:tcPr>
          <w:p w14:paraId="716E8351" w14:textId="00ED523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63.0%</w:t>
            </w:r>
          </w:p>
        </w:tc>
        <w:tc>
          <w:tcPr>
            <w:tcW w:w="662" w:type="dxa"/>
            <w:shd w:val="clear" w:color="auto" w:fill="auto"/>
            <w:noWrap/>
            <w:vAlign w:val="center"/>
            <w:hideMark/>
          </w:tcPr>
          <w:p w14:paraId="37B0A5CD" w14:textId="537DDB1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36.0%</w:t>
            </w:r>
          </w:p>
        </w:tc>
        <w:tc>
          <w:tcPr>
            <w:tcW w:w="958" w:type="dxa"/>
            <w:shd w:val="clear" w:color="auto" w:fill="auto"/>
            <w:noWrap/>
            <w:vAlign w:val="center"/>
            <w:hideMark/>
          </w:tcPr>
          <w:p w14:paraId="0ED56831" w14:textId="413AED7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31.9%</w:t>
            </w:r>
          </w:p>
        </w:tc>
        <w:tc>
          <w:tcPr>
            <w:tcW w:w="879" w:type="dxa"/>
            <w:shd w:val="clear" w:color="auto" w:fill="auto"/>
            <w:noWrap/>
            <w:vAlign w:val="center"/>
            <w:hideMark/>
          </w:tcPr>
          <w:p w14:paraId="2C0AD48D" w14:textId="25C71F3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720" w:type="dxa"/>
            <w:shd w:val="clear" w:color="auto" w:fill="auto"/>
            <w:noWrap/>
            <w:vAlign w:val="center"/>
            <w:hideMark/>
          </w:tcPr>
          <w:p w14:paraId="3688FA44" w14:textId="5CE4D9B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720" w:type="dxa"/>
            <w:shd w:val="clear" w:color="auto" w:fill="auto"/>
            <w:noWrap/>
            <w:vAlign w:val="center"/>
            <w:hideMark/>
          </w:tcPr>
          <w:p w14:paraId="3FF5E2C3" w14:textId="30C2031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810" w:type="dxa"/>
            <w:shd w:val="clear" w:color="auto" w:fill="auto"/>
            <w:noWrap/>
            <w:vAlign w:val="center"/>
            <w:hideMark/>
          </w:tcPr>
          <w:p w14:paraId="5709276F" w14:textId="78DF24EF" w:rsidR="00D57F3A" w:rsidRPr="008350BD" w:rsidRDefault="00D57F3A" w:rsidP="00D57F3A">
            <w:pPr>
              <w:spacing w:after="0"/>
              <w:jc w:val="center"/>
              <w:rPr>
                <w:rFonts w:eastAsia="Times New Roman" w:cs="Calibri"/>
                <w:b/>
                <w:bCs/>
                <w:color w:val="000000"/>
                <w:sz w:val="16"/>
                <w:szCs w:val="16"/>
              </w:rPr>
            </w:pPr>
            <w:r w:rsidRPr="008350BD">
              <w:rPr>
                <w:rFonts w:cs="Calibri"/>
                <w:b/>
                <w:bCs/>
                <w:color w:val="000000"/>
                <w:sz w:val="16"/>
                <w:szCs w:val="16"/>
              </w:rPr>
              <w:t>--</w:t>
            </w:r>
          </w:p>
        </w:tc>
      </w:tr>
      <w:tr w:rsidR="00255A16" w:rsidRPr="00E341A9" w14:paraId="77B71805" w14:textId="77777777" w:rsidTr="007358E6">
        <w:trPr>
          <w:trHeight w:val="310"/>
        </w:trPr>
        <w:tc>
          <w:tcPr>
            <w:tcW w:w="815" w:type="dxa"/>
            <w:shd w:val="clear" w:color="auto" w:fill="F2F2F2" w:themeFill="background1" w:themeFillShade="F2"/>
            <w:noWrap/>
            <w:hideMark/>
          </w:tcPr>
          <w:p w14:paraId="06962326"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p w14:paraId="48CF1CCE"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/ADA</w:t>
            </w:r>
          </w:p>
        </w:tc>
        <w:tc>
          <w:tcPr>
            <w:tcW w:w="2880" w:type="dxa"/>
            <w:shd w:val="clear" w:color="auto" w:fill="F2F2F2" w:themeFill="background1" w:themeFillShade="F2"/>
            <w:hideMark/>
          </w:tcPr>
          <w:p w14:paraId="4C90E6EC"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 xml:space="preserve">Oral Health Evaluation                                                                                     </w:t>
            </w:r>
            <w:r w:rsidRPr="00E341A9">
              <w:rPr>
                <w:rFonts w:eastAsia="Times New Roman" w:cs="Calibri"/>
                <w:color w:val="FF0000"/>
                <w:sz w:val="16"/>
                <w:szCs w:val="16"/>
              </w:rPr>
              <w:t xml:space="preserve"> </w:t>
            </w:r>
          </w:p>
        </w:tc>
        <w:tc>
          <w:tcPr>
            <w:tcW w:w="662" w:type="dxa"/>
            <w:shd w:val="clear" w:color="auto" w:fill="F2F2F2" w:themeFill="background1" w:themeFillShade="F2"/>
            <w:noWrap/>
            <w:vAlign w:val="center"/>
            <w:hideMark/>
          </w:tcPr>
          <w:p w14:paraId="6DF7CEA3" w14:textId="3B52126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61.0%</w:t>
            </w:r>
          </w:p>
        </w:tc>
        <w:tc>
          <w:tcPr>
            <w:tcW w:w="688" w:type="dxa"/>
            <w:shd w:val="clear" w:color="auto" w:fill="F2F2F2" w:themeFill="background1" w:themeFillShade="F2"/>
            <w:noWrap/>
            <w:vAlign w:val="center"/>
            <w:hideMark/>
          </w:tcPr>
          <w:p w14:paraId="56BF3A6D" w14:textId="32FB11C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60.2%</w:t>
            </w:r>
          </w:p>
        </w:tc>
        <w:tc>
          <w:tcPr>
            <w:tcW w:w="662" w:type="dxa"/>
            <w:shd w:val="clear" w:color="auto" w:fill="F2F2F2" w:themeFill="background1" w:themeFillShade="F2"/>
            <w:noWrap/>
            <w:vAlign w:val="center"/>
            <w:hideMark/>
          </w:tcPr>
          <w:p w14:paraId="01314124" w14:textId="48E5B21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64.9%</w:t>
            </w:r>
          </w:p>
        </w:tc>
        <w:tc>
          <w:tcPr>
            <w:tcW w:w="688" w:type="dxa"/>
            <w:shd w:val="clear" w:color="auto" w:fill="F2F2F2" w:themeFill="background1" w:themeFillShade="F2"/>
            <w:noWrap/>
            <w:vAlign w:val="center"/>
            <w:hideMark/>
          </w:tcPr>
          <w:p w14:paraId="599CB7E0" w14:textId="0844A9F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63.1%</w:t>
            </w:r>
          </w:p>
        </w:tc>
        <w:tc>
          <w:tcPr>
            <w:tcW w:w="810" w:type="dxa"/>
            <w:shd w:val="clear" w:color="auto" w:fill="F2F2F2" w:themeFill="background1" w:themeFillShade="F2"/>
            <w:noWrap/>
            <w:vAlign w:val="center"/>
            <w:hideMark/>
          </w:tcPr>
          <w:p w14:paraId="6C46F63F" w14:textId="3F110B7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57.0%</w:t>
            </w:r>
          </w:p>
        </w:tc>
        <w:tc>
          <w:tcPr>
            <w:tcW w:w="810" w:type="dxa"/>
            <w:shd w:val="clear" w:color="auto" w:fill="F2F2F2" w:themeFill="background1" w:themeFillShade="F2"/>
            <w:noWrap/>
            <w:vAlign w:val="center"/>
            <w:hideMark/>
          </w:tcPr>
          <w:p w14:paraId="7961CD70" w14:textId="6A8EBBC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63.8%</w:t>
            </w:r>
          </w:p>
        </w:tc>
        <w:tc>
          <w:tcPr>
            <w:tcW w:w="720" w:type="dxa"/>
            <w:shd w:val="clear" w:color="auto" w:fill="F2F2F2" w:themeFill="background1" w:themeFillShade="F2"/>
            <w:noWrap/>
            <w:vAlign w:val="center"/>
            <w:hideMark/>
          </w:tcPr>
          <w:p w14:paraId="381339F3" w14:textId="3C03A31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64.3%</w:t>
            </w:r>
          </w:p>
        </w:tc>
        <w:tc>
          <w:tcPr>
            <w:tcW w:w="720" w:type="dxa"/>
            <w:shd w:val="clear" w:color="auto" w:fill="F2F2F2" w:themeFill="background1" w:themeFillShade="F2"/>
            <w:noWrap/>
            <w:vAlign w:val="center"/>
            <w:hideMark/>
          </w:tcPr>
          <w:p w14:paraId="54A2E748" w14:textId="36F844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67.0%</w:t>
            </w:r>
          </w:p>
        </w:tc>
        <w:tc>
          <w:tcPr>
            <w:tcW w:w="662" w:type="dxa"/>
            <w:shd w:val="clear" w:color="auto" w:fill="F2F2F2" w:themeFill="background1" w:themeFillShade="F2"/>
            <w:noWrap/>
            <w:vAlign w:val="center"/>
            <w:hideMark/>
          </w:tcPr>
          <w:p w14:paraId="088FA45B" w14:textId="31373C9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62.5%</w:t>
            </w:r>
          </w:p>
        </w:tc>
        <w:tc>
          <w:tcPr>
            <w:tcW w:w="1000" w:type="dxa"/>
            <w:shd w:val="clear" w:color="auto" w:fill="F2F2F2" w:themeFill="background1" w:themeFillShade="F2"/>
            <w:noWrap/>
            <w:vAlign w:val="center"/>
            <w:hideMark/>
          </w:tcPr>
          <w:p w14:paraId="09A0D974" w14:textId="4C464C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62.4%</w:t>
            </w:r>
          </w:p>
        </w:tc>
        <w:tc>
          <w:tcPr>
            <w:tcW w:w="906" w:type="dxa"/>
            <w:shd w:val="clear" w:color="auto" w:fill="F2F2F2" w:themeFill="background1" w:themeFillShade="F2"/>
            <w:noWrap/>
            <w:vAlign w:val="center"/>
            <w:hideMark/>
          </w:tcPr>
          <w:p w14:paraId="7AC2F8ED" w14:textId="6AD7858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55.4%</w:t>
            </w:r>
          </w:p>
        </w:tc>
        <w:tc>
          <w:tcPr>
            <w:tcW w:w="852" w:type="dxa"/>
            <w:shd w:val="clear" w:color="auto" w:fill="F2F2F2" w:themeFill="background1" w:themeFillShade="F2"/>
            <w:noWrap/>
            <w:vAlign w:val="center"/>
            <w:hideMark/>
          </w:tcPr>
          <w:p w14:paraId="24D4885F" w14:textId="3EE93E5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58.5%</w:t>
            </w:r>
          </w:p>
        </w:tc>
        <w:tc>
          <w:tcPr>
            <w:tcW w:w="662" w:type="dxa"/>
            <w:shd w:val="clear" w:color="auto" w:fill="F2F2F2" w:themeFill="background1" w:themeFillShade="F2"/>
            <w:noWrap/>
            <w:vAlign w:val="center"/>
            <w:hideMark/>
          </w:tcPr>
          <w:p w14:paraId="08806A20" w14:textId="33CC030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58.2%</w:t>
            </w:r>
          </w:p>
        </w:tc>
        <w:tc>
          <w:tcPr>
            <w:tcW w:w="737" w:type="dxa"/>
            <w:shd w:val="clear" w:color="auto" w:fill="F2F2F2" w:themeFill="background1" w:themeFillShade="F2"/>
            <w:noWrap/>
            <w:vAlign w:val="center"/>
            <w:hideMark/>
          </w:tcPr>
          <w:p w14:paraId="4173F749" w14:textId="3150D3D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49.7%</w:t>
            </w:r>
          </w:p>
        </w:tc>
        <w:tc>
          <w:tcPr>
            <w:tcW w:w="666" w:type="dxa"/>
            <w:shd w:val="clear" w:color="auto" w:fill="F2F2F2" w:themeFill="background1" w:themeFillShade="F2"/>
            <w:noWrap/>
            <w:vAlign w:val="center"/>
            <w:hideMark/>
          </w:tcPr>
          <w:p w14:paraId="18E28510" w14:textId="0015E24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60.8%</w:t>
            </w:r>
          </w:p>
        </w:tc>
        <w:tc>
          <w:tcPr>
            <w:tcW w:w="662" w:type="dxa"/>
            <w:shd w:val="clear" w:color="auto" w:fill="F2F2F2" w:themeFill="background1" w:themeFillShade="F2"/>
            <w:noWrap/>
            <w:vAlign w:val="center"/>
            <w:hideMark/>
          </w:tcPr>
          <w:p w14:paraId="45176C9C" w14:textId="2F47DC4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63.4%</w:t>
            </w:r>
          </w:p>
        </w:tc>
        <w:tc>
          <w:tcPr>
            <w:tcW w:w="958" w:type="dxa"/>
            <w:shd w:val="clear" w:color="auto" w:fill="F2F2F2" w:themeFill="background1" w:themeFillShade="F2"/>
            <w:noWrap/>
            <w:vAlign w:val="center"/>
            <w:hideMark/>
          </w:tcPr>
          <w:p w14:paraId="2EAE868C" w14:textId="1EF09B2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58.7%</w:t>
            </w:r>
          </w:p>
        </w:tc>
        <w:tc>
          <w:tcPr>
            <w:tcW w:w="879" w:type="dxa"/>
            <w:shd w:val="clear" w:color="auto" w:fill="F2F2F2" w:themeFill="background1" w:themeFillShade="F2"/>
            <w:noWrap/>
            <w:vAlign w:val="center"/>
            <w:hideMark/>
          </w:tcPr>
          <w:p w14:paraId="786C7595" w14:textId="5AD0354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55.9%</w:t>
            </w:r>
          </w:p>
        </w:tc>
        <w:tc>
          <w:tcPr>
            <w:tcW w:w="720" w:type="dxa"/>
            <w:shd w:val="clear" w:color="auto" w:fill="F2F2F2" w:themeFill="background1" w:themeFillShade="F2"/>
            <w:noWrap/>
            <w:vAlign w:val="center"/>
            <w:hideMark/>
          </w:tcPr>
          <w:p w14:paraId="73E7D554" w14:textId="75BDC74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54.5%</w:t>
            </w:r>
          </w:p>
        </w:tc>
        <w:tc>
          <w:tcPr>
            <w:tcW w:w="720" w:type="dxa"/>
            <w:shd w:val="clear" w:color="auto" w:fill="F2F2F2" w:themeFill="background1" w:themeFillShade="F2"/>
            <w:noWrap/>
            <w:vAlign w:val="center"/>
            <w:hideMark/>
          </w:tcPr>
          <w:p w14:paraId="1FEFEFA1" w14:textId="7627CC2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52.9%</w:t>
            </w:r>
          </w:p>
        </w:tc>
        <w:tc>
          <w:tcPr>
            <w:tcW w:w="810" w:type="dxa"/>
            <w:shd w:val="clear" w:color="auto" w:fill="F2F2F2" w:themeFill="background1" w:themeFillShade="F2"/>
            <w:noWrap/>
            <w:vAlign w:val="center"/>
            <w:hideMark/>
          </w:tcPr>
          <w:p w14:paraId="52C8AD8F" w14:textId="7BF1D3D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55.5%</w:t>
            </w:r>
          </w:p>
        </w:tc>
      </w:tr>
      <w:tr w:rsidR="00EF4C5F" w:rsidRPr="00E341A9" w14:paraId="47DEEC49" w14:textId="77777777" w:rsidTr="005D332F">
        <w:trPr>
          <w:trHeight w:val="310"/>
        </w:trPr>
        <w:tc>
          <w:tcPr>
            <w:tcW w:w="815" w:type="dxa"/>
            <w:shd w:val="clear" w:color="auto" w:fill="auto"/>
            <w:noWrap/>
            <w:hideMark/>
          </w:tcPr>
          <w:p w14:paraId="46216630"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auto"/>
            <w:hideMark/>
          </w:tcPr>
          <w:p w14:paraId="0A5A0859"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Health-Related Social Needs Screening  </w:t>
            </w:r>
          </w:p>
        </w:tc>
        <w:tc>
          <w:tcPr>
            <w:tcW w:w="662" w:type="dxa"/>
            <w:shd w:val="clear" w:color="auto" w:fill="auto"/>
            <w:noWrap/>
            <w:vAlign w:val="center"/>
            <w:hideMark/>
          </w:tcPr>
          <w:p w14:paraId="3AFEE7B1" w14:textId="5017F11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20.0%</w:t>
            </w:r>
          </w:p>
        </w:tc>
        <w:tc>
          <w:tcPr>
            <w:tcW w:w="688" w:type="dxa"/>
            <w:shd w:val="clear" w:color="auto" w:fill="auto"/>
            <w:noWrap/>
            <w:vAlign w:val="center"/>
            <w:hideMark/>
          </w:tcPr>
          <w:p w14:paraId="600B5554" w14:textId="6807B2B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11.7%</w:t>
            </w:r>
          </w:p>
        </w:tc>
        <w:tc>
          <w:tcPr>
            <w:tcW w:w="662" w:type="dxa"/>
            <w:shd w:val="clear" w:color="auto" w:fill="auto"/>
            <w:noWrap/>
            <w:vAlign w:val="center"/>
            <w:hideMark/>
          </w:tcPr>
          <w:p w14:paraId="2DD5642A" w14:textId="32A6B8B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6.8%</w:t>
            </w:r>
          </w:p>
        </w:tc>
        <w:tc>
          <w:tcPr>
            <w:tcW w:w="688" w:type="dxa"/>
            <w:shd w:val="clear" w:color="auto" w:fill="auto"/>
            <w:noWrap/>
            <w:vAlign w:val="center"/>
            <w:hideMark/>
          </w:tcPr>
          <w:p w14:paraId="6E706144" w14:textId="17EB09C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10.5%</w:t>
            </w:r>
          </w:p>
        </w:tc>
        <w:tc>
          <w:tcPr>
            <w:tcW w:w="810" w:type="dxa"/>
            <w:shd w:val="clear" w:color="auto" w:fill="auto"/>
            <w:noWrap/>
            <w:vAlign w:val="center"/>
            <w:hideMark/>
          </w:tcPr>
          <w:p w14:paraId="68506EE1" w14:textId="6C2E384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w:t>
            </w:r>
          </w:p>
        </w:tc>
        <w:tc>
          <w:tcPr>
            <w:tcW w:w="810" w:type="dxa"/>
            <w:shd w:val="clear" w:color="auto" w:fill="auto"/>
            <w:noWrap/>
            <w:vAlign w:val="center"/>
            <w:hideMark/>
          </w:tcPr>
          <w:p w14:paraId="70BA8D45" w14:textId="73E712F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0.0%</w:t>
            </w:r>
          </w:p>
        </w:tc>
        <w:tc>
          <w:tcPr>
            <w:tcW w:w="720" w:type="dxa"/>
            <w:shd w:val="clear" w:color="auto" w:fill="auto"/>
            <w:noWrap/>
            <w:vAlign w:val="center"/>
            <w:hideMark/>
          </w:tcPr>
          <w:p w14:paraId="3FCA809C" w14:textId="4FCC68F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25.5%</w:t>
            </w:r>
          </w:p>
        </w:tc>
        <w:tc>
          <w:tcPr>
            <w:tcW w:w="720" w:type="dxa"/>
            <w:shd w:val="clear" w:color="auto" w:fill="auto"/>
            <w:noWrap/>
            <w:vAlign w:val="center"/>
            <w:hideMark/>
          </w:tcPr>
          <w:p w14:paraId="56B4B3EB" w14:textId="3286973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36.3%</w:t>
            </w:r>
          </w:p>
        </w:tc>
        <w:tc>
          <w:tcPr>
            <w:tcW w:w="662" w:type="dxa"/>
            <w:shd w:val="clear" w:color="auto" w:fill="auto"/>
            <w:noWrap/>
            <w:vAlign w:val="center"/>
            <w:hideMark/>
          </w:tcPr>
          <w:p w14:paraId="6D6710A4" w14:textId="666A37B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32.8%</w:t>
            </w:r>
          </w:p>
        </w:tc>
        <w:tc>
          <w:tcPr>
            <w:tcW w:w="1000" w:type="dxa"/>
            <w:shd w:val="clear" w:color="auto" w:fill="auto"/>
            <w:noWrap/>
            <w:vAlign w:val="center"/>
            <w:hideMark/>
          </w:tcPr>
          <w:p w14:paraId="25F64E5A" w14:textId="7959DD9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42.8%</w:t>
            </w:r>
          </w:p>
        </w:tc>
        <w:tc>
          <w:tcPr>
            <w:tcW w:w="906" w:type="dxa"/>
            <w:shd w:val="clear" w:color="auto" w:fill="auto"/>
            <w:noWrap/>
            <w:vAlign w:val="center"/>
            <w:hideMark/>
          </w:tcPr>
          <w:p w14:paraId="7528A663" w14:textId="29F2FAD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40.6%</w:t>
            </w:r>
          </w:p>
        </w:tc>
        <w:tc>
          <w:tcPr>
            <w:tcW w:w="852" w:type="dxa"/>
            <w:shd w:val="clear" w:color="auto" w:fill="auto"/>
            <w:noWrap/>
            <w:vAlign w:val="center"/>
            <w:hideMark/>
          </w:tcPr>
          <w:p w14:paraId="3384200C" w14:textId="7C2AC04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0.0%</w:t>
            </w:r>
          </w:p>
        </w:tc>
        <w:tc>
          <w:tcPr>
            <w:tcW w:w="662" w:type="dxa"/>
            <w:shd w:val="clear" w:color="auto" w:fill="auto"/>
            <w:noWrap/>
            <w:vAlign w:val="center"/>
            <w:hideMark/>
          </w:tcPr>
          <w:p w14:paraId="6ECE3E67" w14:textId="229F0C4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0.0%</w:t>
            </w:r>
          </w:p>
        </w:tc>
        <w:tc>
          <w:tcPr>
            <w:tcW w:w="737" w:type="dxa"/>
            <w:shd w:val="clear" w:color="auto" w:fill="auto"/>
            <w:noWrap/>
            <w:vAlign w:val="center"/>
            <w:hideMark/>
          </w:tcPr>
          <w:p w14:paraId="793CF1A5" w14:textId="0BB36F5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2.7%</w:t>
            </w:r>
          </w:p>
        </w:tc>
        <w:tc>
          <w:tcPr>
            <w:tcW w:w="666" w:type="dxa"/>
            <w:shd w:val="clear" w:color="auto" w:fill="auto"/>
            <w:noWrap/>
            <w:vAlign w:val="center"/>
            <w:hideMark/>
          </w:tcPr>
          <w:p w14:paraId="320F4D70" w14:textId="5F8F33B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w:t>
            </w:r>
          </w:p>
        </w:tc>
        <w:tc>
          <w:tcPr>
            <w:tcW w:w="662" w:type="dxa"/>
            <w:shd w:val="clear" w:color="auto" w:fill="auto"/>
            <w:noWrap/>
            <w:vAlign w:val="center"/>
            <w:hideMark/>
          </w:tcPr>
          <w:p w14:paraId="101A9D54" w14:textId="704EEA6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40.6%</w:t>
            </w:r>
          </w:p>
        </w:tc>
        <w:tc>
          <w:tcPr>
            <w:tcW w:w="958" w:type="dxa"/>
            <w:shd w:val="clear" w:color="auto" w:fill="auto"/>
            <w:noWrap/>
            <w:vAlign w:val="center"/>
            <w:hideMark/>
          </w:tcPr>
          <w:p w14:paraId="6812589C" w14:textId="54F872E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2.7%</w:t>
            </w:r>
          </w:p>
        </w:tc>
        <w:tc>
          <w:tcPr>
            <w:tcW w:w="879" w:type="dxa"/>
            <w:shd w:val="clear" w:color="auto" w:fill="auto"/>
            <w:noWrap/>
            <w:vAlign w:val="center"/>
            <w:hideMark/>
          </w:tcPr>
          <w:p w14:paraId="22DE423F" w14:textId="5DFF4F0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2.4%</w:t>
            </w:r>
          </w:p>
        </w:tc>
        <w:tc>
          <w:tcPr>
            <w:tcW w:w="720" w:type="dxa"/>
            <w:shd w:val="clear" w:color="auto" w:fill="auto"/>
            <w:noWrap/>
            <w:vAlign w:val="center"/>
            <w:hideMark/>
          </w:tcPr>
          <w:p w14:paraId="43A0421A" w14:textId="14FAED1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 </w:t>
            </w:r>
          </w:p>
        </w:tc>
        <w:tc>
          <w:tcPr>
            <w:tcW w:w="720" w:type="dxa"/>
            <w:shd w:val="clear" w:color="auto" w:fill="auto"/>
            <w:noWrap/>
            <w:vAlign w:val="center"/>
            <w:hideMark/>
          </w:tcPr>
          <w:p w14:paraId="7614C9C4" w14:textId="53FACA8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 </w:t>
            </w:r>
          </w:p>
        </w:tc>
        <w:tc>
          <w:tcPr>
            <w:tcW w:w="810" w:type="dxa"/>
            <w:shd w:val="clear" w:color="auto" w:fill="auto"/>
            <w:noWrap/>
            <w:vAlign w:val="center"/>
            <w:hideMark/>
          </w:tcPr>
          <w:p w14:paraId="168D5ABE" w14:textId="2CCB070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 </w:t>
            </w:r>
          </w:p>
        </w:tc>
      </w:tr>
      <w:tr w:rsidR="00255A16" w:rsidRPr="00E341A9" w14:paraId="5EEBD913" w14:textId="77777777" w:rsidTr="007358E6">
        <w:trPr>
          <w:trHeight w:val="310"/>
        </w:trPr>
        <w:tc>
          <w:tcPr>
            <w:tcW w:w="815" w:type="dxa"/>
            <w:shd w:val="clear" w:color="auto" w:fill="F2F2F2" w:themeFill="background1" w:themeFillShade="F2"/>
            <w:noWrap/>
            <w:hideMark/>
          </w:tcPr>
          <w:p w14:paraId="4E1B8E60"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CBP</w:t>
            </w:r>
          </w:p>
        </w:tc>
        <w:tc>
          <w:tcPr>
            <w:tcW w:w="2880" w:type="dxa"/>
            <w:shd w:val="clear" w:color="auto" w:fill="F2F2F2" w:themeFill="background1" w:themeFillShade="F2"/>
            <w:hideMark/>
          </w:tcPr>
          <w:p w14:paraId="1231DB42"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Controlling High Blood Pressure  </w:t>
            </w:r>
          </w:p>
        </w:tc>
        <w:tc>
          <w:tcPr>
            <w:tcW w:w="662" w:type="dxa"/>
            <w:shd w:val="clear" w:color="auto" w:fill="F2F2F2" w:themeFill="background1" w:themeFillShade="F2"/>
            <w:noWrap/>
            <w:vAlign w:val="center"/>
            <w:hideMark/>
          </w:tcPr>
          <w:p w14:paraId="1DB53969" w14:textId="66EE688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69.7%</w:t>
            </w:r>
          </w:p>
        </w:tc>
        <w:tc>
          <w:tcPr>
            <w:tcW w:w="688" w:type="dxa"/>
            <w:shd w:val="clear" w:color="auto" w:fill="F2F2F2" w:themeFill="background1" w:themeFillShade="F2"/>
            <w:noWrap/>
            <w:vAlign w:val="center"/>
            <w:hideMark/>
          </w:tcPr>
          <w:p w14:paraId="4C684118" w14:textId="7851935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74.5%</w:t>
            </w:r>
          </w:p>
        </w:tc>
        <w:tc>
          <w:tcPr>
            <w:tcW w:w="662" w:type="dxa"/>
            <w:shd w:val="clear" w:color="auto" w:fill="F2F2F2" w:themeFill="background1" w:themeFillShade="F2"/>
            <w:noWrap/>
            <w:vAlign w:val="center"/>
            <w:hideMark/>
          </w:tcPr>
          <w:p w14:paraId="5696084A" w14:textId="5070CC0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79.3%</w:t>
            </w:r>
          </w:p>
        </w:tc>
        <w:tc>
          <w:tcPr>
            <w:tcW w:w="688" w:type="dxa"/>
            <w:shd w:val="clear" w:color="auto" w:fill="F2F2F2" w:themeFill="background1" w:themeFillShade="F2"/>
            <w:noWrap/>
            <w:vAlign w:val="center"/>
            <w:hideMark/>
          </w:tcPr>
          <w:p w14:paraId="54C8DF2A" w14:textId="196B638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70.8%</w:t>
            </w:r>
          </w:p>
        </w:tc>
        <w:tc>
          <w:tcPr>
            <w:tcW w:w="810" w:type="dxa"/>
            <w:shd w:val="clear" w:color="auto" w:fill="F2F2F2" w:themeFill="background1" w:themeFillShade="F2"/>
            <w:noWrap/>
            <w:vAlign w:val="center"/>
            <w:hideMark/>
          </w:tcPr>
          <w:p w14:paraId="392637C2" w14:textId="601B541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78.2%</w:t>
            </w:r>
          </w:p>
        </w:tc>
        <w:tc>
          <w:tcPr>
            <w:tcW w:w="810" w:type="dxa"/>
            <w:shd w:val="clear" w:color="auto" w:fill="F2F2F2" w:themeFill="background1" w:themeFillShade="F2"/>
            <w:noWrap/>
            <w:vAlign w:val="center"/>
            <w:hideMark/>
          </w:tcPr>
          <w:p w14:paraId="0A35DDBA" w14:textId="21D37B2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67.1%</w:t>
            </w:r>
          </w:p>
        </w:tc>
        <w:tc>
          <w:tcPr>
            <w:tcW w:w="720" w:type="dxa"/>
            <w:shd w:val="clear" w:color="auto" w:fill="F2F2F2" w:themeFill="background1" w:themeFillShade="F2"/>
            <w:noWrap/>
            <w:vAlign w:val="center"/>
            <w:hideMark/>
          </w:tcPr>
          <w:p w14:paraId="4F87F0A7" w14:textId="1AE22D6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80.7%</w:t>
            </w:r>
          </w:p>
        </w:tc>
        <w:tc>
          <w:tcPr>
            <w:tcW w:w="720" w:type="dxa"/>
            <w:shd w:val="clear" w:color="auto" w:fill="F2F2F2" w:themeFill="background1" w:themeFillShade="F2"/>
            <w:noWrap/>
            <w:vAlign w:val="center"/>
            <w:hideMark/>
          </w:tcPr>
          <w:p w14:paraId="2D280678" w14:textId="7049E75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65.8%</w:t>
            </w:r>
          </w:p>
        </w:tc>
        <w:tc>
          <w:tcPr>
            <w:tcW w:w="662" w:type="dxa"/>
            <w:shd w:val="clear" w:color="auto" w:fill="F2F2F2" w:themeFill="background1" w:themeFillShade="F2"/>
            <w:noWrap/>
            <w:vAlign w:val="center"/>
            <w:hideMark/>
          </w:tcPr>
          <w:p w14:paraId="738CEE3A" w14:textId="679ECBD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68.6%</w:t>
            </w:r>
          </w:p>
        </w:tc>
        <w:tc>
          <w:tcPr>
            <w:tcW w:w="1000" w:type="dxa"/>
            <w:shd w:val="clear" w:color="auto" w:fill="F2F2F2" w:themeFill="background1" w:themeFillShade="F2"/>
            <w:noWrap/>
            <w:vAlign w:val="center"/>
            <w:hideMark/>
          </w:tcPr>
          <w:p w14:paraId="009C0F99" w14:textId="66052F5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70.9%</w:t>
            </w:r>
          </w:p>
        </w:tc>
        <w:tc>
          <w:tcPr>
            <w:tcW w:w="906" w:type="dxa"/>
            <w:shd w:val="clear" w:color="auto" w:fill="F2F2F2" w:themeFill="background1" w:themeFillShade="F2"/>
            <w:noWrap/>
            <w:vAlign w:val="center"/>
            <w:hideMark/>
          </w:tcPr>
          <w:p w14:paraId="7E0F230A" w14:textId="4B4C95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59.9%</w:t>
            </w:r>
          </w:p>
        </w:tc>
        <w:tc>
          <w:tcPr>
            <w:tcW w:w="852" w:type="dxa"/>
            <w:shd w:val="clear" w:color="auto" w:fill="F2F2F2" w:themeFill="background1" w:themeFillShade="F2"/>
            <w:noWrap/>
            <w:vAlign w:val="center"/>
            <w:hideMark/>
          </w:tcPr>
          <w:p w14:paraId="25C03B42" w14:textId="285DA36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75.2%</w:t>
            </w:r>
          </w:p>
        </w:tc>
        <w:tc>
          <w:tcPr>
            <w:tcW w:w="662" w:type="dxa"/>
            <w:shd w:val="clear" w:color="auto" w:fill="F2F2F2" w:themeFill="background1" w:themeFillShade="F2"/>
            <w:noWrap/>
            <w:vAlign w:val="center"/>
            <w:hideMark/>
          </w:tcPr>
          <w:p w14:paraId="5AAE2552" w14:textId="3291B8C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75.5%</w:t>
            </w:r>
          </w:p>
        </w:tc>
        <w:tc>
          <w:tcPr>
            <w:tcW w:w="737" w:type="dxa"/>
            <w:shd w:val="clear" w:color="auto" w:fill="F2F2F2" w:themeFill="background1" w:themeFillShade="F2"/>
            <w:noWrap/>
            <w:vAlign w:val="center"/>
            <w:hideMark/>
          </w:tcPr>
          <w:p w14:paraId="65DAAC87" w14:textId="01BADDA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80.2%</w:t>
            </w:r>
          </w:p>
        </w:tc>
        <w:tc>
          <w:tcPr>
            <w:tcW w:w="666" w:type="dxa"/>
            <w:shd w:val="clear" w:color="auto" w:fill="F2F2F2" w:themeFill="background1" w:themeFillShade="F2"/>
            <w:noWrap/>
            <w:vAlign w:val="center"/>
            <w:hideMark/>
          </w:tcPr>
          <w:p w14:paraId="1119ACE9" w14:textId="60757AE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63.6%</w:t>
            </w:r>
          </w:p>
        </w:tc>
        <w:tc>
          <w:tcPr>
            <w:tcW w:w="662" w:type="dxa"/>
            <w:shd w:val="clear" w:color="auto" w:fill="F2F2F2" w:themeFill="background1" w:themeFillShade="F2"/>
            <w:noWrap/>
            <w:vAlign w:val="center"/>
            <w:hideMark/>
          </w:tcPr>
          <w:p w14:paraId="210B0F68" w14:textId="6FC3569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73.2%</w:t>
            </w:r>
          </w:p>
        </w:tc>
        <w:tc>
          <w:tcPr>
            <w:tcW w:w="958" w:type="dxa"/>
            <w:shd w:val="clear" w:color="auto" w:fill="F2F2F2" w:themeFill="background1" w:themeFillShade="F2"/>
            <w:noWrap/>
            <w:vAlign w:val="center"/>
            <w:hideMark/>
          </w:tcPr>
          <w:p w14:paraId="405ADB6D" w14:textId="5D3F882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73.9%</w:t>
            </w:r>
          </w:p>
        </w:tc>
        <w:tc>
          <w:tcPr>
            <w:tcW w:w="879" w:type="dxa"/>
            <w:shd w:val="clear" w:color="auto" w:fill="F2F2F2" w:themeFill="background1" w:themeFillShade="F2"/>
            <w:noWrap/>
            <w:vAlign w:val="center"/>
            <w:hideMark/>
          </w:tcPr>
          <w:p w14:paraId="78A0CBD9" w14:textId="7D93C74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67.6%</w:t>
            </w:r>
          </w:p>
        </w:tc>
        <w:tc>
          <w:tcPr>
            <w:tcW w:w="720" w:type="dxa"/>
            <w:shd w:val="clear" w:color="auto" w:fill="F2F2F2" w:themeFill="background1" w:themeFillShade="F2"/>
            <w:noWrap/>
            <w:vAlign w:val="center"/>
            <w:hideMark/>
          </w:tcPr>
          <w:p w14:paraId="4BB92936" w14:textId="12D0410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720" w:type="dxa"/>
            <w:shd w:val="clear" w:color="auto" w:fill="F2F2F2" w:themeFill="background1" w:themeFillShade="F2"/>
            <w:noWrap/>
            <w:vAlign w:val="center"/>
            <w:hideMark/>
          </w:tcPr>
          <w:p w14:paraId="196ECD51" w14:textId="7A7D237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810" w:type="dxa"/>
            <w:shd w:val="clear" w:color="auto" w:fill="F2F2F2" w:themeFill="background1" w:themeFillShade="F2"/>
            <w:noWrap/>
            <w:vAlign w:val="center"/>
            <w:hideMark/>
          </w:tcPr>
          <w:p w14:paraId="4AC767F4" w14:textId="4C41A46C" w:rsidR="00D57F3A" w:rsidRPr="008350BD" w:rsidRDefault="00D57F3A" w:rsidP="00D57F3A">
            <w:pPr>
              <w:spacing w:after="0"/>
              <w:jc w:val="center"/>
              <w:rPr>
                <w:rFonts w:eastAsia="Times New Roman" w:cs="Calibri"/>
                <w:b/>
                <w:bCs/>
                <w:color w:val="000000"/>
                <w:sz w:val="16"/>
                <w:szCs w:val="16"/>
              </w:rPr>
            </w:pPr>
            <w:r w:rsidRPr="008350BD">
              <w:rPr>
                <w:rFonts w:cs="Calibri"/>
                <w:b/>
                <w:bCs/>
                <w:color w:val="000000"/>
                <w:sz w:val="16"/>
                <w:szCs w:val="16"/>
              </w:rPr>
              <w:t>--</w:t>
            </w:r>
          </w:p>
        </w:tc>
      </w:tr>
      <w:tr w:rsidR="00EF4C5F" w:rsidRPr="00E341A9" w14:paraId="33A9F54D" w14:textId="77777777" w:rsidTr="005D332F">
        <w:trPr>
          <w:trHeight w:val="310"/>
        </w:trPr>
        <w:tc>
          <w:tcPr>
            <w:tcW w:w="815" w:type="dxa"/>
            <w:shd w:val="clear" w:color="auto" w:fill="auto"/>
            <w:noWrap/>
            <w:hideMark/>
          </w:tcPr>
          <w:p w14:paraId="18F39B27"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AMR</w:t>
            </w:r>
          </w:p>
        </w:tc>
        <w:tc>
          <w:tcPr>
            <w:tcW w:w="2880" w:type="dxa"/>
            <w:shd w:val="clear" w:color="auto" w:fill="auto"/>
            <w:hideMark/>
          </w:tcPr>
          <w:p w14:paraId="5493D433"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Asthma Medication Ratio  </w:t>
            </w:r>
          </w:p>
        </w:tc>
        <w:tc>
          <w:tcPr>
            <w:tcW w:w="662" w:type="dxa"/>
            <w:shd w:val="clear" w:color="auto" w:fill="auto"/>
            <w:noWrap/>
            <w:vAlign w:val="center"/>
            <w:hideMark/>
          </w:tcPr>
          <w:p w14:paraId="464088BC" w14:textId="7405E54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55.0%</w:t>
            </w:r>
          </w:p>
        </w:tc>
        <w:tc>
          <w:tcPr>
            <w:tcW w:w="688" w:type="dxa"/>
            <w:shd w:val="clear" w:color="auto" w:fill="auto"/>
            <w:noWrap/>
            <w:vAlign w:val="center"/>
            <w:hideMark/>
          </w:tcPr>
          <w:p w14:paraId="34CA76D4" w14:textId="523A393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43.6%</w:t>
            </w:r>
          </w:p>
        </w:tc>
        <w:tc>
          <w:tcPr>
            <w:tcW w:w="662" w:type="dxa"/>
            <w:shd w:val="clear" w:color="auto" w:fill="auto"/>
            <w:noWrap/>
            <w:vAlign w:val="center"/>
            <w:hideMark/>
          </w:tcPr>
          <w:p w14:paraId="563D7762" w14:textId="04C0856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54.5%</w:t>
            </w:r>
          </w:p>
        </w:tc>
        <w:tc>
          <w:tcPr>
            <w:tcW w:w="688" w:type="dxa"/>
            <w:shd w:val="clear" w:color="auto" w:fill="auto"/>
            <w:noWrap/>
            <w:vAlign w:val="center"/>
            <w:hideMark/>
          </w:tcPr>
          <w:p w14:paraId="0F19D8AD" w14:textId="4DE3628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54.4%</w:t>
            </w:r>
          </w:p>
        </w:tc>
        <w:tc>
          <w:tcPr>
            <w:tcW w:w="810" w:type="dxa"/>
            <w:shd w:val="clear" w:color="auto" w:fill="auto"/>
            <w:noWrap/>
            <w:vAlign w:val="center"/>
            <w:hideMark/>
          </w:tcPr>
          <w:p w14:paraId="6D9A11CD" w14:textId="5AB7E1D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48.4%</w:t>
            </w:r>
          </w:p>
        </w:tc>
        <w:tc>
          <w:tcPr>
            <w:tcW w:w="810" w:type="dxa"/>
            <w:shd w:val="clear" w:color="auto" w:fill="auto"/>
            <w:noWrap/>
            <w:vAlign w:val="center"/>
            <w:hideMark/>
          </w:tcPr>
          <w:p w14:paraId="4AA9E513" w14:textId="6B2CFBA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51.6%</w:t>
            </w:r>
          </w:p>
        </w:tc>
        <w:tc>
          <w:tcPr>
            <w:tcW w:w="720" w:type="dxa"/>
            <w:shd w:val="clear" w:color="auto" w:fill="auto"/>
            <w:noWrap/>
            <w:vAlign w:val="center"/>
            <w:hideMark/>
          </w:tcPr>
          <w:p w14:paraId="72C5F0A0" w14:textId="185AC9C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58.6%</w:t>
            </w:r>
          </w:p>
        </w:tc>
        <w:tc>
          <w:tcPr>
            <w:tcW w:w="720" w:type="dxa"/>
            <w:shd w:val="clear" w:color="auto" w:fill="auto"/>
            <w:noWrap/>
            <w:vAlign w:val="center"/>
            <w:hideMark/>
          </w:tcPr>
          <w:p w14:paraId="2EAD2B74" w14:textId="64F0A5C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58.7%</w:t>
            </w:r>
          </w:p>
        </w:tc>
        <w:tc>
          <w:tcPr>
            <w:tcW w:w="662" w:type="dxa"/>
            <w:shd w:val="clear" w:color="auto" w:fill="auto"/>
            <w:noWrap/>
            <w:vAlign w:val="center"/>
            <w:hideMark/>
          </w:tcPr>
          <w:p w14:paraId="4468C866" w14:textId="5CF855A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51.9%</w:t>
            </w:r>
          </w:p>
        </w:tc>
        <w:tc>
          <w:tcPr>
            <w:tcW w:w="1000" w:type="dxa"/>
            <w:shd w:val="clear" w:color="auto" w:fill="auto"/>
            <w:noWrap/>
            <w:vAlign w:val="center"/>
            <w:hideMark/>
          </w:tcPr>
          <w:p w14:paraId="02DCC0EF" w14:textId="54970FA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906" w:type="dxa"/>
            <w:shd w:val="clear" w:color="auto" w:fill="auto"/>
            <w:noWrap/>
            <w:vAlign w:val="center"/>
            <w:hideMark/>
          </w:tcPr>
          <w:p w14:paraId="69E23610" w14:textId="465B17E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50.3%</w:t>
            </w:r>
          </w:p>
        </w:tc>
        <w:tc>
          <w:tcPr>
            <w:tcW w:w="852" w:type="dxa"/>
            <w:shd w:val="clear" w:color="auto" w:fill="auto"/>
            <w:noWrap/>
            <w:vAlign w:val="center"/>
            <w:hideMark/>
          </w:tcPr>
          <w:p w14:paraId="2640E838" w14:textId="585441A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57.7%</w:t>
            </w:r>
          </w:p>
        </w:tc>
        <w:tc>
          <w:tcPr>
            <w:tcW w:w="662" w:type="dxa"/>
            <w:shd w:val="clear" w:color="auto" w:fill="auto"/>
            <w:noWrap/>
            <w:vAlign w:val="center"/>
            <w:hideMark/>
          </w:tcPr>
          <w:p w14:paraId="2319861C" w14:textId="4657ED8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52.0%</w:t>
            </w:r>
          </w:p>
        </w:tc>
        <w:tc>
          <w:tcPr>
            <w:tcW w:w="737" w:type="dxa"/>
            <w:shd w:val="clear" w:color="auto" w:fill="auto"/>
            <w:noWrap/>
            <w:vAlign w:val="center"/>
            <w:hideMark/>
          </w:tcPr>
          <w:p w14:paraId="253AAAE1" w14:textId="51D4C65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50.2%</w:t>
            </w:r>
          </w:p>
        </w:tc>
        <w:tc>
          <w:tcPr>
            <w:tcW w:w="666" w:type="dxa"/>
            <w:shd w:val="clear" w:color="auto" w:fill="auto"/>
            <w:noWrap/>
            <w:vAlign w:val="center"/>
            <w:hideMark/>
          </w:tcPr>
          <w:p w14:paraId="56BA30E2" w14:textId="50A7907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51.4%</w:t>
            </w:r>
          </w:p>
        </w:tc>
        <w:tc>
          <w:tcPr>
            <w:tcW w:w="662" w:type="dxa"/>
            <w:shd w:val="clear" w:color="auto" w:fill="auto"/>
            <w:noWrap/>
            <w:vAlign w:val="center"/>
            <w:hideMark/>
          </w:tcPr>
          <w:p w14:paraId="3FF24251" w14:textId="2BEFFFC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57.4%</w:t>
            </w:r>
          </w:p>
        </w:tc>
        <w:tc>
          <w:tcPr>
            <w:tcW w:w="958" w:type="dxa"/>
            <w:shd w:val="clear" w:color="auto" w:fill="auto"/>
            <w:noWrap/>
            <w:vAlign w:val="center"/>
            <w:hideMark/>
          </w:tcPr>
          <w:p w14:paraId="4BE6ECB3" w14:textId="2D37278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56.2%</w:t>
            </w:r>
          </w:p>
        </w:tc>
        <w:tc>
          <w:tcPr>
            <w:tcW w:w="879" w:type="dxa"/>
            <w:shd w:val="clear" w:color="auto" w:fill="auto"/>
            <w:noWrap/>
            <w:vAlign w:val="center"/>
            <w:hideMark/>
          </w:tcPr>
          <w:p w14:paraId="75136F9B" w14:textId="4E38B9B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51.4%</w:t>
            </w:r>
          </w:p>
        </w:tc>
        <w:tc>
          <w:tcPr>
            <w:tcW w:w="720" w:type="dxa"/>
            <w:shd w:val="clear" w:color="auto" w:fill="auto"/>
            <w:noWrap/>
            <w:vAlign w:val="center"/>
            <w:hideMark/>
          </w:tcPr>
          <w:p w14:paraId="05AD92AF" w14:textId="5E74E7FE" w:rsidR="00D57F3A" w:rsidRPr="008350BD" w:rsidRDefault="00D57F3A" w:rsidP="00D57F3A">
            <w:pPr>
              <w:spacing w:after="0"/>
              <w:jc w:val="center"/>
              <w:rPr>
                <w:rFonts w:eastAsia="Times New Roman" w:cs="Calibri"/>
                <w:sz w:val="16"/>
                <w:szCs w:val="16"/>
              </w:rPr>
            </w:pPr>
            <w:r w:rsidRPr="008350BD">
              <w:rPr>
                <w:rFonts w:cs="Calibri"/>
                <w:sz w:val="16"/>
                <w:szCs w:val="16"/>
              </w:rPr>
              <w:t>51.8%</w:t>
            </w:r>
          </w:p>
        </w:tc>
        <w:tc>
          <w:tcPr>
            <w:tcW w:w="720" w:type="dxa"/>
            <w:shd w:val="clear" w:color="auto" w:fill="auto"/>
            <w:noWrap/>
            <w:vAlign w:val="center"/>
            <w:hideMark/>
          </w:tcPr>
          <w:p w14:paraId="6EE10356" w14:textId="60C25B9D" w:rsidR="00D57F3A" w:rsidRPr="008350BD" w:rsidRDefault="00D57F3A" w:rsidP="00D57F3A">
            <w:pPr>
              <w:spacing w:after="0"/>
              <w:jc w:val="center"/>
              <w:rPr>
                <w:rFonts w:eastAsia="Times New Roman" w:cs="Calibri"/>
                <w:sz w:val="16"/>
                <w:szCs w:val="16"/>
              </w:rPr>
            </w:pPr>
            <w:r w:rsidRPr="008350BD">
              <w:rPr>
                <w:rFonts w:cs="Calibri"/>
                <w:sz w:val="16"/>
                <w:szCs w:val="16"/>
              </w:rPr>
              <w:t>48.7%</w:t>
            </w:r>
          </w:p>
        </w:tc>
        <w:tc>
          <w:tcPr>
            <w:tcW w:w="810" w:type="dxa"/>
            <w:shd w:val="clear" w:color="auto" w:fill="auto"/>
            <w:noWrap/>
            <w:vAlign w:val="center"/>
            <w:hideMark/>
          </w:tcPr>
          <w:p w14:paraId="4949EA2F" w14:textId="3B0E57C9" w:rsidR="00D57F3A" w:rsidRPr="008350BD" w:rsidRDefault="00D57F3A" w:rsidP="00D57F3A">
            <w:pPr>
              <w:spacing w:after="0"/>
              <w:jc w:val="center"/>
              <w:rPr>
                <w:rFonts w:eastAsia="Times New Roman" w:cs="Calibri"/>
                <w:sz w:val="16"/>
                <w:szCs w:val="16"/>
              </w:rPr>
            </w:pPr>
            <w:r w:rsidRPr="008350BD">
              <w:rPr>
                <w:rFonts w:cs="Calibri"/>
                <w:sz w:val="16"/>
                <w:szCs w:val="16"/>
              </w:rPr>
              <w:t>52.7%</w:t>
            </w:r>
          </w:p>
        </w:tc>
      </w:tr>
      <w:tr w:rsidR="00255A16" w:rsidRPr="00E341A9" w14:paraId="2DAA0B73" w14:textId="77777777" w:rsidTr="007358E6">
        <w:trPr>
          <w:trHeight w:val="520"/>
        </w:trPr>
        <w:tc>
          <w:tcPr>
            <w:tcW w:w="815" w:type="dxa"/>
            <w:shd w:val="clear" w:color="auto" w:fill="F2F2F2" w:themeFill="background1" w:themeFillShade="F2"/>
            <w:noWrap/>
            <w:hideMark/>
          </w:tcPr>
          <w:p w14:paraId="1A3457DA"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CDC</w:t>
            </w:r>
          </w:p>
        </w:tc>
        <w:tc>
          <w:tcPr>
            <w:tcW w:w="2880" w:type="dxa"/>
            <w:shd w:val="clear" w:color="auto" w:fill="F2F2F2" w:themeFill="background1" w:themeFillShade="F2"/>
            <w:hideMark/>
          </w:tcPr>
          <w:p w14:paraId="651B079B" w14:textId="6660276D" w:rsidR="00D57F3A" w:rsidRPr="00E341A9" w:rsidRDefault="00D57F3A" w:rsidP="00D57F3A">
            <w:pPr>
              <w:spacing w:after="0"/>
              <w:rPr>
                <w:rFonts w:eastAsia="Times New Roman" w:cs="Calibri"/>
                <w:sz w:val="16"/>
                <w:szCs w:val="16"/>
              </w:rPr>
            </w:pPr>
            <w:r w:rsidRPr="00E341A9">
              <w:rPr>
                <w:rFonts w:eastAsia="Times New Roman" w:cs="Calibri"/>
                <w:sz w:val="16"/>
                <w:szCs w:val="16"/>
              </w:rPr>
              <w:t xml:space="preserve">Comprehensive Diabetes Care: </w:t>
            </w:r>
            <w:r w:rsidR="00142A4B">
              <w:rPr>
                <w:rFonts w:eastAsia="Times New Roman" w:cs="Calibri"/>
                <w:sz w:val="16"/>
                <w:szCs w:val="16"/>
              </w:rPr>
              <w:t>A1C</w:t>
            </w:r>
            <w:r w:rsidRPr="00E341A9">
              <w:rPr>
                <w:rFonts w:eastAsia="Times New Roman" w:cs="Calibri"/>
                <w:sz w:val="16"/>
                <w:szCs w:val="16"/>
              </w:rPr>
              <w:t xml:space="preserve"> Poor Control (lower is better)</w:t>
            </w:r>
          </w:p>
        </w:tc>
        <w:tc>
          <w:tcPr>
            <w:tcW w:w="662" w:type="dxa"/>
            <w:shd w:val="clear" w:color="auto" w:fill="F2F2F2" w:themeFill="background1" w:themeFillShade="F2"/>
            <w:noWrap/>
            <w:vAlign w:val="center"/>
            <w:hideMark/>
          </w:tcPr>
          <w:p w14:paraId="58FFB51A" w14:textId="373CBA6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30.5%</w:t>
            </w:r>
          </w:p>
        </w:tc>
        <w:tc>
          <w:tcPr>
            <w:tcW w:w="688" w:type="dxa"/>
            <w:shd w:val="clear" w:color="auto" w:fill="F2F2F2" w:themeFill="background1" w:themeFillShade="F2"/>
            <w:noWrap/>
            <w:vAlign w:val="center"/>
            <w:hideMark/>
          </w:tcPr>
          <w:p w14:paraId="64D38095" w14:textId="3ED22F7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33.8%</w:t>
            </w:r>
          </w:p>
        </w:tc>
        <w:tc>
          <w:tcPr>
            <w:tcW w:w="662" w:type="dxa"/>
            <w:shd w:val="clear" w:color="auto" w:fill="F2F2F2" w:themeFill="background1" w:themeFillShade="F2"/>
            <w:noWrap/>
            <w:vAlign w:val="center"/>
            <w:hideMark/>
          </w:tcPr>
          <w:p w14:paraId="20F8C1AD" w14:textId="34288AC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26.0%</w:t>
            </w:r>
          </w:p>
        </w:tc>
        <w:tc>
          <w:tcPr>
            <w:tcW w:w="688" w:type="dxa"/>
            <w:shd w:val="clear" w:color="auto" w:fill="F2F2F2" w:themeFill="background1" w:themeFillShade="F2"/>
            <w:noWrap/>
            <w:vAlign w:val="center"/>
            <w:hideMark/>
          </w:tcPr>
          <w:p w14:paraId="022AD2C2" w14:textId="3507DC4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29.4%</w:t>
            </w:r>
          </w:p>
        </w:tc>
        <w:tc>
          <w:tcPr>
            <w:tcW w:w="810" w:type="dxa"/>
            <w:shd w:val="clear" w:color="auto" w:fill="F2F2F2" w:themeFill="background1" w:themeFillShade="F2"/>
            <w:noWrap/>
            <w:vAlign w:val="center"/>
            <w:hideMark/>
          </w:tcPr>
          <w:p w14:paraId="3FE405D6" w14:textId="208672F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35.2%</w:t>
            </w:r>
          </w:p>
        </w:tc>
        <w:tc>
          <w:tcPr>
            <w:tcW w:w="810" w:type="dxa"/>
            <w:shd w:val="clear" w:color="auto" w:fill="F2F2F2" w:themeFill="background1" w:themeFillShade="F2"/>
            <w:noWrap/>
            <w:vAlign w:val="center"/>
            <w:hideMark/>
          </w:tcPr>
          <w:p w14:paraId="29C0C6C7" w14:textId="3F2EA20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27.1%</w:t>
            </w:r>
          </w:p>
        </w:tc>
        <w:tc>
          <w:tcPr>
            <w:tcW w:w="720" w:type="dxa"/>
            <w:shd w:val="clear" w:color="auto" w:fill="F2F2F2" w:themeFill="background1" w:themeFillShade="F2"/>
            <w:noWrap/>
            <w:vAlign w:val="center"/>
            <w:hideMark/>
          </w:tcPr>
          <w:p w14:paraId="63967737" w14:textId="7202BCD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29.3%</w:t>
            </w:r>
          </w:p>
        </w:tc>
        <w:tc>
          <w:tcPr>
            <w:tcW w:w="720" w:type="dxa"/>
            <w:shd w:val="clear" w:color="auto" w:fill="F2F2F2" w:themeFill="background1" w:themeFillShade="F2"/>
            <w:noWrap/>
            <w:vAlign w:val="center"/>
            <w:hideMark/>
          </w:tcPr>
          <w:p w14:paraId="1E68584B" w14:textId="7DBC1CF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24.9%</w:t>
            </w:r>
          </w:p>
        </w:tc>
        <w:tc>
          <w:tcPr>
            <w:tcW w:w="662" w:type="dxa"/>
            <w:shd w:val="clear" w:color="auto" w:fill="F2F2F2" w:themeFill="background1" w:themeFillShade="F2"/>
            <w:noWrap/>
            <w:vAlign w:val="center"/>
            <w:hideMark/>
          </w:tcPr>
          <w:p w14:paraId="240FEA86" w14:textId="5E21922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27.4%</w:t>
            </w:r>
          </w:p>
        </w:tc>
        <w:tc>
          <w:tcPr>
            <w:tcW w:w="1000" w:type="dxa"/>
            <w:shd w:val="clear" w:color="auto" w:fill="F2F2F2" w:themeFill="background1" w:themeFillShade="F2"/>
            <w:noWrap/>
            <w:vAlign w:val="center"/>
            <w:hideMark/>
          </w:tcPr>
          <w:p w14:paraId="11A4CFC7" w14:textId="6DE3FBF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61.1%</w:t>
            </w:r>
          </w:p>
        </w:tc>
        <w:tc>
          <w:tcPr>
            <w:tcW w:w="906" w:type="dxa"/>
            <w:shd w:val="clear" w:color="auto" w:fill="F2F2F2" w:themeFill="background1" w:themeFillShade="F2"/>
            <w:noWrap/>
            <w:vAlign w:val="center"/>
            <w:hideMark/>
          </w:tcPr>
          <w:p w14:paraId="7AC3C880" w14:textId="53BB8F9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31.3%</w:t>
            </w:r>
          </w:p>
        </w:tc>
        <w:tc>
          <w:tcPr>
            <w:tcW w:w="852" w:type="dxa"/>
            <w:shd w:val="clear" w:color="auto" w:fill="F2F2F2" w:themeFill="background1" w:themeFillShade="F2"/>
            <w:noWrap/>
            <w:vAlign w:val="center"/>
            <w:hideMark/>
          </w:tcPr>
          <w:p w14:paraId="43EFD414" w14:textId="54EBF83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35.8%</w:t>
            </w:r>
          </w:p>
        </w:tc>
        <w:tc>
          <w:tcPr>
            <w:tcW w:w="662" w:type="dxa"/>
            <w:shd w:val="clear" w:color="auto" w:fill="F2F2F2" w:themeFill="background1" w:themeFillShade="F2"/>
            <w:noWrap/>
            <w:vAlign w:val="center"/>
            <w:hideMark/>
          </w:tcPr>
          <w:p w14:paraId="62A7ED96" w14:textId="0BBDA5C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22.3%</w:t>
            </w:r>
          </w:p>
        </w:tc>
        <w:tc>
          <w:tcPr>
            <w:tcW w:w="737" w:type="dxa"/>
            <w:shd w:val="clear" w:color="auto" w:fill="F2F2F2" w:themeFill="background1" w:themeFillShade="F2"/>
            <w:noWrap/>
            <w:vAlign w:val="center"/>
            <w:hideMark/>
          </w:tcPr>
          <w:p w14:paraId="5F528A07" w14:textId="2733579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27.8%</w:t>
            </w:r>
          </w:p>
        </w:tc>
        <w:tc>
          <w:tcPr>
            <w:tcW w:w="666" w:type="dxa"/>
            <w:shd w:val="clear" w:color="auto" w:fill="F2F2F2" w:themeFill="background1" w:themeFillShade="F2"/>
            <w:noWrap/>
            <w:vAlign w:val="center"/>
            <w:hideMark/>
          </w:tcPr>
          <w:p w14:paraId="7C861604" w14:textId="6AEC484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32.4%</w:t>
            </w:r>
          </w:p>
        </w:tc>
        <w:tc>
          <w:tcPr>
            <w:tcW w:w="662" w:type="dxa"/>
            <w:shd w:val="clear" w:color="auto" w:fill="F2F2F2" w:themeFill="background1" w:themeFillShade="F2"/>
            <w:noWrap/>
            <w:vAlign w:val="center"/>
            <w:hideMark/>
          </w:tcPr>
          <w:p w14:paraId="3F0791BD" w14:textId="64A6CDB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26.9%</w:t>
            </w:r>
          </w:p>
        </w:tc>
        <w:tc>
          <w:tcPr>
            <w:tcW w:w="958" w:type="dxa"/>
            <w:shd w:val="clear" w:color="auto" w:fill="F2F2F2" w:themeFill="background1" w:themeFillShade="F2"/>
            <w:noWrap/>
            <w:vAlign w:val="center"/>
            <w:hideMark/>
          </w:tcPr>
          <w:p w14:paraId="206EC3EC" w14:textId="1C4D2CC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34.6%</w:t>
            </w:r>
          </w:p>
        </w:tc>
        <w:tc>
          <w:tcPr>
            <w:tcW w:w="879" w:type="dxa"/>
            <w:shd w:val="clear" w:color="auto" w:fill="F2F2F2" w:themeFill="background1" w:themeFillShade="F2"/>
            <w:noWrap/>
            <w:vAlign w:val="center"/>
            <w:hideMark/>
          </w:tcPr>
          <w:p w14:paraId="545EFA6B" w14:textId="5E2F4A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22.6%</w:t>
            </w:r>
          </w:p>
        </w:tc>
        <w:tc>
          <w:tcPr>
            <w:tcW w:w="720" w:type="dxa"/>
            <w:shd w:val="clear" w:color="auto" w:fill="F2F2F2" w:themeFill="background1" w:themeFillShade="F2"/>
            <w:noWrap/>
            <w:vAlign w:val="center"/>
            <w:hideMark/>
          </w:tcPr>
          <w:p w14:paraId="5AB9B1DD" w14:textId="294B56E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720" w:type="dxa"/>
            <w:shd w:val="clear" w:color="auto" w:fill="F2F2F2" w:themeFill="background1" w:themeFillShade="F2"/>
            <w:noWrap/>
            <w:vAlign w:val="center"/>
            <w:hideMark/>
          </w:tcPr>
          <w:p w14:paraId="20E940B5" w14:textId="1F092F7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c>
          <w:tcPr>
            <w:tcW w:w="810" w:type="dxa"/>
            <w:shd w:val="clear" w:color="auto" w:fill="F2F2F2" w:themeFill="background1" w:themeFillShade="F2"/>
            <w:noWrap/>
            <w:vAlign w:val="center"/>
            <w:hideMark/>
          </w:tcPr>
          <w:p w14:paraId="2F6415EE" w14:textId="1F53328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w:t>
            </w:r>
          </w:p>
        </w:tc>
      </w:tr>
      <w:tr w:rsidR="00EF4C5F" w:rsidRPr="00E341A9" w14:paraId="79A486A9" w14:textId="77777777" w:rsidTr="005D332F">
        <w:trPr>
          <w:trHeight w:val="520"/>
        </w:trPr>
        <w:tc>
          <w:tcPr>
            <w:tcW w:w="815" w:type="dxa"/>
            <w:shd w:val="clear" w:color="auto" w:fill="auto"/>
            <w:noWrap/>
            <w:hideMark/>
          </w:tcPr>
          <w:p w14:paraId="6F861942"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PCR-O/E</w:t>
            </w:r>
          </w:p>
        </w:tc>
        <w:tc>
          <w:tcPr>
            <w:tcW w:w="2880" w:type="dxa"/>
            <w:shd w:val="clear" w:color="auto" w:fill="auto"/>
            <w:hideMark/>
          </w:tcPr>
          <w:p w14:paraId="0683FB0E"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Plan All-Cause Readmissions (observed to expected ratio)</w:t>
            </w:r>
          </w:p>
        </w:tc>
        <w:tc>
          <w:tcPr>
            <w:tcW w:w="662" w:type="dxa"/>
            <w:shd w:val="clear" w:color="auto" w:fill="auto"/>
            <w:noWrap/>
            <w:vAlign w:val="center"/>
            <w:hideMark/>
          </w:tcPr>
          <w:p w14:paraId="10430827" w14:textId="2C20328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1.0666</w:t>
            </w:r>
          </w:p>
        </w:tc>
        <w:tc>
          <w:tcPr>
            <w:tcW w:w="688" w:type="dxa"/>
            <w:shd w:val="clear" w:color="auto" w:fill="auto"/>
            <w:noWrap/>
            <w:vAlign w:val="center"/>
            <w:hideMark/>
          </w:tcPr>
          <w:p w14:paraId="769C7F41" w14:textId="4257C6B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0.9530</w:t>
            </w:r>
          </w:p>
        </w:tc>
        <w:tc>
          <w:tcPr>
            <w:tcW w:w="662" w:type="dxa"/>
            <w:shd w:val="clear" w:color="auto" w:fill="auto"/>
            <w:noWrap/>
            <w:vAlign w:val="center"/>
            <w:hideMark/>
          </w:tcPr>
          <w:p w14:paraId="6CCADE91" w14:textId="0FEF4E3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1.1260</w:t>
            </w:r>
          </w:p>
        </w:tc>
        <w:tc>
          <w:tcPr>
            <w:tcW w:w="688" w:type="dxa"/>
            <w:shd w:val="clear" w:color="auto" w:fill="auto"/>
            <w:noWrap/>
            <w:vAlign w:val="center"/>
            <w:hideMark/>
          </w:tcPr>
          <w:p w14:paraId="3DC9478E" w14:textId="64D39A1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1.0870</w:t>
            </w:r>
          </w:p>
        </w:tc>
        <w:tc>
          <w:tcPr>
            <w:tcW w:w="810" w:type="dxa"/>
            <w:shd w:val="clear" w:color="auto" w:fill="auto"/>
            <w:noWrap/>
            <w:vAlign w:val="center"/>
            <w:hideMark/>
          </w:tcPr>
          <w:p w14:paraId="6DCAD532" w14:textId="1EEDD19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0.9818</w:t>
            </w:r>
          </w:p>
        </w:tc>
        <w:tc>
          <w:tcPr>
            <w:tcW w:w="810" w:type="dxa"/>
            <w:shd w:val="clear" w:color="auto" w:fill="auto"/>
            <w:noWrap/>
            <w:vAlign w:val="center"/>
            <w:hideMark/>
          </w:tcPr>
          <w:p w14:paraId="1961CB5D" w14:textId="7E39C4E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1.2052</w:t>
            </w:r>
          </w:p>
        </w:tc>
        <w:tc>
          <w:tcPr>
            <w:tcW w:w="720" w:type="dxa"/>
            <w:shd w:val="clear" w:color="auto" w:fill="auto"/>
            <w:noWrap/>
            <w:vAlign w:val="center"/>
            <w:hideMark/>
          </w:tcPr>
          <w:p w14:paraId="57C36D59" w14:textId="7EA0829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0.9950</w:t>
            </w:r>
          </w:p>
        </w:tc>
        <w:tc>
          <w:tcPr>
            <w:tcW w:w="720" w:type="dxa"/>
            <w:shd w:val="clear" w:color="auto" w:fill="auto"/>
            <w:noWrap/>
            <w:vAlign w:val="center"/>
            <w:hideMark/>
          </w:tcPr>
          <w:p w14:paraId="7F46E2DE" w14:textId="29CA0CE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1.0984</w:t>
            </w:r>
          </w:p>
        </w:tc>
        <w:tc>
          <w:tcPr>
            <w:tcW w:w="662" w:type="dxa"/>
            <w:shd w:val="clear" w:color="auto" w:fill="auto"/>
            <w:noWrap/>
            <w:vAlign w:val="center"/>
            <w:hideMark/>
          </w:tcPr>
          <w:p w14:paraId="5D7A624C" w14:textId="15E816B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1.0077</w:t>
            </w:r>
          </w:p>
        </w:tc>
        <w:tc>
          <w:tcPr>
            <w:tcW w:w="1000" w:type="dxa"/>
            <w:shd w:val="clear" w:color="auto" w:fill="auto"/>
            <w:noWrap/>
            <w:vAlign w:val="center"/>
            <w:hideMark/>
          </w:tcPr>
          <w:p w14:paraId="3B19DCFE" w14:textId="43DE365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1.4157</w:t>
            </w:r>
          </w:p>
        </w:tc>
        <w:tc>
          <w:tcPr>
            <w:tcW w:w="906" w:type="dxa"/>
            <w:shd w:val="clear" w:color="auto" w:fill="auto"/>
            <w:noWrap/>
            <w:vAlign w:val="center"/>
            <w:hideMark/>
          </w:tcPr>
          <w:p w14:paraId="6A3FDEE0" w14:textId="05082A2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1.1616</w:t>
            </w:r>
          </w:p>
        </w:tc>
        <w:tc>
          <w:tcPr>
            <w:tcW w:w="852" w:type="dxa"/>
            <w:shd w:val="clear" w:color="auto" w:fill="auto"/>
            <w:noWrap/>
            <w:vAlign w:val="center"/>
            <w:hideMark/>
          </w:tcPr>
          <w:p w14:paraId="2F563914" w14:textId="0C54CCD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0.8385</w:t>
            </w:r>
          </w:p>
        </w:tc>
        <w:tc>
          <w:tcPr>
            <w:tcW w:w="662" w:type="dxa"/>
            <w:shd w:val="clear" w:color="auto" w:fill="auto"/>
            <w:noWrap/>
            <w:vAlign w:val="center"/>
            <w:hideMark/>
          </w:tcPr>
          <w:p w14:paraId="19D877DB" w14:textId="423C439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0.9792</w:t>
            </w:r>
          </w:p>
        </w:tc>
        <w:tc>
          <w:tcPr>
            <w:tcW w:w="737" w:type="dxa"/>
            <w:shd w:val="clear" w:color="auto" w:fill="auto"/>
            <w:noWrap/>
            <w:vAlign w:val="center"/>
            <w:hideMark/>
          </w:tcPr>
          <w:p w14:paraId="207AB9E4" w14:textId="2F0C862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1.1458</w:t>
            </w:r>
          </w:p>
        </w:tc>
        <w:tc>
          <w:tcPr>
            <w:tcW w:w="666" w:type="dxa"/>
            <w:shd w:val="clear" w:color="auto" w:fill="auto"/>
            <w:noWrap/>
            <w:vAlign w:val="center"/>
            <w:hideMark/>
          </w:tcPr>
          <w:p w14:paraId="1F3A358C" w14:textId="355375B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1.1451</w:t>
            </w:r>
          </w:p>
        </w:tc>
        <w:tc>
          <w:tcPr>
            <w:tcW w:w="662" w:type="dxa"/>
            <w:shd w:val="clear" w:color="auto" w:fill="auto"/>
            <w:noWrap/>
            <w:vAlign w:val="center"/>
            <w:hideMark/>
          </w:tcPr>
          <w:p w14:paraId="17250DE9" w14:textId="5732567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1.0746</w:t>
            </w:r>
          </w:p>
        </w:tc>
        <w:tc>
          <w:tcPr>
            <w:tcW w:w="958" w:type="dxa"/>
            <w:shd w:val="clear" w:color="auto" w:fill="auto"/>
            <w:noWrap/>
            <w:vAlign w:val="center"/>
            <w:hideMark/>
          </w:tcPr>
          <w:p w14:paraId="03935327" w14:textId="58281EF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0.9080</w:t>
            </w:r>
          </w:p>
        </w:tc>
        <w:tc>
          <w:tcPr>
            <w:tcW w:w="879" w:type="dxa"/>
            <w:shd w:val="clear" w:color="auto" w:fill="auto"/>
            <w:noWrap/>
            <w:vAlign w:val="center"/>
            <w:hideMark/>
          </w:tcPr>
          <w:p w14:paraId="45E9B8CA" w14:textId="3E06B2D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1.0212</w:t>
            </w:r>
          </w:p>
        </w:tc>
        <w:tc>
          <w:tcPr>
            <w:tcW w:w="720" w:type="dxa"/>
            <w:shd w:val="clear" w:color="auto" w:fill="auto"/>
            <w:noWrap/>
            <w:vAlign w:val="center"/>
            <w:hideMark/>
          </w:tcPr>
          <w:p w14:paraId="3262EB02" w14:textId="2F3ABB5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12.6%</w:t>
            </w:r>
          </w:p>
        </w:tc>
        <w:tc>
          <w:tcPr>
            <w:tcW w:w="720" w:type="dxa"/>
            <w:shd w:val="clear" w:color="auto" w:fill="auto"/>
            <w:noWrap/>
            <w:vAlign w:val="center"/>
            <w:hideMark/>
          </w:tcPr>
          <w:p w14:paraId="17DE8C76" w14:textId="577672D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10.7%</w:t>
            </w:r>
          </w:p>
        </w:tc>
        <w:tc>
          <w:tcPr>
            <w:tcW w:w="810" w:type="dxa"/>
            <w:shd w:val="clear" w:color="auto" w:fill="auto"/>
            <w:noWrap/>
            <w:vAlign w:val="center"/>
            <w:hideMark/>
          </w:tcPr>
          <w:p w14:paraId="4FBF5173" w14:textId="4A95567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14.1%</w:t>
            </w:r>
          </w:p>
        </w:tc>
      </w:tr>
      <w:tr w:rsidR="00255A16" w:rsidRPr="00E341A9" w14:paraId="5EF20A21" w14:textId="77777777" w:rsidTr="007358E6">
        <w:trPr>
          <w:trHeight w:val="1040"/>
        </w:trPr>
        <w:tc>
          <w:tcPr>
            <w:tcW w:w="815" w:type="dxa"/>
            <w:shd w:val="clear" w:color="auto" w:fill="F2F2F2" w:themeFill="background1" w:themeFillShade="F2"/>
            <w:noWrap/>
            <w:hideMark/>
          </w:tcPr>
          <w:p w14:paraId="37CEF216"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F2F2F2" w:themeFill="background1" w:themeFillShade="F2"/>
            <w:hideMark/>
          </w:tcPr>
          <w:p w14:paraId="192A1707" w14:textId="77777777" w:rsidR="00D57F3A" w:rsidRPr="00E341A9" w:rsidRDefault="00D57F3A" w:rsidP="00D57F3A">
            <w:pPr>
              <w:spacing w:after="0"/>
              <w:rPr>
                <w:rFonts w:eastAsia="Times New Roman" w:cs="Calibri"/>
                <w:color w:val="000000"/>
                <w:sz w:val="16"/>
                <w:szCs w:val="16"/>
              </w:rPr>
            </w:pPr>
            <w:r w:rsidRPr="00E341A9">
              <w:rPr>
                <w:rFonts w:eastAsia="Times New Roman" w:cs="Calibri"/>
                <w:color w:val="000000"/>
                <w:sz w:val="16"/>
                <w:szCs w:val="16"/>
              </w:rPr>
              <w:t>Risk adjusted ratio (</w:t>
            </w:r>
            <w:proofErr w:type="spellStart"/>
            <w:r w:rsidRPr="00E341A9">
              <w:rPr>
                <w:rFonts w:eastAsia="Times New Roman" w:cs="Calibri"/>
                <w:color w:val="000000"/>
                <w:sz w:val="16"/>
                <w:szCs w:val="16"/>
              </w:rPr>
              <w:t>obs</w:t>
            </w:r>
            <w:proofErr w:type="spellEnd"/>
            <w:r w:rsidRPr="00E341A9">
              <w:rPr>
                <w:rFonts w:eastAsia="Times New Roman" w:cs="Calibri"/>
                <w:color w:val="000000"/>
                <w:sz w:val="16"/>
                <w:szCs w:val="16"/>
              </w:rPr>
              <w:t>/exp) of ED visits for members 18-65 identified with a diagnosis of serious mental illness, substance addiction, or co-occurring conditions</w:t>
            </w:r>
          </w:p>
        </w:tc>
        <w:tc>
          <w:tcPr>
            <w:tcW w:w="662" w:type="dxa"/>
            <w:shd w:val="clear" w:color="auto" w:fill="F2F2F2" w:themeFill="background1" w:themeFillShade="F2"/>
            <w:noWrap/>
            <w:vAlign w:val="center"/>
            <w:hideMark/>
          </w:tcPr>
          <w:p w14:paraId="7EC223A2" w14:textId="7DDF1258" w:rsidR="00D57F3A" w:rsidRPr="008350BD" w:rsidRDefault="00D57F3A" w:rsidP="00D57F3A">
            <w:pPr>
              <w:spacing w:after="0"/>
              <w:rPr>
                <w:rFonts w:eastAsia="Times New Roman" w:cs="Calibri"/>
                <w:color w:val="000000"/>
                <w:sz w:val="16"/>
                <w:szCs w:val="16"/>
              </w:rPr>
            </w:pPr>
            <w:r w:rsidRPr="008350BD">
              <w:rPr>
                <w:rFonts w:cs="Calibri"/>
                <w:color w:val="000000"/>
                <w:sz w:val="16"/>
                <w:szCs w:val="16"/>
              </w:rPr>
              <w:t>1.0581</w:t>
            </w:r>
          </w:p>
        </w:tc>
        <w:tc>
          <w:tcPr>
            <w:tcW w:w="688" w:type="dxa"/>
            <w:shd w:val="clear" w:color="auto" w:fill="F2F2F2" w:themeFill="background1" w:themeFillShade="F2"/>
            <w:noWrap/>
            <w:vAlign w:val="center"/>
            <w:hideMark/>
          </w:tcPr>
          <w:p w14:paraId="78DDF19D" w14:textId="48F23E0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0.9736</w:t>
            </w:r>
          </w:p>
        </w:tc>
        <w:tc>
          <w:tcPr>
            <w:tcW w:w="662" w:type="dxa"/>
            <w:shd w:val="clear" w:color="auto" w:fill="F2F2F2" w:themeFill="background1" w:themeFillShade="F2"/>
            <w:noWrap/>
            <w:vAlign w:val="center"/>
            <w:hideMark/>
          </w:tcPr>
          <w:p w14:paraId="758B064C" w14:textId="0DDDE49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0.9254</w:t>
            </w:r>
          </w:p>
        </w:tc>
        <w:tc>
          <w:tcPr>
            <w:tcW w:w="688" w:type="dxa"/>
            <w:shd w:val="clear" w:color="auto" w:fill="F2F2F2" w:themeFill="background1" w:themeFillShade="F2"/>
            <w:noWrap/>
            <w:vAlign w:val="center"/>
            <w:hideMark/>
          </w:tcPr>
          <w:p w14:paraId="717D91F5" w14:textId="700812F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0.9926</w:t>
            </w:r>
          </w:p>
        </w:tc>
        <w:tc>
          <w:tcPr>
            <w:tcW w:w="810" w:type="dxa"/>
            <w:shd w:val="clear" w:color="auto" w:fill="F2F2F2" w:themeFill="background1" w:themeFillShade="F2"/>
            <w:noWrap/>
            <w:vAlign w:val="center"/>
            <w:hideMark/>
          </w:tcPr>
          <w:p w14:paraId="79556A0C" w14:textId="68CEE18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0.8990</w:t>
            </w:r>
          </w:p>
        </w:tc>
        <w:tc>
          <w:tcPr>
            <w:tcW w:w="810" w:type="dxa"/>
            <w:shd w:val="clear" w:color="auto" w:fill="F2F2F2" w:themeFill="background1" w:themeFillShade="F2"/>
            <w:noWrap/>
            <w:vAlign w:val="center"/>
            <w:hideMark/>
          </w:tcPr>
          <w:p w14:paraId="5CD24CE9" w14:textId="503903A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1.1546</w:t>
            </w:r>
          </w:p>
        </w:tc>
        <w:tc>
          <w:tcPr>
            <w:tcW w:w="720" w:type="dxa"/>
            <w:shd w:val="clear" w:color="auto" w:fill="F2F2F2" w:themeFill="background1" w:themeFillShade="F2"/>
            <w:noWrap/>
            <w:vAlign w:val="center"/>
            <w:hideMark/>
          </w:tcPr>
          <w:p w14:paraId="0ADD7EE8" w14:textId="0E784E2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0.8914</w:t>
            </w:r>
          </w:p>
        </w:tc>
        <w:tc>
          <w:tcPr>
            <w:tcW w:w="720" w:type="dxa"/>
            <w:shd w:val="clear" w:color="auto" w:fill="F2F2F2" w:themeFill="background1" w:themeFillShade="F2"/>
            <w:noWrap/>
            <w:vAlign w:val="center"/>
            <w:hideMark/>
          </w:tcPr>
          <w:p w14:paraId="6E5A5236" w14:textId="6984D5C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1.2224</w:t>
            </w:r>
          </w:p>
        </w:tc>
        <w:tc>
          <w:tcPr>
            <w:tcW w:w="662" w:type="dxa"/>
            <w:shd w:val="clear" w:color="auto" w:fill="F2F2F2" w:themeFill="background1" w:themeFillShade="F2"/>
            <w:noWrap/>
            <w:vAlign w:val="center"/>
            <w:hideMark/>
          </w:tcPr>
          <w:p w14:paraId="1A10C9D8" w14:textId="363658C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1.1817</w:t>
            </w:r>
          </w:p>
        </w:tc>
        <w:tc>
          <w:tcPr>
            <w:tcW w:w="1000" w:type="dxa"/>
            <w:shd w:val="clear" w:color="auto" w:fill="F2F2F2" w:themeFill="background1" w:themeFillShade="F2"/>
            <w:noWrap/>
            <w:vAlign w:val="center"/>
            <w:hideMark/>
          </w:tcPr>
          <w:p w14:paraId="111C306C" w14:textId="09E20A6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1.1274</w:t>
            </w:r>
          </w:p>
        </w:tc>
        <w:tc>
          <w:tcPr>
            <w:tcW w:w="906" w:type="dxa"/>
            <w:shd w:val="clear" w:color="auto" w:fill="F2F2F2" w:themeFill="background1" w:themeFillShade="F2"/>
            <w:noWrap/>
            <w:vAlign w:val="center"/>
            <w:hideMark/>
          </w:tcPr>
          <w:p w14:paraId="017A679F" w14:textId="302BD72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1.0439</w:t>
            </w:r>
          </w:p>
        </w:tc>
        <w:tc>
          <w:tcPr>
            <w:tcW w:w="852" w:type="dxa"/>
            <w:shd w:val="clear" w:color="auto" w:fill="F2F2F2" w:themeFill="background1" w:themeFillShade="F2"/>
            <w:noWrap/>
            <w:vAlign w:val="center"/>
            <w:hideMark/>
          </w:tcPr>
          <w:p w14:paraId="4FE5DDB5" w14:textId="539532E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0.8628</w:t>
            </w:r>
          </w:p>
        </w:tc>
        <w:tc>
          <w:tcPr>
            <w:tcW w:w="662" w:type="dxa"/>
            <w:shd w:val="clear" w:color="auto" w:fill="F2F2F2" w:themeFill="background1" w:themeFillShade="F2"/>
            <w:noWrap/>
            <w:vAlign w:val="center"/>
            <w:hideMark/>
          </w:tcPr>
          <w:p w14:paraId="40774345" w14:textId="419E25D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0.9652</w:t>
            </w:r>
          </w:p>
        </w:tc>
        <w:tc>
          <w:tcPr>
            <w:tcW w:w="737" w:type="dxa"/>
            <w:shd w:val="clear" w:color="auto" w:fill="F2F2F2" w:themeFill="background1" w:themeFillShade="F2"/>
            <w:noWrap/>
            <w:vAlign w:val="center"/>
            <w:hideMark/>
          </w:tcPr>
          <w:p w14:paraId="3A5C7D31" w14:textId="6E5DEB7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0.8791</w:t>
            </w:r>
          </w:p>
        </w:tc>
        <w:tc>
          <w:tcPr>
            <w:tcW w:w="666" w:type="dxa"/>
            <w:shd w:val="clear" w:color="auto" w:fill="F2F2F2" w:themeFill="background1" w:themeFillShade="F2"/>
            <w:noWrap/>
            <w:vAlign w:val="center"/>
            <w:hideMark/>
          </w:tcPr>
          <w:p w14:paraId="093B9373" w14:textId="61A618F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1.2263</w:t>
            </w:r>
          </w:p>
        </w:tc>
        <w:tc>
          <w:tcPr>
            <w:tcW w:w="662" w:type="dxa"/>
            <w:shd w:val="clear" w:color="auto" w:fill="F2F2F2" w:themeFill="background1" w:themeFillShade="F2"/>
            <w:noWrap/>
            <w:vAlign w:val="center"/>
            <w:hideMark/>
          </w:tcPr>
          <w:p w14:paraId="4D9463AA" w14:textId="0EFC469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0.9831</w:t>
            </w:r>
          </w:p>
        </w:tc>
        <w:tc>
          <w:tcPr>
            <w:tcW w:w="958" w:type="dxa"/>
            <w:shd w:val="clear" w:color="auto" w:fill="F2F2F2" w:themeFill="background1" w:themeFillShade="F2"/>
            <w:noWrap/>
            <w:vAlign w:val="center"/>
            <w:hideMark/>
          </w:tcPr>
          <w:p w14:paraId="50C05623" w14:textId="14C3657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1.1387</w:t>
            </w:r>
          </w:p>
        </w:tc>
        <w:tc>
          <w:tcPr>
            <w:tcW w:w="879" w:type="dxa"/>
            <w:shd w:val="clear" w:color="auto" w:fill="F2F2F2" w:themeFill="background1" w:themeFillShade="F2"/>
            <w:noWrap/>
            <w:vAlign w:val="center"/>
            <w:hideMark/>
          </w:tcPr>
          <w:p w14:paraId="7DB54D56" w14:textId="0126FE0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1.0459</w:t>
            </w:r>
          </w:p>
        </w:tc>
        <w:tc>
          <w:tcPr>
            <w:tcW w:w="720" w:type="dxa"/>
            <w:shd w:val="clear" w:color="auto" w:fill="F2F2F2" w:themeFill="background1" w:themeFillShade="F2"/>
            <w:noWrap/>
            <w:vAlign w:val="center"/>
            <w:hideMark/>
          </w:tcPr>
          <w:p w14:paraId="2F64C72B" w14:textId="1A28D4E1" w:rsidR="00D57F3A" w:rsidRPr="008350BD" w:rsidRDefault="00D57F3A" w:rsidP="00D57F3A">
            <w:pPr>
              <w:spacing w:after="0"/>
              <w:jc w:val="center"/>
              <w:rPr>
                <w:rFonts w:eastAsia="Times New Roman" w:cs="Calibri"/>
                <w:sz w:val="16"/>
                <w:szCs w:val="16"/>
              </w:rPr>
            </w:pPr>
            <w:r w:rsidRPr="008350BD">
              <w:rPr>
                <w:rFonts w:cs="Calibri"/>
                <w:sz w:val="16"/>
                <w:szCs w:val="16"/>
              </w:rPr>
              <w:t>0.8687</w:t>
            </w:r>
          </w:p>
        </w:tc>
        <w:tc>
          <w:tcPr>
            <w:tcW w:w="720" w:type="dxa"/>
            <w:shd w:val="clear" w:color="auto" w:fill="F2F2F2" w:themeFill="background1" w:themeFillShade="F2"/>
            <w:noWrap/>
            <w:vAlign w:val="center"/>
            <w:hideMark/>
          </w:tcPr>
          <w:p w14:paraId="483977E4" w14:textId="3C771F59" w:rsidR="00D57F3A" w:rsidRPr="008350BD" w:rsidRDefault="00D57F3A" w:rsidP="00D57F3A">
            <w:pPr>
              <w:spacing w:after="0"/>
              <w:jc w:val="center"/>
              <w:rPr>
                <w:rFonts w:eastAsia="Times New Roman" w:cs="Calibri"/>
                <w:sz w:val="16"/>
                <w:szCs w:val="16"/>
              </w:rPr>
            </w:pPr>
            <w:r w:rsidRPr="008350BD">
              <w:rPr>
                <w:rFonts w:cs="Calibri"/>
                <w:sz w:val="16"/>
                <w:szCs w:val="16"/>
              </w:rPr>
              <w:t>0.8449</w:t>
            </w:r>
          </w:p>
        </w:tc>
        <w:tc>
          <w:tcPr>
            <w:tcW w:w="810" w:type="dxa"/>
            <w:shd w:val="clear" w:color="auto" w:fill="F2F2F2" w:themeFill="background1" w:themeFillShade="F2"/>
            <w:noWrap/>
            <w:vAlign w:val="center"/>
            <w:hideMark/>
          </w:tcPr>
          <w:p w14:paraId="5FB9334D" w14:textId="612FE707" w:rsidR="00D57F3A" w:rsidRPr="008350BD" w:rsidRDefault="00D57F3A" w:rsidP="00D57F3A">
            <w:pPr>
              <w:spacing w:after="0"/>
              <w:jc w:val="center"/>
              <w:rPr>
                <w:rFonts w:eastAsia="Times New Roman" w:cs="Calibri"/>
                <w:sz w:val="16"/>
                <w:szCs w:val="16"/>
              </w:rPr>
            </w:pPr>
            <w:r w:rsidRPr="008350BD">
              <w:rPr>
                <w:rFonts w:cs="Calibri"/>
                <w:sz w:val="16"/>
                <w:szCs w:val="16"/>
              </w:rPr>
              <w:t>0.8940</w:t>
            </w:r>
          </w:p>
        </w:tc>
      </w:tr>
      <w:tr w:rsidR="00EF4C5F" w:rsidRPr="00E341A9" w14:paraId="192081A7" w14:textId="77777777" w:rsidTr="005D332F">
        <w:trPr>
          <w:trHeight w:val="780"/>
        </w:trPr>
        <w:tc>
          <w:tcPr>
            <w:tcW w:w="815" w:type="dxa"/>
            <w:shd w:val="clear" w:color="auto" w:fill="auto"/>
            <w:noWrap/>
            <w:hideMark/>
          </w:tcPr>
          <w:p w14:paraId="067B892E"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auto"/>
            <w:hideMark/>
          </w:tcPr>
          <w:p w14:paraId="4C4A607C"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Risk adjusted ratio (</w:t>
            </w:r>
            <w:proofErr w:type="spellStart"/>
            <w:r w:rsidRPr="00E341A9">
              <w:rPr>
                <w:rFonts w:eastAsia="Times New Roman" w:cs="Calibri"/>
                <w:sz w:val="16"/>
                <w:szCs w:val="16"/>
              </w:rPr>
              <w:t>obs</w:t>
            </w:r>
            <w:proofErr w:type="spellEnd"/>
            <w:r w:rsidRPr="00E341A9">
              <w:rPr>
                <w:rFonts w:eastAsia="Times New Roman" w:cs="Calibri"/>
                <w:sz w:val="16"/>
                <w:szCs w:val="16"/>
              </w:rPr>
              <w:t>/exp) of Acute Unplanned Admissions for Individuals with Diabetes (Adult) </w:t>
            </w:r>
          </w:p>
        </w:tc>
        <w:tc>
          <w:tcPr>
            <w:tcW w:w="662" w:type="dxa"/>
            <w:shd w:val="clear" w:color="auto" w:fill="auto"/>
            <w:noWrap/>
            <w:vAlign w:val="center"/>
            <w:hideMark/>
          </w:tcPr>
          <w:p w14:paraId="5C64466B" w14:textId="07BDA86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0.6055</w:t>
            </w:r>
          </w:p>
        </w:tc>
        <w:tc>
          <w:tcPr>
            <w:tcW w:w="688" w:type="dxa"/>
            <w:shd w:val="clear" w:color="auto" w:fill="auto"/>
            <w:noWrap/>
            <w:vAlign w:val="center"/>
            <w:hideMark/>
          </w:tcPr>
          <w:p w14:paraId="0DEE5AC1" w14:textId="7899ADE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0.6085</w:t>
            </w:r>
          </w:p>
        </w:tc>
        <w:tc>
          <w:tcPr>
            <w:tcW w:w="662" w:type="dxa"/>
            <w:shd w:val="clear" w:color="auto" w:fill="auto"/>
            <w:noWrap/>
            <w:vAlign w:val="center"/>
            <w:hideMark/>
          </w:tcPr>
          <w:p w14:paraId="0C1C5676" w14:textId="606E585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0.6425</w:t>
            </w:r>
          </w:p>
        </w:tc>
        <w:tc>
          <w:tcPr>
            <w:tcW w:w="688" w:type="dxa"/>
            <w:shd w:val="clear" w:color="auto" w:fill="auto"/>
            <w:noWrap/>
            <w:vAlign w:val="center"/>
            <w:hideMark/>
          </w:tcPr>
          <w:p w14:paraId="362DB71F" w14:textId="012582E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0.6991</w:t>
            </w:r>
          </w:p>
        </w:tc>
        <w:tc>
          <w:tcPr>
            <w:tcW w:w="810" w:type="dxa"/>
            <w:shd w:val="clear" w:color="auto" w:fill="auto"/>
            <w:noWrap/>
            <w:vAlign w:val="center"/>
            <w:hideMark/>
          </w:tcPr>
          <w:p w14:paraId="12D6FA54" w14:textId="2DE3C8D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0.6005</w:t>
            </w:r>
          </w:p>
        </w:tc>
        <w:tc>
          <w:tcPr>
            <w:tcW w:w="810" w:type="dxa"/>
            <w:shd w:val="clear" w:color="auto" w:fill="auto"/>
            <w:noWrap/>
            <w:vAlign w:val="center"/>
            <w:hideMark/>
          </w:tcPr>
          <w:p w14:paraId="5C4E28BA" w14:textId="7DF7CA9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0.6354</w:t>
            </w:r>
          </w:p>
        </w:tc>
        <w:tc>
          <w:tcPr>
            <w:tcW w:w="720" w:type="dxa"/>
            <w:shd w:val="clear" w:color="auto" w:fill="auto"/>
            <w:noWrap/>
            <w:vAlign w:val="center"/>
            <w:hideMark/>
          </w:tcPr>
          <w:p w14:paraId="3D7D5AF6" w14:textId="796AEAD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0.6372</w:t>
            </w:r>
          </w:p>
        </w:tc>
        <w:tc>
          <w:tcPr>
            <w:tcW w:w="720" w:type="dxa"/>
            <w:shd w:val="clear" w:color="auto" w:fill="auto"/>
            <w:noWrap/>
            <w:vAlign w:val="center"/>
            <w:hideMark/>
          </w:tcPr>
          <w:p w14:paraId="0D175EB8" w14:textId="0C5E457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0.6338</w:t>
            </w:r>
          </w:p>
        </w:tc>
        <w:tc>
          <w:tcPr>
            <w:tcW w:w="662" w:type="dxa"/>
            <w:shd w:val="clear" w:color="auto" w:fill="auto"/>
            <w:noWrap/>
            <w:vAlign w:val="center"/>
            <w:hideMark/>
          </w:tcPr>
          <w:p w14:paraId="54997A08" w14:textId="29BCFBF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0.7318</w:t>
            </w:r>
          </w:p>
        </w:tc>
        <w:tc>
          <w:tcPr>
            <w:tcW w:w="1000" w:type="dxa"/>
            <w:shd w:val="clear" w:color="auto" w:fill="auto"/>
            <w:noWrap/>
            <w:vAlign w:val="center"/>
            <w:hideMark/>
          </w:tcPr>
          <w:p w14:paraId="1EEB5FCC" w14:textId="02343CA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906" w:type="dxa"/>
            <w:shd w:val="clear" w:color="auto" w:fill="auto"/>
            <w:noWrap/>
            <w:vAlign w:val="center"/>
            <w:hideMark/>
          </w:tcPr>
          <w:p w14:paraId="46C6D53F" w14:textId="0457F1A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0.5950</w:t>
            </w:r>
          </w:p>
        </w:tc>
        <w:tc>
          <w:tcPr>
            <w:tcW w:w="852" w:type="dxa"/>
            <w:shd w:val="clear" w:color="auto" w:fill="auto"/>
            <w:noWrap/>
            <w:vAlign w:val="center"/>
            <w:hideMark/>
          </w:tcPr>
          <w:p w14:paraId="54EFBE4F" w14:textId="4C5E2AA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0.5160</w:t>
            </w:r>
          </w:p>
        </w:tc>
        <w:tc>
          <w:tcPr>
            <w:tcW w:w="662" w:type="dxa"/>
            <w:shd w:val="clear" w:color="auto" w:fill="auto"/>
            <w:noWrap/>
            <w:vAlign w:val="center"/>
            <w:hideMark/>
          </w:tcPr>
          <w:p w14:paraId="0C64B02C" w14:textId="4DDE94B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0.7471</w:t>
            </w:r>
          </w:p>
        </w:tc>
        <w:tc>
          <w:tcPr>
            <w:tcW w:w="737" w:type="dxa"/>
            <w:shd w:val="clear" w:color="auto" w:fill="auto"/>
            <w:noWrap/>
            <w:vAlign w:val="center"/>
            <w:hideMark/>
          </w:tcPr>
          <w:p w14:paraId="0DC748CD" w14:textId="02793EE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0.6054</w:t>
            </w:r>
          </w:p>
        </w:tc>
        <w:tc>
          <w:tcPr>
            <w:tcW w:w="666" w:type="dxa"/>
            <w:shd w:val="clear" w:color="auto" w:fill="auto"/>
            <w:noWrap/>
            <w:vAlign w:val="center"/>
            <w:hideMark/>
          </w:tcPr>
          <w:p w14:paraId="31409885" w14:textId="1FAA1F7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0.5573</w:t>
            </w:r>
          </w:p>
        </w:tc>
        <w:tc>
          <w:tcPr>
            <w:tcW w:w="662" w:type="dxa"/>
            <w:shd w:val="clear" w:color="auto" w:fill="auto"/>
            <w:noWrap/>
            <w:vAlign w:val="center"/>
            <w:hideMark/>
          </w:tcPr>
          <w:p w14:paraId="1627FB10" w14:textId="1D1C6CB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0.5900</w:t>
            </w:r>
          </w:p>
        </w:tc>
        <w:tc>
          <w:tcPr>
            <w:tcW w:w="958" w:type="dxa"/>
            <w:shd w:val="clear" w:color="auto" w:fill="auto"/>
            <w:noWrap/>
            <w:vAlign w:val="center"/>
            <w:hideMark/>
          </w:tcPr>
          <w:p w14:paraId="16D75900" w14:textId="05BFED9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0.5778</w:t>
            </w:r>
          </w:p>
        </w:tc>
        <w:tc>
          <w:tcPr>
            <w:tcW w:w="879" w:type="dxa"/>
            <w:shd w:val="clear" w:color="auto" w:fill="auto"/>
            <w:noWrap/>
            <w:vAlign w:val="center"/>
            <w:hideMark/>
          </w:tcPr>
          <w:p w14:paraId="5E7E13B7" w14:textId="3FF131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0.6849</w:t>
            </w:r>
          </w:p>
        </w:tc>
        <w:tc>
          <w:tcPr>
            <w:tcW w:w="720" w:type="dxa"/>
            <w:shd w:val="clear" w:color="auto" w:fill="auto"/>
            <w:noWrap/>
            <w:vAlign w:val="center"/>
            <w:hideMark/>
          </w:tcPr>
          <w:p w14:paraId="25C72E98" w14:textId="26A31820" w:rsidR="00D57F3A" w:rsidRPr="008350BD" w:rsidRDefault="00D57F3A" w:rsidP="00D57F3A">
            <w:pPr>
              <w:spacing w:after="0"/>
              <w:jc w:val="center"/>
              <w:rPr>
                <w:rFonts w:eastAsia="Times New Roman" w:cs="Calibri"/>
                <w:sz w:val="16"/>
                <w:szCs w:val="16"/>
              </w:rPr>
            </w:pPr>
            <w:r w:rsidRPr="008350BD">
              <w:rPr>
                <w:rFonts w:cs="Calibri"/>
                <w:sz w:val="16"/>
                <w:szCs w:val="16"/>
              </w:rPr>
              <w:t>0.6860</w:t>
            </w:r>
          </w:p>
        </w:tc>
        <w:tc>
          <w:tcPr>
            <w:tcW w:w="720" w:type="dxa"/>
            <w:shd w:val="clear" w:color="auto" w:fill="auto"/>
            <w:noWrap/>
            <w:vAlign w:val="center"/>
            <w:hideMark/>
          </w:tcPr>
          <w:p w14:paraId="65535243" w14:textId="31C93E13" w:rsidR="00D57F3A" w:rsidRPr="008350BD" w:rsidRDefault="00D57F3A" w:rsidP="00D57F3A">
            <w:pPr>
              <w:spacing w:after="0"/>
              <w:jc w:val="center"/>
              <w:rPr>
                <w:rFonts w:eastAsia="Times New Roman" w:cs="Calibri"/>
                <w:sz w:val="16"/>
                <w:szCs w:val="16"/>
              </w:rPr>
            </w:pPr>
            <w:r w:rsidRPr="008350BD">
              <w:rPr>
                <w:rFonts w:cs="Calibri"/>
                <w:sz w:val="16"/>
                <w:szCs w:val="16"/>
              </w:rPr>
              <w:t>0.7259</w:t>
            </w:r>
          </w:p>
        </w:tc>
        <w:tc>
          <w:tcPr>
            <w:tcW w:w="810" w:type="dxa"/>
            <w:shd w:val="clear" w:color="auto" w:fill="auto"/>
            <w:noWrap/>
            <w:vAlign w:val="center"/>
            <w:hideMark/>
          </w:tcPr>
          <w:p w14:paraId="4887B466" w14:textId="2C422E8A" w:rsidR="00D57F3A" w:rsidRPr="008350BD" w:rsidRDefault="00D57F3A" w:rsidP="00D57F3A">
            <w:pPr>
              <w:spacing w:after="0"/>
              <w:jc w:val="center"/>
              <w:rPr>
                <w:rFonts w:eastAsia="Times New Roman" w:cs="Calibri"/>
                <w:sz w:val="16"/>
                <w:szCs w:val="16"/>
              </w:rPr>
            </w:pPr>
            <w:r w:rsidRPr="008350BD">
              <w:rPr>
                <w:rFonts w:cs="Calibri"/>
                <w:sz w:val="16"/>
                <w:szCs w:val="16"/>
              </w:rPr>
              <w:t>0.6532</w:t>
            </w:r>
          </w:p>
        </w:tc>
      </w:tr>
      <w:tr w:rsidR="00255A16" w:rsidRPr="00E341A9" w14:paraId="5EE51D93" w14:textId="77777777" w:rsidTr="007358E6">
        <w:trPr>
          <w:trHeight w:val="780"/>
        </w:trPr>
        <w:tc>
          <w:tcPr>
            <w:tcW w:w="815" w:type="dxa"/>
            <w:shd w:val="clear" w:color="auto" w:fill="F2F2F2" w:themeFill="background1" w:themeFillShade="F2"/>
            <w:noWrap/>
            <w:hideMark/>
          </w:tcPr>
          <w:p w14:paraId="0F1A99EB"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IET-I</w:t>
            </w:r>
          </w:p>
        </w:tc>
        <w:tc>
          <w:tcPr>
            <w:tcW w:w="2880" w:type="dxa"/>
            <w:shd w:val="clear" w:color="auto" w:fill="F2F2F2" w:themeFill="background1" w:themeFillShade="F2"/>
            <w:hideMark/>
          </w:tcPr>
          <w:p w14:paraId="0A8F9355" w14:textId="51978E51" w:rsidR="00D57F3A" w:rsidRPr="00E341A9" w:rsidRDefault="00D57F3A" w:rsidP="00D57F3A">
            <w:pPr>
              <w:spacing w:after="0"/>
              <w:rPr>
                <w:rFonts w:eastAsia="Times New Roman" w:cs="Calibri"/>
                <w:sz w:val="16"/>
                <w:szCs w:val="16"/>
              </w:rPr>
            </w:pPr>
            <w:r w:rsidRPr="00E341A9">
              <w:rPr>
                <w:rFonts w:eastAsia="Times New Roman" w:cs="Calibri"/>
                <w:sz w:val="16"/>
                <w:szCs w:val="16"/>
              </w:rPr>
              <w:t>Initiation and Engagement of Alcohol, Opioid, or Other Drug Abuse or Dependence Treatment (Initiation)</w:t>
            </w:r>
          </w:p>
        </w:tc>
        <w:tc>
          <w:tcPr>
            <w:tcW w:w="662" w:type="dxa"/>
            <w:shd w:val="clear" w:color="auto" w:fill="F2F2F2" w:themeFill="background1" w:themeFillShade="F2"/>
            <w:noWrap/>
            <w:vAlign w:val="center"/>
            <w:hideMark/>
          </w:tcPr>
          <w:p w14:paraId="4113D7E1" w14:textId="5AE9929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46.1%</w:t>
            </w:r>
          </w:p>
        </w:tc>
        <w:tc>
          <w:tcPr>
            <w:tcW w:w="688" w:type="dxa"/>
            <w:shd w:val="clear" w:color="auto" w:fill="F2F2F2" w:themeFill="background1" w:themeFillShade="F2"/>
            <w:noWrap/>
            <w:vAlign w:val="center"/>
            <w:hideMark/>
          </w:tcPr>
          <w:p w14:paraId="314DAED4" w14:textId="62E8829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50.5%</w:t>
            </w:r>
          </w:p>
        </w:tc>
        <w:tc>
          <w:tcPr>
            <w:tcW w:w="662" w:type="dxa"/>
            <w:shd w:val="clear" w:color="auto" w:fill="F2F2F2" w:themeFill="background1" w:themeFillShade="F2"/>
            <w:noWrap/>
            <w:vAlign w:val="center"/>
            <w:hideMark/>
          </w:tcPr>
          <w:p w14:paraId="0C38B790" w14:textId="39F1767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39.0%</w:t>
            </w:r>
          </w:p>
        </w:tc>
        <w:tc>
          <w:tcPr>
            <w:tcW w:w="688" w:type="dxa"/>
            <w:shd w:val="clear" w:color="auto" w:fill="F2F2F2" w:themeFill="background1" w:themeFillShade="F2"/>
            <w:noWrap/>
            <w:vAlign w:val="center"/>
            <w:hideMark/>
          </w:tcPr>
          <w:p w14:paraId="76E6B9CB" w14:textId="79CA5A9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39.5%</w:t>
            </w:r>
          </w:p>
        </w:tc>
        <w:tc>
          <w:tcPr>
            <w:tcW w:w="810" w:type="dxa"/>
            <w:shd w:val="clear" w:color="auto" w:fill="F2F2F2" w:themeFill="background1" w:themeFillShade="F2"/>
            <w:noWrap/>
            <w:vAlign w:val="center"/>
            <w:hideMark/>
          </w:tcPr>
          <w:p w14:paraId="0C72A094" w14:textId="4385017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56.6%</w:t>
            </w:r>
          </w:p>
        </w:tc>
        <w:tc>
          <w:tcPr>
            <w:tcW w:w="810" w:type="dxa"/>
            <w:shd w:val="clear" w:color="auto" w:fill="F2F2F2" w:themeFill="background1" w:themeFillShade="F2"/>
            <w:noWrap/>
            <w:vAlign w:val="center"/>
            <w:hideMark/>
          </w:tcPr>
          <w:p w14:paraId="2486FCBF" w14:textId="1FAC2FC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39.0%</w:t>
            </w:r>
          </w:p>
        </w:tc>
        <w:tc>
          <w:tcPr>
            <w:tcW w:w="720" w:type="dxa"/>
            <w:shd w:val="clear" w:color="auto" w:fill="F2F2F2" w:themeFill="background1" w:themeFillShade="F2"/>
            <w:noWrap/>
            <w:vAlign w:val="center"/>
            <w:hideMark/>
          </w:tcPr>
          <w:p w14:paraId="699B00F4" w14:textId="00D8901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34.7%</w:t>
            </w:r>
          </w:p>
        </w:tc>
        <w:tc>
          <w:tcPr>
            <w:tcW w:w="720" w:type="dxa"/>
            <w:shd w:val="clear" w:color="auto" w:fill="F2F2F2" w:themeFill="background1" w:themeFillShade="F2"/>
            <w:noWrap/>
            <w:vAlign w:val="center"/>
            <w:hideMark/>
          </w:tcPr>
          <w:p w14:paraId="7A807B1C" w14:textId="51D2DEB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51.2%</w:t>
            </w:r>
          </w:p>
        </w:tc>
        <w:tc>
          <w:tcPr>
            <w:tcW w:w="662" w:type="dxa"/>
            <w:shd w:val="clear" w:color="auto" w:fill="F2F2F2" w:themeFill="background1" w:themeFillShade="F2"/>
            <w:noWrap/>
            <w:vAlign w:val="center"/>
            <w:hideMark/>
          </w:tcPr>
          <w:p w14:paraId="2DFFE5A6" w14:textId="69949BD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62.5%</w:t>
            </w:r>
          </w:p>
        </w:tc>
        <w:tc>
          <w:tcPr>
            <w:tcW w:w="1000" w:type="dxa"/>
            <w:shd w:val="clear" w:color="auto" w:fill="F2F2F2" w:themeFill="background1" w:themeFillShade="F2"/>
            <w:noWrap/>
            <w:vAlign w:val="center"/>
            <w:hideMark/>
          </w:tcPr>
          <w:p w14:paraId="4D19CA2D" w14:textId="06230AD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31.4%</w:t>
            </w:r>
          </w:p>
        </w:tc>
        <w:tc>
          <w:tcPr>
            <w:tcW w:w="906" w:type="dxa"/>
            <w:shd w:val="clear" w:color="auto" w:fill="F2F2F2" w:themeFill="background1" w:themeFillShade="F2"/>
            <w:noWrap/>
            <w:vAlign w:val="center"/>
            <w:hideMark/>
          </w:tcPr>
          <w:p w14:paraId="716DF504" w14:textId="55D4E4B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50.4%</w:t>
            </w:r>
          </w:p>
        </w:tc>
        <w:tc>
          <w:tcPr>
            <w:tcW w:w="852" w:type="dxa"/>
            <w:shd w:val="clear" w:color="auto" w:fill="F2F2F2" w:themeFill="background1" w:themeFillShade="F2"/>
            <w:noWrap/>
            <w:vAlign w:val="center"/>
            <w:hideMark/>
          </w:tcPr>
          <w:p w14:paraId="225D7E09" w14:textId="22F226E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45.6%</w:t>
            </w:r>
          </w:p>
        </w:tc>
        <w:tc>
          <w:tcPr>
            <w:tcW w:w="662" w:type="dxa"/>
            <w:shd w:val="clear" w:color="auto" w:fill="F2F2F2" w:themeFill="background1" w:themeFillShade="F2"/>
            <w:noWrap/>
            <w:vAlign w:val="center"/>
            <w:hideMark/>
          </w:tcPr>
          <w:p w14:paraId="77B8E22D" w14:textId="33DC2BA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53.5%</w:t>
            </w:r>
          </w:p>
        </w:tc>
        <w:tc>
          <w:tcPr>
            <w:tcW w:w="737" w:type="dxa"/>
            <w:shd w:val="clear" w:color="auto" w:fill="F2F2F2" w:themeFill="background1" w:themeFillShade="F2"/>
            <w:noWrap/>
            <w:vAlign w:val="center"/>
            <w:hideMark/>
          </w:tcPr>
          <w:p w14:paraId="0AC9E06C" w14:textId="49196D0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45.6%</w:t>
            </w:r>
          </w:p>
        </w:tc>
        <w:tc>
          <w:tcPr>
            <w:tcW w:w="666" w:type="dxa"/>
            <w:shd w:val="clear" w:color="auto" w:fill="F2F2F2" w:themeFill="background1" w:themeFillShade="F2"/>
            <w:noWrap/>
            <w:vAlign w:val="center"/>
            <w:hideMark/>
          </w:tcPr>
          <w:p w14:paraId="7DB33D50" w14:textId="0C73EF3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44.7%</w:t>
            </w:r>
          </w:p>
        </w:tc>
        <w:tc>
          <w:tcPr>
            <w:tcW w:w="662" w:type="dxa"/>
            <w:shd w:val="clear" w:color="auto" w:fill="F2F2F2" w:themeFill="background1" w:themeFillShade="F2"/>
            <w:noWrap/>
            <w:vAlign w:val="center"/>
            <w:hideMark/>
          </w:tcPr>
          <w:p w14:paraId="60441B19" w14:textId="462EA42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44.3%</w:t>
            </w:r>
          </w:p>
        </w:tc>
        <w:tc>
          <w:tcPr>
            <w:tcW w:w="958" w:type="dxa"/>
            <w:shd w:val="clear" w:color="auto" w:fill="F2F2F2" w:themeFill="background1" w:themeFillShade="F2"/>
            <w:noWrap/>
            <w:vAlign w:val="center"/>
            <w:hideMark/>
          </w:tcPr>
          <w:p w14:paraId="2FD083CC" w14:textId="79E8602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42.1%</w:t>
            </w:r>
          </w:p>
        </w:tc>
        <w:tc>
          <w:tcPr>
            <w:tcW w:w="879" w:type="dxa"/>
            <w:shd w:val="clear" w:color="auto" w:fill="F2F2F2" w:themeFill="background1" w:themeFillShade="F2"/>
            <w:noWrap/>
            <w:vAlign w:val="center"/>
            <w:hideMark/>
          </w:tcPr>
          <w:p w14:paraId="6D5CEA4B" w14:textId="1FA810A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51.0%</w:t>
            </w:r>
          </w:p>
        </w:tc>
        <w:tc>
          <w:tcPr>
            <w:tcW w:w="720" w:type="dxa"/>
            <w:shd w:val="clear" w:color="auto" w:fill="F2F2F2" w:themeFill="background1" w:themeFillShade="F2"/>
            <w:noWrap/>
            <w:vAlign w:val="center"/>
            <w:hideMark/>
          </w:tcPr>
          <w:p w14:paraId="20954080" w14:textId="1AB8B4D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53.3%</w:t>
            </w:r>
          </w:p>
        </w:tc>
        <w:tc>
          <w:tcPr>
            <w:tcW w:w="720" w:type="dxa"/>
            <w:shd w:val="clear" w:color="auto" w:fill="F2F2F2" w:themeFill="background1" w:themeFillShade="F2"/>
            <w:noWrap/>
            <w:vAlign w:val="center"/>
            <w:hideMark/>
          </w:tcPr>
          <w:p w14:paraId="18D82EB7" w14:textId="4D92870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54.9%</w:t>
            </w:r>
          </w:p>
        </w:tc>
        <w:tc>
          <w:tcPr>
            <w:tcW w:w="810" w:type="dxa"/>
            <w:shd w:val="clear" w:color="auto" w:fill="F2F2F2" w:themeFill="background1" w:themeFillShade="F2"/>
            <w:noWrap/>
            <w:vAlign w:val="center"/>
            <w:hideMark/>
          </w:tcPr>
          <w:p w14:paraId="3884EF82" w14:textId="34E4CF9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51.9%</w:t>
            </w:r>
          </w:p>
        </w:tc>
      </w:tr>
      <w:tr w:rsidR="00EF4C5F" w:rsidRPr="00E341A9" w14:paraId="6DE4EA12" w14:textId="77777777" w:rsidTr="005D332F">
        <w:trPr>
          <w:trHeight w:val="780"/>
        </w:trPr>
        <w:tc>
          <w:tcPr>
            <w:tcW w:w="815" w:type="dxa"/>
            <w:shd w:val="clear" w:color="auto" w:fill="auto"/>
            <w:noWrap/>
            <w:hideMark/>
          </w:tcPr>
          <w:p w14:paraId="16AC77F5"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IET-E</w:t>
            </w:r>
          </w:p>
        </w:tc>
        <w:tc>
          <w:tcPr>
            <w:tcW w:w="2880" w:type="dxa"/>
            <w:shd w:val="clear" w:color="auto" w:fill="auto"/>
            <w:hideMark/>
          </w:tcPr>
          <w:p w14:paraId="7182A687" w14:textId="3E3B90F1" w:rsidR="00D57F3A" w:rsidRPr="00E341A9" w:rsidRDefault="00D57F3A" w:rsidP="00D57F3A">
            <w:pPr>
              <w:spacing w:after="0"/>
              <w:rPr>
                <w:rFonts w:eastAsia="Times New Roman" w:cs="Calibri"/>
                <w:sz w:val="16"/>
                <w:szCs w:val="16"/>
              </w:rPr>
            </w:pPr>
            <w:r w:rsidRPr="00E341A9">
              <w:rPr>
                <w:rFonts w:eastAsia="Times New Roman" w:cs="Calibri"/>
                <w:sz w:val="16"/>
                <w:szCs w:val="16"/>
              </w:rPr>
              <w:t>Initiation and Engagement of Alcohol, Opioid, or Other Drug Abuse or Dependence Treatment (Engagement)</w:t>
            </w:r>
          </w:p>
        </w:tc>
        <w:tc>
          <w:tcPr>
            <w:tcW w:w="662" w:type="dxa"/>
            <w:shd w:val="clear" w:color="auto" w:fill="auto"/>
            <w:noWrap/>
            <w:vAlign w:val="center"/>
            <w:hideMark/>
          </w:tcPr>
          <w:p w14:paraId="3C3B6F8C" w14:textId="0B4DACE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16.6%</w:t>
            </w:r>
          </w:p>
        </w:tc>
        <w:tc>
          <w:tcPr>
            <w:tcW w:w="688" w:type="dxa"/>
            <w:shd w:val="clear" w:color="auto" w:fill="auto"/>
            <w:noWrap/>
            <w:vAlign w:val="center"/>
            <w:hideMark/>
          </w:tcPr>
          <w:p w14:paraId="4F3313EB" w14:textId="356EBF0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20.2%</w:t>
            </w:r>
          </w:p>
        </w:tc>
        <w:tc>
          <w:tcPr>
            <w:tcW w:w="662" w:type="dxa"/>
            <w:shd w:val="clear" w:color="auto" w:fill="auto"/>
            <w:noWrap/>
            <w:vAlign w:val="center"/>
            <w:hideMark/>
          </w:tcPr>
          <w:p w14:paraId="758FF1D7" w14:textId="31412B7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13.3%</w:t>
            </w:r>
          </w:p>
        </w:tc>
        <w:tc>
          <w:tcPr>
            <w:tcW w:w="688" w:type="dxa"/>
            <w:shd w:val="clear" w:color="auto" w:fill="auto"/>
            <w:noWrap/>
            <w:vAlign w:val="center"/>
            <w:hideMark/>
          </w:tcPr>
          <w:p w14:paraId="2E3DAC48" w14:textId="5DFF7DE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14.8%</w:t>
            </w:r>
          </w:p>
        </w:tc>
        <w:tc>
          <w:tcPr>
            <w:tcW w:w="810" w:type="dxa"/>
            <w:shd w:val="clear" w:color="auto" w:fill="auto"/>
            <w:noWrap/>
            <w:vAlign w:val="center"/>
            <w:hideMark/>
          </w:tcPr>
          <w:p w14:paraId="0F0724A5" w14:textId="3A9D59F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19.1%</w:t>
            </w:r>
          </w:p>
        </w:tc>
        <w:tc>
          <w:tcPr>
            <w:tcW w:w="810" w:type="dxa"/>
            <w:shd w:val="clear" w:color="auto" w:fill="auto"/>
            <w:noWrap/>
            <w:vAlign w:val="center"/>
            <w:hideMark/>
          </w:tcPr>
          <w:p w14:paraId="2015834B" w14:textId="1C9E517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13.3%</w:t>
            </w:r>
          </w:p>
        </w:tc>
        <w:tc>
          <w:tcPr>
            <w:tcW w:w="720" w:type="dxa"/>
            <w:shd w:val="clear" w:color="auto" w:fill="auto"/>
            <w:noWrap/>
            <w:vAlign w:val="center"/>
            <w:hideMark/>
          </w:tcPr>
          <w:p w14:paraId="745A944F" w14:textId="72D8B4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12.3%</w:t>
            </w:r>
          </w:p>
        </w:tc>
        <w:tc>
          <w:tcPr>
            <w:tcW w:w="720" w:type="dxa"/>
            <w:shd w:val="clear" w:color="auto" w:fill="auto"/>
            <w:noWrap/>
            <w:vAlign w:val="center"/>
            <w:hideMark/>
          </w:tcPr>
          <w:p w14:paraId="51F88027" w14:textId="67E5BBD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14.3%</w:t>
            </w:r>
          </w:p>
        </w:tc>
        <w:tc>
          <w:tcPr>
            <w:tcW w:w="662" w:type="dxa"/>
            <w:shd w:val="clear" w:color="auto" w:fill="auto"/>
            <w:noWrap/>
            <w:vAlign w:val="center"/>
            <w:hideMark/>
          </w:tcPr>
          <w:p w14:paraId="45592FE9" w14:textId="0439A35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13.9%</w:t>
            </w:r>
          </w:p>
        </w:tc>
        <w:tc>
          <w:tcPr>
            <w:tcW w:w="1000" w:type="dxa"/>
            <w:shd w:val="clear" w:color="auto" w:fill="auto"/>
            <w:noWrap/>
            <w:vAlign w:val="center"/>
            <w:hideMark/>
          </w:tcPr>
          <w:p w14:paraId="098FCC06" w14:textId="1A58593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8.6%</w:t>
            </w:r>
          </w:p>
        </w:tc>
        <w:tc>
          <w:tcPr>
            <w:tcW w:w="906" w:type="dxa"/>
            <w:shd w:val="clear" w:color="auto" w:fill="auto"/>
            <w:noWrap/>
            <w:vAlign w:val="center"/>
            <w:hideMark/>
          </w:tcPr>
          <w:p w14:paraId="6C92B581" w14:textId="65802CD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18.6%</w:t>
            </w:r>
          </w:p>
        </w:tc>
        <w:tc>
          <w:tcPr>
            <w:tcW w:w="852" w:type="dxa"/>
            <w:shd w:val="clear" w:color="auto" w:fill="auto"/>
            <w:noWrap/>
            <w:vAlign w:val="center"/>
            <w:hideMark/>
          </w:tcPr>
          <w:p w14:paraId="5349FFF6" w14:textId="000D330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19.0%</w:t>
            </w:r>
          </w:p>
        </w:tc>
        <w:tc>
          <w:tcPr>
            <w:tcW w:w="662" w:type="dxa"/>
            <w:shd w:val="clear" w:color="auto" w:fill="auto"/>
            <w:noWrap/>
            <w:vAlign w:val="center"/>
            <w:hideMark/>
          </w:tcPr>
          <w:p w14:paraId="58ED61FF" w14:textId="658CAAC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19.2%</w:t>
            </w:r>
          </w:p>
        </w:tc>
        <w:tc>
          <w:tcPr>
            <w:tcW w:w="737" w:type="dxa"/>
            <w:shd w:val="clear" w:color="auto" w:fill="auto"/>
            <w:noWrap/>
            <w:vAlign w:val="center"/>
            <w:hideMark/>
          </w:tcPr>
          <w:p w14:paraId="25D5677A" w14:textId="2BA69D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19.6%</w:t>
            </w:r>
          </w:p>
        </w:tc>
        <w:tc>
          <w:tcPr>
            <w:tcW w:w="666" w:type="dxa"/>
            <w:shd w:val="clear" w:color="auto" w:fill="auto"/>
            <w:noWrap/>
            <w:vAlign w:val="center"/>
            <w:hideMark/>
          </w:tcPr>
          <w:p w14:paraId="06EF861F" w14:textId="6A8B77B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18.0%</w:t>
            </w:r>
          </w:p>
        </w:tc>
        <w:tc>
          <w:tcPr>
            <w:tcW w:w="662" w:type="dxa"/>
            <w:shd w:val="clear" w:color="auto" w:fill="auto"/>
            <w:noWrap/>
            <w:vAlign w:val="center"/>
            <w:hideMark/>
          </w:tcPr>
          <w:p w14:paraId="2DF8FBB9" w14:textId="3A2EEC6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14.2%</w:t>
            </w:r>
          </w:p>
        </w:tc>
        <w:tc>
          <w:tcPr>
            <w:tcW w:w="958" w:type="dxa"/>
            <w:shd w:val="clear" w:color="auto" w:fill="auto"/>
            <w:noWrap/>
            <w:vAlign w:val="center"/>
            <w:hideMark/>
          </w:tcPr>
          <w:p w14:paraId="43DDC558" w14:textId="0DE4CB0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16.3%</w:t>
            </w:r>
          </w:p>
        </w:tc>
        <w:tc>
          <w:tcPr>
            <w:tcW w:w="879" w:type="dxa"/>
            <w:shd w:val="clear" w:color="auto" w:fill="auto"/>
            <w:noWrap/>
            <w:vAlign w:val="center"/>
            <w:hideMark/>
          </w:tcPr>
          <w:p w14:paraId="2DE89258" w14:textId="617C3EF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17.7%</w:t>
            </w:r>
          </w:p>
        </w:tc>
        <w:tc>
          <w:tcPr>
            <w:tcW w:w="720" w:type="dxa"/>
            <w:shd w:val="clear" w:color="auto" w:fill="auto"/>
            <w:noWrap/>
            <w:vAlign w:val="center"/>
            <w:hideMark/>
          </w:tcPr>
          <w:p w14:paraId="4E42F77C" w14:textId="15F4684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22.3%</w:t>
            </w:r>
          </w:p>
        </w:tc>
        <w:tc>
          <w:tcPr>
            <w:tcW w:w="720" w:type="dxa"/>
            <w:shd w:val="clear" w:color="auto" w:fill="auto"/>
            <w:noWrap/>
            <w:vAlign w:val="center"/>
            <w:hideMark/>
          </w:tcPr>
          <w:p w14:paraId="7A1D2EC1" w14:textId="436B026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23.7%</w:t>
            </w:r>
          </w:p>
        </w:tc>
        <w:tc>
          <w:tcPr>
            <w:tcW w:w="810" w:type="dxa"/>
            <w:shd w:val="clear" w:color="auto" w:fill="auto"/>
            <w:noWrap/>
            <w:vAlign w:val="center"/>
            <w:hideMark/>
          </w:tcPr>
          <w:p w14:paraId="4C9792BB" w14:textId="43D4EDB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21.0%</w:t>
            </w:r>
          </w:p>
        </w:tc>
      </w:tr>
      <w:tr w:rsidR="00255A16" w:rsidRPr="00E341A9" w14:paraId="5FC6F275" w14:textId="77777777" w:rsidTr="007358E6">
        <w:trPr>
          <w:trHeight w:val="520"/>
        </w:trPr>
        <w:tc>
          <w:tcPr>
            <w:tcW w:w="815" w:type="dxa"/>
            <w:shd w:val="clear" w:color="auto" w:fill="F2F2F2" w:themeFill="background1" w:themeFillShade="F2"/>
            <w:noWrap/>
            <w:hideMark/>
          </w:tcPr>
          <w:p w14:paraId="01F4A217"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lastRenderedPageBreak/>
              <w:t>FUH-7</w:t>
            </w:r>
          </w:p>
        </w:tc>
        <w:tc>
          <w:tcPr>
            <w:tcW w:w="2880" w:type="dxa"/>
            <w:shd w:val="clear" w:color="auto" w:fill="F2F2F2" w:themeFill="background1" w:themeFillShade="F2"/>
            <w:hideMark/>
          </w:tcPr>
          <w:p w14:paraId="20FAEF0D"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Follow-Up After Hospitalization for Mental Illness (7 days) </w:t>
            </w:r>
          </w:p>
        </w:tc>
        <w:tc>
          <w:tcPr>
            <w:tcW w:w="662" w:type="dxa"/>
            <w:shd w:val="clear" w:color="auto" w:fill="F2F2F2" w:themeFill="background1" w:themeFillShade="F2"/>
            <w:noWrap/>
            <w:vAlign w:val="center"/>
            <w:hideMark/>
          </w:tcPr>
          <w:p w14:paraId="55B17D05" w14:textId="5DF20F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48.0%</w:t>
            </w:r>
          </w:p>
        </w:tc>
        <w:tc>
          <w:tcPr>
            <w:tcW w:w="688" w:type="dxa"/>
            <w:shd w:val="clear" w:color="auto" w:fill="F2F2F2" w:themeFill="background1" w:themeFillShade="F2"/>
            <w:noWrap/>
            <w:vAlign w:val="center"/>
            <w:hideMark/>
          </w:tcPr>
          <w:p w14:paraId="15161B9C" w14:textId="17349A5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42.7%</w:t>
            </w:r>
          </w:p>
        </w:tc>
        <w:tc>
          <w:tcPr>
            <w:tcW w:w="662" w:type="dxa"/>
            <w:shd w:val="clear" w:color="auto" w:fill="F2F2F2" w:themeFill="background1" w:themeFillShade="F2"/>
            <w:noWrap/>
            <w:vAlign w:val="center"/>
            <w:hideMark/>
          </w:tcPr>
          <w:p w14:paraId="0C2DEDA4" w14:textId="45E77B0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41.2%</w:t>
            </w:r>
          </w:p>
        </w:tc>
        <w:tc>
          <w:tcPr>
            <w:tcW w:w="688" w:type="dxa"/>
            <w:shd w:val="clear" w:color="auto" w:fill="F2F2F2" w:themeFill="background1" w:themeFillShade="F2"/>
            <w:noWrap/>
            <w:vAlign w:val="center"/>
            <w:hideMark/>
          </w:tcPr>
          <w:p w14:paraId="5902685F" w14:textId="6FE82FA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40.0%</w:t>
            </w:r>
          </w:p>
        </w:tc>
        <w:tc>
          <w:tcPr>
            <w:tcW w:w="810" w:type="dxa"/>
            <w:shd w:val="clear" w:color="auto" w:fill="F2F2F2" w:themeFill="background1" w:themeFillShade="F2"/>
            <w:noWrap/>
            <w:vAlign w:val="center"/>
            <w:hideMark/>
          </w:tcPr>
          <w:p w14:paraId="4C6ADC67" w14:textId="122E0BD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45.2%</w:t>
            </w:r>
          </w:p>
        </w:tc>
        <w:tc>
          <w:tcPr>
            <w:tcW w:w="810" w:type="dxa"/>
            <w:shd w:val="clear" w:color="auto" w:fill="F2F2F2" w:themeFill="background1" w:themeFillShade="F2"/>
            <w:noWrap/>
            <w:vAlign w:val="center"/>
            <w:hideMark/>
          </w:tcPr>
          <w:p w14:paraId="3A9637BB" w14:textId="3E09DDD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34.7%</w:t>
            </w:r>
          </w:p>
        </w:tc>
        <w:tc>
          <w:tcPr>
            <w:tcW w:w="720" w:type="dxa"/>
            <w:shd w:val="clear" w:color="auto" w:fill="F2F2F2" w:themeFill="background1" w:themeFillShade="F2"/>
            <w:noWrap/>
            <w:vAlign w:val="center"/>
            <w:hideMark/>
          </w:tcPr>
          <w:p w14:paraId="2FE4D262" w14:textId="6B4E200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48.6%</w:t>
            </w:r>
          </w:p>
        </w:tc>
        <w:tc>
          <w:tcPr>
            <w:tcW w:w="720" w:type="dxa"/>
            <w:shd w:val="clear" w:color="auto" w:fill="F2F2F2" w:themeFill="background1" w:themeFillShade="F2"/>
            <w:noWrap/>
            <w:vAlign w:val="center"/>
            <w:hideMark/>
          </w:tcPr>
          <w:p w14:paraId="7867BE15" w14:textId="73BE143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38.5%</w:t>
            </w:r>
          </w:p>
        </w:tc>
        <w:tc>
          <w:tcPr>
            <w:tcW w:w="662" w:type="dxa"/>
            <w:shd w:val="clear" w:color="auto" w:fill="F2F2F2" w:themeFill="background1" w:themeFillShade="F2"/>
            <w:noWrap/>
            <w:vAlign w:val="center"/>
            <w:hideMark/>
          </w:tcPr>
          <w:p w14:paraId="3EF42C95" w14:textId="40FFE65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48.2%</w:t>
            </w:r>
          </w:p>
        </w:tc>
        <w:tc>
          <w:tcPr>
            <w:tcW w:w="1000" w:type="dxa"/>
            <w:shd w:val="clear" w:color="auto" w:fill="F2F2F2" w:themeFill="background1" w:themeFillShade="F2"/>
            <w:noWrap/>
            <w:vAlign w:val="center"/>
            <w:hideMark/>
          </w:tcPr>
          <w:p w14:paraId="385F1AD5" w14:textId="4667809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55.5%</w:t>
            </w:r>
          </w:p>
        </w:tc>
        <w:tc>
          <w:tcPr>
            <w:tcW w:w="906" w:type="dxa"/>
            <w:shd w:val="clear" w:color="auto" w:fill="F2F2F2" w:themeFill="background1" w:themeFillShade="F2"/>
            <w:noWrap/>
            <w:vAlign w:val="center"/>
            <w:hideMark/>
          </w:tcPr>
          <w:p w14:paraId="33953AE4" w14:textId="1C917FF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46.4%</w:t>
            </w:r>
          </w:p>
        </w:tc>
        <w:tc>
          <w:tcPr>
            <w:tcW w:w="852" w:type="dxa"/>
            <w:shd w:val="clear" w:color="auto" w:fill="F2F2F2" w:themeFill="background1" w:themeFillShade="F2"/>
            <w:noWrap/>
            <w:vAlign w:val="center"/>
            <w:hideMark/>
          </w:tcPr>
          <w:p w14:paraId="7F010AAD" w14:textId="0018AFA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51.2%</w:t>
            </w:r>
          </w:p>
        </w:tc>
        <w:tc>
          <w:tcPr>
            <w:tcW w:w="662" w:type="dxa"/>
            <w:shd w:val="clear" w:color="auto" w:fill="F2F2F2" w:themeFill="background1" w:themeFillShade="F2"/>
            <w:noWrap/>
            <w:vAlign w:val="center"/>
            <w:hideMark/>
          </w:tcPr>
          <w:p w14:paraId="6603847C" w14:textId="0541356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47.8%</w:t>
            </w:r>
          </w:p>
        </w:tc>
        <w:tc>
          <w:tcPr>
            <w:tcW w:w="737" w:type="dxa"/>
            <w:shd w:val="clear" w:color="auto" w:fill="F2F2F2" w:themeFill="background1" w:themeFillShade="F2"/>
            <w:noWrap/>
            <w:vAlign w:val="center"/>
            <w:hideMark/>
          </w:tcPr>
          <w:p w14:paraId="2FFE69C8" w14:textId="772AB04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54.9%</w:t>
            </w:r>
          </w:p>
        </w:tc>
        <w:tc>
          <w:tcPr>
            <w:tcW w:w="666" w:type="dxa"/>
            <w:shd w:val="clear" w:color="auto" w:fill="F2F2F2" w:themeFill="background1" w:themeFillShade="F2"/>
            <w:noWrap/>
            <w:vAlign w:val="center"/>
            <w:hideMark/>
          </w:tcPr>
          <w:p w14:paraId="4E2CE43D" w14:textId="52E95A9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48.4%</w:t>
            </w:r>
          </w:p>
        </w:tc>
        <w:tc>
          <w:tcPr>
            <w:tcW w:w="662" w:type="dxa"/>
            <w:shd w:val="clear" w:color="auto" w:fill="F2F2F2" w:themeFill="background1" w:themeFillShade="F2"/>
            <w:noWrap/>
            <w:vAlign w:val="center"/>
            <w:hideMark/>
          </w:tcPr>
          <w:p w14:paraId="2B3CD60C" w14:textId="4BF4258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52.9%</w:t>
            </w:r>
          </w:p>
        </w:tc>
        <w:tc>
          <w:tcPr>
            <w:tcW w:w="958" w:type="dxa"/>
            <w:shd w:val="clear" w:color="auto" w:fill="F2F2F2" w:themeFill="background1" w:themeFillShade="F2"/>
            <w:noWrap/>
            <w:vAlign w:val="center"/>
            <w:hideMark/>
          </w:tcPr>
          <w:p w14:paraId="57EC54B0" w14:textId="0457122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52.1%</w:t>
            </w:r>
          </w:p>
        </w:tc>
        <w:tc>
          <w:tcPr>
            <w:tcW w:w="879" w:type="dxa"/>
            <w:shd w:val="clear" w:color="auto" w:fill="F2F2F2" w:themeFill="background1" w:themeFillShade="F2"/>
            <w:noWrap/>
            <w:vAlign w:val="center"/>
            <w:hideMark/>
          </w:tcPr>
          <w:p w14:paraId="2079C4F9" w14:textId="76EDEE2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51.7%</w:t>
            </w:r>
          </w:p>
        </w:tc>
        <w:tc>
          <w:tcPr>
            <w:tcW w:w="720" w:type="dxa"/>
            <w:shd w:val="clear" w:color="auto" w:fill="F2F2F2" w:themeFill="background1" w:themeFillShade="F2"/>
            <w:noWrap/>
            <w:vAlign w:val="center"/>
            <w:hideMark/>
          </w:tcPr>
          <w:p w14:paraId="7A86408C" w14:textId="7BFF0BD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41.7%</w:t>
            </w:r>
          </w:p>
        </w:tc>
        <w:tc>
          <w:tcPr>
            <w:tcW w:w="720" w:type="dxa"/>
            <w:shd w:val="clear" w:color="auto" w:fill="F2F2F2" w:themeFill="background1" w:themeFillShade="F2"/>
            <w:noWrap/>
            <w:vAlign w:val="center"/>
            <w:hideMark/>
          </w:tcPr>
          <w:p w14:paraId="0B672EA1" w14:textId="118FC5B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45.6%</w:t>
            </w:r>
          </w:p>
        </w:tc>
        <w:tc>
          <w:tcPr>
            <w:tcW w:w="810" w:type="dxa"/>
            <w:shd w:val="clear" w:color="auto" w:fill="F2F2F2" w:themeFill="background1" w:themeFillShade="F2"/>
            <w:noWrap/>
            <w:vAlign w:val="center"/>
            <w:hideMark/>
          </w:tcPr>
          <w:p w14:paraId="10747C08" w14:textId="2D008FD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38.9%</w:t>
            </w:r>
          </w:p>
        </w:tc>
      </w:tr>
      <w:tr w:rsidR="00EF4C5F" w:rsidRPr="00E341A9" w14:paraId="69B291F5" w14:textId="77777777" w:rsidTr="00A51784">
        <w:trPr>
          <w:trHeight w:val="520"/>
        </w:trPr>
        <w:tc>
          <w:tcPr>
            <w:tcW w:w="815" w:type="dxa"/>
            <w:shd w:val="clear" w:color="auto" w:fill="auto"/>
            <w:noWrap/>
            <w:hideMark/>
          </w:tcPr>
          <w:p w14:paraId="6E504B24"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FUM-7</w:t>
            </w:r>
          </w:p>
        </w:tc>
        <w:tc>
          <w:tcPr>
            <w:tcW w:w="2880" w:type="dxa"/>
            <w:shd w:val="clear" w:color="auto" w:fill="auto"/>
            <w:hideMark/>
          </w:tcPr>
          <w:p w14:paraId="195F9FB6"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Follow-Up After Emergency Department Visit for Mental Illness (7 days)</w:t>
            </w:r>
          </w:p>
        </w:tc>
        <w:tc>
          <w:tcPr>
            <w:tcW w:w="662" w:type="dxa"/>
            <w:shd w:val="clear" w:color="auto" w:fill="auto"/>
            <w:noWrap/>
            <w:vAlign w:val="center"/>
            <w:hideMark/>
          </w:tcPr>
          <w:p w14:paraId="047ED7DF" w14:textId="4118D3F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76.0%</w:t>
            </w:r>
          </w:p>
        </w:tc>
        <w:tc>
          <w:tcPr>
            <w:tcW w:w="688" w:type="dxa"/>
            <w:shd w:val="clear" w:color="auto" w:fill="auto"/>
            <w:noWrap/>
            <w:vAlign w:val="center"/>
            <w:hideMark/>
          </w:tcPr>
          <w:p w14:paraId="112C35D2" w14:textId="264B927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72.2%</w:t>
            </w:r>
          </w:p>
        </w:tc>
        <w:tc>
          <w:tcPr>
            <w:tcW w:w="662" w:type="dxa"/>
            <w:shd w:val="clear" w:color="auto" w:fill="auto"/>
            <w:noWrap/>
            <w:vAlign w:val="center"/>
            <w:hideMark/>
          </w:tcPr>
          <w:p w14:paraId="6819686B" w14:textId="6FC1AC7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78.9%</w:t>
            </w:r>
          </w:p>
        </w:tc>
        <w:tc>
          <w:tcPr>
            <w:tcW w:w="688" w:type="dxa"/>
            <w:shd w:val="clear" w:color="auto" w:fill="auto"/>
            <w:noWrap/>
            <w:vAlign w:val="center"/>
            <w:hideMark/>
          </w:tcPr>
          <w:p w14:paraId="31C7B461" w14:textId="6C64171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73.1%</w:t>
            </w:r>
          </w:p>
        </w:tc>
        <w:tc>
          <w:tcPr>
            <w:tcW w:w="810" w:type="dxa"/>
            <w:shd w:val="clear" w:color="auto" w:fill="auto"/>
            <w:noWrap/>
            <w:vAlign w:val="center"/>
            <w:hideMark/>
          </w:tcPr>
          <w:p w14:paraId="555FA91B" w14:textId="2765A17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71.4%</w:t>
            </w:r>
          </w:p>
        </w:tc>
        <w:tc>
          <w:tcPr>
            <w:tcW w:w="810" w:type="dxa"/>
            <w:shd w:val="clear" w:color="auto" w:fill="auto"/>
            <w:noWrap/>
            <w:vAlign w:val="center"/>
            <w:hideMark/>
          </w:tcPr>
          <w:p w14:paraId="51E74FAB" w14:textId="1941DB6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71.5%</w:t>
            </w:r>
          </w:p>
        </w:tc>
        <w:tc>
          <w:tcPr>
            <w:tcW w:w="720" w:type="dxa"/>
            <w:shd w:val="clear" w:color="auto" w:fill="auto"/>
            <w:noWrap/>
            <w:vAlign w:val="center"/>
            <w:hideMark/>
          </w:tcPr>
          <w:p w14:paraId="31E82B50" w14:textId="2229CAF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78.5%</w:t>
            </w:r>
          </w:p>
        </w:tc>
        <w:tc>
          <w:tcPr>
            <w:tcW w:w="720" w:type="dxa"/>
            <w:shd w:val="clear" w:color="auto" w:fill="auto"/>
            <w:noWrap/>
            <w:vAlign w:val="center"/>
            <w:hideMark/>
          </w:tcPr>
          <w:p w14:paraId="32D26DE3" w14:textId="384E236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68.3%</w:t>
            </w:r>
          </w:p>
        </w:tc>
        <w:tc>
          <w:tcPr>
            <w:tcW w:w="662" w:type="dxa"/>
            <w:shd w:val="clear" w:color="auto" w:fill="auto"/>
            <w:noWrap/>
            <w:vAlign w:val="center"/>
            <w:hideMark/>
          </w:tcPr>
          <w:p w14:paraId="4DCE5E6D" w14:textId="48F3EA1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76.1%</w:t>
            </w:r>
          </w:p>
        </w:tc>
        <w:tc>
          <w:tcPr>
            <w:tcW w:w="1000" w:type="dxa"/>
            <w:shd w:val="clear" w:color="auto" w:fill="auto"/>
            <w:noWrap/>
            <w:vAlign w:val="center"/>
            <w:hideMark/>
          </w:tcPr>
          <w:p w14:paraId="010967F3" w14:textId="6F3076D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85.3%</w:t>
            </w:r>
          </w:p>
        </w:tc>
        <w:tc>
          <w:tcPr>
            <w:tcW w:w="906" w:type="dxa"/>
            <w:shd w:val="clear" w:color="auto" w:fill="auto"/>
            <w:noWrap/>
            <w:vAlign w:val="center"/>
            <w:hideMark/>
          </w:tcPr>
          <w:p w14:paraId="60E57B6A" w14:textId="6F26544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75.6%</w:t>
            </w:r>
          </w:p>
        </w:tc>
        <w:tc>
          <w:tcPr>
            <w:tcW w:w="852" w:type="dxa"/>
            <w:shd w:val="clear" w:color="auto" w:fill="auto"/>
            <w:noWrap/>
            <w:vAlign w:val="center"/>
            <w:hideMark/>
          </w:tcPr>
          <w:p w14:paraId="5EBC7CCE" w14:textId="14362B9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76.8%</w:t>
            </w:r>
          </w:p>
        </w:tc>
        <w:tc>
          <w:tcPr>
            <w:tcW w:w="662" w:type="dxa"/>
            <w:shd w:val="clear" w:color="auto" w:fill="auto"/>
            <w:noWrap/>
            <w:vAlign w:val="center"/>
            <w:hideMark/>
          </w:tcPr>
          <w:p w14:paraId="000CD457" w14:textId="335563C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73.1%</w:t>
            </w:r>
          </w:p>
        </w:tc>
        <w:tc>
          <w:tcPr>
            <w:tcW w:w="737" w:type="dxa"/>
            <w:shd w:val="clear" w:color="auto" w:fill="auto"/>
            <w:noWrap/>
            <w:vAlign w:val="center"/>
            <w:hideMark/>
          </w:tcPr>
          <w:p w14:paraId="073AB77F" w14:textId="264D58A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77.8%</w:t>
            </w:r>
          </w:p>
        </w:tc>
        <w:tc>
          <w:tcPr>
            <w:tcW w:w="666" w:type="dxa"/>
            <w:shd w:val="clear" w:color="auto" w:fill="auto"/>
            <w:noWrap/>
            <w:vAlign w:val="center"/>
            <w:hideMark/>
          </w:tcPr>
          <w:p w14:paraId="729E24DA" w14:textId="667C827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76.1%</w:t>
            </w:r>
          </w:p>
        </w:tc>
        <w:tc>
          <w:tcPr>
            <w:tcW w:w="662" w:type="dxa"/>
            <w:shd w:val="clear" w:color="auto" w:fill="auto"/>
            <w:noWrap/>
            <w:vAlign w:val="center"/>
            <w:hideMark/>
          </w:tcPr>
          <w:p w14:paraId="37F8C304" w14:textId="5A1DF40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77.5%</w:t>
            </w:r>
          </w:p>
        </w:tc>
        <w:tc>
          <w:tcPr>
            <w:tcW w:w="958" w:type="dxa"/>
            <w:shd w:val="clear" w:color="auto" w:fill="auto"/>
            <w:noWrap/>
            <w:vAlign w:val="center"/>
            <w:hideMark/>
          </w:tcPr>
          <w:p w14:paraId="5D5E2F9E" w14:textId="4E60E0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74.8%</w:t>
            </w:r>
          </w:p>
        </w:tc>
        <w:tc>
          <w:tcPr>
            <w:tcW w:w="879" w:type="dxa"/>
            <w:shd w:val="clear" w:color="auto" w:fill="auto"/>
            <w:noWrap/>
            <w:vAlign w:val="center"/>
            <w:hideMark/>
          </w:tcPr>
          <w:p w14:paraId="01559EF6" w14:textId="2FB40D8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69.4%</w:t>
            </w:r>
          </w:p>
        </w:tc>
        <w:tc>
          <w:tcPr>
            <w:tcW w:w="720" w:type="dxa"/>
            <w:shd w:val="clear" w:color="auto" w:fill="auto"/>
            <w:noWrap/>
            <w:vAlign w:val="center"/>
            <w:hideMark/>
          </w:tcPr>
          <w:p w14:paraId="4CBFFFAF" w14:textId="6921278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72.1%</w:t>
            </w:r>
          </w:p>
        </w:tc>
        <w:tc>
          <w:tcPr>
            <w:tcW w:w="720" w:type="dxa"/>
            <w:shd w:val="clear" w:color="auto" w:fill="auto"/>
            <w:noWrap/>
            <w:vAlign w:val="center"/>
            <w:hideMark/>
          </w:tcPr>
          <w:p w14:paraId="7CC0BEE1" w14:textId="677FCA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69.5%</w:t>
            </w:r>
          </w:p>
        </w:tc>
        <w:tc>
          <w:tcPr>
            <w:tcW w:w="810" w:type="dxa"/>
            <w:shd w:val="clear" w:color="auto" w:fill="auto"/>
            <w:noWrap/>
            <w:vAlign w:val="center"/>
            <w:hideMark/>
          </w:tcPr>
          <w:p w14:paraId="0967AF09" w14:textId="669B66E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74.1%</w:t>
            </w:r>
          </w:p>
        </w:tc>
      </w:tr>
      <w:tr w:rsidR="00255A16" w:rsidRPr="00E341A9" w14:paraId="0DDE6EF6" w14:textId="77777777" w:rsidTr="00273F52">
        <w:trPr>
          <w:trHeight w:val="520"/>
        </w:trPr>
        <w:tc>
          <w:tcPr>
            <w:tcW w:w="815" w:type="dxa"/>
            <w:shd w:val="clear" w:color="auto" w:fill="F2F2F2" w:themeFill="background1" w:themeFillShade="F2"/>
            <w:noWrap/>
            <w:hideMark/>
          </w:tcPr>
          <w:p w14:paraId="02964BDC"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APM</w:t>
            </w:r>
          </w:p>
        </w:tc>
        <w:tc>
          <w:tcPr>
            <w:tcW w:w="2880" w:type="dxa"/>
            <w:shd w:val="clear" w:color="auto" w:fill="F2F2F2" w:themeFill="background1" w:themeFillShade="F2"/>
            <w:hideMark/>
          </w:tcPr>
          <w:p w14:paraId="5AE8E0F5"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Metabolic Monitoring for Children and Adolescents on Antipsychotics </w:t>
            </w:r>
          </w:p>
        </w:tc>
        <w:tc>
          <w:tcPr>
            <w:tcW w:w="662" w:type="dxa"/>
            <w:shd w:val="clear" w:color="auto" w:fill="F2F2F2" w:themeFill="background1" w:themeFillShade="F2"/>
            <w:noWrap/>
            <w:vAlign w:val="center"/>
            <w:hideMark/>
          </w:tcPr>
          <w:p w14:paraId="330AED06" w14:textId="044AD64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45.2%</w:t>
            </w:r>
          </w:p>
        </w:tc>
        <w:tc>
          <w:tcPr>
            <w:tcW w:w="688" w:type="dxa"/>
            <w:shd w:val="clear" w:color="auto" w:fill="F2F2F2" w:themeFill="background1" w:themeFillShade="F2"/>
            <w:noWrap/>
            <w:vAlign w:val="center"/>
            <w:hideMark/>
          </w:tcPr>
          <w:p w14:paraId="4533DDBD" w14:textId="5EA74A2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662" w:type="dxa"/>
            <w:shd w:val="clear" w:color="auto" w:fill="F2F2F2" w:themeFill="background1" w:themeFillShade="F2"/>
            <w:noWrap/>
            <w:vAlign w:val="center"/>
            <w:hideMark/>
          </w:tcPr>
          <w:p w14:paraId="71CE7E57" w14:textId="1828F01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35.2%</w:t>
            </w:r>
          </w:p>
        </w:tc>
        <w:tc>
          <w:tcPr>
            <w:tcW w:w="688" w:type="dxa"/>
            <w:shd w:val="clear" w:color="auto" w:fill="F2F2F2" w:themeFill="background1" w:themeFillShade="F2"/>
            <w:noWrap/>
            <w:vAlign w:val="center"/>
            <w:hideMark/>
          </w:tcPr>
          <w:p w14:paraId="19D1B1EA" w14:textId="1F653BC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45.6%</w:t>
            </w:r>
          </w:p>
        </w:tc>
        <w:tc>
          <w:tcPr>
            <w:tcW w:w="810" w:type="dxa"/>
            <w:shd w:val="clear" w:color="auto" w:fill="F2F2F2" w:themeFill="background1" w:themeFillShade="F2"/>
            <w:noWrap/>
            <w:vAlign w:val="center"/>
            <w:hideMark/>
          </w:tcPr>
          <w:p w14:paraId="1CA31D79" w14:textId="222B2A9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43.7%</w:t>
            </w:r>
          </w:p>
        </w:tc>
        <w:tc>
          <w:tcPr>
            <w:tcW w:w="810" w:type="dxa"/>
            <w:shd w:val="clear" w:color="auto" w:fill="F2F2F2" w:themeFill="background1" w:themeFillShade="F2"/>
            <w:noWrap/>
            <w:vAlign w:val="center"/>
            <w:hideMark/>
          </w:tcPr>
          <w:p w14:paraId="38AE7F07" w14:textId="580C187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51.0%</w:t>
            </w:r>
          </w:p>
        </w:tc>
        <w:tc>
          <w:tcPr>
            <w:tcW w:w="720" w:type="dxa"/>
            <w:shd w:val="clear" w:color="auto" w:fill="F2F2F2" w:themeFill="background1" w:themeFillShade="F2"/>
            <w:noWrap/>
            <w:vAlign w:val="center"/>
            <w:hideMark/>
          </w:tcPr>
          <w:p w14:paraId="194C01BE" w14:textId="2904D64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54.2%</w:t>
            </w:r>
          </w:p>
        </w:tc>
        <w:tc>
          <w:tcPr>
            <w:tcW w:w="720" w:type="dxa"/>
            <w:shd w:val="clear" w:color="auto" w:fill="F2F2F2" w:themeFill="background1" w:themeFillShade="F2"/>
            <w:noWrap/>
            <w:vAlign w:val="center"/>
            <w:hideMark/>
          </w:tcPr>
          <w:p w14:paraId="13EB9378" w14:textId="379F18D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662" w:type="dxa"/>
            <w:shd w:val="clear" w:color="auto" w:fill="F2F2F2" w:themeFill="background1" w:themeFillShade="F2"/>
            <w:noWrap/>
            <w:vAlign w:val="center"/>
            <w:hideMark/>
          </w:tcPr>
          <w:p w14:paraId="4F8513F9" w14:textId="30CCBC3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43.4%</w:t>
            </w:r>
          </w:p>
        </w:tc>
        <w:tc>
          <w:tcPr>
            <w:tcW w:w="1000" w:type="dxa"/>
            <w:shd w:val="clear" w:color="auto" w:fill="F2F2F2" w:themeFill="background1" w:themeFillShade="F2"/>
            <w:noWrap/>
            <w:vAlign w:val="center"/>
            <w:hideMark/>
          </w:tcPr>
          <w:p w14:paraId="3F5C05D5" w14:textId="4898885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47.7%</w:t>
            </w:r>
          </w:p>
        </w:tc>
        <w:tc>
          <w:tcPr>
            <w:tcW w:w="906" w:type="dxa"/>
            <w:shd w:val="clear" w:color="auto" w:fill="F2F2F2" w:themeFill="background1" w:themeFillShade="F2"/>
            <w:noWrap/>
            <w:vAlign w:val="center"/>
            <w:hideMark/>
          </w:tcPr>
          <w:p w14:paraId="48589611" w14:textId="6C854EC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63.6%</w:t>
            </w:r>
          </w:p>
        </w:tc>
        <w:tc>
          <w:tcPr>
            <w:tcW w:w="852" w:type="dxa"/>
            <w:shd w:val="clear" w:color="auto" w:fill="F2F2F2" w:themeFill="background1" w:themeFillShade="F2"/>
            <w:noWrap/>
            <w:vAlign w:val="center"/>
            <w:hideMark/>
          </w:tcPr>
          <w:p w14:paraId="0981F447" w14:textId="1C5B522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50.0%</w:t>
            </w:r>
          </w:p>
        </w:tc>
        <w:tc>
          <w:tcPr>
            <w:tcW w:w="662" w:type="dxa"/>
            <w:shd w:val="clear" w:color="auto" w:fill="F2F2F2" w:themeFill="background1" w:themeFillShade="F2"/>
            <w:noWrap/>
            <w:vAlign w:val="center"/>
            <w:hideMark/>
          </w:tcPr>
          <w:p w14:paraId="5985030F" w14:textId="7FE0B7F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737" w:type="dxa"/>
            <w:shd w:val="clear" w:color="auto" w:fill="F2F2F2" w:themeFill="background1" w:themeFillShade="F2"/>
            <w:noWrap/>
            <w:vAlign w:val="center"/>
            <w:hideMark/>
          </w:tcPr>
          <w:p w14:paraId="5ED34A49" w14:textId="4235931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71.0%</w:t>
            </w:r>
          </w:p>
        </w:tc>
        <w:tc>
          <w:tcPr>
            <w:tcW w:w="666" w:type="dxa"/>
            <w:shd w:val="clear" w:color="auto" w:fill="F2F2F2" w:themeFill="background1" w:themeFillShade="F2"/>
            <w:noWrap/>
            <w:vAlign w:val="center"/>
            <w:hideMark/>
          </w:tcPr>
          <w:p w14:paraId="6AD5CBAD" w14:textId="2512B9B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42.3%</w:t>
            </w:r>
          </w:p>
        </w:tc>
        <w:tc>
          <w:tcPr>
            <w:tcW w:w="662" w:type="dxa"/>
            <w:shd w:val="clear" w:color="auto" w:fill="F2F2F2" w:themeFill="background1" w:themeFillShade="F2"/>
            <w:noWrap/>
            <w:vAlign w:val="center"/>
            <w:hideMark/>
          </w:tcPr>
          <w:p w14:paraId="26F3A10A" w14:textId="41DD864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36.6%</w:t>
            </w:r>
          </w:p>
        </w:tc>
        <w:tc>
          <w:tcPr>
            <w:tcW w:w="958" w:type="dxa"/>
            <w:shd w:val="clear" w:color="auto" w:fill="F2F2F2" w:themeFill="background1" w:themeFillShade="F2"/>
            <w:noWrap/>
            <w:vAlign w:val="center"/>
            <w:hideMark/>
          </w:tcPr>
          <w:p w14:paraId="6B75B367" w14:textId="58217C4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38.7%</w:t>
            </w:r>
          </w:p>
        </w:tc>
        <w:tc>
          <w:tcPr>
            <w:tcW w:w="879" w:type="dxa"/>
            <w:shd w:val="clear" w:color="auto" w:fill="F2F2F2" w:themeFill="background1" w:themeFillShade="F2"/>
            <w:noWrap/>
            <w:vAlign w:val="center"/>
            <w:hideMark/>
          </w:tcPr>
          <w:p w14:paraId="1D706E28" w14:textId="0A38610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720" w:type="dxa"/>
            <w:tcBorders>
              <w:bottom w:val="single" w:sz="4" w:space="0" w:color="auto"/>
            </w:tcBorders>
            <w:shd w:val="clear" w:color="auto" w:fill="F2F2F2" w:themeFill="background1" w:themeFillShade="F2"/>
            <w:noWrap/>
            <w:vAlign w:val="center"/>
            <w:hideMark/>
          </w:tcPr>
          <w:p w14:paraId="7D3EB232" w14:textId="70A9590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28.1%</w:t>
            </w:r>
          </w:p>
        </w:tc>
        <w:tc>
          <w:tcPr>
            <w:tcW w:w="720" w:type="dxa"/>
            <w:tcBorders>
              <w:bottom w:val="single" w:sz="4" w:space="0" w:color="auto"/>
            </w:tcBorders>
            <w:shd w:val="clear" w:color="auto" w:fill="F2F2F2" w:themeFill="background1" w:themeFillShade="F2"/>
            <w:noWrap/>
            <w:vAlign w:val="center"/>
            <w:hideMark/>
          </w:tcPr>
          <w:p w14:paraId="694714CF" w14:textId="772AFC2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20.6%</w:t>
            </w:r>
          </w:p>
        </w:tc>
        <w:tc>
          <w:tcPr>
            <w:tcW w:w="810" w:type="dxa"/>
            <w:tcBorders>
              <w:bottom w:val="single" w:sz="4" w:space="0" w:color="auto"/>
            </w:tcBorders>
            <w:shd w:val="clear" w:color="auto" w:fill="F2F2F2" w:themeFill="background1" w:themeFillShade="F2"/>
            <w:noWrap/>
            <w:vAlign w:val="center"/>
            <w:hideMark/>
          </w:tcPr>
          <w:p w14:paraId="66F631B9" w14:textId="325BDD6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31.7%</w:t>
            </w:r>
          </w:p>
        </w:tc>
      </w:tr>
      <w:tr w:rsidR="00255A16" w:rsidRPr="00E341A9" w14:paraId="5C520966" w14:textId="77777777" w:rsidTr="00273F52">
        <w:trPr>
          <w:trHeight w:val="520"/>
        </w:trPr>
        <w:tc>
          <w:tcPr>
            <w:tcW w:w="815" w:type="dxa"/>
            <w:shd w:val="clear" w:color="auto" w:fill="auto"/>
            <w:noWrap/>
            <w:hideMark/>
          </w:tcPr>
          <w:p w14:paraId="2953844C"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DSF</w:t>
            </w:r>
          </w:p>
        </w:tc>
        <w:tc>
          <w:tcPr>
            <w:tcW w:w="2880" w:type="dxa"/>
            <w:shd w:val="clear" w:color="auto" w:fill="auto"/>
            <w:hideMark/>
          </w:tcPr>
          <w:p w14:paraId="0407228B"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Screening for Depression and Follow-Up Plan</w:t>
            </w:r>
          </w:p>
        </w:tc>
        <w:tc>
          <w:tcPr>
            <w:tcW w:w="662" w:type="dxa"/>
            <w:shd w:val="clear" w:color="auto" w:fill="auto"/>
            <w:noWrap/>
            <w:vAlign w:val="center"/>
            <w:hideMark/>
          </w:tcPr>
          <w:p w14:paraId="20C4D430" w14:textId="423B013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44.6%</w:t>
            </w:r>
          </w:p>
        </w:tc>
        <w:tc>
          <w:tcPr>
            <w:tcW w:w="688" w:type="dxa"/>
            <w:shd w:val="clear" w:color="auto" w:fill="auto"/>
            <w:noWrap/>
            <w:vAlign w:val="center"/>
            <w:hideMark/>
          </w:tcPr>
          <w:p w14:paraId="3A0CF6ED" w14:textId="09B7082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28.6%</w:t>
            </w:r>
          </w:p>
        </w:tc>
        <w:tc>
          <w:tcPr>
            <w:tcW w:w="662" w:type="dxa"/>
            <w:shd w:val="clear" w:color="auto" w:fill="auto"/>
            <w:noWrap/>
            <w:vAlign w:val="center"/>
            <w:hideMark/>
          </w:tcPr>
          <w:p w14:paraId="1E69B280" w14:textId="76E5CB1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37.6%</w:t>
            </w:r>
          </w:p>
        </w:tc>
        <w:tc>
          <w:tcPr>
            <w:tcW w:w="688" w:type="dxa"/>
            <w:shd w:val="clear" w:color="auto" w:fill="auto"/>
            <w:noWrap/>
            <w:vAlign w:val="center"/>
            <w:hideMark/>
          </w:tcPr>
          <w:p w14:paraId="57F18827" w14:textId="42AFBA6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47.1%</w:t>
            </w:r>
          </w:p>
        </w:tc>
        <w:tc>
          <w:tcPr>
            <w:tcW w:w="810" w:type="dxa"/>
            <w:shd w:val="clear" w:color="auto" w:fill="auto"/>
            <w:noWrap/>
            <w:vAlign w:val="center"/>
            <w:hideMark/>
          </w:tcPr>
          <w:p w14:paraId="68012E16" w14:textId="7D82809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49.0%</w:t>
            </w:r>
          </w:p>
        </w:tc>
        <w:tc>
          <w:tcPr>
            <w:tcW w:w="810" w:type="dxa"/>
            <w:shd w:val="clear" w:color="auto" w:fill="auto"/>
            <w:noWrap/>
            <w:vAlign w:val="center"/>
            <w:hideMark/>
          </w:tcPr>
          <w:p w14:paraId="1051EDBE" w14:textId="2CB653E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37.9%</w:t>
            </w:r>
          </w:p>
        </w:tc>
        <w:tc>
          <w:tcPr>
            <w:tcW w:w="720" w:type="dxa"/>
            <w:shd w:val="clear" w:color="auto" w:fill="auto"/>
            <w:noWrap/>
            <w:vAlign w:val="center"/>
            <w:hideMark/>
          </w:tcPr>
          <w:p w14:paraId="321A4D25" w14:textId="7E066A6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21.6%</w:t>
            </w:r>
          </w:p>
        </w:tc>
        <w:tc>
          <w:tcPr>
            <w:tcW w:w="720" w:type="dxa"/>
            <w:shd w:val="clear" w:color="auto" w:fill="auto"/>
            <w:noWrap/>
            <w:vAlign w:val="center"/>
            <w:hideMark/>
          </w:tcPr>
          <w:p w14:paraId="360E43FB" w14:textId="7509F23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49.6%</w:t>
            </w:r>
          </w:p>
        </w:tc>
        <w:tc>
          <w:tcPr>
            <w:tcW w:w="662" w:type="dxa"/>
            <w:shd w:val="clear" w:color="auto" w:fill="auto"/>
            <w:noWrap/>
            <w:vAlign w:val="center"/>
            <w:hideMark/>
          </w:tcPr>
          <w:p w14:paraId="5C52CF38" w14:textId="76192E5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61.3%</w:t>
            </w:r>
          </w:p>
        </w:tc>
        <w:tc>
          <w:tcPr>
            <w:tcW w:w="1000" w:type="dxa"/>
            <w:shd w:val="clear" w:color="auto" w:fill="auto"/>
            <w:noWrap/>
            <w:vAlign w:val="center"/>
            <w:hideMark/>
          </w:tcPr>
          <w:p w14:paraId="6FE48BC8" w14:textId="747E50D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57.7%</w:t>
            </w:r>
          </w:p>
        </w:tc>
        <w:tc>
          <w:tcPr>
            <w:tcW w:w="906" w:type="dxa"/>
            <w:shd w:val="clear" w:color="auto" w:fill="auto"/>
            <w:noWrap/>
            <w:vAlign w:val="center"/>
            <w:hideMark/>
          </w:tcPr>
          <w:p w14:paraId="2DD35BD6" w14:textId="11BDC4F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52.4%</w:t>
            </w:r>
          </w:p>
        </w:tc>
        <w:tc>
          <w:tcPr>
            <w:tcW w:w="852" w:type="dxa"/>
            <w:shd w:val="clear" w:color="auto" w:fill="auto"/>
            <w:noWrap/>
            <w:vAlign w:val="center"/>
            <w:hideMark/>
          </w:tcPr>
          <w:p w14:paraId="2076F50A" w14:textId="2F5D9C8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25.3%</w:t>
            </w:r>
          </w:p>
        </w:tc>
        <w:tc>
          <w:tcPr>
            <w:tcW w:w="662" w:type="dxa"/>
            <w:shd w:val="clear" w:color="auto" w:fill="auto"/>
            <w:noWrap/>
            <w:vAlign w:val="center"/>
            <w:hideMark/>
          </w:tcPr>
          <w:p w14:paraId="0EA34160" w14:textId="0203EEF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60.3%</w:t>
            </w:r>
          </w:p>
        </w:tc>
        <w:tc>
          <w:tcPr>
            <w:tcW w:w="737" w:type="dxa"/>
            <w:shd w:val="clear" w:color="auto" w:fill="auto"/>
            <w:noWrap/>
            <w:vAlign w:val="center"/>
            <w:hideMark/>
          </w:tcPr>
          <w:p w14:paraId="280FB0F4" w14:textId="7DA3E66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40.6%</w:t>
            </w:r>
          </w:p>
        </w:tc>
        <w:tc>
          <w:tcPr>
            <w:tcW w:w="666" w:type="dxa"/>
            <w:shd w:val="clear" w:color="auto" w:fill="auto"/>
            <w:noWrap/>
            <w:vAlign w:val="center"/>
            <w:hideMark/>
          </w:tcPr>
          <w:p w14:paraId="7D045981" w14:textId="74893CC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54.6%</w:t>
            </w:r>
          </w:p>
        </w:tc>
        <w:tc>
          <w:tcPr>
            <w:tcW w:w="662" w:type="dxa"/>
            <w:shd w:val="clear" w:color="auto" w:fill="auto"/>
            <w:noWrap/>
            <w:vAlign w:val="center"/>
            <w:hideMark/>
          </w:tcPr>
          <w:p w14:paraId="2AEA940A" w14:textId="6001D1E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36.2%</w:t>
            </w:r>
          </w:p>
        </w:tc>
        <w:tc>
          <w:tcPr>
            <w:tcW w:w="958" w:type="dxa"/>
            <w:shd w:val="clear" w:color="auto" w:fill="auto"/>
            <w:noWrap/>
            <w:vAlign w:val="center"/>
            <w:hideMark/>
          </w:tcPr>
          <w:p w14:paraId="043E05F3" w14:textId="233E5D3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34.8%</w:t>
            </w:r>
          </w:p>
        </w:tc>
        <w:tc>
          <w:tcPr>
            <w:tcW w:w="879" w:type="dxa"/>
            <w:tcBorders>
              <w:right w:val="single" w:sz="4" w:space="0" w:color="auto"/>
            </w:tcBorders>
            <w:shd w:val="clear" w:color="auto" w:fill="auto"/>
            <w:noWrap/>
            <w:vAlign w:val="center"/>
            <w:hideMark/>
          </w:tcPr>
          <w:p w14:paraId="5A76E53C" w14:textId="3B6462B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42.9%</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E452436" w14:textId="413E9985" w:rsidR="00D57F3A" w:rsidRPr="008350BD" w:rsidRDefault="00D57F3A" w:rsidP="00D57F3A">
            <w:pPr>
              <w:spacing w:after="0"/>
              <w:jc w:val="center"/>
              <w:rPr>
                <w:rFonts w:eastAsia="Times New Roman"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D8AF74B" w14:textId="26CDD3AF" w:rsidR="00D57F3A" w:rsidRPr="008350BD" w:rsidRDefault="00D57F3A" w:rsidP="00D57F3A">
            <w:pPr>
              <w:spacing w:after="0"/>
              <w:jc w:val="center"/>
              <w:rPr>
                <w:rFonts w:eastAsia="Times New Roman" w:cs="Calibri"/>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73DE39F" w14:textId="2225FFAA" w:rsidR="00D57F3A" w:rsidRPr="008350BD" w:rsidRDefault="00D57F3A" w:rsidP="00D57F3A">
            <w:pPr>
              <w:spacing w:after="0"/>
              <w:jc w:val="center"/>
              <w:rPr>
                <w:rFonts w:eastAsia="Times New Roman" w:cs="Calibri"/>
                <w:color w:val="000000"/>
                <w:sz w:val="16"/>
                <w:szCs w:val="16"/>
              </w:rPr>
            </w:pPr>
          </w:p>
        </w:tc>
      </w:tr>
      <w:tr w:rsidR="00255A16" w:rsidRPr="00E341A9" w14:paraId="29D4FC98" w14:textId="77777777" w:rsidTr="00273F52">
        <w:trPr>
          <w:trHeight w:val="310"/>
        </w:trPr>
        <w:tc>
          <w:tcPr>
            <w:tcW w:w="815" w:type="dxa"/>
            <w:shd w:val="clear" w:color="auto" w:fill="F2F2F2" w:themeFill="background1" w:themeFillShade="F2"/>
            <w:noWrap/>
            <w:hideMark/>
          </w:tcPr>
          <w:p w14:paraId="523F8890"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DRR</w:t>
            </w:r>
          </w:p>
        </w:tc>
        <w:tc>
          <w:tcPr>
            <w:tcW w:w="2880" w:type="dxa"/>
            <w:shd w:val="clear" w:color="auto" w:fill="F2F2F2" w:themeFill="background1" w:themeFillShade="F2"/>
            <w:hideMark/>
          </w:tcPr>
          <w:p w14:paraId="6A66D57A"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Depression Remission or Response  </w:t>
            </w:r>
          </w:p>
        </w:tc>
        <w:tc>
          <w:tcPr>
            <w:tcW w:w="662" w:type="dxa"/>
            <w:shd w:val="clear" w:color="auto" w:fill="F2F2F2" w:themeFill="background1" w:themeFillShade="F2"/>
            <w:noWrap/>
            <w:vAlign w:val="center"/>
            <w:hideMark/>
          </w:tcPr>
          <w:p w14:paraId="06188902" w14:textId="0F1B6DC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w:t>
            </w:r>
          </w:p>
        </w:tc>
        <w:tc>
          <w:tcPr>
            <w:tcW w:w="688" w:type="dxa"/>
            <w:shd w:val="clear" w:color="auto" w:fill="F2F2F2" w:themeFill="background1" w:themeFillShade="F2"/>
            <w:noWrap/>
            <w:vAlign w:val="center"/>
            <w:hideMark/>
          </w:tcPr>
          <w:p w14:paraId="764CC37A" w14:textId="52971AA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w:t>
            </w:r>
          </w:p>
        </w:tc>
        <w:tc>
          <w:tcPr>
            <w:tcW w:w="662" w:type="dxa"/>
            <w:shd w:val="clear" w:color="auto" w:fill="F2F2F2" w:themeFill="background1" w:themeFillShade="F2"/>
            <w:noWrap/>
            <w:vAlign w:val="center"/>
            <w:hideMark/>
          </w:tcPr>
          <w:p w14:paraId="79F41089" w14:textId="49B6155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15.7%</w:t>
            </w:r>
          </w:p>
        </w:tc>
        <w:tc>
          <w:tcPr>
            <w:tcW w:w="688" w:type="dxa"/>
            <w:shd w:val="clear" w:color="auto" w:fill="F2F2F2" w:themeFill="background1" w:themeFillShade="F2"/>
            <w:noWrap/>
            <w:vAlign w:val="center"/>
            <w:hideMark/>
          </w:tcPr>
          <w:p w14:paraId="232B434B" w14:textId="67D0FAE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0.0%</w:t>
            </w:r>
          </w:p>
        </w:tc>
        <w:tc>
          <w:tcPr>
            <w:tcW w:w="810" w:type="dxa"/>
            <w:shd w:val="clear" w:color="auto" w:fill="F2F2F2" w:themeFill="background1" w:themeFillShade="F2"/>
            <w:noWrap/>
            <w:vAlign w:val="center"/>
            <w:hideMark/>
          </w:tcPr>
          <w:p w14:paraId="4DC160E6" w14:textId="6BB80E5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3.3%</w:t>
            </w:r>
          </w:p>
        </w:tc>
        <w:tc>
          <w:tcPr>
            <w:tcW w:w="810" w:type="dxa"/>
            <w:shd w:val="clear" w:color="auto" w:fill="F2F2F2" w:themeFill="background1" w:themeFillShade="F2"/>
            <w:noWrap/>
            <w:vAlign w:val="center"/>
            <w:hideMark/>
          </w:tcPr>
          <w:p w14:paraId="0EAF2A6E" w14:textId="2324538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11.8%</w:t>
            </w:r>
          </w:p>
        </w:tc>
        <w:tc>
          <w:tcPr>
            <w:tcW w:w="720" w:type="dxa"/>
            <w:shd w:val="clear" w:color="auto" w:fill="F2F2F2" w:themeFill="background1" w:themeFillShade="F2"/>
            <w:noWrap/>
            <w:vAlign w:val="center"/>
            <w:hideMark/>
          </w:tcPr>
          <w:p w14:paraId="70FB6D63" w14:textId="4ECD553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720" w:type="dxa"/>
            <w:shd w:val="clear" w:color="auto" w:fill="F2F2F2" w:themeFill="background1" w:themeFillShade="F2"/>
            <w:noWrap/>
            <w:vAlign w:val="center"/>
            <w:hideMark/>
          </w:tcPr>
          <w:p w14:paraId="78A06E57" w14:textId="5762D99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2.5%</w:t>
            </w:r>
          </w:p>
        </w:tc>
        <w:tc>
          <w:tcPr>
            <w:tcW w:w="662" w:type="dxa"/>
            <w:shd w:val="clear" w:color="auto" w:fill="F2F2F2" w:themeFill="background1" w:themeFillShade="F2"/>
            <w:noWrap/>
            <w:vAlign w:val="center"/>
            <w:hideMark/>
          </w:tcPr>
          <w:p w14:paraId="3DB5F7B7" w14:textId="2A11BC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6.6%</w:t>
            </w:r>
          </w:p>
        </w:tc>
        <w:tc>
          <w:tcPr>
            <w:tcW w:w="1000" w:type="dxa"/>
            <w:shd w:val="clear" w:color="auto" w:fill="F2F2F2" w:themeFill="background1" w:themeFillShade="F2"/>
            <w:noWrap/>
            <w:vAlign w:val="center"/>
            <w:hideMark/>
          </w:tcPr>
          <w:p w14:paraId="08ED07EB" w14:textId="32DE1D0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4.3%</w:t>
            </w:r>
          </w:p>
        </w:tc>
        <w:tc>
          <w:tcPr>
            <w:tcW w:w="906" w:type="dxa"/>
            <w:shd w:val="clear" w:color="auto" w:fill="F2F2F2" w:themeFill="background1" w:themeFillShade="F2"/>
            <w:noWrap/>
            <w:vAlign w:val="center"/>
            <w:hideMark/>
          </w:tcPr>
          <w:p w14:paraId="08556D15" w14:textId="6E2DA3F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w:t>
            </w:r>
          </w:p>
        </w:tc>
        <w:tc>
          <w:tcPr>
            <w:tcW w:w="852" w:type="dxa"/>
            <w:shd w:val="clear" w:color="auto" w:fill="F2F2F2" w:themeFill="background1" w:themeFillShade="F2"/>
            <w:noWrap/>
            <w:vAlign w:val="center"/>
            <w:hideMark/>
          </w:tcPr>
          <w:p w14:paraId="504686A2" w14:textId="18B7483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662" w:type="dxa"/>
            <w:shd w:val="clear" w:color="auto" w:fill="F2F2F2" w:themeFill="background1" w:themeFillShade="F2"/>
            <w:noWrap/>
            <w:vAlign w:val="center"/>
            <w:hideMark/>
          </w:tcPr>
          <w:p w14:paraId="3CA7E40C" w14:textId="6C2AD78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7.9%</w:t>
            </w:r>
          </w:p>
        </w:tc>
        <w:tc>
          <w:tcPr>
            <w:tcW w:w="737" w:type="dxa"/>
            <w:shd w:val="clear" w:color="auto" w:fill="F2F2F2" w:themeFill="background1" w:themeFillShade="F2"/>
            <w:noWrap/>
            <w:vAlign w:val="center"/>
            <w:hideMark/>
          </w:tcPr>
          <w:p w14:paraId="0FE4691E" w14:textId="3080D8C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w:t>
            </w:r>
          </w:p>
        </w:tc>
        <w:tc>
          <w:tcPr>
            <w:tcW w:w="666" w:type="dxa"/>
            <w:shd w:val="clear" w:color="auto" w:fill="F2F2F2" w:themeFill="background1" w:themeFillShade="F2"/>
            <w:noWrap/>
            <w:vAlign w:val="center"/>
            <w:hideMark/>
          </w:tcPr>
          <w:p w14:paraId="48A165AF" w14:textId="4D3A9C3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3.1%</w:t>
            </w:r>
          </w:p>
        </w:tc>
        <w:tc>
          <w:tcPr>
            <w:tcW w:w="662" w:type="dxa"/>
            <w:shd w:val="clear" w:color="auto" w:fill="F2F2F2" w:themeFill="background1" w:themeFillShade="F2"/>
            <w:noWrap/>
            <w:vAlign w:val="center"/>
            <w:hideMark/>
          </w:tcPr>
          <w:p w14:paraId="72C6D6D8" w14:textId="0AD60D1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w:t>
            </w:r>
          </w:p>
        </w:tc>
        <w:tc>
          <w:tcPr>
            <w:tcW w:w="958" w:type="dxa"/>
            <w:shd w:val="clear" w:color="auto" w:fill="F2F2F2" w:themeFill="background1" w:themeFillShade="F2"/>
            <w:noWrap/>
            <w:vAlign w:val="center"/>
            <w:hideMark/>
          </w:tcPr>
          <w:p w14:paraId="512D085D" w14:textId="3F0CFE6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8.3%</w:t>
            </w:r>
          </w:p>
        </w:tc>
        <w:tc>
          <w:tcPr>
            <w:tcW w:w="879" w:type="dxa"/>
            <w:tcBorders>
              <w:right w:val="single" w:sz="4" w:space="0" w:color="auto"/>
            </w:tcBorders>
            <w:shd w:val="clear" w:color="auto" w:fill="F2F2F2" w:themeFill="background1" w:themeFillShade="F2"/>
            <w:noWrap/>
            <w:vAlign w:val="center"/>
            <w:hideMark/>
          </w:tcPr>
          <w:p w14:paraId="47A6C734" w14:textId="357E97D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14.3%</w:t>
            </w: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434F38D" w14:textId="138A26A9" w:rsidR="00D57F3A" w:rsidRPr="008350BD" w:rsidRDefault="00D57F3A" w:rsidP="00D57F3A">
            <w:pPr>
              <w:spacing w:after="0"/>
              <w:jc w:val="center"/>
              <w:rPr>
                <w:rFonts w:eastAsia="Times New Roman"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704402" w14:textId="6C0B9619" w:rsidR="00D57F3A" w:rsidRPr="008350BD" w:rsidRDefault="00D57F3A" w:rsidP="00D57F3A">
            <w:pPr>
              <w:spacing w:after="0"/>
              <w:jc w:val="center"/>
              <w:rPr>
                <w:rFonts w:eastAsia="Times New Roman" w:cs="Calibri"/>
                <w:color w:val="000000"/>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3EDEE20" w14:textId="19945EF5" w:rsidR="00D57F3A" w:rsidRPr="008350BD" w:rsidRDefault="00D57F3A" w:rsidP="00D57F3A">
            <w:pPr>
              <w:spacing w:after="0"/>
              <w:jc w:val="center"/>
              <w:rPr>
                <w:rFonts w:eastAsia="Times New Roman" w:cs="Calibri"/>
                <w:color w:val="000000"/>
                <w:sz w:val="16"/>
                <w:szCs w:val="16"/>
              </w:rPr>
            </w:pPr>
          </w:p>
        </w:tc>
      </w:tr>
      <w:tr w:rsidR="00255A16" w:rsidRPr="00E341A9" w14:paraId="10CC306D" w14:textId="77777777" w:rsidTr="00273F52">
        <w:trPr>
          <w:trHeight w:val="310"/>
        </w:trPr>
        <w:tc>
          <w:tcPr>
            <w:tcW w:w="815" w:type="dxa"/>
            <w:shd w:val="clear" w:color="auto" w:fill="auto"/>
            <w:noWrap/>
            <w:hideMark/>
          </w:tcPr>
          <w:p w14:paraId="6AEB2B2F"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auto"/>
            <w:hideMark/>
          </w:tcPr>
          <w:p w14:paraId="5AE48D5A"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LTSS Community Partner Engagement </w:t>
            </w:r>
          </w:p>
        </w:tc>
        <w:tc>
          <w:tcPr>
            <w:tcW w:w="662" w:type="dxa"/>
            <w:shd w:val="clear" w:color="auto" w:fill="auto"/>
            <w:noWrap/>
            <w:vAlign w:val="center"/>
            <w:hideMark/>
          </w:tcPr>
          <w:p w14:paraId="0D0FA977" w14:textId="3CD1B24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4.0%</w:t>
            </w:r>
          </w:p>
        </w:tc>
        <w:tc>
          <w:tcPr>
            <w:tcW w:w="688" w:type="dxa"/>
            <w:shd w:val="clear" w:color="auto" w:fill="auto"/>
            <w:noWrap/>
            <w:vAlign w:val="center"/>
            <w:hideMark/>
          </w:tcPr>
          <w:p w14:paraId="2CE4DFB2" w14:textId="5D22588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2.9%</w:t>
            </w:r>
          </w:p>
        </w:tc>
        <w:tc>
          <w:tcPr>
            <w:tcW w:w="662" w:type="dxa"/>
            <w:shd w:val="clear" w:color="auto" w:fill="auto"/>
            <w:noWrap/>
            <w:vAlign w:val="center"/>
            <w:hideMark/>
          </w:tcPr>
          <w:p w14:paraId="6366829C" w14:textId="2A35BDD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4.3%</w:t>
            </w:r>
          </w:p>
        </w:tc>
        <w:tc>
          <w:tcPr>
            <w:tcW w:w="688" w:type="dxa"/>
            <w:shd w:val="clear" w:color="auto" w:fill="auto"/>
            <w:noWrap/>
            <w:vAlign w:val="center"/>
            <w:hideMark/>
          </w:tcPr>
          <w:p w14:paraId="6EAD776E" w14:textId="63AA204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w:t>
            </w:r>
          </w:p>
        </w:tc>
        <w:tc>
          <w:tcPr>
            <w:tcW w:w="810" w:type="dxa"/>
            <w:shd w:val="clear" w:color="auto" w:fill="auto"/>
            <w:noWrap/>
            <w:vAlign w:val="center"/>
            <w:hideMark/>
          </w:tcPr>
          <w:p w14:paraId="0FCBB239" w14:textId="44A6680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7.3%</w:t>
            </w:r>
          </w:p>
        </w:tc>
        <w:tc>
          <w:tcPr>
            <w:tcW w:w="810" w:type="dxa"/>
            <w:shd w:val="clear" w:color="auto" w:fill="auto"/>
            <w:noWrap/>
            <w:vAlign w:val="center"/>
            <w:hideMark/>
          </w:tcPr>
          <w:p w14:paraId="1480E08B" w14:textId="67AACB4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9.4%</w:t>
            </w:r>
          </w:p>
        </w:tc>
        <w:tc>
          <w:tcPr>
            <w:tcW w:w="720" w:type="dxa"/>
            <w:shd w:val="clear" w:color="auto" w:fill="auto"/>
            <w:noWrap/>
            <w:vAlign w:val="center"/>
            <w:hideMark/>
          </w:tcPr>
          <w:p w14:paraId="2F32F1F0" w14:textId="5660E13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w:t>
            </w:r>
          </w:p>
        </w:tc>
        <w:tc>
          <w:tcPr>
            <w:tcW w:w="720" w:type="dxa"/>
            <w:shd w:val="clear" w:color="auto" w:fill="auto"/>
            <w:noWrap/>
            <w:vAlign w:val="center"/>
            <w:hideMark/>
          </w:tcPr>
          <w:p w14:paraId="50785BEE" w14:textId="2B0DF7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w:t>
            </w:r>
          </w:p>
        </w:tc>
        <w:tc>
          <w:tcPr>
            <w:tcW w:w="662" w:type="dxa"/>
            <w:shd w:val="clear" w:color="auto" w:fill="auto"/>
            <w:noWrap/>
            <w:vAlign w:val="center"/>
            <w:hideMark/>
          </w:tcPr>
          <w:p w14:paraId="346B87D6" w14:textId="73041D2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0.0%</w:t>
            </w:r>
          </w:p>
        </w:tc>
        <w:tc>
          <w:tcPr>
            <w:tcW w:w="1000" w:type="dxa"/>
            <w:shd w:val="clear" w:color="auto" w:fill="auto"/>
            <w:noWrap/>
            <w:vAlign w:val="center"/>
            <w:hideMark/>
          </w:tcPr>
          <w:p w14:paraId="1C46F66F" w14:textId="4F4CFA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3.5%</w:t>
            </w:r>
          </w:p>
        </w:tc>
        <w:tc>
          <w:tcPr>
            <w:tcW w:w="906" w:type="dxa"/>
            <w:shd w:val="clear" w:color="auto" w:fill="auto"/>
            <w:noWrap/>
            <w:vAlign w:val="center"/>
            <w:hideMark/>
          </w:tcPr>
          <w:p w14:paraId="6968C40F" w14:textId="1EFE6F3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4.1%</w:t>
            </w:r>
          </w:p>
        </w:tc>
        <w:tc>
          <w:tcPr>
            <w:tcW w:w="852" w:type="dxa"/>
            <w:shd w:val="clear" w:color="auto" w:fill="auto"/>
            <w:noWrap/>
            <w:vAlign w:val="center"/>
            <w:hideMark/>
          </w:tcPr>
          <w:p w14:paraId="73365514" w14:textId="3B6C6E7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9.0%</w:t>
            </w:r>
          </w:p>
        </w:tc>
        <w:tc>
          <w:tcPr>
            <w:tcW w:w="662" w:type="dxa"/>
            <w:shd w:val="clear" w:color="auto" w:fill="auto"/>
            <w:noWrap/>
            <w:vAlign w:val="center"/>
            <w:hideMark/>
          </w:tcPr>
          <w:p w14:paraId="066AD41C" w14:textId="6F3F0E5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9.1%</w:t>
            </w:r>
          </w:p>
        </w:tc>
        <w:tc>
          <w:tcPr>
            <w:tcW w:w="737" w:type="dxa"/>
            <w:shd w:val="clear" w:color="auto" w:fill="auto"/>
            <w:noWrap/>
            <w:vAlign w:val="center"/>
            <w:hideMark/>
          </w:tcPr>
          <w:p w14:paraId="4B57E2C1" w14:textId="7EF2FC1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2.9%</w:t>
            </w:r>
          </w:p>
        </w:tc>
        <w:tc>
          <w:tcPr>
            <w:tcW w:w="666" w:type="dxa"/>
            <w:shd w:val="clear" w:color="auto" w:fill="auto"/>
            <w:noWrap/>
            <w:vAlign w:val="center"/>
            <w:hideMark/>
          </w:tcPr>
          <w:p w14:paraId="05A2E2E1" w14:textId="570908C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2.3%</w:t>
            </w:r>
          </w:p>
        </w:tc>
        <w:tc>
          <w:tcPr>
            <w:tcW w:w="662" w:type="dxa"/>
            <w:shd w:val="clear" w:color="auto" w:fill="auto"/>
            <w:noWrap/>
            <w:vAlign w:val="center"/>
            <w:hideMark/>
          </w:tcPr>
          <w:p w14:paraId="54E68045" w14:textId="3DE4C39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1.8%</w:t>
            </w:r>
          </w:p>
        </w:tc>
        <w:tc>
          <w:tcPr>
            <w:tcW w:w="958" w:type="dxa"/>
            <w:shd w:val="clear" w:color="auto" w:fill="auto"/>
            <w:noWrap/>
            <w:vAlign w:val="center"/>
            <w:hideMark/>
          </w:tcPr>
          <w:p w14:paraId="29D3A931" w14:textId="2721E7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3.6%</w:t>
            </w:r>
          </w:p>
        </w:tc>
        <w:tc>
          <w:tcPr>
            <w:tcW w:w="879" w:type="dxa"/>
            <w:shd w:val="clear" w:color="auto" w:fill="auto"/>
            <w:noWrap/>
            <w:vAlign w:val="center"/>
            <w:hideMark/>
          </w:tcPr>
          <w:p w14:paraId="380E7346" w14:textId="66A87E8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9.5%</w:t>
            </w:r>
          </w:p>
        </w:tc>
        <w:tc>
          <w:tcPr>
            <w:tcW w:w="720" w:type="dxa"/>
            <w:tcBorders>
              <w:top w:val="single" w:sz="4" w:space="0" w:color="auto"/>
            </w:tcBorders>
            <w:shd w:val="clear" w:color="auto" w:fill="auto"/>
            <w:noWrap/>
            <w:vAlign w:val="center"/>
            <w:hideMark/>
          </w:tcPr>
          <w:p w14:paraId="1D69204B" w14:textId="5F53CF1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5.9%</w:t>
            </w:r>
          </w:p>
        </w:tc>
        <w:tc>
          <w:tcPr>
            <w:tcW w:w="720" w:type="dxa"/>
            <w:tcBorders>
              <w:top w:val="single" w:sz="4" w:space="0" w:color="auto"/>
            </w:tcBorders>
            <w:shd w:val="clear" w:color="auto" w:fill="auto"/>
            <w:noWrap/>
            <w:vAlign w:val="center"/>
            <w:hideMark/>
          </w:tcPr>
          <w:p w14:paraId="6508AB3F" w14:textId="0AF5CD2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5.3%</w:t>
            </w:r>
          </w:p>
        </w:tc>
        <w:tc>
          <w:tcPr>
            <w:tcW w:w="810" w:type="dxa"/>
            <w:tcBorders>
              <w:top w:val="single" w:sz="4" w:space="0" w:color="auto"/>
            </w:tcBorders>
            <w:shd w:val="clear" w:color="auto" w:fill="auto"/>
            <w:noWrap/>
            <w:vAlign w:val="center"/>
            <w:hideMark/>
          </w:tcPr>
          <w:p w14:paraId="189E6D1A" w14:textId="1B9DA4D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6.3%</w:t>
            </w:r>
          </w:p>
        </w:tc>
      </w:tr>
      <w:tr w:rsidR="00255A16" w:rsidRPr="00E341A9" w14:paraId="177530C3" w14:textId="77777777" w:rsidTr="007358E6">
        <w:trPr>
          <w:trHeight w:val="520"/>
        </w:trPr>
        <w:tc>
          <w:tcPr>
            <w:tcW w:w="815" w:type="dxa"/>
            <w:shd w:val="clear" w:color="auto" w:fill="F2F2F2" w:themeFill="background1" w:themeFillShade="F2"/>
            <w:noWrap/>
            <w:hideMark/>
          </w:tcPr>
          <w:p w14:paraId="046A7EFF"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F2F2F2" w:themeFill="background1" w:themeFillShade="F2"/>
            <w:hideMark/>
          </w:tcPr>
          <w:p w14:paraId="0496B55D"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Community Tenure - BSP (Risk adjusted O/E ratio)</w:t>
            </w:r>
          </w:p>
        </w:tc>
        <w:tc>
          <w:tcPr>
            <w:tcW w:w="662" w:type="dxa"/>
            <w:shd w:val="clear" w:color="auto" w:fill="F2F2F2" w:themeFill="background1" w:themeFillShade="F2"/>
            <w:noWrap/>
            <w:vAlign w:val="center"/>
            <w:hideMark/>
          </w:tcPr>
          <w:p w14:paraId="24B85128" w14:textId="41114CD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0.7716</w:t>
            </w:r>
          </w:p>
        </w:tc>
        <w:tc>
          <w:tcPr>
            <w:tcW w:w="688" w:type="dxa"/>
            <w:shd w:val="clear" w:color="auto" w:fill="F2F2F2" w:themeFill="background1" w:themeFillShade="F2"/>
            <w:noWrap/>
            <w:vAlign w:val="center"/>
            <w:hideMark/>
          </w:tcPr>
          <w:p w14:paraId="4E0E30FD" w14:textId="6028200F"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0.2794</w:t>
            </w:r>
          </w:p>
        </w:tc>
        <w:tc>
          <w:tcPr>
            <w:tcW w:w="662" w:type="dxa"/>
            <w:shd w:val="clear" w:color="auto" w:fill="F2F2F2" w:themeFill="background1" w:themeFillShade="F2"/>
            <w:noWrap/>
            <w:vAlign w:val="center"/>
            <w:hideMark/>
          </w:tcPr>
          <w:p w14:paraId="117A425D" w14:textId="2E9BA45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0.2542</w:t>
            </w:r>
          </w:p>
        </w:tc>
        <w:tc>
          <w:tcPr>
            <w:tcW w:w="688" w:type="dxa"/>
            <w:shd w:val="clear" w:color="auto" w:fill="F2F2F2" w:themeFill="background1" w:themeFillShade="F2"/>
            <w:noWrap/>
            <w:vAlign w:val="center"/>
            <w:hideMark/>
          </w:tcPr>
          <w:p w14:paraId="1A50A535" w14:textId="21FEA17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0.2690</w:t>
            </w:r>
          </w:p>
        </w:tc>
        <w:tc>
          <w:tcPr>
            <w:tcW w:w="810" w:type="dxa"/>
            <w:shd w:val="clear" w:color="auto" w:fill="F2F2F2" w:themeFill="background1" w:themeFillShade="F2"/>
            <w:noWrap/>
            <w:vAlign w:val="center"/>
            <w:hideMark/>
          </w:tcPr>
          <w:p w14:paraId="22DE974E" w14:textId="42511D7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0.7061</w:t>
            </w:r>
          </w:p>
        </w:tc>
        <w:tc>
          <w:tcPr>
            <w:tcW w:w="810" w:type="dxa"/>
            <w:shd w:val="clear" w:color="auto" w:fill="F2F2F2" w:themeFill="background1" w:themeFillShade="F2"/>
            <w:noWrap/>
            <w:vAlign w:val="center"/>
            <w:hideMark/>
          </w:tcPr>
          <w:p w14:paraId="505F55E4" w14:textId="238E316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0.5177</w:t>
            </w:r>
          </w:p>
        </w:tc>
        <w:tc>
          <w:tcPr>
            <w:tcW w:w="720" w:type="dxa"/>
            <w:shd w:val="clear" w:color="auto" w:fill="F2F2F2" w:themeFill="background1" w:themeFillShade="F2"/>
            <w:noWrap/>
            <w:vAlign w:val="center"/>
            <w:hideMark/>
          </w:tcPr>
          <w:p w14:paraId="746EDB66" w14:textId="05812B7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0.6726</w:t>
            </w:r>
          </w:p>
        </w:tc>
        <w:tc>
          <w:tcPr>
            <w:tcW w:w="720" w:type="dxa"/>
            <w:shd w:val="clear" w:color="auto" w:fill="F2F2F2" w:themeFill="background1" w:themeFillShade="F2"/>
            <w:noWrap/>
            <w:vAlign w:val="center"/>
            <w:hideMark/>
          </w:tcPr>
          <w:p w14:paraId="5BE3D482" w14:textId="1E00F66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0.9747</w:t>
            </w:r>
          </w:p>
        </w:tc>
        <w:tc>
          <w:tcPr>
            <w:tcW w:w="662" w:type="dxa"/>
            <w:shd w:val="clear" w:color="auto" w:fill="F2F2F2" w:themeFill="background1" w:themeFillShade="F2"/>
            <w:noWrap/>
            <w:vAlign w:val="center"/>
            <w:hideMark/>
          </w:tcPr>
          <w:p w14:paraId="4E5C7430" w14:textId="618A475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0.7366</w:t>
            </w:r>
          </w:p>
        </w:tc>
        <w:tc>
          <w:tcPr>
            <w:tcW w:w="1000" w:type="dxa"/>
            <w:shd w:val="clear" w:color="auto" w:fill="F2F2F2" w:themeFill="background1" w:themeFillShade="F2"/>
            <w:noWrap/>
            <w:vAlign w:val="center"/>
            <w:hideMark/>
          </w:tcPr>
          <w:p w14:paraId="4BE24408" w14:textId="1650262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0.7392</w:t>
            </w:r>
          </w:p>
        </w:tc>
        <w:tc>
          <w:tcPr>
            <w:tcW w:w="906" w:type="dxa"/>
            <w:shd w:val="clear" w:color="auto" w:fill="F2F2F2" w:themeFill="background1" w:themeFillShade="F2"/>
            <w:noWrap/>
            <w:vAlign w:val="center"/>
            <w:hideMark/>
          </w:tcPr>
          <w:p w14:paraId="4258C4A4" w14:textId="448A040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0.9246</w:t>
            </w:r>
          </w:p>
        </w:tc>
        <w:tc>
          <w:tcPr>
            <w:tcW w:w="852" w:type="dxa"/>
            <w:shd w:val="clear" w:color="auto" w:fill="F2F2F2" w:themeFill="background1" w:themeFillShade="F2"/>
            <w:noWrap/>
            <w:vAlign w:val="center"/>
            <w:hideMark/>
          </w:tcPr>
          <w:p w14:paraId="627CAA55" w14:textId="1FCB350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0.7970</w:t>
            </w:r>
          </w:p>
        </w:tc>
        <w:tc>
          <w:tcPr>
            <w:tcW w:w="662" w:type="dxa"/>
            <w:shd w:val="clear" w:color="auto" w:fill="F2F2F2" w:themeFill="background1" w:themeFillShade="F2"/>
            <w:noWrap/>
            <w:vAlign w:val="center"/>
            <w:hideMark/>
          </w:tcPr>
          <w:p w14:paraId="639F6827" w14:textId="63F13FC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0.8606</w:t>
            </w:r>
          </w:p>
        </w:tc>
        <w:tc>
          <w:tcPr>
            <w:tcW w:w="737" w:type="dxa"/>
            <w:shd w:val="clear" w:color="auto" w:fill="F2F2F2" w:themeFill="background1" w:themeFillShade="F2"/>
            <w:noWrap/>
            <w:vAlign w:val="center"/>
            <w:hideMark/>
          </w:tcPr>
          <w:p w14:paraId="756B81DF" w14:textId="595D17E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0.7265</w:t>
            </w:r>
          </w:p>
        </w:tc>
        <w:tc>
          <w:tcPr>
            <w:tcW w:w="666" w:type="dxa"/>
            <w:shd w:val="clear" w:color="auto" w:fill="F2F2F2" w:themeFill="background1" w:themeFillShade="F2"/>
            <w:noWrap/>
            <w:vAlign w:val="center"/>
            <w:hideMark/>
          </w:tcPr>
          <w:p w14:paraId="386242D2" w14:textId="779EF6A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0.8034</w:t>
            </w:r>
          </w:p>
        </w:tc>
        <w:tc>
          <w:tcPr>
            <w:tcW w:w="662" w:type="dxa"/>
            <w:shd w:val="clear" w:color="auto" w:fill="F2F2F2" w:themeFill="background1" w:themeFillShade="F2"/>
            <w:noWrap/>
            <w:vAlign w:val="center"/>
            <w:hideMark/>
          </w:tcPr>
          <w:p w14:paraId="2CAA410A" w14:textId="50A5267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0.8075</w:t>
            </w:r>
          </w:p>
        </w:tc>
        <w:tc>
          <w:tcPr>
            <w:tcW w:w="958" w:type="dxa"/>
            <w:shd w:val="clear" w:color="auto" w:fill="F2F2F2" w:themeFill="background1" w:themeFillShade="F2"/>
            <w:noWrap/>
            <w:vAlign w:val="center"/>
            <w:hideMark/>
          </w:tcPr>
          <w:p w14:paraId="1A8DF2CE" w14:textId="738A1E2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0.7996</w:t>
            </w:r>
          </w:p>
        </w:tc>
        <w:tc>
          <w:tcPr>
            <w:tcW w:w="879" w:type="dxa"/>
            <w:shd w:val="clear" w:color="auto" w:fill="F2F2F2" w:themeFill="background1" w:themeFillShade="F2"/>
            <w:noWrap/>
            <w:vAlign w:val="center"/>
            <w:hideMark/>
          </w:tcPr>
          <w:p w14:paraId="52A877F7" w14:textId="32D67428"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0.8579</w:t>
            </w:r>
          </w:p>
        </w:tc>
        <w:tc>
          <w:tcPr>
            <w:tcW w:w="720" w:type="dxa"/>
            <w:shd w:val="clear" w:color="auto" w:fill="F2F2F2" w:themeFill="background1" w:themeFillShade="F2"/>
            <w:noWrap/>
            <w:vAlign w:val="center"/>
            <w:hideMark/>
          </w:tcPr>
          <w:p w14:paraId="240F223D" w14:textId="071139C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0.9879</w:t>
            </w:r>
          </w:p>
        </w:tc>
        <w:tc>
          <w:tcPr>
            <w:tcW w:w="720" w:type="dxa"/>
            <w:shd w:val="clear" w:color="auto" w:fill="F2F2F2" w:themeFill="background1" w:themeFillShade="F2"/>
            <w:noWrap/>
            <w:vAlign w:val="center"/>
            <w:hideMark/>
          </w:tcPr>
          <w:p w14:paraId="73A13A06" w14:textId="3488521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1.0741</w:t>
            </w:r>
          </w:p>
        </w:tc>
        <w:tc>
          <w:tcPr>
            <w:tcW w:w="810" w:type="dxa"/>
            <w:shd w:val="clear" w:color="auto" w:fill="F2F2F2" w:themeFill="background1" w:themeFillShade="F2"/>
            <w:noWrap/>
            <w:vAlign w:val="center"/>
            <w:hideMark/>
          </w:tcPr>
          <w:p w14:paraId="0B3BFD68" w14:textId="46AA25A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0.8926</w:t>
            </w:r>
          </w:p>
        </w:tc>
      </w:tr>
      <w:tr w:rsidR="00255A16" w:rsidRPr="00E341A9" w14:paraId="6F0E1595" w14:textId="77777777" w:rsidTr="00A51784">
        <w:trPr>
          <w:trHeight w:val="520"/>
        </w:trPr>
        <w:tc>
          <w:tcPr>
            <w:tcW w:w="815" w:type="dxa"/>
            <w:shd w:val="clear" w:color="auto" w:fill="auto"/>
            <w:noWrap/>
            <w:hideMark/>
          </w:tcPr>
          <w:p w14:paraId="05DC623D"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000000" w:fill="FFFFFF"/>
            <w:hideMark/>
          </w:tcPr>
          <w:p w14:paraId="72B176E1"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Community Tenure - LTSS (non-BSP) Risk adjusted O/E ratio</w:t>
            </w:r>
          </w:p>
        </w:tc>
        <w:tc>
          <w:tcPr>
            <w:tcW w:w="662" w:type="dxa"/>
            <w:shd w:val="clear" w:color="auto" w:fill="auto"/>
            <w:noWrap/>
            <w:vAlign w:val="center"/>
            <w:hideMark/>
          </w:tcPr>
          <w:p w14:paraId="1D2A82D6" w14:textId="69B218D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0.8889</w:t>
            </w:r>
          </w:p>
        </w:tc>
        <w:tc>
          <w:tcPr>
            <w:tcW w:w="688" w:type="dxa"/>
            <w:shd w:val="clear" w:color="auto" w:fill="auto"/>
            <w:noWrap/>
            <w:vAlign w:val="center"/>
            <w:hideMark/>
          </w:tcPr>
          <w:p w14:paraId="02EA1134" w14:textId="0A10ACB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0.4416</w:t>
            </w:r>
          </w:p>
        </w:tc>
        <w:tc>
          <w:tcPr>
            <w:tcW w:w="662" w:type="dxa"/>
            <w:shd w:val="clear" w:color="auto" w:fill="auto"/>
            <w:noWrap/>
            <w:vAlign w:val="center"/>
            <w:hideMark/>
          </w:tcPr>
          <w:p w14:paraId="68A2B9FA" w14:textId="5AE120A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0.3271</w:t>
            </w:r>
          </w:p>
        </w:tc>
        <w:tc>
          <w:tcPr>
            <w:tcW w:w="688" w:type="dxa"/>
            <w:shd w:val="clear" w:color="auto" w:fill="auto"/>
            <w:noWrap/>
            <w:vAlign w:val="center"/>
            <w:hideMark/>
          </w:tcPr>
          <w:p w14:paraId="45C58D9B" w14:textId="304FAB8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0.3812</w:t>
            </w:r>
          </w:p>
        </w:tc>
        <w:tc>
          <w:tcPr>
            <w:tcW w:w="810" w:type="dxa"/>
            <w:shd w:val="clear" w:color="auto" w:fill="auto"/>
            <w:noWrap/>
            <w:vAlign w:val="center"/>
            <w:hideMark/>
          </w:tcPr>
          <w:p w14:paraId="46D63F5C" w14:textId="51A760D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0.7841</w:t>
            </w:r>
          </w:p>
        </w:tc>
        <w:tc>
          <w:tcPr>
            <w:tcW w:w="810" w:type="dxa"/>
            <w:shd w:val="clear" w:color="auto" w:fill="auto"/>
            <w:noWrap/>
            <w:vAlign w:val="center"/>
            <w:hideMark/>
          </w:tcPr>
          <w:p w14:paraId="24499446" w14:textId="7372E6D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0.8932</w:t>
            </w:r>
          </w:p>
        </w:tc>
        <w:tc>
          <w:tcPr>
            <w:tcW w:w="720" w:type="dxa"/>
            <w:shd w:val="clear" w:color="auto" w:fill="auto"/>
            <w:noWrap/>
            <w:vAlign w:val="center"/>
            <w:hideMark/>
          </w:tcPr>
          <w:p w14:paraId="35CA11D4" w14:textId="6A699A5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0.7436</w:t>
            </w:r>
          </w:p>
        </w:tc>
        <w:tc>
          <w:tcPr>
            <w:tcW w:w="720" w:type="dxa"/>
            <w:shd w:val="clear" w:color="auto" w:fill="auto"/>
            <w:noWrap/>
            <w:vAlign w:val="center"/>
            <w:hideMark/>
          </w:tcPr>
          <w:p w14:paraId="241AC809" w14:textId="3674155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0.8908</w:t>
            </w:r>
          </w:p>
        </w:tc>
        <w:tc>
          <w:tcPr>
            <w:tcW w:w="662" w:type="dxa"/>
            <w:shd w:val="clear" w:color="auto" w:fill="auto"/>
            <w:noWrap/>
            <w:vAlign w:val="center"/>
            <w:hideMark/>
          </w:tcPr>
          <w:p w14:paraId="3278C8D4" w14:textId="61BEC41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1.0274</w:t>
            </w:r>
          </w:p>
        </w:tc>
        <w:tc>
          <w:tcPr>
            <w:tcW w:w="1000" w:type="dxa"/>
            <w:shd w:val="clear" w:color="auto" w:fill="auto"/>
            <w:noWrap/>
            <w:vAlign w:val="center"/>
            <w:hideMark/>
          </w:tcPr>
          <w:p w14:paraId="5EBD3266" w14:textId="397F7D2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0.8484</w:t>
            </w:r>
          </w:p>
        </w:tc>
        <w:tc>
          <w:tcPr>
            <w:tcW w:w="906" w:type="dxa"/>
            <w:shd w:val="clear" w:color="auto" w:fill="auto"/>
            <w:noWrap/>
            <w:vAlign w:val="center"/>
            <w:hideMark/>
          </w:tcPr>
          <w:p w14:paraId="1B43548A" w14:textId="67E1128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1.0709</w:t>
            </w:r>
          </w:p>
        </w:tc>
        <w:tc>
          <w:tcPr>
            <w:tcW w:w="852" w:type="dxa"/>
            <w:shd w:val="clear" w:color="auto" w:fill="auto"/>
            <w:noWrap/>
            <w:vAlign w:val="center"/>
            <w:hideMark/>
          </w:tcPr>
          <w:p w14:paraId="010EF1AD" w14:textId="73467AF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0.7747</w:t>
            </w:r>
          </w:p>
        </w:tc>
        <w:tc>
          <w:tcPr>
            <w:tcW w:w="662" w:type="dxa"/>
            <w:shd w:val="clear" w:color="auto" w:fill="auto"/>
            <w:noWrap/>
            <w:vAlign w:val="center"/>
            <w:hideMark/>
          </w:tcPr>
          <w:p w14:paraId="355A2E86" w14:textId="4D2BBEC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1.2343</w:t>
            </w:r>
          </w:p>
        </w:tc>
        <w:tc>
          <w:tcPr>
            <w:tcW w:w="737" w:type="dxa"/>
            <w:shd w:val="clear" w:color="auto" w:fill="auto"/>
            <w:noWrap/>
            <w:vAlign w:val="center"/>
            <w:hideMark/>
          </w:tcPr>
          <w:p w14:paraId="5FB798C1" w14:textId="01FB2FC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0.8539</w:t>
            </w:r>
          </w:p>
        </w:tc>
        <w:tc>
          <w:tcPr>
            <w:tcW w:w="666" w:type="dxa"/>
            <w:shd w:val="clear" w:color="auto" w:fill="auto"/>
            <w:noWrap/>
            <w:vAlign w:val="center"/>
            <w:hideMark/>
          </w:tcPr>
          <w:p w14:paraId="216C13CC" w14:textId="634127C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0.9364</w:t>
            </w:r>
          </w:p>
        </w:tc>
        <w:tc>
          <w:tcPr>
            <w:tcW w:w="662" w:type="dxa"/>
            <w:shd w:val="clear" w:color="auto" w:fill="auto"/>
            <w:noWrap/>
            <w:vAlign w:val="center"/>
            <w:hideMark/>
          </w:tcPr>
          <w:p w14:paraId="4A4035A7" w14:textId="73CA39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0.8726</w:t>
            </w:r>
          </w:p>
        </w:tc>
        <w:tc>
          <w:tcPr>
            <w:tcW w:w="958" w:type="dxa"/>
            <w:shd w:val="clear" w:color="auto" w:fill="auto"/>
            <w:noWrap/>
            <w:vAlign w:val="center"/>
            <w:hideMark/>
          </w:tcPr>
          <w:p w14:paraId="1C571885" w14:textId="15A952F0"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0.9743</w:t>
            </w:r>
          </w:p>
        </w:tc>
        <w:tc>
          <w:tcPr>
            <w:tcW w:w="879" w:type="dxa"/>
            <w:shd w:val="clear" w:color="auto" w:fill="auto"/>
            <w:noWrap/>
            <w:vAlign w:val="center"/>
            <w:hideMark/>
          </w:tcPr>
          <w:p w14:paraId="5454596B" w14:textId="6900F31B"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0.7656</w:t>
            </w:r>
          </w:p>
        </w:tc>
        <w:tc>
          <w:tcPr>
            <w:tcW w:w="720" w:type="dxa"/>
            <w:shd w:val="clear" w:color="auto" w:fill="auto"/>
            <w:noWrap/>
            <w:vAlign w:val="center"/>
            <w:hideMark/>
          </w:tcPr>
          <w:p w14:paraId="42F73311" w14:textId="6715EF53"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0.9635</w:t>
            </w:r>
          </w:p>
        </w:tc>
        <w:tc>
          <w:tcPr>
            <w:tcW w:w="720" w:type="dxa"/>
            <w:shd w:val="clear" w:color="auto" w:fill="auto"/>
            <w:noWrap/>
            <w:vAlign w:val="center"/>
            <w:hideMark/>
          </w:tcPr>
          <w:p w14:paraId="206EDACF" w14:textId="29EF0A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1.0899</w:t>
            </w:r>
          </w:p>
        </w:tc>
        <w:tc>
          <w:tcPr>
            <w:tcW w:w="810" w:type="dxa"/>
            <w:shd w:val="clear" w:color="auto" w:fill="auto"/>
            <w:noWrap/>
            <w:vAlign w:val="center"/>
            <w:hideMark/>
          </w:tcPr>
          <w:p w14:paraId="57CD038D" w14:textId="5DAE238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0.8002</w:t>
            </w:r>
          </w:p>
        </w:tc>
      </w:tr>
      <w:tr w:rsidR="00255A16" w:rsidRPr="00E341A9" w14:paraId="5E5B756A" w14:textId="77777777" w:rsidTr="00273F52">
        <w:trPr>
          <w:trHeight w:val="520"/>
        </w:trPr>
        <w:tc>
          <w:tcPr>
            <w:tcW w:w="815" w:type="dxa"/>
            <w:shd w:val="clear" w:color="auto" w:fill="F2F2F2" w:themeFill="background1" w:themeFillShade="F2"/>
            <w:noWrap/>
            <w:hideMark/>
          </w:tcPr>
          <w:p w14:paraId="0A5EDB69" w14:textId="77777777" w:rsidR="00D57F3A" w:rsidRPr="00E341A9" w:rsidRDefault="00D57F3A" w:rsidP="00D57F3A">
            <w:pPr>
              <w:spacing w:after="0"/>
              <w:jc w:val="center"/>
              <w:rPr>
                <w:rFonts w:eastAsia="Times New Roman" w:cs="Calibri"/>
                <w:color w:val="000000"/>
                <w:sz w:val="16"/>
                <w:szCs w:val="16"/>
              </w:rPr>
            </w:pPr>
            <w:r w:rsidRPr="00E341A9">
              <w:rPr>
                <w:rFonts w:eastAsia="Times New Roman" w:cs="Calibri"/>
                <w:color w:val="000000"/>
                <w:sz w:val="16"/>
                <w:szCs w:val="16"/>
              </w:rPr>
              <w:t>EOHHS</w:t>
            </w:r>
          </w:p>
        </w:tc>
        <w:tc>
          <w:tcPr>
            <w:tcW w:w="2880" w:type="dxa"/>
            <w:shd w:val="clear" w:color="auto" w:fill="F2F2F2" w:themeFill="background1" w:themeFillShade="F2"/>
            <w:hideMark/>
          </w:tcPr>
          <w:p w14:paraId="7413FC5F" w14:textId="77777777" w:rsidR="00D57F3A" w:rsidRPr="00E341A9" w:rsidRDefault="00D57F3A" w:rsidP="00D57F3A">
            <w:pPr>
              <w:spacing w:after="0"/>
              <w:rPr>
                <w:rFonts w:eastAsia="Times New Roman" w:cs="Calibri"/>
                <w:sz w:val="16"/>
                <w:szCs w:val="16"/>
              </w:rPr>
            </w:pPr>
            <w:r w:rsidRPr="00E341A9">
              <w:rPr>
                <w:rFonts w:eastAsia="Times New Roman" w:cs="Calibri"/>
                <w:sz w:val="16"/>
                <w:szCs w:val="16"/>
              </w:rPr>
              <w:t>Behavioral Health Community Partner Engagement </w:t>
            </w:r>
          </w:p>
        </w:tc>
        <w:tc>
          <w:tcPr>
            <w:tcW w:w="662" w:type="dxa"/>
            <w:shd w:val="clear" w:color="auto" w:fill="F2F2F2" w:themeFill="background1" w:themeFillShade="F2"/>
            <w:noWrap/>
            <w:vAlign w:val="center"/>
            <w:hideMark/>
          </w:tcPr>
          <w:p w14:paraId="3DC5AF50" w14:textId="015527C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8.7%</w:t>
            </w:r>
          </w:p>
        </w:tc>
        <w:tc>
          <w:tcPr>
            <w:tcW w:w="688" w:type="dxa"/>
            <w:shd w:val="clear" w:color="auto" w:fill="F2F2F2" w:themeFill="background1" w:themeFillShade="F2"/>
            <w:noWrap/>
            <w:vAlign w:val="center"/>
            <w:hideMark/>
          </w:tcPr>
          <w:p w14:paraId="63E371FE" w14:textId="70E6DE4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3.9%</w:t>
            </w:r>
          </w:p>
        </w:tc>
        <w:tc>
          <w:tcPr>
            <w:tcW w:w="662" w:type="dxa"/>
            <w:shd w:val="clear" w:color="auto" w:fill="F2F2F2" w:themeFill="background1" w:themeFillShade="F2"/>
            <w:noWrap/>
            <w:vAlign w:val="center"/>
            <w:hideMark/>
          </w:tcPr>
          <w:p w14:paraId="279906A0" w14:textId="245DDDF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11.0%</w:t>
            </w:r>
          </w:p>
        </w:tc>
        <w:tc>
          <w:tcPr>
            <w:tcW w:w="688" w:type="dxa"/>
            <w:shd w:val="clear" w:color="auto" w:fill="F2F2F2" w:themeFill="background1" w:themeFillShade="F2"/>
            <w:noWrap/>
            <w:vAlign w:val="center"/>
            <w:hideMark/>
          </w:tcPr>
          <w:p w14:paraId="349FEA70" w14:textId="0C1804F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6.1%</w:t>
            </w:r>
          </w:p>
        </w:tc>
        <w:tc>
          <w:tcPr>
            <w:tcW w:w="810" w:type="dxa"/>
            <w:shd w:val="clear" w:color="auto" w:fill="F2F2F2" w:themeFill="background1" w:themeFillShade="F2"/>
            <w:noWrap/>
            <w:vAlign w:val="center"/>
            <w:hideMark/>
          </w:tcPr>
          <w:p w14:paraId="75F19B02" w14:textId="21FE1692"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11.9%</w:t>
            </w:r>
          </w:p>
        </w:tc>
        <w:tc>
          <w:tcPr>
            <w:tcW w:w="810" w:type="dxa"/>
            <w:shd w:val="clear" w:color="auto" w:fill="F2F2F2" w:themeFill="background1" w:themeFillShade="F2"/>
            <w:noWrap/>
            <w:vAlign w:val="center"/>
            <w:hideMark/>
          </w:tcPr>
          <w:p w14:paraId="50D49123" w14:textId="4D2898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3.0%</w:t>
            </w:r>
          </w:p>
        </w:tc>
        <w:tc>
          <w:tcPr>
            <w:tcW w:w="720" w:type="dxa"/>
            <w:shd w:val="clear" w:color="auto" w:fill="F2F2F2" w:themeFill="background1" w:themeFillShade="F2"/>
            <w:noWrap/>
            <w:vAlign w:val="center"/>
            <w:hideMark/>
          </w:tcPr>
          <w:p w14:paraId="05D0DDD6" w14:textId="06D42C1C"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5.6%</w:t>
            </w:r>
          </w:p>
        </w:tc>
        <w:tc>
          <w:tcPr>
            <w:tcW w:w="720" w:type="dxa"/>
            <w:shd w:val="clear" w:color="auto" w:fill="F2F2F2" w:themeFill="background1" w:themeFillShade="F2"/>
            <w:noWrap/>
            <w:vAlign w:val="center"/>
            <w:hideMark/>
          </w:tcPr>
          <w:p w14:paraId="38DB005B" w14:textId="46AA16DE"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6.8%</w:t>
            </w:r>
          </w:p>
        </w:tc>
        <w:tc>
          <w:tcPr>
            <w:tcW w:w="662" w:type="dxa"/>
            <w:shd w:val="clear" w:color="auto" w:fill="F2F2F2" w:themeFill="background1" w:themeFillShade="F2"/>
            <w:noWrap/>
            <w:vAlign w:val="center"/>
            <w:hideMark/>
          </w:tcPr>
          <w:p w14:paraId="44A983F1" w14:textId="487A377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6.1%</w:t>
            </w:r>
          </w:p>
        </w:tc>
        <w:tc>
          <w:tcPr>
            <w:tcW w:w="1000" w:type="dxa"/>
            <w:shd w:val="clear" w:color="auto" w:fill="F2F2F2" w:themeFill="background1" w:themeFillShade="F2"/>
            <w:noWrap/>
            <w:vAlign w:val="center"/>
            <w:hideMark/>
          </w:tcPr>
          <w:p w14:paraId="36378912" w14:textId="3B94D264"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NA</w:t>
            </w:r>
          </w:p>
        </w:tc>
        <w:tc>
          <w:tcPr>
            <w:tcW w:w="906" w:type="dxa"/>
            <w:shd w:val="clear" w:color="auto" w:fill="F2F2F2" w:themeFill="background1" w:themeFillShade="F2"/>
            <w:noWrap/>
            <w:vAlign w:val="center"/>
            <w:hideMark/>
          </w:tcPr>
          <w:p w14:paraId="0B924D30" w14:textId="6C04B5B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12.6%</w:t>
            </w:r>
          </w:p>
        </w:tc>
        <w:tc>
          <w:tcPr>
            <w:tcW w:w="852" w:type="dxa"/>
            <w:shd w:val="clear" w:color="auto" w:fill="F2F2F2" w:themeFill="background1" w:themeFillShade="F2"/>
            <w:noWrap/>
            <w:vAlign w:val="center"/>
            <w:hideMark/>
          </w:tcPr>
          <w:p w14:paraId="06A7CF28" w14:textId="45C559E1"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11.2%</w:t>
            </w:r>
          </w:p>
        </w:tc>
        <w:tc>
          <w:tcPr>
            <w:tcW w:w="662" w:type="dxa"/>
            <w:shd w:val="clear" w:color="auto" w:fill="F2F2F2" w:themeFill="background1" w:themeFillShade="F2"/>
            <w:noWrap/>
            <w:vAlign w:val="center"/>
            <w:hideMark/>
          </w:tcPr>
          <w:p w14:paraId="6EC2E528" w14:textId="484995C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13.3%</w:t>
            </w:r>
          </w:p>
        </w:tc>
        <w:tc>
          <w:tcPr>
            <w:tcW w:w="737" w:type="dxa"/>
            <w:shd w:val="clear" w:color="auto" w:fill="F2F2F2" w:themeFill="background1" w:themeFillShade="F2"/>
            <w:noWrap/>
            <w:vAlign w:val="center"/>
            <w:hideMark/>
          </w:tcPr>
          <w:p w14:paraId="45DE0F24" w14:textId="0547B19A"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11.9%</w:t>
            </w:r>
          </w:p>
        </w:tc>
        <w:tc>
          <w:tcPr>
            <w:tcW w:w="666" w:type="dxa"/>
            <w:shd w:val="clear" w:color="auto" w:fill="F2F2F2" w:themeFill="background1" w:themeFillShade="F2"/>
            <w:noWrap/>
            <w:vAlign w:val="center"/>
            <w:hideMark/>
          </w:tcPr>
          <w:p w14:paraId="72F7A939" w14:textId="67A8EFE6"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8.0%</w:t>
            </w:r>
          </w:p>
        </w:tc>
        <w:tc>
          <w:tcPr>
            <w:tcW w:w="662" w:type="dxa"/>
            <w:shd w:val="clear" w:color="auto" w:fill="F2F2F2" w:themeFill="background1" w:themeFillShade="F2"/>
            <w:noWrap/>
            <w:vAlign w:val="center"/>
            <w:hideMark/>
          </w:tcPr>
          <w:p w14:paraId="2223E50C" w14:textId="6F186079"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4.9%</w:t>
            </w:r>
          </w:p>
        </w:tc>
        <w:tc>
          <w:tcPr>
            <w:tcW w:w="958" w:type="dxa"/>
            <w:shd w:val="clear" w:color="auto" w:fill="F2F2F2" w:themeFill="background1" w:themeFillShade="F2"/>
            <w:noWrap/>
            <w:vAlign w:val="center"/>
            <w:hideMark/>
          </w:tcPr>
          <w:p w14:paraId="5616C238" w14:textId="6A32F61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10.5%</w:t>
            </w:r>
          </w:p>
        </w:tc>
        <w:tc>
          <w:tcPr>
            <w:tcW w:w="879" w:type="dxa"/>
            <w:shd w:val="clear" w:color="auto" w:fill="F2F2F2" w:themeFill="background1" w:themeFillShade="F2"/>
            <w:noWrap/>
            <w:vAlign w:val="center"/>
            <w:hideMark/>
          </w:tcPr>
          <w:p w14:paraId="4225B569" w14:textId="69309795"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3.7%</w:t>
            </w:r>
          </w:p>
        </w:tc>
        <w:tc>
          <w:tcPr>
            <w:tcW w:w="720" w:type="dxa"/>
            <w:tcBorders>
              <w:bottom w:val="nil"/>
            </w:tcBorders>
            <w:shd w:val="clear" w:color="auto" w:fill="F2F2F2" w:themeFill="background1" w:themeFillShade="F2"/>
            <w:noWrap/>
            <w:vAlign w:val="center"/>
            <w:hideMark/>
          </w:tcPr>
          <w:p w14:paraId="3BAD5988" w14:textId="505437B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4.8%</w:t>
            </w:r>
          </w:p>
        </w:tc>
        <w:tc>
          <w:tcPr>
            <w:tcW w:w="720" w:type="dxa"/>
            <w:tcBorders>
              <w:bottom w:val="nil"/>
            </w:tcBorders>
            <w:shd w:val="clear" w:color="auto" w:fill="F2F2F2" w:themeFill="background1" w:themeFillShade="F2"/>
            <w:noWrap/>
            <w:vAlign w:val="center"/>
            <w:hideMark/>
          </w:tcPr>
          <w:p w14:paraId="04508ED3" w14:textId="5D544B4D"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4.4%</w:t>
            </w:r>
          </w:p>
        </w:tc>
        <w:tc>
          <w:tcPr>
            <w:tcW w:w="810" w:type="dxa"/>
            <w:tcBorders>
              <w:bottom w:val="nil"/>
            </w:tcBorders>
            <w:shd w:val="clear" w:color="auto" w:fill="F2F2F2" w:themeFill="background1" w:themeFillShade="F2"/>
            <w:noWrap/>
            <w:vAlign w:val="center"/>
            <w:hideMark/>
          </w:tcPr>
          <w:p w14:paraId="2183F505" w14:textId="09D4B0E7" w:rsidR="00D57F3A" w:rsidRPr="008350BD" w:rsidRDefault="00D57F3A" w:rsidP="00D57F3A">
            <w:pPr>
              <w:spacing w:after="0"/>
              <w:jc w:val="center"/>
              <w:rPr>
                <w:rFonts w:eastAsia="Times New Roman" w:cs="Calibri"/>
                <w:color w:val="000000"/>
                <w:sz w:val="16"/>
                <w:szCs w:val="16"/>
              </w:rPr>
            </w:pPr>
            <w:r w:rsidRPr="008350BD">
              <w:rPr>
                <w:rFonts w:cs="Calibri"/>
                <w:color w:val="000000"/>
                <w:sz w:val="16"/>
                <w:szCs w:val="16"/>
              </w:rPr>
              <w:t>5.2%</w:t>
            </w:r>
          </w:p>
        </w:tc>
      </w:tr>
      <w:tr w:rsidR="00255A16" w:rsidRPr="00E341A9" w14:paraId="4F939638" w14:textId="77777777" w:rsidTr="00273F52">
        <w:trPr>
          <w:trHeight w:val="520"/>
        </w:trPr>
        <w:tc>
          <w:tcPr>
            <w:tcW w:w="815" w:type="dxa"/>
            <w:shd w:val="clear" w:color="auto" w:fill="F2F2F2" w:themeFill="background1" w:themeFillShade="F2"/>
            <w:noWrap/>
          </w:tcPr>
          <w:p w14:paraId="27111C55" w14:textId="5B5ED7DA"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F2F2F2" w:themeFill="background1" w:themeFillShade="F2"/>
          </w:tcPr>
          <w:p w14:paraId="5678BAA0" w14:textId="608B9ADD" w:rsidR="008350BD" w:rsidRPr="00E341A9" w:rsidRDefault="008350BD" w:rsidP="008350BD">
            <w:pPr>
              <w:spacing w:after="0"/>
              <w:rPr>
                <w:rFonts w:eastAsia="Times New Roman" w:cs="Calibri"/>
                <w:sz w:val="16"/>
                <w:szCs w:val="16"/>
              </w:rPr>
            </w:pPr>
            <w:r w:rsidRPr="00597EE2">
              <w:rPr>
                <w:rFonts w:cs="Calibri"/>
                <w:color w:val="000000"/>
                <w:sz w:val="16"/>
                <w:szCs w:val="16"/>
              </w:rPr>
              <w:t>Adult: Overall Rating and Care Delivery: Willingness to recommend</w:t>
            </w:r>
          </w:p>
        </w:tc>
        <w:tc>
          <w:tcPr>
            <w:tcW w:w="662" w:type="dxa"/>
            <w:shd w:val="clear" w:color="auto" w:fill="F2F2F2" w:themeFill="background1" w:themeFillShade="F2"/>
            <w:noWrap/>
            <w:vAlign w:val="center"/>
          </w:tcPr>
          <w:p w14:paraId="709C6C7B" w14:textId="4F6A979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86.8%</w:t>
            </w:r>
          </w:p>
        </w:tc>
        <w:tc>
          <w:tcPr>
            <w:tcW w:w="688" w:type="dxa"/>
            <w:shd w:val="clear" w:color="auto" w:fill="F2F2F2" w:themeFill="background1" w:themeFillShade="F2"/>
            <w:noWrap/>
            <w:vAlign w:val="center"/>
          </w:tcPr>
          <w:p w14:paraId="3BFA9B27" w14:textId="474541B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86.5%</w:t>
            </w:r>
          </w:p>
        </w:tc>
        <w:tc>
          <w:tcPr>
            <w:tcW w:w="662" w:type="dxa"/>
            <w:shd w:val="clear" w:color="auto" w:fill="F2F2F2" w:themeFill="background1" w:themeFillShade="F2"/>
            <w:noWrap/>
            <w:vAlign w:val="center"/>
          </w:tcPr>
          <w:p w14:paraId="181EF35F" w14:textId="46F79BA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89.0%</w:t>
            </w:r>
          </w:p>
        </w:tc>
        <w:tc>
          <w:tcPr>
            <w:tcW w:w="688" w:type="dxa"/>
            <w:shd w:val="clear" w:color="auto" w:fill="F2F2F2" w:themeFill="background1" w:themeFillShade="F2"/>
            <w:noWrap/>
            <w:vAlign w:val="center"/>
          </w:tcPr>
          <w:p w14:paraId="766B52EF" w14:textId="241AD452"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86.0%</w:t>
            </w:r>
          </w:p>
        </w:tc>
        <w:tc>
          <w:tcPr>
            <w:tcW w:w="810" w:type="dxa"/>
            <w:shd w:val="clear" w:color="auto" w:fill="F2F2F2" w:themeFill="background1" w:themeFillShade="F2"/>
            <w:noWrap/>
            <w:vAlign w:val="center"/>
          </w:tcPr>
          <w:p w14:paraId="0E598959" w14:textId="34501D4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85.7%</w:t>
            </w:r>
          </w:p>
        </w:tc>
        <w:tc>
          <w:tcPr>
            <w:tcW w:w="810" w:type="dxa"/>
            <w:shd w:val="clear" w:color="auto" w:fill="F2F2F2" w:themeFill="background1" w:themeFillShade="F2"/>
            <w:noWrap/>
            <w:vAlign w:val="center"/>
          </w:tcPr>
          <w:p w14:paraId="1BF6CBD0" w14:textId="00806F0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87.0%</w:t>
            </w:r>
          </w:p>
        </w:tc>
        <w:tc>
          <w:tcPr>
            <w:tcW w:w="720" w:type="dxa"/>
            <w:shd w:val="clear" w:color="auto" w:fill="F2F2F2" w:themeFill="background1" w:themeFillShade="F2"/>
            <w:noWrap/>
            <w:vAlign w:val="center"/>
          </w:tcPr>
          <w:p w14:paraId="65F5B20B" w14:textId="5A2F725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89.5%</w:t>
            </w:r>
          </w:p>
        </w:tc>
        <w:tc>
          <w:tcPr>
            <w:tcW w:w="720" w:type="dxa"/>
            <w:shd w:val="clear" w:color="auto" w:fill="F2F2F2" w:themeFill="background1" w:themeFillShade="F2"/>
            <w:noWrap/>
            <w:vAlign w:val="center"/>
          </w:tcPr>
          <w:p w14:paraId="1DBC34C7" w14:textId="69438DC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83.2%</w:t>
            </w:r>
          </w:p>
        </w:tc>
        <w:tc>
          <w:tcPr>
            <w:tcW w:w="662" w:type="dxa"/>
            <w:shd w:val="clear" w:color="auto" w:fill="F2F2F2" w:themeFill="background1" w:themeFillShade="F2"/>
            <w:noWrap/>
            <w:vAlign w:val="center"/>
          </w:tcPr>
          <w:p w14:paraId="58417588" w14:textId="5FA262A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88.5%</w:t>
            </w:r>
          </w:p>
        </w:tc>
        <w:tc>
          <w:tcPr>
            <w:tcW w:w="1000" w:type="dxa"/>
            <w:shd w:val="clear" w:color="auto" w:fill="F2F2F2" w:themeFill="background1" w:themeFillShade="F2"/>
            <w:noWrap/>
            <w:vAlign w:val="center"/>
          </w:tcPr>
          <w:p w14:paraId="6246C7EF" w14:textId="73B09C2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91.3%</w:t>
            </w:r>
          </w:p>
        </w:tc>
        <w:tc>
          <w:tcPr>
            <w:tcW w:w="906" w:type="dxa"/>
            <w:shd w:val="clear" w:color="auto" w:fill="F2F2F2" w:themeFill="background1" w:themeFillShade="F2"/>
            <w:noWrap/>
            <w:vAlign w:val="center"/>
          </w:tcPr>
          <w:p w14:paraId="5070FA62" w14:textId="59646AE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86.4%</w:t>
            </w:r>
          </w:p>
        </w:tc>
        <w:tc>
          <w:tcPr>
            <w:tcW w:w="852" w:type="dxa"/>
            <w:shd w:val="clear" w:color="auto" w:fill="F2F2F2" w:themeFill="background1" w:themeFillShade="F2"/>
            <w:noWrap/>
            <w:vAlign w:val="center"/>
          </w:tcPr>
          <w:p w14:paraId="19426449" w14:textId="7C66D43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85.0%</w:t>
            </w:r>
          </w:p>
        </w:tc>
        <w:tc>
          <w:tcPr>
            <w:tcW w:w="662" w:type="dxa"/>
            <w:shd w:val="clear" w:color="auto" w:fill="F2F2F2" w:themeFill="background1" w:themeFillShade="F2"/>
            <w:noWrap/>
            <w:vAlign w:val="center"/>
          </w:tcPr>
          <w:p w14:paraId="230E0077" w14:textId="0FE9600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87.0%</w:t>
            </w:r>
          </w:p>
        </w:tc>
        <w:tc>
          <w:tcPr>
            <w:tcW w:w="737" w:type="dxa"/>
            <w:shd w:val="clear" w:color="auto" w:fill="F2F2F2" w:themeFill="background1" w:themeFillShade="F2"/>
            <w:noWrap/>
            <w:vAlign w:val="center"/>
          </w:tcPr>
          <w:p w14:paraId="6B3494B1" w14:textId="0716098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87.8%</w:t>
            </w:r>
          </w:p>
        </w:tc>
        <w:tc>
          <w:tcPr>
            <w:tcW w:w="666" w:type="dxa"/>
            <w:shd w:val="clear" w:color="auto" w:fill="F2F2F2" w:themeFill="background1" w:themeFillShade="F2"/>
            <w:noWrap/>
            <w:vAlign w:val="center"/>
          </w:tcPr>
          <w:p w14:paraId="5B3944BB" w14:textId="7377FB6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84.0%</w:t>
            </w:r>
          </w:p>
        </w:tc>
        <w:tc>
          <w:tcPr>
            <w:tcW w:w="662" w:type="dxa"/>
            <w:shd w:val="clear" w:color="auto" w:fill="F2F2F2" w:themeFill="background1" w:themeFillShade="F2"/>
            <w:noWrap/>
            <w:vAlign w:val="center"/>
          </w:tcPr>
          <w:p w14:paraId="3F0EB2A5" w14:textId="5CF447D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88.6%</w:t>
            </w:r>
          </w:p>
        </w:tc>
        <w:tc>
          <w:tcPr>
            <w:tcW w:w="958" w:type="dxa"/>
            <w:shd w:val="clear" w:color="auto" w:fill="F2F2F2" w:themeFill="background1" w:themeFillShade="F2"/>
            <w:noWrap/>
            <w:vAlign w:val="center"/>
          </w:tcPr>
          <w:p w14:paraId="31E82F52" w14:textId="2275614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86.9%</w:t>
            </w:r>
          </w:p>
        </w:tc>
        <w:tc>
          <w:tcPr>
            <w:tcW w:w="879" w:type="dxa"/>
            <w:tcBorders>
              <w:right w:val="nil"/>
            </w:tcBorders>
            <w:shd w:val="clear" w:color="auto" w:fill="F2F2F2" w:themeFill="background1" w:themeFillShade="F2"/>
            <w:noWrap/>
            <w:vAlign w:val="center"/>
          </w:tcPr>
          <w:p w14:paraId="336C2C4A" w14:textId="0C215D3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88.0%</w:t>
            </w:r>
          </w:p>
        </w:tc>
        <w:tc>
          <w:tcPr>
            <w:tcW w:w="720" w:type="dxa"/>
            <w:tcBorders>
              <w:top w:val="nil"/>
              <w:left w:val="nil"/>
              <w:bottom w:val="nil"/>
              <w:right w:val="nil"/>
            </w:tcBorders>
            <w:shd w:val="clear" w:color="auto" w:fill="A6A6A6" w:themeFill="background1" w:themeFillShade="A6"/>
            <w:noWrap/>
            <w:vAlign w:val="center"/>
          </w:tcPr>
          <w:p w14:paraId="57EBE202"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0F4A3960"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2D87D8C4"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081B8AF5" w14:textId="77777777" w:rsidTr="00273F52">
        <w:trPr>
          <w:trHeight w:val="520"/>
        </w:trPr>
        <w:tc>
          <w:tcPr>
            <w:tcW w:w="815" w:type="dxa"/>
            <w:shd w:val="clear" w:color="auto" w:fill="auto"/>
            <w:noWrap/>
          </w:tcPr>
          <w:p w14:paraId="6EACED50" w14:textId="66C0F3DD"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auto"/>
          </w:tcPr>
          <w:p w14:paraId="7B191596" w14:textId="13584E7D" w:rsidR="008350BD" w:rsidRPr="00E341A9" w:rsidRDefault="008350BD" w:rsidP="008350BD">
            <w:pPr>
              <w:spacing w:after="0"/>
              <w:rPr>
                <w:rFonts w:eastAsia="Times New Roman" w:cs="Calibri"/>
                <w:sz w:val="16"/>
                <w:szCs w:val="16"/>
              </w:rPr>
            </w:pPr>
            <w:r w:rsidRPr="00597EE2">
              <w:rPr>
                <w:rFonts w:cs="Calibri"/>
                <w:color w:val="000000"/>
                <w:sz w:val="16"/>
                <w:szCs w:val="16"/>
              </w:rPr>
              <w:t>Child: Overall Rating and Care Delivery: Willingness to recommend</w:t>
            </w:r>
          </w:p>
        </w:tc>
        <w:tc>
          <w:tcPr>
            <w:tcW w:w="662" w:type="dxa"/>
            <w:shd w:val="clear" w:color="auto" w:fill="auto"/>
            <w:noWrap/>
            <w:vAlign w:val="center"/>
          </w:tcPr>
          <w:p w14:paraId="0C5E21B1" w14:textId="77012BC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91.6%</w:t>
            </w:r>
          </w:p>
        </w:tc>
        <w:tc>
          <w:tcPr>
            <w:tcW w:w="688" w:type="dxa"/>
            <w:shd w:val="clear" w:color="auto" w:fill="auto"/>
            <w:noWrap/>
            <w:vAlign w:val="center"/>
          </w:tcPr>
          <w:p w14:paraId="123F4311" w14:textId="02F9E26B"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88.8%</w:t>
            </w:r>
          </w:p>
        </w:tc>
        <w:tc>
          <w:tcPr>
            <w:tcW w:w="662" w:type="dxa"/>
            <w:shd w:val="clear" w:color="auto" w:fill="auto"/>
            <w:noWrap/>
            <w:vAlign w:val="center"/>
          </w:tcPr>
          <w:p w14:paraId="1FFCACC2" w14:textId="476FC41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93.3%</w:t>
            </w:r>
          </w:p>
        </w:tc>
        <w:tc>
          <w:tcPr>
            <w:tcW w:w="688" w:type="dxa"/>
            <w:shd w:val="clear" w:color="auto" w:fill="auto"/>
            <w:noWrap/>
            <w:vAlign w:val="center"/>
          </w:tcPr>
          <w:p w14:paraId="3B7C5030" w14:textId="25C1859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93.2%</w:t>
            </w:r>
          </w:p>
        </w:tc>
        <w:tc>
          <w:tcPr>
            <w:tcW w:w="810" w:type="dxa"/>
            <w:shd w:val="clear" w:color="auto" w:fill="auto"/>
            <w:noWrap/>
            <w:vAlign w:val="center"/>
          </w:tcPr>
          <w:p w14:paraId="2B1D26BE" w14:textId="0C2DB77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88.0%</w:t>
            </w:r>
          </w:p>
        </w:tc>
        <w:tc>
          <w:tcPr>
            <w:tcW w:w="810" w:type="dxa"/>
            <w:shd w:val="clear" w:color="auto" w:fill="auto"/>
            <w:noWrap/>
            <w:vAlign w:val="center"/>
          </w:tcPr>
          <w:p w14:paraId="186410AE" w14:textId="50E2FA2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90.6%</w:t>
            </w:r>
          </w:p>
        </w:tc>
        <w:tc>
          <w:tcPr>
            <w:tcW w:w="720" w:type="dxa"/>
            <w:shd w:val="clear" w:color="auto" w:fill="auto"/>
            <w:noWrap/>
            <w:vAlign w:val="center"/>
          </w:tcPr>
          <w:p w14:paraId="51E0ABE4" w14:textId="2EA3D2C2"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93.3%</w:t>
            </w:r>
          </w:p>
        </w:tc>
        <w:tc>
          <w:tcPr>
            <w:tcW w:w="720" w:type="dxa"/>
            <w:shd w:val="clear" w:color="auto" w:fill="auto"/>
            <w:noWrap/>
            <w:vAlign w:val="center"/>
          </w:tcPr>
          <w:p w14:paraId="332F2B03" w14:textId="5DD92A7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90.7%</w:t>
            </w:r>
          </w:p>
        </w:tc>
        <w:tc>
          <w:tcPr>
            <w:tcW w:w="662" w:type="dxa"/>
            <w:shd w:val="clear" w:color="auto" w:fill="auto"/>
            <w:noWrap/>
            <w:vAlign w:val="center"/>
          </w:tcPr>
          <w:p w14:paraId="3391DC1F" w14:textId="6F3F678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91.8%</w:t>
            </w:r>
          </w:p>
        </w:tc>
        <w:tc>
          <w:tcPr>
            <w:tcW w:w="1000" w:type="dxa"/>
            <w:shd w:val="clear" w:color="auto" w:fill="auto"/>
            <w:noWrap/>
            <w:vAlign w:val="center"/>
          </w:tcPr>
          <w:p w14:paraId="7DB6566B" w14:textId="6E73A4B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93.6%</w:t>
            </w:r>
          </w:p>
        </w:tc>
        <w:tc>
          <w:tcPr>
            <w:tcW w:w="906" w:type="dxa"/>
            <w:shd w:val="clear" w:color="auto" w:fill="auto"/>
            <w:noWrap/>
            <w:vAlign w:val="center"/>
          </w:tcPr>
          <w:p w14:paraId="571E39CF" w14:textId="6584133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88.8%</w:t>
            </w:r>
          </w:p>
        </w:tc>
        <w:tc>
          <w:tcPr>
            <w:tcW w:w="852" w:type="dxa"/>
            <w:shd w:val="clear" w:color="auto" w:fill="auto"/>
            <w:noWrap/>
            <w:vAlign w:val="center"/>
          </w:tcPr>
          <w:p w14:paraId="3D9CAC9D" w14:textId="16E2317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90.5%</w:t>
            </w:r>
          </w:p>
        </w:tc>
        <w:tc>
          <w:tcPr>
            <w:tcW w:w="662" w:type="dxa"/>
            <w:shd w:val="clear" w:color="auto" w:fill="auto"/>
            <w:noWrap/>
            <w:vAlign w:val="center"/>
          </w:tcPr>
          <w:p w14:paraId="3E96EAE3" w14:textId="7E90B88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88.0%</w:t>
            </w:r>
          </w:p>
        </w:tc>
        <w:tc>
          <w:tcPr>
            <w:tcW w:w="737" w:type="dxa"/>
            <w:shd w:val="clear" w:color="auto" w:fill="auto"/>
            <w:noWrap/>
            <w:vAlign w:val="center"/>
          </w:tcPr>
          <w:p w14:paraId="3EBDD6DD" w14:textId="110447D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92.9%</w:t>
            </w:r>
          </w:p>
        </w:tc>
        <w:tc>
          <w:tcPr>
            <w:tcW w:w="666" w:type="dxa"/>
            <w:shd w:val="clear" w:color="auto" w:fill="auto"/>
            <w:noWrap/>
            <w:vAlign w:val="center"/>
          </w:tcPr>
          <w:p w14:paraId="13E8B24E" w14:textId="6C450ED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87.9%</w:t>
            </w:r>
          </w:p>
        </w:tc>
        <w:tc>
          <w:tcPr>
            <w:tcW w:w="662" w:type="dxa"/>
            <w:shd w:val="clear" w:color="auto" w:fill="auto"/>
            <w:noWrap/>
            <w:vAlign w:val="center"/>
          </w:tcPr>
          <w:p w14:paraId="610D21E4" w14:textId="30576B7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92.7%</w:t>
            </w:r>
          </w:p>
        </w:tc>
        <w:tc>
          <w:tcPr>
            <w:tcW w:w="958" w:type="dxa"/>
            <w:shd w:val="clear" w:color="auto" w:fill="auto"/>
            <w:noWrap/>
            <w:vAlign w:val="center"/>
          </w:tcPr>
          <w:p w14:paraId="4FDA1393" w14:textId="24C22C1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91.7%</w:t>
            </w:r>
          </w:p>
        </w:tc>
        <w:tc>
          <w:tcPr>
            <w:tcW w:w="879" w:type="dxa"/>
            <w:tcBorders>
              <w:right w:val="nil"/>
            </w:tcBorders>
            <w:shd w:val="clear" w:color="auto" w:fill="auto"/>
            <w:noWrap/>
            <w:vAlign w:val="center"/>
          </w:tcPr>
          <w:p w14:paraId="7C2DCFE1" w14:textId="4821435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84.6%</w:t>
            </w:r>
          </w:p>
        </w:tc>
        <w:tc>
          <w:tcPr>
            <w:tcW w:w="720" w:type="dxa"/>
            <w:tcBorders>
              <w:top w:val="nil"/>
              <w:left w:val="nil"/>
              <w:bottom w:val="nil"/>
              <w:right w:val="nil"/>
            </w:tcBorders>
            <w:shd w:val="clear" w:color="auto" w:fill="A6A6A6" w:themeFill="background1" w:themeFillShade="A6"/>
            <w:noWrap/>
            <w:vAlign w:val="center"/>
          </w:tcPr>
          <w:p w14:paraId="048CF702"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2EECBC67"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4B04897E"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34C0D0C7" w14:textId="77777777" w:rsidTr="00273F52">
        <w:trPr>
          <w:trHeight w:val="520"/>
        </w:trPr>
        <w:tc>
          <w:tcPr>
            <w:tcW w:w="815" w:type="dxa"/>
            <w:shd w:val="clear" w:color="auto" w:fill="F2F2F2" w:themeFill="background1" w:themeFillShade="F2"/>
            <w:noWrap/>
          </w:tcPr>
          <w:p w14:paraId="06D8C33F" w14:textId="3DC7C5C9"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tcPr>
          <w:p w14:paraId="44C6E961" w14:textId="33FB8896" w:rsidR="008350BD" w:rsidRPr="00E341A9" w:rsidRDefault="008350BD" w:rsidP="008350BD">
            <w:pPr>
              <w:spacing w:after="0"/>
              <w:rPr>
                <w:rFonts w:eastAsia="Times New Roman" w:cs="Calibri"/>
                <w:sz w:val="16"/>
                <w:szCs w:val="16"/>
              </w:rPr>
            </w:pPr>
            <w:r w:rsidRPr="00597EE2">
              <w:rPr>
                <w:rFonts w:cs="Calibri"/>
                <w:color w:val="000000"/>
                <w:sz w:val="16"/>
                <w:szCs w:val="16"/>
              </w:rPr>
              <w:t>Adult: Overall Rating and Care Delivery: Communication</w:t>
            </w:r>
          </w:p>
        </w:tc>
        <w:tc>
          <w:tcPr>
            <w:tcW w:w="662" w:type="dxa"/>
            <w:shd w:val="clear" w:color="auto" w:fill="F2F2F2" w:themeFill="background1" w:themeFillShade="F2"/>
            <w:noWrap/>
            <w:vAlign w:val="center"/>
          </w:tcPr>
          <w:p w14:paraId="1DF40F7F" w14:textId="3F225A0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88.9%</w:t>
            </w:r>
          </w:p>
        </w:tc>
        <w:tc>
          <w:tcPr>
            <w:tcW w:w="688" w:type="dxa"/>
            <w:shd w:val="clear" w:color="auto" w:fill="F2F2F2" w:themeFill="background1" w:themeFillShade="F2"/>
            <w:noWrap/>
            <w:vAlign w:val="center"/>
          </w:tcPr>
          <w:p w14:paraId="37034C23" w14:textId="23E448B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88.5%</w:t>
            </w:r>
          </w:p>
        </w:tc>
        <w:tc>
          <w:tcPr>
            <w:tcW w:w="662" w:type="dxa"/>
            <w:shd w:val="clear" w:color="auto" w:fill="F2F2F2" w:themeFill="background1" w:themeFillShade="F2"/>
            <w:noWrap/>
            <w:vAlign w:val="center"/>
          </w:tcPr>
          <w:p w14:paraId="148C9BC1" w14:textId="07C722C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90.3%</w:t>
            </w:r>
          </w:p>
        </w:tc>
        <w:tc>
          <w:tcPr>
            <w:tcW w:w="688" w:type="dxa"/>
            <w:shd w:val="clear" w:color="auto" w:fill="F2F2F2" w:themeFill="background1" w:themeFillShade="F2"/>
            <w:noWrap/>
            <w:vAlign w:val="center"/>
          </w:tcPr>
          <w:p w14:paraId="71400810" w14:textId="7D8CDA0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88.4%</w:t>
            </w:r>
          </w:p>
        </w:tc>
        <w:tc>
          <w:tcPr>
            <w:tcW w:w="810" w:type="dxa"/>
            <w:shd w:val="clear" w:color="auto" w:fill="F2F2F2" w:themeFill="background1" w:themeFillShade="F2"/>
            <w:noWrap/>
            <w:vAlign w:val="center"/>
          </w:tcPr>
          <w:p w14:paraId="40823C8F" w14:textId="1F95BDF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88.2%</w:t>
            </w:r>
          </w:p>
        </w:tc>
        <w:tc>
          <w:tcPr>
            <w:tcW w:w="810" w:type="dxa"/>
            <w:shd w:val="clear" w:color="auto" w:fill="F2F2F2" w:themeFill="background1" w:themeFillShade="F2"/>
            <w:noWrap/>
            <w:vAlign w:val="center"/>
          </w:tcPr>
          <w:p w14:paraId="5F59FF68" w14:textId="4EA5DB8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720" w:type="dxa"/>
            <w:shd w:val="clear" w:color="auto" w:fill="F2F2F2" w:themeFill="background1" w:themeFillShade="F2"/>
            <w:noWrap/>
            <w:vAlign w:val="center"/>
          </w:tcPr>
          <w:p w14:paraId="1AA8213C" w14:textId="4BE40E0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90.8%</w:t>
            </w:r>
          </w:p>
        </w:tc>
        <w:tc>
          <w:tcPr>
            <w:tcW w:w="720" w:type="dxa"/>
            <w:shd w:val="clear" w:color="auto" w:fill="F2F2F2" w:themeFill="background1" w:themeFillShade="F2"/>
            <w:noWrap/>
            <w:vAlign w:val="center"/>
          </w:tcPr>
          <w:p w14:paraId="3F0FB637" w14:textId="06FC0F8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84.6%</w:t>
            </w:r>
          </w:p>
        </w:tc>
        <w:tc>
          <w:tcPr>
            <w:tcW w:w="662" w:type="dxa"/>
            <w:shd w:val="clear" w:color="auto" w:fill="F2F2F2" w:themeFill="background1" w:themeFillShade="F2"/>
            <w:noWrap/>
            <w:vAlign w:val="center"/>
          </w:tcPr>
          <w:p w14:paraId="58CE3764" w14:textId="0EEC3264"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1000" w:type="dxa"/>
            <w:shd w:val="clear" w:color="auto" w:fill="F2F2F2" w:themeFill="background1" w:themeFillShade="F2"/>
            <w:noWrap/>
            <w:vAlign w:val="center"/>
          </w:tcPr>
          <w:p w14:paraId="7A2FE83E" w14:textId="1655EE5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92.6%</w:t>
            </w:r>
          </w:p>
        </w:tc>
        <w:tc>
          <w:tcPr>
            <w:tcW w:w="906" w:type="dxa"/>
            <w:shd w:val="clear" w:color="auto" w:fill="F2F2F2" w:themeFill="background1" w:themeFillShade="F2"/>
            <w:noWrap/>
            <w:vAlign w:val="center"/>
          </w:tcPr>
          <w:p w14:paraId="1AED8877" w14:textId="79A52212"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89.2%</w:t>
            </w:r>
          </w:p>
        </w:tc>
        <w:tc>
          <w:tcPr>
            <w:tcW w:w="852" w:type="dxa"/>
            <w:shd w:val="clear" w:color="auto" w:fill="F2F2F2" w:themeFill="background1" w:themeFillShade="F2"/>
            <w:noWrap/>
            <w:vAlign w:val="center"/>
          </w:tcPr>
          <w:p w14:paraId="2598ED1D" w14:textId="4F18FBA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86.5%</w:t>
            </w:r>
          </w:p>
        </w:tc>
        <w:tc>
          <w:tcPr>
            <w:tcW w:w="662" w:type="dxa"/>
            <w:shd w:val="clear" w:color="auto" w:fill="F2F2F2" w:themeFill="background1" w:themeFillShade="F2"/>
            <w:noWrap/>
            <w:vAlign w:val="center"/>
          </w:tcPr>
          <w:p w14:paraId="76CD27A1" w14:textId="0C7B444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88.3%</w:t>
            </w:r>
          </w:p>
        </w:tc>
        <w:tc>
          <w:tcPr>
            <w:tcW w:w="737" w:type="dxa"/>
            <w:shd w:val="clear" w:color="auto" w:fill="F2F2F2" w:themeFill="background1" w:themeFillShade="F2"/>
            <w:noWrap/>
            <w:vAlign w:val="center"/>
          </w:tcPr>
          <w:p w14:paraId="3776513C" w14:textId="6FF664D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666" w:type="dxa"/>
            <w:shd w:val="clear" w:color="auto" w:fill="F2F2F2" w:themeFill="background1" w:themeFillShade="F2"/>
            <w:noWrap/>
            <w:vAlign w:val="center"/>
          </w:tcPr>
          <w:p w14:paraId="51174D7A" w14:textId="5A87E6F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87.0%</w:t>
            </w:r>
          </w:p>
        </w:tc>
        <w:tc>
          <w:tcPr>
            <w:tcW w:w="662" w:type="dxa"/>
            <w:shd w:val="clear" w:color="auto" w:fill="F2F2F2" w:themeFill="background1" w:themeFillShade="F2"/>
            <w:noWrap/>
            <w:vAlign w:val="center"/>
          </w:tcPr>
          <w:p w14:paraId="060423A1" w14:textId="2AB4A7F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89.6%</w:t>
            </w:r>
          </w:p>
        </w:tc>
        <w:tc>
          <w:tcPr>
            <w:tcW w:w="958" w:type="dxa"/>
            <w:shd w:val="clear" w:color="auto" w:fill="F2F2F2" w:themeFill="background1" w:themeFillShade="F2"/>
            <w:noWrap/>
            <w:vAlign w:val="center"/>
          </w:tcPr>
          <w:p w14:paraId="67D796F3" w14:textId="6F9C697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879" w:type="dxa"/>
            <w:tcBorders>
              <w:right w:val="nil"/>
            </w:tcBorders>
            <w:shd w:val="clear" w:color="auto" w:fill="F2F2F2" w:themeFill="background1" w:themeFillShade="F2"/>
            <w:noWrap/>
            <w:vAlign w:val="center"/>
          </w:tcPr>
          <w:p w14:paraId="54C6E2B6" w14:textId="5E87306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720" w:type="dxa"/>
            <w:tcBorders>
              <w:top w:val="nil"/>
              <w:left w:val="nil"/>
              <w:bottom w:val="nil"/>
              <w:right w:val="nil"/>
            </w:tcBorders>
            <w:shd w:val="clear" w:color="auto" w:fill="A6A6A6" w:themeFill="background1" w:themeFillShade="A6"/>
            <w:noWrap/>
            <w:vAlign w:val="center"/>
          </w:tcPr>
          <w:p w14:paraId="6CF43250"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6F3B0ADD"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471CBE64"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0C67CE32" w14:textId="77777777" w:rsidTr="00273F52">
        <w:trPr>
          <w:trHeight w:val="520"/>
        </w:trPr>
        <w:tc>
          <w:tcPr>
            <w:tcW w:w="815" w:type="dxa"/>
            <w:shd w:val="clear" w:color="auto" w:fill="FFFFFF" w:themeFill="background1"/>
            <w:noWrap/>
          </w:tcPr>
          <w:p w14:paraId="775D8B5E" w14:textId="53B3B0CB"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p>
        </w:tc>
        <w:tc>
          <w:tcPr>
            <w:tcW w:w="2880" w:type="dxa"/>
            <w:shd w:val="clear" w:color="auto" w:fill="FFFFFF" w:themeFill="background1"/>
          </w:tcPr>
          <w:p w14:paraId="5AB87BF3" w14:textId="2F922E78" w:rsidR="008350BD" w:rsidRPr="00E341A9" w:rsidRDefault="008350BD" w:rsidP="008350BD">
            <w:pPr>
              <w:spacing w:after="0"/>
              <w:rPr>
                <w:rFonts w:eastAsia="Times New Roman" w:cs="Calibri"/>
                <w:sz w:val="16"/>
                <w:szCs w:val="16"/>
              </w:rPr>
            </w:pPr>
            <w:r w:rsidRPr="00597EE2">
              <w:rPr>
                <w:rFonts w:cs="Calibri"/>
                <w:color w:val="000000"/>
                <w:sz w:val="16"/>
                <w:szCs w:val="16"/>
              </w:rPr>
              <w:t>Child: Overall Rating and Care Delivery: Communication</w:t>
            </w:r>
          </w:p>
        </w:tc>
        <w:tc>
          <w:tcPr>
            <w:tcW w:w="662" w:type="dxa"/>
            <w:shd w:val="clear" w:color="auto" w:fill="FFFFFF" w:themeFill="background1"/>
            <w:noWrap/>
            <w:vAlign w:val="center"/>
          </w:tcPr>
          <w:p w14:paraId="7277FB35" w14:textId="0357E8F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92.4%</w:t>
            </w:r>
          </w:p>
        </w:tc>
        <w:tc>
          <w:tcPr>
            <w:tcW w:w="688" w:type="dxa"/>
            <w:shd w:val="clear" w:color="auto" w:fill="FFFFFF" w:themeFill="background1"/>
            <w:noWrap/>
            <w:vAlign w:val="center"/>
          </w:tcPr>
          <w:p w14:paraId="7FED0999" w14:textId="5E90D22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89.2%</w:t>
            </w:r>
          </w:p>
        </w:tc>
        <w:tc>
          <w:tcPr>
            <w:tcW w:w="662" w:type="dxa"/>
            <w:shd w:val="clear" w:color="auto" w:fill="FFFFFF" w:themeFill="background1"/>
            <w:noWrap/>
            <w:vAlign w:val="center"/>
          </w:tcPr>
          <w:p w14:paraId="439641C5" w14:textId="74DBD3A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93.7%</w:t>
            </w:r>
          </w:p>
        </w:tc>
        <w:tc>
          <w:tcPr>
            <w:tcW w:w="688" w:type="dxa"/>
            <w:shd w:val="clear" w:color="auto" w:fill="FFFFFF" w:themeFill="background1"/>
            <w:noWrap/>
            <w:vAlign w:val="center"/>
          </w:tcPr>
          <w:p w14:paraId="766600E6" w14:textId="3053763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93.0%</w:t>
            </w:r>
          </w:p>
        </w:tc>
        <w:tc>
          <w:tcPr>
            <w:tcW w:w="810" w:type="dxa"/>
            <w:shd w:val="clear" w:color="auto" w:fill="FFFFFF" w:themeFill="background1"/>
            <w:noWrap/>
            <w:vAlign w:val="center"/>
          </w:tcPr>
          <w:p w14:paraId="423D6BB2" w14:textId="0CEA55C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90.6%</w:t>
            </w:r>
          </w:p>
        </w:tc>
        <w:tc>
          <w:tcPr>
            <w:tcW w:w="810" w:type="dxa"/>
            <w:shd w:val="clear" w:color="auto" w:fill="FFFFFF" w:themeFill="background1"/>
            <w:noWrap/>
            <w:vAlign w:val="center"/>
          </w:tcPr>
          <w:p w14:paraId="4959541F" w14:textId="14E95F34"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92.4%</w:t>
            </w:r>
          </w:p>
        </w:tc>
        <w:tc>
          <w:tcPr>
            <w:tcW w:w="720" w:type="dxa"/>
            <w:shd w:val="clear" w:color="auto" w:fill="FFFFFF" w:themeFill="background1"/>
            <w:noWrap/>
            <w:vAlign w:val="center"/>
          </w:tcPr>
          <w:p w14:paraId="02FCF58B" w14:textId="57F6124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94.1%</w:t>
            </w:r>
          </w:p>
        </w:tc>
        <w:tc>
          <w:tcPr>
            <w:tcW w:w="720" w:type="dxa"/>
            <w:shd w:val="clear" w:color="auto" w:fill="FFFFFF" w:themeFill="background1"/>
            <w:noWrap/>
            <w:vAlign w:val="center"/>
          </w:tcPr>
          <w:p w14:paraId="3D648587" w14:textId="1628E79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90.2%</w:t>
            </w:r>
          </w:p>
        </w:tc>
        <w:tc>
          <w:tcPr>
            <w:tcW w:w="662" w:type="dxa"/>
            <w:shd w:val="clear" w:color="auto" w:fill="FFFFFF" w:themeFill="background1"/>
            <w:noWrap/>
            <w:vAlign w:val="center"/>
          </w:tcPr>
          <w:p w14:paraId="54635014" w14:textId="3A4980F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91.1%</w:t>
            </w:r>
          </w:p>
        </w:tc>
        <w:tc>
          <w:tcPr>
            <w:tcW w:w="1000" w:type="dxa"/>
            <w:shd w:val="clear" w:color="auto" w:fill="FFFFFF" w:themeFill="background1"/>
            <w:noWrap/>
            <w:vAlign w:val="center"/>
          </w:tcPr>
          <w:p w14:paraId="0103FD6A" w14:textId="30E5804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93.7%</w:t>
            </w:r>
          </w:p>
        </w:tc>
        <w:tc>
          <w:tcPr>
            <w:tcW w:w="906" w:type="dxa"/>
            <w:shd w:val="clear" w:color="auto" w:fill="FFFFFF" w:themeFill="background1"/>
            <w:noWrap/>
            <w:vAlign w:val="center"/>
          </w:tcPr>
          <w:p w14:paraId="111D7F70" w14:textId="6F765FD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91.2%</w:t>
            </w:r>
          </w:p>
        </w:tc>
        <w:tc>
          <w:tcPr>
            <w:tcW w:w="852" w:type="dxa"/>
            <w:shd w:val="clear" w:color="auto" w:fill="FFFFFF" w:themeFill="background1"/>
            <w:noWrap/>
            <w:vAlign w:val="center"/>
          </w:tcPr>
          <w:p w14:paraId="33AE9A72" w14:textId="2B4751E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92.5%</w:t>
            </w:r>
          </w:p>
        </w:tc>
        <w:tc>
          <w:tcPr>
            <w:tcW w:w="662" w:type="dxa"/>
            <w:shd w:val="clear" w:color="auto" w:fill="FFFFFF" w:themeFill="background1"/>
            <w:noWrap/>
            <w:vAlign w:val="center"/>
          </w:tcPr>
          <w:p w14:paraId="4C67D394" w14:textId="6A1D2D5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90.1%</w:t>
            </w:r>
          </w:p>
        </w:tc>
        <w:tc>
          <w:tcPr>
            <w:tcW w:w="737" w:type="dxa"/>
            <w:shd w:val="clear" w:color="auto" w:fill="FFFFFF" w:themeFill="background1"/>
            <w:noWrap/>
            <w:vAlign w:val="center"/>
          </w:tcPr>
          <w:p w14:paraId="462CB3E3" w14:textId="7C60F4B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93.1%</w:t>
            </w:r>
          </w:p>
        </w:tc>
        <w:tc>
          <w:tcPr>
            <w:tcW w:w="666" w:type="dxa"/>
            <w:shd w:val="clear" w:color="auto" w:fill="FFFFFF" w:themeFill="background1"/>
            <w:noWrap/>
            <w:vAlign w:val="center"/>
          </w:tcPr>
          <w:p w14:paraId="3BFDE8D3" w14:textId="2E99CED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89.9%</w:t>
            </w:r>
          </w:p>
        </w:tc>
        <w:tc>
          <w:tcPr>
            <w:tcW w:w="662" w:type="dxa"/>
            <w:shd w:val="clear" w:color="auto" w:fill="FFFFFF" w:themeFill="background1"/>
            <w:noWrap/>
            <w:vAlign w:val="center"/>
          </w:tcPr>
          <w:p w14:paraId="16D9CCEF" w14:textId="5DA1531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92.9%</w:t>
            </w:r>
          </w:p>
        </w:tc>
        <w:tc>
          <w:tcPr>
            <w:tcW w:w="958" w:type="dxa"/>
            <w:shd w:val="clear" w:color="auto" w:fill="FFFFFF" w:themeFill="background1"/>
            <w:noWrap/>
            <w:vAlign w:val="center"/>
          </w:tcPr>
          <w:p w14:paraId="3C979DFA" w14:textId="10FD87A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93.1%</w:t>
            </w:r>
          </w:p>
        </w:tc>
        <w:tc>
          <w:tcPr>
            <w:tcW w:w="879" w:type="dxa"/>
            <w:tcBorders>
              <w:right w:val="nil"/>
            </w:tcBorders>
            <w:shd w:val="clear" w:color="auto" w:fill="FFFFFF" w:themeFill="background1"/>
            <w:noWrap/>
            <w:vAlign w:val="center"/>
          </w:tcPr>
          <w:p w14:paraId="1F945FA8" w14:textId="6949D38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97.7%</w:t>
            </w:r>
          </w:p>
        </w:tc>
        <w:tc>
          <w:tcPr>
            <w:tcW w:w="720" w:type="dxa"/>
            <w:tcBorders>
              <w:top w:val="nil"/>
              <w:left w:val="nil"/>
              <w:bottom w:val="nil"/>
              <w:right w:val="nil"/>
            </w:tcBorders>
            <w:shd w:val="clear" w:color="auto" w:fill="A6A6A6" w:themeFill="background1" w:themeFillShade="A6"/>
            <w:noWrap/>
            <w:vAlign w:val="center"/>
          </w:tcPr>
          <w:p w14:paraId="1A266FB9"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4F98CED1"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34431420"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783B93B3" w14:textId="77777777" w:rsidTr="00273F52">
        <w:trPr>
          <w:trHeight w:val="520"/>
        </w:trPr>
        <w:tc>
          <w:tcPr>
            <w:tcW w:w="815" w:type="dxa"/>
            <w:shd w:val="clear" w:color="auto" w:fill="F2F2F2" w:themeFill="background1" w:themeFillShade="F2"/>
            <w:noWrap/>
          </w:tcPr>
          <w:p w14:paraId="3C3F5E8B" w14:textId="160D7974"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F2F2F2" w:themeFill="background1" w:themeFillShade="F2"/>
          </w:tcPr>
          <w:p w14:paraId="661AD7C8" w14:textId="1DF91209" w:rsidR="008350BD" w:rsidRPr="00E341A9" w:rsidRDefault="008350BD" w:rsidP="008350BD">
            <w:pPr>
              <w:spacing w:after="0"/>
              <w:rPr>
                <w:rFonts w:eastAsia="Times New Roman" w:cs="Calibri"/>
                <w:sz w:val="16"/>
                <w:szCs w:val="16"/>
              </w:rPr>
            </w:pPr>
            <w:r w:rsidRPr="00597EE2">
              <w:rPr>
                <w:rFonts w:cs="Calibri"/>
                <w:color w:val="000000"/>
                <w:sz w:val="16"/>
                <w:szCs w:val="16"/>
              </w:rPr>
              <w:t>Adult: Person-Centered Integrated Care: Integration of Care</w:t>
            </w:r>
          </w:p>
        </w:tc>
        <w:tc>
          <w:tcPr>
            <w:tcW w:w="662" w:type="dxa"/>
            <w:shd w:val="clear" w:color="auto" w:fill="F2F2F2" w:themeFill="background1" w:themeFillShade="F2"/>
            <w:noWrap/>
            <w:vAlign w:val="center"/>
          </w:tcPr>
          <w:p w14:paraId="2ED4F2F7" w14:textId="5044D54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80.2%</w:t>
            </w:r>
          </w:p>
        </w:tc>
        <w:tc>
          <w:tcPr>
            <w:tcW w:w="688" w:type="dxa"/>
            <w:shd w:val="clear" w:color="auto" w:fill="F2F2F2" w:themeFill="background1" w:themeFillShade="F2"/>
            <w:noWrap/>
            <w:vAlign w:val="center"/>
          </w:tcPr>
          <w:p w14:paraId="3A79C95E" w14:textId="7BB712E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78.0%</w:t>
            </w:r>
          </w:p>
        </w:tc>
        <w:tc>
          <w:tcPr>
            <w:tcW w:w="662" w:type="dxa"/>
            <w:shd w:val="clear" w:color="auto" w:fill="F2F2F2" w:themeFill="background1" w:themeFillShade="F2"/>
            <w:noWrap/>
            <w:vAlign w:val="center"/>
          </w:tcPr>
          <w:p w14:paraId="6D2EFA9B" w14:textId="395E244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83.3%</w:t>
            </w:r>
          </w:p>
        </w:tc>
        <w:tc>
          <w:tcPr>
            <w:tcW w:w="688" w:type="dxa"/>
            <w:shd w:val="clear" w:color="auto" w:fill="F2F2F2" w:themeFill="background1" w:themeFillShade="F2"/>
            <w:noWrap/>
            <w:vAlign w:val="center"/>
          </w:tcPr>
          <w:p w14:paraId="3E50F5E2" w14:textId="6BA1ABC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78.1%</w:t>
            </w:r>
          </w:p>
        </w:tc>
        <w:tc>
          <w:tcPr>
            <w:tcW w:w="810" w:type="dxa"/>
            <w:shd w:val="clear" w:color="auto" w:fill="F2F2F2" w:themeFill="background1" w:themeFillShade="F2"/>
            <w:noWrap/>
            <w:vAlign w:val="center"/>
          </w:tcPr>
          <w:p w14:paraId="42F5B665" w14:textId="3446D24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75.9%</w:t>
            </w:r>
          </w:p>
        </w:tc>
        <w:tc>
          <w:tcPr>
            <w:tcW w:w="810" w:type="dxa"/>
            <w:shd w:val="clear" w:color="auto" w:fill="F2F2F2" w:themeFill="background1" w:themeFillShade="F2"/>
            <w:noWrap/>
            <w:vAlign w:val="center"/>
          </w:tcPr>
          <w:p w14:paraId="67630B9E" w14:textId="1BFE76AB"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76.9%</w:t>
            </w:r>
          </w:p>
        </w:tc>
        <w:tc>
          <w:tcPr>
            <w:tcW w:w="720" w:type="dxa"/>
            <w:shd w:val="clear" w:color="auto" w:fill="F2F2F2" w:themeFill="background1" w:themeFillShade="F2"/>
            <w:noWrap/>
            <w:vAlign w:val="center"/>
          </w:tcPr>
          <w:p w14:paraId="5DC19ED0" w14:textId="0C1B356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82.3%</w:t>
            </w:r>
          </w:p>
        </w:tc>
        <w:tc>
          <w:tcPr>
            <w:tcW w:w="720" w:type="dxa"/>
            <w:shd w:val="clear" w:color="auto" w:fill="F2F2F2" w:themeFill="background1" w:themeFillShade="F2"/>
            <w:noWrap/>
            <w:vAlign w:val="center"/>
          </w:tcPr>
          <w:p w14:paraId="67F67969" w14:textId="0ADD25A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75.5%</w:t>
            </w:r>
          </w:p>
        </w:tc>
        <w:tc>
          <w:tcPr>
            <w:tcW w:w="662" w:type="dxa"/>
            <w:shd w:val="clear" w:color="auto" w:fill="F2F2F2" w:themeFill="background1" w:themeFillShade="F2"/>
            <w:noWrap/>
            <w:vAlign w:val="center"/>
          </w:tcPr>
          <w:p w14:paraId="759CA7E7" w14:textId="60FA8B6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81.1%</w:t>
            </w:r>
          </w:p>
        </w:tc>
        <w:tc>
          <w:tcPr>
            <w:tcW w:w="1000" w:type="dxa"/>
            <w:shd w:val="clear" w:color="auto" w:fill="F2F2F2" w:themeFill="background1" w:themeFillShade="F2"/>
            <w:noWrap/>
            <w:vAlign w:val="center"/>
          </w:tcPr>
          <w:p w14:paraId="15E2454D" w14:textId="06C3B5E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81.0%</w:t>
            </w:r>
          </w:p>
        </w:tc>
        <w:tc>
          <w:tcPr>
            <w:tcW w:w="906" w:type="dxa"/>
            <w:shd w:val="clear" w:color="auto" w:fill="F2F2F2" w:themeFill="background1" w:themeFillShade="F2"/>
            <w:noWrap/>
            <w:vAlign w:val="center"/>
          </w:tcPr>
          <w:p w14:paraId="24896288" w14:textId="1D27436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78.9%</w:t>
            </w:r>
          </w:p>
        </w:tc>
        <w:tc>
          <w:tcPr>
            <w:tcW w:w="852" w:type="dxa"/>
            <w:shd w:val="clear" w:color="auto" w:fill="F2F2F2" w:themeFill="background1" w:themeFillShade="F2"/>
            <w:noWrap/>
            <w:vAlign w:val="center"/>
          </w:tcPr>
          <w:p w14:paraId="4595C0CA" w14:textId="06528FE2"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78.7%</w:t>
            </w:r>
          </w:p>
        </w:tc>
        <w:tc>
          <w:tcPr>
            <w:tcW w:w="662" w:type="dxa"/>
            <w:shd w:val="clear" w:color="auto" w:fill="F2F2F2" w:themeFill="background1" w:themeFillShade="F2"/>
            <w:noWrap/>
            <w:vAlign w:val="center"/>
          </w:tcPr>
          <w:p w14:paraId="1D11E6DE" w14:textId="2866781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80.2%</w:t>
            </w:r>
          </w:p>
        </w:tc>
        <w:tc>
          <w:tcPr>
            <w:tcW w:w="737" w:type="dxa"/>
            <w:shd w:val="clear" w:color="auto" w:fill="F2F2F2" w:themeFill="background1" w:themeFillShade="F2"/>
            <w:noWrap/>
            <w:vAlign w:val="center"/>
          </w:tcPr>
          <w:p w14:paraId="52D29230" w14:textId="7E18E90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79.9%</w:t>
            </w:r>
          </w:p>
        </w:tc>
        <w:tc>
          <w:tcPr>
            <w:tcW w:w="666" w:type="dxa"/>
            <w:shd w:val="clear" w:color="auto" w:fill="F2F2F2" w:themeFill="background1" w:themeFillShade="F2"/>
            <w:noWrap/>
            <w:vAlign w:val="center"/>
          </w:tcPr>
          <w:p w14:paraId="733F1679" w14:textId="1CB0D55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75.6%</w:t>
            </w:r>
          </w:p>
        </w:tc>
        <w:tc>
          <w:tcPr>
            <w:tcW w:w="662" w:type="dxa"/>
            <w:shd w:val="clear" w:color="auto" w:fill="F2F2F2" w:themeFill="background1" w:themeFillShade="F2"/>
            <w:noWrap/>
            <w:vAlign w:val="center"/>
          </w:tcPr>
          <w:p w14:paraId="564E1465" w14:textId="46F520C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81.4%</w:t>
            </w:r>
          </w:p>
        </w:tc>
        <w:tc>
          <w:tcPr>
            <w:tcW w:w="958" w:type="dxa"/>
            <w:shd w:val="clear" w:color="auto" w:fill="F2F2F2" w:themeFill="background1" w:themeFillShade="F2"/>
            <w:noWrap/>
            <w:vAlign w:val="center"/>
          </w:tcPr>
          <w:p w14:paraId="0C714B06" w14:textId="44F758A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80.4%</w:t>
            </w:r>
          </w:p>
        </w:tc>
        <w:tc>
          <w:tcPr>
            <w:tcW w:w="879" w:type="dxa"/>
            <w:tcBorders>
              <w:right w:val="nil"/>
            </w:tcBorders>
            <w:shd w:val="clear" w:color="auto" w:fill="F2F2F2" w:themeFill="background1" w:themeFillShade="F2"/>
            <w:noWrap/>
            <w:vAlign w:val="center"/>
          </w:tcPr>
          <w:p w14:paraId="7157E0F8" w14:textId="6010906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82.3%</w:t>
            </w:r>
          </w:p>
        </w:tc>
        <w:tc>
          <w:tcPr>
            <w:tcW w:w="720" w:type="dxa"/>
            <w:tcBorders>
              <w:top w:val="nil"/>
              <w:left w:val="nil"/>
              <w:bottom w:val="nil"/>
              <w:right w:val="nil"/>
            </w:tcBorders>
            <w:shd w:val="clear" w:color="auto" w:fill="A6A6A6" w:themeFill="background1" w:themeFillShade="A6"/>
            <w:noWrap/>
            <w:vAlign w:val="center"/>
          </w:tcPr>
          <w:p w14:paraId="535E8859"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6CA19AB7"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0EB95D43"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76761045" w14:textId="77777777" w:rsidTr="00273F52">
        <w:trPr>
          <w:trHeight w:val="520"/>
        </w:trPr>
        <w:tc>
          <w:tcPr>
            <w:tcW w:w="815" w:type="dxa"/>
            <w:shd w:val="clear" w:color="auto" w:fill="FFFFFF" w:themeFill="background1"/>
            <w:noWrap/>
          </w:tcPr>
          <w:p w14:paraId="209E3B5B" w14:textId="7735B444"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 xml:space="preserve">EOHHS </w:t>
            </w:r>
          </w:p>
        </w:tc>
        <w:tc>
          <w:tcPr>
            <w:tcW w:w="2880" w:type="dxa"/>
            <w:shd w:val="clear" w:color="auto" w:fill="FFFFFF" w:themeFill="background1"/>
          </w:tcPr>
          <w:p w14:paraId="7157D950" w14:textId="62517C1A" w:rsidR="008350BD" w:rsidRPr="00E341A9" w:rsidRDefault="008350BD" w:rsidP="008350BD">
            <w:pPr>
              <w:spacing w:after="0"/>
              <w:rPr>
                <w:rFonts w:eastAsia="Times New Roman" w:cs="Calibri"/>
                <w:sz w:val="16"/>
                <w:szCs w:val="16"/>
              </w:rPr>
            </w:pPr>
            <w:r w:rsidRPr="00597EE2">
              <w:rPr>
                <w:rFonts w:cs="Calibri"/>
                <w:color w:val="000000"/>
                <w:sz w:val="16"/>
                <w:szCs w:val="16"/>
              </w:rPr>
              <w:t>Child:  Person-Centered Integrated Care: Integration of Care</w:t>
            </w:r>
          </w:p>
        </w:tc>
        <w:tc>
          <w:tcPr>
            <w:tcW w:w="662" w:type="dxa"/>
            <w:shd w:val="clear" w:color="auto" w:fill="FFFFFF" w:themeFill="background1"/>
            <w:noWrap/>
            <w:vAlign w:val="center"/>
          </w:tcPr>
          <w:p w14:paraId="5238C84C" w14:textId="7681814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81.1%</w:t>
            </w:r>
          </w:p>
        </w:tc>
        <w:tc>
          <w:tcPr>
            <w:tcW w:w="688" w:type="dxa"/>
            <w:shd w:val="clear" w:color="auto" w:fill="FFFFFF" w:themeFill="background1"/>
            <w:noWrap/>
            <w:vAlign w:val="center"/>
          </w:tcPr>
          <w:p w14:paraId="6768FDB9" w14:textId="614A9A2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78.4%</w:t>
            </w:r>
          </w:p>
        </w:tc>
        <w:tc>
          <w:tcPr>
            <w:tcW w:w="662" w:type="dxa"/>
            <w:shd w:val="clear" w:color="auto" w:fill="FFFFFF" w:themeFill="background1"/>
            <w:noWrap/>
            <w:vAlign w:val="center"/>
          </w:tcPr>
          <w:p w14:paraId="41DA948C" w14:textId="0607A32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81.8%</w:t>
            </w:r>
          </w:p>
        </w:tc>
        <w:tc>
          <w:tcPr>
            <w:tcW w:w="688" w:type="dxa"/>
            <w:shd w:val="clear" w:color="auto" w:fill="FFFFFF" w:themeFill="background1"/>
            <w:noWrap/>
            <w:vAlign w:val="center"/>
          </w:tcPr>
          <w:p w14:paraId="79819FBD" w14:textId="6E0AEDB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80.6%</w:t>
            </w:r>
          </w:p>
        </w:tc>
        <w:tc>
          <w:tcPr>
            <w:tcW w:w="810" w:type="dxa"/>
            <w:shd w:val="clear" w:color="auto" w:fill="FFFFFF" w:themeFill="background1"/>
            <w:noWrap/>
            <w:vAlign w:val="center"/>
          </w:tcPr>
          <w:p w14:paraId="7CDA108A" w14:textId="344EDB4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76.8%</w:t>
            </w:r>
          </w:p>
        </w:tc>
        <w:tc>
          <w:tcPr>
            <w:tcW w:w="810" w:type="dxa"/>
            <w:shd w:val="clear" w:color="auto" w:fill="FFFFFF" w:themeFill="background1"/>
            <w:noWrap/>
            <w:vAlign w:val="center"/>
          </w:tcPr>
          <w:p w14:paraId="54B97A23" w14:textId="503E08A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76.6%</w:t>
            </w:r>
          </w:p>
        </w:tc>
        <w:tc>
          <w:tcPr>
            <w:tcW w:w="720" w:type="dxa"/>
            <w:shd w:val="clear" w:color="auto" w:fill="FFFFFF" w:themeFill="background1"/>
            <w:noWrap/>
            <w:vAlign w:val="center"/>
          </w:tcPr>
          <w:p w14:paraId="6A8F823B" w14:textId="76DDF54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80.9%</w:t>
            </w:r>
          </w:p>
        </w:tc>
        <w:tc>
          <w:tcPr>
            <w:tcW w:w="720" w:type="dxa"/>
            <w:shd w:val="clear" w:color="auto" w:fill="FFFFFF" w:themeFill="background1"/>
            <w:noWrap/>
            <w:vAlign w:val="center"/>
          </w:tcPr>
          <w:p w14:paraId="1E83F265" w14:textId="3C17C17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77.6%</w:t>
            </w:r>
          </w:p>
        </w:tc>
        <w:tc>
          <w:tcPr>
            <w:tcW w:w="662" w:type="dxa"/>
            <w:shd w:val="clear" w:color="auto" w:fill="FFFFFF" w:themeFill="background1"/>
            <w:noWrap/>
            <w:vAlign w:val="center"/>
          </w:tcPr>
          <w:p w14:paraId="46F6C1D1" w14:textId="7665EB3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77.5%</w:t>
            </w:r>
          </w:p>
        </w:tc>
        <w:tc>
          <w:tcPr>
            <w:tcW w:w="1000" w:type="dxa"/>
            <w:shd w:val="clear" w:color="auto" w:fill="FFFFFF" w:themeFill="background1"/>
            <w:noWrap/>
            <w:vAlign w:val="center"/>
          </w:tcPr>
          <w:p w14:paraId="03764074" w14:textId="3EFE6A6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82.5%</w:t>
            </w:r>
          </w:p>
        </w:tc>
        <w:tc>
          <w:tcPr>
            <w:tcW w:w="906" w:type="dxa"/>
            <w:shd w:val="clear" w:color="auto" w:fill="FFFFFF" w:themeFill="background1"/>
            <w:noWrap/>
            <w:vAlign w:val="center"/>
          </w:tcPr>
          <w:p w14:paraId="6A93473A" w14:textId="414523A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79.4%</w:t>
            </w:r>
          </w:p>
        </w:tc>
        <w:tc>
          <w:tcPr>
            <w:tcW w:w="852" w:type="dxa"/>
            <w:shd w:val="clear" w:color="auto" w:fill="FFFFFF" w:themeFill="background1"/>
            <w:noWrap/>
            <w:vAlign w:val="center"/>
          </w:tcPr>
          <w:p w14:paraId="2F2078E7" w14:textId="14765C0C"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80.4%</w:t>
            </w:r>
          </w:p>
        </w:tc>
        <w:tc>
          <w:tcPr>
            <w:tcW w:w="662" w:type="dxa"/>
            <w:shd w:val="clear" w:color="auto" w:fill="FFFFFF" w:themeFill="background1"/>
            <w:noWrap/>
            <w:vAlign w:val="center"/>
          </w:tcPr>
          <w:p w14:paraId="0BCB00ED" w14:textId="1BB5F4A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80.2%</w:t>
            </w:r>
          </w:p>
        </w:tc>
        <w:tc>
          <w:tcPr>
            <w:tcW w:w="737" w:type="dxa"/>
            <w:shd w:val="clear" w:color="auto" w:fill="FFFFFF" w:themeFill="background1"/>
            <w:noWrap/>
            <w:vAlign w:val="center"/>
          </w:tcPr>
          <w:p w14:paraId="05EF30C2" w14:textId="2E78732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83.1%</w:t>
            </w:r>
          </w:p>
        </w:tc>
        <w:tc>
          <w:tcPr>
            <w:tcW w:w="666" w:type="dxa"/>
            <w:shd w:val="clear" w:color="auto" w:fill="FFFFFF" w:themeFill="background1"/>
            <w:noWrap/>
            <w:vAlign w:val="center"/>
          </w:tcPr>
          <w:p w14:paraId="442E3FD8" w14:textId="5DE684F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75.3%</w:t>
            </w:r>
          </w:p>
        </w:tc>
        <w:tc>
          <w:tcPr>
            <w:tcW w:w="662" w:type="dxa"/>
            <w:shd w:val="clear" w:color="auto" w:fill="FFFFFF" w:themeFill="background1"/>
            <w:noWrap/>
            <w:vAlign w:val="center"/>
          </w:tcPr>
          <w:p w14:paraId="3D54123E" w14:textId="6F88FEB4"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81.0%</w:t>
            </w:r>
          </w:p>
        </w:tc>
        <w:tc>
          <w:tcPr>
            <w:tcW w:w="958" w:type="dxa"/>
            <w:shd w:val="clear" w:color="auto" w:fill="FFFFFF" w:themeFill="background1"/>
            <w:noWrap/>
            <w:vAlign w:val="center"/>
          </w:tcPr>
          <w:p w14:paraId="5D4CA705" w14:textId="75A037F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81.0%</w:t>
            </w:r>
          </w:p>
        </w:tc>
        <w:tc>
          <w:tcPr>
            <w:tcW w:w="879" w:type="dxa"/>
            <w:tcBorders>
              <w:right w:val="nil"/>
            </w:tcBorders>
            <w:shd w:val="clear" w:color="auto" w:fill="FFFFFF" w:themeFill="background1"/>
            <w:noWrap/>
            <w:vAlign w:val="center"/>
          </w:tcPr>
          <w:p w14:paraId="60B04421" w14:textId="1E8F492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89.8%</w:t>
            </w:r>
          </w:p>
        </w:tc>
        <w:tc>
          <w:tcPr>
            <w:tcW w:w="720" w:type="dxa"/>
            <w:tcBorders>
              <w:top w:val="nil"/>
              <w:left w:val="nil"/>
              <w:bottom w:val="nil"/>
              <w:right w:val="nil"/>
            </w:tcBorders>
            <w:shd w:val="clear" w:color="auto" w:fill="A6A6A6" w:themeFill="background1" w:themeFillShade="A6"/>
            <w:noWrap/>
            <w:vAlign w:val="center"/>
          </w:tcPr>
          <w:p w14:paraId="6532939B"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6055978B"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4EA3A176"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4EF966B4" w14:textId="77777777" w:rsidTr="00273F52">
        <w:trPr>
          <w:trHeight w:val="520"/>
        </w:trPr>
        <w:tc>
          <w:tcPr>
            <w:tcW w:w="815" w:type="dxa"/>
            <w:shd w:val="clear" w:color="auto" w:fill="F2F2F2" w:themeFill="background1" w:themeFillShade="F2"/>
            <w:noWrap/>
          </w:tcPr>
          <w:p w14:paraId="2A5B1031" w14:textId="6B12E4C2"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2F2F2" w:themeFill="background1" w:themeFillShade="F2"/>
            <w:vAlign w:val="bottom"/>
          </w:tcPr>
          <w:p w14:paraId="0288FBA6" w14:textId="4EDED538" w:rsidR="008350BD" w:rsidRPr="00E341A9" w:rsidRDefault="008350BD" w:rsidP="001D67A8">
            <w:pPr>
              <w:rPr>
                <w:rFonts w:eastAsia="Times New Roman" w:cs="Calibri"/>
                <w:sz w:val="16"/>
                <w:szCs w:val="16"/>
              </w:rPr>
            </w:pPr>
            <w:r w:rsidRPr="00597EE2">
              <w:rPr>
                <w:rFonts w:cs="Calibri"/>
                <w:color w:val="000000"/>
                <w:sz w:val="16"/>
                <w:szCs w:val="16"/>
              </w:rPr>
              <w:t>Adult:  Person-Centered Integrated Care: Knowledge of Patient</w:t>
            </w:r>
          </w:p>
        </w:tc>
        <w:tc>
          <w:tcPr>
            <w:tcW w:w="662" w:type="dxa"/>
            <w:shd w:val="clear" w:color="auto" w:fill="F2F2F2" w:themeFill="background1" w:themeFillShade="F2"/>
            <w:noWrap/>
            <w:vAlign w:val="center"/>
          </w:tcPr>
          <w:p w14:paraId="5C2ACC98" w14:textId="79F6625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83.3%</w:t>
            </w:r>
          </w:p>
        </w:tc>
        <w:tc>
          <w:tcPr>
            <w:tcW w:w="688" w:type="dxa"/>
            <w:shd w:val="clear" w:color="auto" w:fill="F2F2F2" w:themeFill="background1" w:themeFillShade="F2"/>
            <w:noWrap/>
            <w:vAlign w:val="center"/>
          </w:tcPr>
          <w:p w14:paraId="70F7D363" w14:textId="7C268EA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82.2%</w:t>
            </w:r>
          </w:p>
        </w:tc>
        <w:tc>
          <w:tcPr>
            <w:tcW w:w="662" w:type="dxa"/>
            <w:shd w:val="clear" w:color="auto" w:fill="F2F2F2" w:themeFill="background1" w:themeFillShade="F2"/>
            <w:noWrap/>
            <w:vAlign w:val="center"/>
          </w:tcPr>
          <w:p w14:paraId="6E756A95" w14:textId="6E3B4C3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84.1%</w:t>
            </w:r>
          </w:p>
        </w:tc>
        <w:tc>
          <w:tcPr>
            <w:tcW w:w="688" w:type="dxa"/>
            <w:shd w:val="clear" w:color="auto" w:fill="F2F2F2" w:themeFill="background1" w:themeFillShade="F2"/>
            <w:noWrap/>
            <w:vAlign w:val="center"/>
          </w:tcPr>
          <w:p w14:paraId="2986CC71" w14:textId="73E8F3E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83.1%</w:t>
            </w:r>
          </w:p>
        </w:tc>
        <w:tc>
          <w:tcPr>
            <w:tcW w:w="810" w:type="dxa"/>
            <w:shd w:val="clear" w:color="auto" w:fill="F2F2F2" w:themeFill="background1" w:themeFillShade="F2"/>
            <w:noWrap/>
            <w:vAlign w:val="center"/>
          </w:tcPr>
          <w:p w14:paraId="335DDDB3" w14:textId="4AE2288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81.0%</w:t>
            </w:r>
          </w:p>
        </w:tc>
        <w:tc>
          <w:tcPr>
            <w:tcW w:w="810" w:type="dxa"/>
            <w:shd w:val="clear" w:color="auto" w:fill="F2F2F2" w:themeFill="background1" w:themeFillShade="F2"/>
            <w:noWrap/>
            <w:vAlign w:val="center"/>
          </w:tcPr>
          <w:p w14:paraId="330EDCEB" w14:textId="613AB39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84.8%</w:t>
            </w:r>
          </w:p>
        </w:tc>
        <w:tc>
          <w:tcPr>
            <w:tcW w:w="720" w:type="dxa"/>
            <w:shd w:val="clear" w:color="auto" w:fill="F2F2F2" w:themeFill="background1" w:themeFillShade="F2"/>
            <w:noWrap/>
            <w:vAlign w:val="center"/>
          </w:tcPr>
          <w:p w14:paraId="5C3DE262" w14:textId="24097AA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85.2%</w:t>
            </w:r>
          </w:p>
        </w:tc>
        <w:tc>
          <w:tcPr>
            <w:tcW w:w="720" w:type="dxa"/>
            <w:shd w:val="clear" w:color="auto" w:fill="F2F2F2" w:themeFill="background1" w:themeFillShade="F2"/>
            <w:noWrap/>
            <w:vAlign w:val="center"/>
          </w:tcPr>
          <w:p w14:paraId="4D22C096" w14:textId="1AB44D97"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79.8%</w:t>
            </w:r>
          </w:p>
        </w:tc>
        <w:tc>
          <w:tcPr>
            <w:tcW w:w="662" w:type="dxa"/>
            <w:shd w:val="clear" w:color="auto" w:fill="F2F2F2" w:themeFill="background1" w:themeFillShade="F2"/>
            <w:noWrap/>
            <w:vAlign w:val="center"/>
          </w:tcPr>
          <w:p w14:paraId="4943256A" w14:textId="12114E4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84.9%</w:t>
            </w:r>
          </w:p>
        </w:tc>
        <w:tc>
          <w:tcPr>
            <w:tcW w:w="1000" w:type="dxa"/>
            <w:shd w:val="clear" w:color="auto" w:fill="F2F2F2" w:themeFill="background1" w:themeFillShade="F2"/>
            <w:noWrap/>
            <w:vAlign w:val="center"/>
          </w:tcPr>
          <w:p w14:paraId="2FFF3511" w14:textId="3CF5E5DF"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89.2%</w:t>
            </w:r>
          </w:p>
        </w:tc>
        <w:tc>
          <w:tcPr>
            <w:tcW w:w="906" w:type="dxa"/>
            <w:shd w:val="clear" w:color="auto" w:fill="F2F2F2" w:themeFill="background1" w:themeFillShade="F2"/>
            <w:noWrap/>
            <w:vAlign w:val="center"/>
          </w:tcPr>
          <w:p w14:paraId="6CA393AE" w14:textId="40806631"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83.7%</w:t>
            </w:r>
          </w:p>
        </w:tc>
        <w:tc>
          <w:tcPr>
            <w:tcW w:w="852" w:type="dxa"/>
            <w:shd w:val="clear" w:color="auto" w:fill="F2F2F2" w:themeFill="background1" w:themeFillShade="F2"/>
            <w:noWrap/>
            <w:vAlign w:val="center"/>
          </w:tcPr>
          <w:p w14:paraId="5A65777D" w14:textId="18DD38E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81.1%</w:t>
            </w:r>
          </w:p>
        </w:tc>
        <w:tc>
          <w:tcPr>
            <w:tcW w:w="662" w:type="dxa"/>
            <w:shd w:val="clear" w:color="auto" w:fill="F2F2F2" w:themeFill="background1" w:themeFillShade="F2"/>
            <w:noWrap/>
            <w:vAlign w:val="center"/>
          </w:tcPr>
          <w:p w14:paraId="01A5EB3A" w14:textId="79DC93E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82.9%</w:t>
            </w:r>
          </w:p>
        </w:tc>
        <w:tc>
          <w:tcPr>
            <w:tcW w:w="737" w:type="dxa"/>
            <w:shd w:val="clear" w:color="auto" w:fill="F2F2F2" w:themeFill="background1" w:themeFillShade="F2"/>
            <w:noWrap/>
            <w:vAlign w:val="center"/>
          </w:tcPr>
          <w:p w14:paraId="553DCA5D" w14:textId="1E225E7B"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84.2%</w:t>
            </w:r>
          </w:p>
        </w:tc>
        <w:tc>
          <w:tcPr>
            <w:tcW w:w="666" w:type="dxa"/>
            <w:shd w:val="clear" w:color="auto" w:fill="F2F2F2" w:themeFill="background1" w:themeFillShade="F2"/>
            <w:noWrap/>
            <w:vAlign w:val="center"/>
          </w:tcPr>
          <w:p w14:paraId="3E8937C4" w14:textId="278F67A2"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80.1%</w:t>
            </w:r>
          </w:p>
        </w:tc>
        <w:tc>
          <w:tcPr>
            <w:tcW w:w="662" w:type="dxa"/>
            <w:shd w:val="clear" w:color="auto" w:fill="F2F2F2" w:themeFill="background1" w:themeFillShade="F2"/>
            <w:noWrap/>
            <w:vAlign w:val="center"/>
          </w:tcPr>
          <w:p w14:paraId="312D2150" w14:textId="4387684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84.2%</w:t>
            </w:r>
          </w:p>
        </w:tc>
        <w:tc>
          <w:tcPr>
            <w:tcW w:w="958" w:type="dxa"/>
            <w:shd w:val="clear" w:color="auto" w:fill="F2F2F2" w:themeFill="background1" w:themeFillShade="F2"/>
            <w:noWrap/>
            <w:vAlign w:val="center"/>
          </w:tcPr>
          <w:p w14:paraId="2B63BC00" w14:textId="3CB73425"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84.6%</w:t>
            </w:r>
          </w:p>
        </w:tc>
        <w:tc>
          <w:tcPr>
            <w:tcW w:w="879" w:type="dxa"/>
            <w:tcBorders>
              <w:right w:val="nil"/>
            </w:tcBorders>
            <w:shd w:val="clear" w:color="auto" w:fill="F2F2F2" w:themeFill="background1" w:themeFillShade="F2"/>
            <w:noWrap/>
            <w:vAlign w:val="center"/>
          </w:tcPr>
          <w:p w14:paraId="2C301FD9" w14:textId="5B58419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84.6%</w:t>
            </w:r>
          </w:p>
        </w:tc>
        <w:tc>
          <w:tcPr>
            <w:tcW w:w="720" w:type="dxa"/>
            <w:tcBorders>
              <w:top w:val="nil"/>
              <w:left w:val="nil"/>
              <w:bottom w:val="nil"/>
              <w:right w:val="nil"/>
            </w:tcBorders>
            <w:shd w:val="clear" w:color="auto" w:fill="A6A6A6" w:themeFill="background1" w:themeFillShade="A6"/>
            <w:noWrap/>
            <w:vAlign w:val="center"/>
          </w:tcPr>
          <w:p w14:paraId="4D42851F"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0BF9E66F"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0D09E095" w14:textId="77777777" w:rsidR="008350BD" w:rsidRPr="00E341A9" w:rsidRDefault="008350BD" w:rsidP="008350BD">
            <w:pPr>
              <w:spacing w:after="0"/>
              <w:jc w:val="center"/>
              <w:rPr>
                <w:rFonts w:eastAsia="Times New Roman" w:cs="Calibri"/>
                <w:color w:val="000000"/>
                <w:sz w:val="16"/>
                <w:szCs w:val="16"/>
              </w:rPr>
            </w:pPr>
          </w:p>
        </w:tc>
      </w:tr>
      <w:tr w:rsidR="00255A16" w:rsidRPr="00E341A9" w14:paraId="40AE524E" w14:textId="77777777" w:rsidTr="00273F52">
        <w:trPr>
          <w:trHeight w:val="520"/>
        </w:trPr>
        <w:tc>
          <w:tcPr>
            <w:tcW w:w="815" w:type="dxa"/>
            <w:shd w:val="clear" w:color="auto" w:fill="FFFFFF" w:themeFill="background1"/>
            <w:noWrap/>
          </w:tcPr>
          <w:p w14:paraId="50E5F888" w14:textId="55A6B12A" w:rsidR="008350BD" w:rsidRPr="00E341A9" w:rsidRDefault="008350BD" w:rsidP="008350BD">
            <w:pPr>
              <w:spacing w:after="0"/>
              <w:jc w:val="center"/>
              <w:rPr>
                <w:rFonts w:eastAsia="Times New Roman" w:cs="Calibr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880" w:type="dxa"/>
            <w:shd w:val="clear" w:color="auto" w:fill="FFFFFF" w:themeFill="background1"/>
            <w:vAlign w:val="bottom"/>
          </w:tcPr>
          <w:p w14:paraId="217C5DE3" w14:textId="76E780B4" w:rsidR="008350BD" w:rsidRPr="00E341A9" w:rsidRDefault="008350BD" w:rsidP="001D67A8">
            <w:pPr>
              <w:rPr>
                <w:rFonts w:eastAsia="Times New Roman" w:cs="Calibri"/>
                <w:sz w:val="16"/>
                <w:szCs w:val="16"/>
              </w:rPr>
            </w:pPr>
            <w:r w:rsidRPr="00597EE2">
              <w:rPr>
                <w:rFonts w:cs="Calibri"/>
                <w:color w:val="000000"/>
                <w:sz w:val="16"/>
                <w:szCs w:val="16"/>
              </w:rPr>
              <w:t>Child:  Person-Centered Integrated Care: Knowledge of Patient</w:t>
            </w:r>
          </w:p>
        </w:tc>
        <w:tc>
          <w:tcPr>
            <w:tcW w:w="662" w:type="dxa"/>
            <w:shd w:val="clear" w:color="auto" w:fill="FFFFFF" w:themeFill="background1"/>
            <w:noWrap/>
            <w:vAlign w:val="center"/>
          </w:tcPr>
          <w:p w14:paraId="3B2A9732" w14:textId="63D80E2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88.1%</w:t>
            </w:r>
          </w:p>
        </w:tc>
        <w:tc>
          <w:tcPr>
            <w:tcW w:w="688" w:type="dxa"/>
            <w:shd w:val="clear" w:color="auto" w:fill="FFFFFF" w:themeFill="background1"/>
            <w:noWrap/>
            <w:vAlign w:val="center"/>
          </w:tcPr>
          <w:p w14:paraId="6BF728CF" w14:textId="72A3A3A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83.2%</w:t>
            </w:r>
          </w:p>
        </w:tc>
        <w:tc>
          <w:tcPr>
            <w:tcW w:w="662" w:type="dxa"/>
            <w:shd w:val="clear" w:color="auto" w:fill="FFFFFF" w:themeFill="background1"/>
            <w:noWrap/>
            <w:vAlign w:val="center"/>
          </w:tcPr>
          <w:p w14:paraId="03E590A1" w14:textId="0ACAA52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88.8%</w:t>
            </w:r>
          </w:p>
        </w:tc>
        <w:tc>
          <w:tcPr>
            <w:tcW w:w="688" w:type="dxa"/>
            <w:shd w:val="clear" w:color="auto" w:fill="FFFFFF" w:themeFill="background1"/>
            <w:noWrap/>
            <w:vAlign w:val="center"/>
          </w:tcPr>
          <w:p w14:paraId="18EA14AE" w14:textId="1B2D738D"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88.7%</w:t>
            </w:r>
          </w:p>
        </w:tc>
        <w:tc>
          <w:tcPr>
            <w:tcW w:w="810" w:type="dxa"/>
            <w:shd w:val="clear" w:color="auto" w:fill="FFFFFF" w:themeFill="background1"/>
            <w:noWrap/>
            <w:vAlign w:val="center"/>
          </w:tcPr>
          <w:p w14:paraId="672826C8" w14:textId="39B6A12B"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84.9%</w:t>
            </w:r>
          </w:p>
        </w:tc>
        <w:tc>
          <w:tcPr>
            <w:tcW w:w="810" w:type="dxa"/>
            <w:shd w:val="clear" w:color="auto" w:fill="FFFFFF" w:themeFill="background1"/>
            <w:noWrap/>
            <w:vAlign w:val="center"/>
          </w:tcPr>
          <w:p w14:paraId="0A64C31E" w14:textId="2E51CA4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87.2%</w:t>
            </w:r>
          </w:p>
        </w:tc>
        <w:tc>
          <w:tcPr>
            <w:tcW w:w="720" w:type="dxa"/>
            <w:shd w:val="clear" w:color="auto" w:fill="FFFFFF" w:themeFill="background1"/>
            <w:noWrap/>
            <w:vAlign w:val="center"/>
          </w:tcPr>
          <w:p w14:paraId="569DFE0F" w14:textId="12C9257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90.6%</w:t>
            </w:r>
          </w:p>
        </w:tc>
        <w:tc>
          <w:tcPr>
            <w:tcW w:w="720" w:type="dxa"/>
            <w:shd w:val="clear" w:color="auto" w:fill="FFFFFF" w:themeFill="background1"/>
            <w:noWrap/>
            <w:vAlign w:val="center"/>
          </w:tcPr>
          <w:p w14:paraId="06286D14" w14:textId="49ADFCE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87.4%</w:t>
            </w:r>
          </w:p>
        </w:tc>
        <w:tc>
          <w:tcPr>
            <w:tcW w:w="662" w:type="dxa"/>
            <w:shd w:val="clear" w:color="auto" w:fill="FFFFFF" w:themeFill="background1"/>
            <w:noWrap/>
            <w:vAlign w:val="center"/>
          </w:tcPr>
          <w:p w14:paraId="57ED53C2" w14:textId="32CBDAC6"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86.8%</w:t>
            </w:r>
          </w:p>
        </w:tc>
        <w:tc>
          <w:tcPr>
            <w:tcW w:w="1000" w:type="dxa"/>
            <w:shd w:val="clear" w:color="auto" w:fill="FFFFFF" w:themeFill="background1"/>
            <w:noWrap/>
            <w:vAlign w:val="center"/>
          </w:tcPr>
          <w:p w14:paraId="46B31BDB" w14:textId="5194A1E4"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90.1%</w:t>
            </w:r>
          </w:p>
        </w:tc>
        <w:tc>
          <w:tcPr>
            <w:tcW w:w="906" w:type="dxa"/>
            <w:shd w:val="clear" w:color="auto" w:fill="FFFFFF" w:themeFill="background1"/>
            <w:noWrap/>
            <w:vAlign w:val="center"/>
          </w:tcPr>
          <w:p w14:paraId="60408D5A" w14:textId="4E137800"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87.0%</w:t>
            </w:r>
          </w:p>
        </w:tc>
        <w:tc>
          <w:tcPr>
            <w:tcW w:w="852" w:type="dxa"/>
            <w:shd w:val="clear" w:color="auto" w:fill="FFFFFF" w:themeFill="background1"/>
            <w:noWrap/>
            <w:vAlign w:val="center"/>
          </w:tcPr>
          <w:p w14:paraId="277BAC02" w14:textId="5BEF7F79"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86.4%</w:t>
            </w:r>
          </w:p>
        </w:tc>
        <w:tc>
          <w:tcPr>
            <w:tcW w:w="662" w:type="dxa"/>
            <w:shd w:val="clear" w:color="auto" w:fill="FFFFFF" w:themeFill="background1"/>
            <w:noWrap/>
            <w:vAlign w:val="center"/>
          </w:tcPr>
          <w:p w14:paraId="4E829B4C" w14:textId="0DFA3F3E"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85.8%</w:t>
            </w:r>
          </w:p>
        </w:tc>
        <w:tc>
          <w:tcPr>
            <w:tcW w:w="737" w:type="dxa"/>
            <w:shd w:val="clear" w:color="auto" w:fill="FFFFFF" w:themeFill="background1"/>
            <w:noWrap/>
            <w:vAlign w:val="center"/>
          </w:tcPr>
          <w:p w14:paraId="038C92E5" w14:textId="5458F1C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87.9%</w:t>
            </w:r>
          </w:p>
        </w:tc>
        <w:tc>
          <w:tcPr>
            <w:tcW w:w="666" w:type="dxa"/>
            <w:shd w:val="clear" w:color="auto" w:fill="FFFFFF" w:themeFill="background1"/>
            <w:noWrap/>
            <w:vAlign w:val="center"/>
          </w:tcPr>
          <w:p w14:paraId="42EC1E54" w14:textId="734071B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84.5%</w:t>
            </w:r>
          </w:p>
        </w:tc>
        <w:tc>
          <w:tcPr>
            <w:tcW w:w="662" w:type="dxa"/>
            <w:shd w:val="clear" w:color="auto" w:fill="FFFFFF" w:themeFill="background1"/>
            <w:noWrap/>
            <w:vAlign w:val="center"/>
          </w:tcPr>
          <w:p w14:paraId="77544CC3" w14:textId="0A56DD63"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88.9%</w:t>
            </w:r>
          </w:p>
        </w:tc>
        <w:tc>
          <w:tcPr>
            <w:tcW w:w="958" w:type="dxa"/>
            <w:shd w:val="clear" w:color="auto" w:fill="FFFFFF" w:themeFill="background1"/>
            <w:noWrap/>
            <w:vAlign w:val="center"/>
          </w:tcPr>
          <w:p w14:paraId="7811C348" w14:textId="4177CE18"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88.7%</w:t>
            </w:r>
          </w:p>
        </w:tc>
        <w:tc>
          <w:tcPr>
            <w:tcW w:w="879" w:type="dxa"/>
            <w:tcBorders>
              <w:right w:val="nil"/>
            </w:tcBorders>
            <w:shd w:val="clear" w:color="auto" w:fill="FFFFFF" w:themeFill="background1"/>
            <w:noWrap/>
            <w:vAlign w:val="center"/>
          </w:tcPr>
          <w:p w14:paraId="5C7D9777" w14:textId="2C2A523A" w:rsidR="008350BD" w:rsidRPr="008350BD" w:rsidRDefault="008350BD" w:rsidP="008350BD">
            <w:pPr>
              <w:spacing w:after="0"/>
              <w:jc w:val="center"/>
              <w:rPr>
                <w:rFonts w:eastAsia="Times New Roman" w:cs="Calibri"/>
                <w:color w:val="000000"/>
                <w:sz w:val="16"/>
                <w:szCs w:val="16"/>
              </w:rPr>
            </w:pPr>
            <w:r w:rsidRPr="008350BD">
              <w:rPr>
                <w:rFonts w:cs="Calibri"/>
                <w:color w:val="000000"/>
                <w:sz w:val="16"/>
                <w:szCs w:val="16"/>
              </w:rPr>
              <w:t>96.8%</w:t>
            </w:r>
          </w:p>
        </w:tc>
        <w:tc>
          <w:tcPr>
            <w:tcW w:w="720" w:type="dxa"/>
            <w:tcBorders>
              <w:top w:val="nil"/>
              <w:left w:val="nil"/>
              <w:bottom w:val="nil"/>
              <w:right w:val="nil"/>
            </w:tcBorders>
            <w:shd w:val="clear" w:color="auto" w:fill="A6A6A6" w:themeFill="background1" w:themeFillShade="A6"/>
            <w:noWrap/>
            <w:vAlign w:val="center"/>
          </w:tcPr>
          <w:p w14:paraId="5928A93D" w14:textId="77777777" w:rsidR="008350BD" w:rsidRPr="00E341A9" w:rsidRDefault="008350BD" w:rsidP="008350BD">
            <w:pPr>
              <w:spacing w:after="0"/>
              <w:jc w:val="center"/>
              <w:rPr>
                <w:rFonts w:eastAsia="Times New Roman" w:cs="Calibri"/>
                <w:color w:val="000000"/>
                <w:sz w:val="16"/>
                <w:szCs w:val="16"/>
              </w:rPr>
            </w:pPr>
          </w:p>
        </w:tc>
        <w:tc>
          <w:tcPr>
            <w:tcW w:w="720" w:type="dxa"/>
            <w:tcBorders>
              <w:top w:val="nil"/>
              <w:left w:val="nil"/>
              <w:bottom w:val="nil"/>
              <w:right w:val="nil"/>
            </w:tcBorders>
            <w:shd w:val="clear" w:color="auto" w:fill="A6A6A6" w:themeFill="background1" w:themeFillShade="A6"/>
            <w:noWrap/>
            <w:vAlign w:val="center"/>
          </w:tcPr>
          <w:p w14:paraId="07F1706A" w14:textId="77777777" w:rsidR="008350BD" w:rsidRPr="00E341A9" w:rsidRDefault="008350BD" w:rsidP="008350BD">
            <w:pPr>
              <w:spacing w:after="0"/>
              <w:jc w:val="center"/>
              <w:rPr>
                <w:rFonts w:eastAsia="Times New Roman" w:cs="Calibri"/>
                <w:color w:val="000000"/>
                <w:sz w:val="16"/>
                <w:szCs w:val="16"/>
              </w:rPr>
            </w:pPr>
          </w:p>
        </w:tc>
        <w:tc>
          <w:tcPr>
            <w:tcW w:w="810" w:type="dxa"/>
            <w:tcBorders>
              <w:top w:val="nil"/>
              <w:left w:val="nil"/>
              <w:bottom w:val="nil"/>
              <w:right w:val="nil"/>
            </w:tcBorders>
            <w:shd w:val="clear" w:color="auto" w:fill="A6A6A6" w:themeFill="background1" w:themeFillShade="A6"/>
            <w:noWrap/>
            <w:vAlign w:val="center"/>
          </w:tcPr>
          <w:p w14:paraId="54725186" w14:textId="77777777" w:rsidR="008350BD" w:rsidRPr="00E341A9" w:rsidRDefault="008350BD" w:rsidP="008350BD">
            <w:pPr>
              <w:spacing w:after="0"/>
              <w:jc w:val="center"/>
              <w:rPr>
                <w:rFonts w:eastAsia="Times New Roman" w:cs="Calibri"/>
                <w:color w:val="000000"/>
                <w:sz w:val="16"/>
                <w:szCs w:val="16"/>
              </w:rPr>
            </w:pPr>
          </w:p>
        </w:tc>
      </w:tr>
    </w:tbl>
    <w:p w14:paraId="30A815BA" w14:textId="568FD16E" w:rsidR="00090A3F" w:rsidRDefault="005B4367" w:rsidP="00922442">
      <w:pPr>
        <w:spacing w:after="160" w:line="259" w:lineRule="auto"/>
        <w:rPr>
          <w:rFonts w:eastAsia="Times New Roman" w:cs="Calibri"/>
          <w:b/>
          <w:bCs/>
          <w:color w:val="000000"/>
          <w:sz w:val="20"/>
          <w:szCs w:val="20"/>
        </w:rPr>
      </w:pPr>
      <w:r w:rsidRPr="21CA7F43">
        <w:rPr>
          <w:rFonts w:eastAsia="Times New Roman" w:cs="Calibri"/>
          <w:b/>
          <w:bCs/>
          <w:color w:val="000000" w:themeColor="text1"/>
          <w:sz w:val="20"/>
          <w:szCs w:val="20"/>
        </w:rPr>
        <w:lastRenderedPageBreak/>
        <w:t xml:space="preserve">Appendix </w:t>
      </w:r>
      <w:r w:rsidR="003177BF"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BE5434" w:rsidRPr="21CA7F43">
        <w:rPr>
          <w:rFonts w:eastAsia="Times New Roman" w:cs="Calibri"/>
          <w:b/>
          <w:bCs/>
          <w:color w:val="000000" w:themeColor="text1"/>
          <w:sz w:val="20"/>
          <w:szCs w:val="20"/>
        </w:rPr>
        <w:t>3</w:t>
      </w:r>
      <w:r w:rsidRPr="21CA7F43">
        <w:rPr>
          <w:rFonts w:eastAsia="Times New Roman" w:cs="Calibri"/>
          <w:b/>
          <w:bCs/>
          <w:color w:val="000000" w:themeColor="text1"/>
          <w:sz w:val="20"/>
          <w:szCs w:val="20"/>
        </w:rPr>
        <w:t xml:space="preserve">: </w:t>
      </w:r>
      <w:r w:rsidR="003D4231" w:rsidRPr="21CA7F43">
        <w:rPr>
          <w:rFonts w:eastAsia="Times New Roman" w:cs="Calibri"/>
          <w:b/>
          <w:bCs/>
          <w:color w:val="000000" w:themeColor="text1"/>
          <w:sz w:val="20"/>
          <w:szCs w:val="20"/>
        </w:rPr>
        <w:t>Contract Level</w:t>
      </w:r>
      <w:r w:rsidRPr="21CA7F43">
        <w:rPr>
          <w:rFonts w:eastAsia="Times New Roman" w:cs="Calibri"/>
          <w:b/>
          <w:bCs/>
          <w:color w:val="000000" w:themeColor="text1"/>
          <w:sz w:val="20"/>
          <w:szCs w:val="20"/>
        </w:rPr>
        <w:t xml:space="preserve"> Performance, </w:t>
      </w:r>
      <w:r w:rsidR="2747BF8E" w:rsidRPr="21CA7F43">
        <w:rPr>
          <w:rFonts w:eastAsia="Times New Roman" w:cs="Calibri"/>
          <w:b/>
          <w:bCs/>
          <w:color w:val="000000" w:themeColor="text1"/>
          <w:sz w:val="20"/>
          <w:szCs w:val="20"/>
        </w:rPr>
        <w:t>MY</w:t>
      </w:r>
      <w:r w:rsidRPr="21CA7F43">
        <w:rPr>
          <w:rFonts w:eastAsia="Times New Roman" w:cs="Calibri"/>
          <w:b/>
          <w:bCs/>
          <w:color w:val="000000" w:themeColor="text1"/>
          <w:sz w:val="20"/>
          <w:szCs w:val="20"/>
        </w:rPr>
        <w:t>2020</w:t>
      </w:r>
      <w:r w:rsidR="003D4231" w:rsidRPr="21CA7F43">
        <w:rPr>
          <w:rFonts w:eastAsia="Times New Roman" w:cs="Calibri"/>
          <w:b/>
          <w:bCs/>
          <w:color w:val="000000" w:themeColor="text1"/>
          <w:sz w:val="20"/>
          <w:szCs w:val="20"/>
        </w:rPr>
        <w:t xml:space="preserve"> (ACO and MCO Programs)</w:t>
      </w:r>
    </w:p>
    <w:p w14:paraId="53DCF32A" w14:textId="51FB384E" w:rsidR="00887418" w:rsidRPr="00CE61A0" w:rsidRDefault="00887418" w:rsidP="003177BF">
      <w:pPr>
        <w:ind w:left="-900"/>
        <w:rPr>
          <w:shd w:val="clear" w:color="auto" w:fill="FFFFFF"/>
        </w:rPr>
      </w:pPr>
      <w:r>
        <w:rPr>
          <w:rStyle w:val="normaltextrun"/>
          <w:shd w:val="clear" w:color="auto" w:fill="FFFFFF"/>
        </w:rPr>
        <w:t xml:space="preserve">2020 quality measure performance </w:t>
      </w:r>
      <w:r w:rsidR="001A3881">
        <w:rPr>
          <w:rStyle w:val="normaltextrun"/>
          <w:shd w:val="clear" w:color="auto" w:fill="FFFFFF"/>
        </w:rPr>
        <w:t xml:space="preserve">for individual ACO and MCO plans </w:t>
      </w:r>
      <w:r>
        <w:rPr>
          <w:rStyle w:val="normaltextrun"/>
          <w:shd w:val="clear" w:color="auto" w:fill="FFFFFF"/>
        </w:rPr>
        <w:t xml:space="preserve">is presented in Table </w:t>
      </w:r>
      <w:r w:rsidR="003177BF">
        <w:rPr>
          <w:rStyle w:val="normaltextrun"/>
          <w:shd w:val="clear" w:color="auto" w:fill="FFFFFF"/>
        </w:rPr>
        <w:t>B</w:t>
      </w:r>
      <w:r>
        <w:rPr>
          <w:rStyle w:val="normaltextrun"/>
          <w:shd w:val="clear" w:color="auto" w:fill="FFFFFF"/>
        </w:rPr>
        <w:t xml:space="preserve">-3. </w:t>
      </w:r>
      <w:r w:rsidR="003177BF">
        <w:rPr>
          <w:rStyle w:val="normaltextrun"/>
          <w:shd w:val="clear" w:color="auto" w:fill="FFFFFF"/>
        </w:rPr>
        <w:t>Program-level totals are weighted means (WM). Please see Appendix A for a list of MassHealth’s managed care plans.</w:t>
      </w:r>
    </w:p>
    <w:p w14:paraId="5E69789C" w14:textId="77777777" w:rsidR="00887418" w:rsidRDefault="00887418">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192FA516" w14:textId="796F4D8D" w:rsidR="00887418" w:rsidRPr="00887418" w:rsidRDefault="00887418">
      <w:pPr>
        <w:pStyle w:val="ListParagraph"/>
        <w:numPr>
          <w:ilvl w:val="0"/>
          <w:numId w:val="3"/>
        </w:numPr>
        <w:ind w:left="-360" w:firstLine="0"/>
        <w:rPr>
          <w:b/>
          <w:bCs/>
        </w:rPr>
      </w:pPr>
      <w:r>
        <w:rPr>
          <w:b/>
          <w:bCs/>
        </w:rPr>
        <w:t>“NA” indicates that the rate was not included due to small denominator (n &lt;30).</w:t>
      </w:r>
    </w:p>
    <w:tbl>
      <w:tblPr>
        <w:tblW w:w="19582"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700"/>
        <w:gridCol w:w="810"/>
        <w:gridCol w:w="662"/>
        <w:gridCol w:w="662"/>
        <w:gridCol w:w="662"/>
        <w:gridCol w:w="662"/>
        <w:gridCol w:w="952"/>
        <w:gridCol w:w="868"/>
        <w:gridCol w:w="662"/>
        <w:gridCol w:w="688"/>
        <w:gridCol w:w="1000"/>
        <w:gridCol w:w="890"/>
        <w:gridCol w:w="810"/>
        <w:gridCol w:w="662"/>
        <w:gridCol w:w="737"/>
        <w:gridCol w:w="662"/>
        <w:gridCol w:w="662"/>
        <w:gridCol w:w="990"/>
        <w:gridCol w:w="662"/>
        <w:gridCol w:w="662"/>
        <w:gridCol w:w="755"/>
        <w:gridCol w:w="1042"/>
      </w:tblGrid>
      <w:tr w:rsidR="00255A16" w:rsidRPr="00A77490" w14:paraId="327513CF" w14:textId="77777777" w:rsidTr="006347D4">
        <w:trPr>
          <w:trHeight w:val="500"/>
          <w:tblHeader/>
        </w:trPr>
        <w:tc>
          <w:tcPr>
            <w:tcW w:w="720" w:type="dxa"/>
            <w:shd w:val="clear" w:color="auto" w:fill="auto"/>
            <w:noWrap/>
            <w:vAlign w:val="center"/>
            <w:hideMark/>
          </w:tcPr>
          <w:p w14:paraId="7649A3AF" w14:textId="1A4C502F" w:rsidR="00A77490" w:rsidRPr="00A77490" w:rsidRDefault="006347D4" w:rsidP="00A77490">
            <w:pPr>
              <w:spacing w:after="0"/>
              <w:jc w:val="center"/>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Ref</w:t>
            </w:r>
          </w:p>
        </w:tc>
        <w:tc>
          <w:tcPr>
            <w:tcW w:w="2700" w:type="dxa"/>
            <w:shd w:val="clear" w:color="auto" w:fill="auto"/>
            <w:noWrap/>
            <w:vAlign w:val="center"/>
            <w:hideMark/>
          </w:tcPr>
          <w:p w14:paraId="02196338" w14:textId="23F90700" w:rsidR="00A77490" w:rsidRPr="00A77490" w:rsidRDefault="005B4367" w:rsidP="00A77490">
            <w:pPr>
              <w:spacing w:after="0"/>
              <w:jc w:val="center"/>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 xml:space="preserve">2020 </w:t>
            </w:r>
            <w:r w:rsidR="00A77490" w:rsidRPr="00A77490">
              <w:rPr>
                <w:rFonts w:asciiTheme="minorHAnsi" w:eastAsia="Times New Roman" w:hAnsiTheme="minorHAnsi" w:cstheme="minorHAnsi"/>
                <w:b/>
                <w:bCs/>
                <w:color w:val="000000"/>
                <w:sz w:val="16"/>
                <w:szCs w:val="16"/>
              </w:rPr>
              <w:t>Measure</w:t>
            </w:r>
          </w:p>
        </w:tc>
        <w:tc>
          <w:tcPr>
            <w:tcW w:w="810" w:type="dxa"/>
            <w:shd w:val="clear" w:color="auto" w:fill="8EAADB" w:themeFill="accent1" w:themeFillTint="99"/>
            <w:noWrap/>
            <w:vAlign w:val="center"/>
            <w:hideMark/>
          </w:tcPr>
          <w:p w14:paraId="23000B86"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Total ACO</w:t>
            </w:r>
          </w:p>
        </w:tc>
        <w:tc>
          <w:tcPr>
            <w:tcW w:w="662" w:type="dxa"/>
            <w:shd w:val="clear" w:color="auto" w:fill="8EAADB" w:themeFill="accent1" w:themeFillTint="99"/>
            <w:vAlign w:val="center"/>
            <w:hideMark/>
          </w:tcPr>
          <w:p w14:paraId="53C6E5A7"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BERK</w:t>
            </w:r>
          </w:p>
        </w:tc>
        <w:tc>
          <w:tcPr>
            <w:tcW w:w="662" w:type="dxa"/>
            <w:shd w:val="clear" w:color="auto" w:fill="8EAADB" w:themeFill="accent1" w:themeFillTint="99"/>
            <w:vAlign w:val="center"/>
            <w:hideMark/>
          </w:tcPr>
          <w:p w14:paraId="10651D93"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365</w:t>
            </w:r>
          </w:p>
        </w:tc>
        <w:tc>
          <w:tcPr>
            <w:tcW w:w="662" w:type="dxa"/>
            <w:shd w:val="clear" w:color="auto" w:fill="8EAADB" w:themeFill="accent1" w:themeFillTint="99"/>
            <w:vAlign w:val="center"/>
            <w:hideMark/>
          </w:tcPr>
          <w:p w14:paraId="122C4514"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FH WFC</w:t>
            </w:r>
          </w:p>
        </w:tc>
        <w:tc>
          <w:tcPr>
            <w:tcW w:w="662" w:type="dxa"/>
            <w:shd w:val="clear" w:color="auto" w:fill="8EAADB" w:themeFill="accent1" w:themeFillTint="99"/>
            <w:vAlign w:val="center"/>
            <w:hideMark/>
          </w:tcPr>
          <w:p w14:paraId="4762DE57"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HNE</w:t>
            </w:r>
          </w:p>
        </w:tc>
        <w:tc>
          <w:tcPr>
            <w:tcW w:w="952" w:type="dxa"/>
            <w:shd w:val="clear" w:color="auto" w:fill="8EAADB" w:themeFill="accent1" w:themeFillTint="99"/>
            <w:vAlign w:val="center"/>
            <w:hideMark/>
          </w:tcPr>
          <w:p w14:paraId="36F893C9"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AHP</w:t>
            </w:r>
          </w:p>
        </w:tc>
        <w:tc>
          <w:tcPr>
            <w:tcW w:w="868" w:type="dxa"/>
            <w:shd w:val="clear" w:color="auto" w:fill="8EAADB" w:themeFill="accent1" w:themeFillTint="99"/>
            <w:vAlign w:val="center"/>
            <w:hideMark/>
          </w:tcPr>
          <w:p w14:paraId="0599A203" w14:textId="6A60EBB5" w:rsidR="00554F79"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p>
          <w:p w14:paraId="794A5A3C" w14:textId="73AB16E1"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ATRIUS</w:t>
            </w:r>
          </w:p>
        </w:tc>
        <w:tc>
          <w:tcPr>
            <w:tcW w:w="662" w:type="dxa"/>
            <w:shd w:val="clear" w:color="auto" w:fill="8EAADB" w:themeFill="accent1" w:themeFillTint="99"/>
            <w:vAlign w:val="center"/>
            <w:hideMark/>
          </w:tcPr>
          <w:p w14:paraId="264A9867" w14:textId="77777777" w:rsidR="00F31687"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w:t>
            </w:r>
            <w:r w:rsidR="00F31687">
              <w:rPr>
                <w:rFonts w:asciiTheme="minorHAnsi" w:eastAsia="Times New Roman" w:hAnsiTheme="minorHAnsi" w:cstheme="minorHAnsi"/>
                <w:b/>
                <w:bCs/>
                <w:color w:val="000000"/>
                <w:sz w:val="16"/>
                <w:szCs w:val="16"/>
              </w:rPr>
              <w:t>P</w:t>
            </w:r>
          </w:p>
          <w:p w14:paraId="3474B64B" w14:textId="2E6CFD9F"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BIDCO</w:t>
            </w:r>
          </w:p>
        </w:tc>
        <w:tc>
          <w:tcPr>
            <w:tcW w:w="688" w:type="dxa"/>
            <w:shd w:val="clear" w:color="auto" w:fill="8EAADB" w:themeFill="accent1" w:themeFillTint="99"/>
            <w:vAlign w:val="center"/>
            <w:hideMark/>
          </w:tcPr>
          <w:p w14:paraId="7C8236E1" w14:textId="16C56084"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r w:rsidR="00554F79">
              <w:rPr>
                <w:rFonts w:asciiTheme="minorHAnsi" w:eastAsia="Times New Roman" w:hAnsiTheme="minorHAnsi" w:cstheme="minorHAnsi"/>
                <w:b/>
                <w:bCs/>
                <w:color w:val="000000"/>
                <w:sz w:val="16"/>
                <w:szCs w:val="16"/>
              </w:rPr>
              <w:t xml:space="preserve"> </w:t>
            </w:r>
            <w:r w:rsidRPr="00A77490">
              <w:rPr>
                <w:rFonts w:asciiTheme="minorHAnsi" w:eastAsia="Times New Roman" w:hAnsiTheme="minorHAnsi" w:cstheme="minorHAnsi"/>
                <w:b/>
                <w:bCs/>
                <w:color w:val="000000"/>
                <w:sz w:val="16"/>
                <w:szCs w:val="16"/>
              </w:rPr>
              <w:t>CHA</w:t>
            </w:r>
          </w:p>
        </w:tc>
        <w:tc>
          <w:tcPr>
            <w:tcW w:w="1000" w:type="dxa"/>
            <w:shd w:val="clear" w:color="auto" w:fill="8EAADB" w:themeFill="accent1" w:themeFillTint="99"/>
            <w:vAlign w:val="center"/>
            <w:hideMark/>
          </w:tcPr>
          <w:p w14:paraId="2A805B90" w14:textId="2D146B2A"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THP</w:t>
            </w:r>
            <w:r w:rsidR="00554F79">
              <w:rPr>
                <w:rFonts w:asciiTheme="minorHAnsi" w:eastAsia="Times New Roman" w:hAnsiTheme="minorHAnsi" w:cstheme="minorHAnsi"/>
                <w:b/>
                <w:bCs/>
                <w:color w:val="000000"/>
                <w:sz w:val="16"/>
                <w:szCs w:val="16"/>
              </w:rPr>
              <w:t xml:space="preserve"> </w:t>
            </w:r>
            <w:r w:rsidRPr="00A77490">
              <w:rPr>
                <w:rFonts w:asciiTheme="minorHAnsi" w:eastAsia="Times New Roman" w:hAnsiTheme="minorHAnsi" w:cstheme="minorHAnsi"/>
                <w:b/>
                <w:bCs/>
                <w:color w:val="000000"/>
                <w:sz w:val="16"/>
                <w:szCs w:val="16"/>
              </w:rPr>
              <w:t>CHILDREN'S</w:t>
            </w:r>
          </w:p>
        </w:tc>
        <w:tc>
          <w:tcPr>
            <w:tcW w:w="890" w:type="dxa"/>
            <w:shd w:val="clear" w:color="auto" w:fill="8EAADB" w:themeFill="accent1" w:themeFillTint="99"/>
            <w:vAlign w:val="center"/>
            <w:hideMark/>
          </w:tcPr>
          <w:p w14:paraId="194566AD"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BACO</w:t>
            </w:r>
          </w:p>
        </w:tc>
        <w:tc>
          <w:tcPr>
            <w:tcW w:w="810" w:type="dxa"/>
            <w:shd w:val="clear" w:color="auto" w:fill="8EAADB" w:themeFill="accent1" w:themeFillTint="99"/>
            <w:vAlign w:val="center"/>
            <w:hideMark/>
          </w:tcPr>
          <w:p w14:paraId="1680B9A4"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MERCY</w:t>
            </w:r>
          </w:p>
        </w:tc>
        <w:tc>
          <w:tcPr>
            <w:tcW w:w="662" w:type="dxa"/>
            <w:shd w:val="clear" w:color="auto" w:fill="8EAADB" w:themeFill="accent1" w:themeFillTint="99"/>
            <w:vAlign w:val="center"/>
            <w:hideMark/>
          </w:tcPr>
          <w:p w14:paraId="635E844B"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SIGN</w:t>
            </w:r>
          </w:p>
        </w:tc>
        <w:tc>
          <w:tcPr>
            <w:tcW w:w="737" w:type="dxa"/>
            <w:shd w:val="clear" w:color="auto" w:fill="8EAADB" w:themeFill="accent1" w:themeFillTint="99"/>
            <w:vAlign w:val="center"/>
            <w:hideMark/>
          </w:tcPr>
          <w:p w14:paraId="3C062888"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BMC SCOAST</w:t>
            </w:r>
          </w:p>
        </w:tc>
        <w:tc>
          <w:tcPr>
            <w:tcW w:w="662" w:type="dxa"/>
            <w:shd w:val="clear" w:color="auto" w:fill="8EAADB" w:themeFill="accent1" w:themeFillTint="99"/>
            <w:vAlign w:val="center"/>
            <w:hideMark/>
          </w:tcPr>
          <w:p w14:paraId="534DC9D7"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C3</w:t>
            </w:r>
          </w:p>
        </w:tc>
        <w:tc>
          <w:tcPr>
            <w:tcW w:w="662" w:type="dxa"/>
            <w:shd w:val="clear" w:color="auto" w:fill="8EAADB" w:themeFill="accent1" w:themeFillTint="99"/>
            <w:vAlign w:val="center"/>
            <w:hideMark/>
          </w:tcPr>
          <w:p w14:paraId="6A450E2D"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MGB</w:t>
            </w:r>
          </w:p>
        </w:tc>
        <w:tc>
          <w:tcPr>
            <w:tcW w:w="990" w:type="dxa"/>
            <w:shd w:val="clear" w:color="auto" w:fill="8EAADB" w:themeFill="accent1" w:themeFillTint="99"/>
            <w:vAlign w:val="center"/>
            <w:hideMark/>
          </w:tcPr>
          <w:p w14:paraId="763DC2B7"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STEWARD</w:t>
            </w:r>
          </w:p>
        </w:tc>
        <w:tc>
          <w:tcPr>
            <w:tcW w:w="662" w:type="dxa"/>
            <w:shd w:val="clear" w:color="auto" w:fill="8EAADB" w:themeFill="accent1" w:themeFillTint="99"/>
            <w:vAlign w:val="center"/>
            <w:hideMark/>
          </w:tcPr>
          <w:p w14:paraId="3A63D5AD" w14:textId="77777777" w:rsidR="00A77490" w:rsidRPr="00A77490" w:rsidRDefault="00A77490" w:rsidP="00A77490">
            <w:pPr>
              <w:spacing w:after="0"/>
              <w:jc w:val="center"/>
              <w:rPr>
                <w:rFonts w:asciiTheme="minorHAnsi" w:eastAsia="Times New Roman" w:hAnsiTheme="minorHAnsi" w:cstheme="minorHAnsi"/>
                <w:b/>
                <w:bCs/>
                <w:color w:val="000000"/>
                <w:sz w:val="16"/>
                <w:szCs w:val="16"/>
              </w:rPr>
            </w:pPr>
            <w:r w:rsidRPr="00A77490">
              <w:rPr>
                <w:rFonts w:asciiTheme="minorHAnsi" w:eastAsia="Times New Roman" w:hAnsiTheme="minorHAnsi" w:cstheme="minorHAnsi"/>
                <w:b/>
                <w:bCs/>
                <w:color w:val="000000"/>
                <w:sz w:val="16"/>
                <w:szCs w:val="16"/>
              </w:rPr>
              <w:t>LAHEY</w:t>
            </w:r>
          </w:p>
        </w:tc>
        <w:tc>
          <w:tcPr>
            <w:tcW w:w="662" w:type="dxa"/>
            <w:shd w:val="clear" w:color="auto" w:fill="2F5496" w:themeFill="accent1" w:themeFillShade="BF"/>
            <w:noWrap/>
            <w:vAlign w:val="center"/>
            <w:hideMark/>
          </w:tcPr>
          <w:p w14:paraId="2309169B" w14:textId="77777777" w:rsidR="00A77490" w:rsidRPr="00A54D21" w:rsidRDefault="00A77490" w:rsidP="00A77490">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Total MCO</w:t>
            </w:r>
          </w:p>
        </w:tc>
        <w:tc>
          <w:tcPr>
            <w:tcW w:w="755" w:type="dxa"/>
            <w:shd w:val="clear" w:color="auto" w:fill="2F5496" w:themeFill="accent1" w:themeFillShade="BF"/>
            <w:noWrap/>
            <w:vAlign w:val="center"/>
            <w:hideMark/>
          </w:tcPr>
          <w:p w14:paraId="2EB4FA19" w14:textId="77777777" w:rsidR="00A77490" w:rsidRPr="00A54D21" w:rsidRDefault="00A77490" w:rsidP="00A77490">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BMC MCO</w:t>
            </w:r>
          </w:p>
        </w:tc>
        <w:tc>
          <w:tcPr>
            <w:tcW w:w="1042" w:type="dxa"/>
            <w:shd w:val="clear" w:color="auto" w:fill="2F5496" w:themeFill="accent1" w:themeFillShade="BF"/>
            <w:noWrap/>
            <w:vAlign w:val="center"/>
            <w:hideMark/>
          </w:tcPr>
          <w:p w14:paraId="493FB720" w14:textId="77777777" w:rsidR="00F31687" w:rsidRDefault="00A77490" w:rsidP="00A77490">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T</w:t>
            </w:r>
            <w:r w:rsidR="00F31687">
              <w:rPr>
                <w:rFonts w:asciiTheme="minorHAnsi" w:eastAsia="Times New Roman" w:hAnsiTheme="minorHAnsi" w:cstheme="minorHAnsi"/>
                <w:b/>
                <w:bCs/>
                <w:color w:val="FFFFFF" w:themeColor="background1"/>
                <w:sz w:val="16"/>
                <w:szCs w:val="16"/>
              </w:rPr>
              <w:t>HP</w:t>
            </w:r>
          </w:p>
          <w:p w14:paraId="6FEB56FD" w14:textId="7EA634AC" w:rsidR="00A77490" w:rsidRPr="00A54D21" w:rsidRDefault="00A77490" w:rsidP="00A77490">
            <w:pPr>
              <w:spacing w:after="0"/>
              <w:jc w:val="center"/>
              <w:rPr>
                <w:rFonts w:asciiTheme="minorHAnsi" w:eastAsia="Times New Roman" w:hAnsiTheme="minorHAnsi" w:cstheme="minorHAnsi"/>
                <w:b/>
                <w:bCs/>
                <w:color w:val="FFFFFF" w:themeColor="background1"/>
                <w:sz w:val="16"/>
                <w:szCs w:val="16"/>
              </w:rPr>
            </w:pPr>
            <w:r w:rsidRPr="00A54D21">
              <w:rPr>
                <w:rFonts w:asciiTheme="minorHAnsi" w:eastAsia="Times New Roman" w:hAnsiTheme="minorHAnsi" w:cstheme="minorHAnsi"/>
                <w:b/>
                <w:bCs/>
                <w:color w:val="FFFFFF" w:themeColor="background1"/>
                <w:sz w:val="16"/>
                <w:szCs w:val="16"/>
              </w:rPr>
              <w:t>MCO</w:t>
            </w:r>
          </w:p>
        </w:tc>
      </w:tr>
      <w:tr w:rsidR="00EF4C5F" w:rsidRPr="00A77490" w14:paraId="764497B4" w14:textId="77777777" w:rsidTr="006C74FD">
        <w:trPr>
          <w:trHeight w:val="422"/>
        </w:trPr>
        <w:tc>
          <w:tcPr>
            <w:tcW w:w="720" w:type="dxa"/>
            <w:shd w:val="clear" w:color="auto" w:fill="auto"/>
            <w:hideMark/>
          </w:tcPr>
          <w:p w14:paraId="5085B541" w14:textId="77777777" w:rsidR="00770E94" w:rsidRPr="00A77490" w:rsidRDefault="00770E94" w:rsidP="00770E94">
            <w:pPr>
              <w:spacing w:after="0"/>
              <w:jc w:val="center"/>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CIS</w:t>
            </w:r>
          </w:p>
        </w:tc>
        <w:tc>
          <w:tcPr>
            <w:tcW w:w="2700" w:type="dxa"/>
            <w:shd w:val="clear" w:color="auto" w:fill="auto"/>
            <w:hideMark/>
          </w:tcPr>
          <w:p w14:paraId="34875C46"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Childhood Immunization Status (combo 10)</w:t>
            </w:r>
          </w:p>
        </w:tc>
        <w:tc>
          <w:tcPr>
            <w:tcW w:w="810" w:type="dxa"/>
            <w:shd w:val="clear" w:color="auto" w:fill="auto"/>
            <w:noWrap/>
            <w:vAlign w:val="center"/>
            <w:hideMark/>
          </w:tcPr>
          <w:p w14:paraId="47EBC537" w14:textId="7EB6884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57.1%</w:t>
            </w:r>
          </w:p>
        </w:tc>
        <w:tc>
          <w:tcPr>
            <w:tcW w:w="662" w:type="dxa"/>
            <w:shd w:val="clear" w:color="auto" w:fill="auto"/>
            <w:noWrap/>
            <w:vAlign w:val="center"/>
            <w:hideMark/>
          </w:tcPr>
          <w:p w14:paraId="3AF9BC60" w14:textId="1A04DE9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40.9%</w:t>
            </w:r>
          </w:p>
        </w:tc>
        <w:tc>
          <w:tcPr>
            <w:tcW w:w="662" w:type="dxa"/>
            <w:shd w:val="clear" w:color="auto" w:fill="auto"/>
            <w:noWrap/>
            <w:vAlign w:val="center"/>
            <w:hideMark/>
          </w:tcPr>
          <w:p w14:paraId="19BC9036" w14:textId="56E9C81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58.4%</w:t>
            </w:r>
          </w:p>
        </w:tc>
        <w:tc>
          <w:tcPr>
            <w:tcW w:w="662" w:type="dxa"/>
            <w:shd w:val="clear" w:color="auto" w:fill="auto"/>
            <w:noWrap/>
            <w:vAlign w:val="center"/>
            <w:hideMark/>
          </w:tcPr>
          <w:p w14:paraId="71F51938" w14:textId="4941472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662" w:type="dxa"/>
            <w:shd w:val="clear" w:color="auto" w:fill="auto"/>
            <w:noWrap/>
            <w:vAlign w:val="center"/>
            <w:hideMark/>
          </w:tcPr>
          <w:p w14:paraId="62D55C9F" w14:textId="45B89A6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51.3%</w:t>
            </w:r>
          </w:p>
        </w:tc>
        <w:tc>
          <w:tcPr>
            <w:tcW w:w="952" w:type="dxa"/>
            <w:shd w:val="clear" w:color="auto" w:fill="auto"/>
            <w:noWrap/>
            <w:vAlign w:val="center"/>
            <w:hideMark/>
          </w:tcPr>
          <w:p w14:paraId="2E4F3387" w14:textId="43DF66E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44.5%</w:t>
            </w:r>
          </w:p>
        </w:tc>
        <w:tc>
          <w:tcPr>
            <w:tcW w:w="868" w:type="dxa"/>
            <w:shd w:val="clear" w:color="auto" w:fill="auto"/>
            <w:noWrap/>
            <w:vAlign w:val="center"/>
            <w:hideMark/>
          </w:tcPr>
          <w:p w14:paraId="2F788DDF" w14:textId="59C4554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64.3%</w:t>
            </w:r>
          </w:p>
        </w:tc>
        <w:tc>
          <w:tcPr>
            <w:tcW w:w="662" w:type="dxa"/>
            <w:shd w:val="clear" w:color="auto" w:fill="auto"/>
            <w:noWrap/>
            <w:vAlign w:val="center"/>
            <w:hideMark/>
          </w:tcPr>
          <w:p w14:paraId="3EE776F5" w14:textId="48B2F80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55.2%</w:t>
            </w:r>
          </w:p>
        </w:tc>
        <w:tc>
          <w:tcPr>
            <w:tcW w:w="688" w:type="dxa"/>
            <w:shd w:val="clear" w:color="auto" w:fill="auto"/>
            <w:noWrap/>
            <w:vAlign w:val="center"/>
            <w:hideMark/>
          </w:tcPr>
          <w:p w14:paraId="50CB71C4" w14:textId="68B34EE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1000" w:type="dxa"/>
            <w:shd w:val="clear" w:color="auto" w:fill="auto"/>
            <w:noWrap/>
            <w:vAlign w:val="center"/>
            <w:hideMark/>
          </w:tcPr>
          <w:p w14:paraId="27D84119" w14:textId="4EAF9A4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57.5%</w:t>
            </w:r>
          </w:p>
        </w:tc>
        <w:tc>
          <w:tcPr>
            <w:tcW w:w="890" w:type="dxa"/>
            <w:shd w:val="clear" w:color="auto" w:fill="auto"/>
            <w:noWrap/>
            <w:vAlign w:val="center"/>
            <w:hideMark/>
          </w:tcPr>
          <w:p w14:paraId="2E462E34" w14:textId="67E3B4D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61.1%</w:t>
            </w:r>
          </w:p>
        </w:tc>
        <w:tc>
          <w:tcPr>
            <w:tcW w:w="810" w:type="dxa"/>
            <w:shd w:val="clear" w:color="auto" w:fill="auto"/>
            <w:noWrap/>
            <w:vAlign w:val="center"/>
            <w:hideMark/>
          </w:tcPr>
          <w:p w14:paraId="55675DBA" w14:textId="33C8A98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48.5%</w:t>
            </w:r>
          </w:p>
        </w:tc>
        <w:tc>
          <w:tcPr>
            <w:tcW w:w="662" w:type="dxa"/>
            <w:shd w:val="clear" w:color="auto" w:fill="auto"/>
            <w:noWrap/>
            <w:vAlign w:val="center"/>
            <w:hideMark/>
          </w:tcPr>
          <w:p w14:paraId="7983846E" w14:textId="61B6C8A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61.9%</w:t>
            </w:r>
          </w:p>
        </w:tc>
        <w:tc>
          <w:tcPr>
            <w:tcW w:w="737" w:type="dxa"/>
            <w:shd w:val="clear" w:color="auto" w:fill="auto"/>
            <w:noWrap/>
            <w:vAlign w:val="center"/>
            <w:hideMark/>
          </w:tcPr>
          <w:p w14:paraId="457C6453" w14:textId="55B58ED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47.5%</w:t>
            </w:r>
          </w:p>
        </w:tc>
        <w:tc>
          <w:tcPr>
            <w:tcW w:w="662" w:type="dxa"/>
            <w:shd w:val="clear" w:color="auto" w:fill="auto"/>
            <w:noWrap/>
            <w:vAlign w:val="center"/>
            <w:hideMark/>
          </w:tcPr>
          <w:p w14:paraId="5021A170" w14:textId="122E53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64.9%</w:t>
            </w:r>
          </w:p>
        </w:tc>
        <w:tc>
          <w:tcPr>
            <w:tcW w:w="662" w:type="dxa"/>
            <w:shd w:val="clear" w:color="auto" w:fill="auto"/>
            <w:noWrap/>
            <w:vAlign w:val="center"/>
            <w:hideMark/>
          </w:tcPr>
          <w:p w14:paraId="353B24FF" w14:textId="5DB94FF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60.7%</w:t>
            </w:r>
          </w:p>
        </w:tc>
        <w:tc>
          <w:tcPr>
            <w:tcW w:w="990" w:type="dxa"/>
            <w:shd w:val="clear" w:color="auto" w:fill="auto"/>
            <w:noWrap/>
            <w:vAlign w:val="center"/>
            <w:hideMark/>
          </w:tcPr>
          <w:p w14:paraId="39072646" w14:textId="13EC37D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52.3%</w:t>
            </w:r>
          </w:p>
        </w:tc>
        <w:tc>
          <w:tcPr>
            <w:tcW w:w="662" w:type="dxa"/>
            <w:shd w:val="clear" w:color="auto" w:fill="auto"/>
            <w:noWrap/>
            <w:vAlign w:val="center"/>
            <w:hideMark/>
          </w:tcPr>
          <w:p w14:paraId="62542AE3" w14:textId="3216311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auto"/>
            <w:noWrap/>
            <w:vAlign w:val="center"/>
            <w:hideMark/>
          </w:tcPr>
          <w:p w14:paraId="51FE300A" w14:textId="3096A46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38.5%</w:t>
            </w:r>
          </w:p>
        </w:tc>
        <w:tc>
          <w:tcPr>
            <w:tcW w:w="755" w:type="dxa"/>
            <w:shd w:val="clear" w:color="auto" w:fill="auto"/>
            <w:noWrap/>
            <w:vAlign w:val="center"/>
            <w:hideMark/>
          </w:tcPr>
          <w:p w14:paraId="1F85C6DA" w14:textId="5BA2F74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22.0%</w:t>
            </w:r>
          </w:p>
        </w:tc>
        <w:tc>
          <w:tcPr>
            <w:tcW w:w="1042" w:type="dxa"/>
            <w:shd w:val="clear" w:color="auto" w:fill="auto"/>
            <w:noWrap/>
            <w:vAlign w:val="center"/>
            <w:hideMark/>
          </w:tcPr>
          <w:p w14:paraId="6A2A5D27" w14:textId="12C2E51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55.1%</w:t>
            </w:r>
          </w:p>
        </w:tc>
      </w:tr>
      <w:tr w:rsidR="00255A16" w:rsidRPr="00A77490" w14:paraId="640F8DC5" w14:textId="77777777" w:rsidTr="006347D4">
        <w:trPr>
          <w:trHeight w:val="310"/>
        </w:trPr>
        <w:tc>
          <w:tcPr>
            <w:tcW w:w="720" w:type="dxa"/>
            <w:shd w:val="clear" w:color="auto" w:fill="F2F2F2" w:themeFill="background1" w:themeFillShade="F2"/>
            <w:noWrap/>
            <w:vAlign w:val="bottom"/>
            <w:hideMark/>
          </w:tcPr>
          <w:p w14:paraId="407CBBDE" w14:textId="77777777" w:rsidR="00770E94" w:rsidRPr="00A77490" w:rsidRDefault="00770E94" w:rsidP="001D67A8">
            <w:pPr>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PPC</w:t>
            </w:r>
          </w:p>
        </w:tc>
        <w:tc>
          <w:tcPr>
            <w:tcW w:w="2700" w:type="dxa"/>
            <w:shd w:val="clear" w:color="auto" w:fill="F2F2F2" w:themeFill="background1" w:themeFillShade="F2"/>
            <w:hideMark/>
          </w:tcPr>
          <w:p w14:paraId="0C4007A6"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Timeliness of Prenatal Care </w:t>
            </w:r>
          </w:p>
        </w:tc>
        <w:tc>
          <w:tcPr>
            <w:tcW w:w="810" w:type="dxa"/>
            <w:shd w:val="clear" w:color="auto" w:fill="F2F2F2" w:themeFill="background1" w:themeFillShade="F2"/>
            <w:noWrap/>
            <w:vAlign w:val="center"/>
            <w:hideMark/>
          </w:tcPr>
          <w:p w14:paraId="0F72102C" w14:textId="4233CA1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84.5%</w:t>
            </w:r>
          </w:p>
        </w:tc>
        <w:tc>
          <w:tcPr>
            <w:tcW w:w="662" w:type="dxa"/>
            <w:shd w:val="clear" w:color="auto" w:fill="F2F2F2" w:themeFill="background1" w:themeFillShade="F2"/>
            <w:noWrap/>
            <w:vAlign w:val="center"/>
            <w:hideMark/>
          </w:tcPr>
          <w:p w14:paraId="25E3298C" w14:textId="4128D58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82.3%</w:t>
            </w:r>
          </w:p>
        </w:tc>
        <w:tc>
          <w:tcPr>
            <w:tcW w:w="662" w:type="dxa"/>
            <w:shd w:val="clear" w:color="auto" w:fill="F2F2F2" w:themeFill="background1" w:themeFillShade="F2"/>
            <w:noWrap/>
            <w:vAlign w:val="center"/>
            <w:hideMark/>
          </w:tcPr>
          <w:p w14:paraId="16BDB73B" w14:textId="7128B5A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90.8%</w:t>
            </w:r>
          </w:p>
        </w:tc>
        <w:tc>
          <w:tcPr>
            <w:tcW w:w="662" w:type="dxa"/>
            <w:shd w:val="clear" w:color="auto" w:fill="F2F2F2" w:themeFill="background1" w:themeFillShade="F2"/>
            <w:noWrap/>
            <w:vAlign w:val="center"/>
            <w:hideMark/>
          </w:tcPr>
          <w:p w14:paraId="072AFDF9" w14:textId="2680F30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67.6%</w:t>
            </w:r>
          </w:p>
        </w:tc>
        <w:tc>
          <w:tcPr>
            <w:tcW w:w="662" w:type="dxa"/>
            <w:shd w:val="clear" w:color="auto" w:fill="F2F2F2" w:themeFill="background1" w:themeFillShade="F2"/>
            <w:noWrap/>
            <w:vAlign w:val="center"/>
            <w:hideMark/>
          </w:tcPr>
          <w:p w14:paraId="175DDB07" w14:textId="145A36C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90.5%</w:t>
            </w:r>
          </w:p>
        </w:tc>
        <w:tc>
          <w:tcPr>
            <w:tcW w:w="952" w:type="dxa"/>
            <w:shd w:val="clear" w:color="auto" w:fill="F2F2F2" w:themeFill="background1" w:themeFillShade="F2"/>
            <w:noWrap/>
            <w:vAlign w:val="center"/>
            <w:hideMark/>
          </w:tcPr>
          <w:p w14:paraId="06A85D69" w14:textId="1DAFE59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95.9%</w:t>
            </w:r>
          </w:p>
        </w:tc>
        <w:tc>
          <w:tcPr>
            <w:tcW w:w="868" w:type="dxa"/>
            <w:shd w:val="clear" w:color="auto" w:fill="F2F2F2" w:themeFill="background1" w:themeFillShade="F2"/>
            <w:noWrap/>
            <w:vAlign w:val="center"/>
            <w:hideMark/>
          </w:tcPr>
          <w:p w14:paraId="04142BA9" w14:textId="591DAB4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73.7%</w:t>
            </w:r>
          </w:p>
        </w:tc>
        <w:tc>
          <w:tcPr>
            <w:tcW w:w="662" w:type="dxa"/>
            <w:shd w:val="clear" w:color="auto" w:fill="F2F2F2" w:themeFill="background1" w:themeFillShade="F2"/>
            <w:noWrap/>
            <w:vAlign w:val="center"/>
            <w:hideMark/>
          </w:tcPr>
          <w:p w14:paraId="14DBB3CF" w14:textId="7CD891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82.5%</w:t>
            </w:r>
          </w:p>
        </w:tc>
        <w:tc>
          <w:tcPr>
            <w:tcW w:w="688" w:type="dxa"/>
            <w:shd w:val="clear" w:color="auto" w:fill="F2F2F2" w:themeFill="background1" w:themeFillShade="F2"/>
            <w:noWrap/>
            <w:vAlign w:val="center"/>
            <w:hideMark/>
          </w:tcPr>
          <w:p w14:paraId="4B8DD5A1" w14:textId="180BB7A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92.1%</w:t>
            </w:r>
          </w:p>
        </w:tc>
        <w:tc>
          <w:tcPr>
            <w:tcW w:w="1000" w:type="dxa"/>
            <w:shd w:val="clear" w:color="auto" w:fill="F2F2F2" w:themeFill="background1" w:themeFillShade="F2"/>
            <w:noWrap/>
            <w:vAlign w:val="center"/>
            <w:hideMark/>
          </w:tcPr>
          <w:p w14:paraId="1B495BA1" w14:textId="18A6A63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57.6%</w:t>
            </w:r>
          </w:p>
        </w:tc>
        <w:tc>
          <w:tcPr>
            <w:tcW w:w="890" w:type="dxa"/>
            <w:shd w:val="clear" w:color="auto" w:fill="F2F2F2" w:themeFill="background1" w:themeFillShade="F2"/>
            <w:noWrap/>
            <w:vAlign w:val="center"/>
            <w:hideMark/>
          </w:tcPr>
          <w:p w14:paraId="684CF6AB" w14:textId="590EFA1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82.2%</w:t>
            </w:r>
          </w:p>
        </w:tc>
        <w:tc>
          <w:tcPr>
            <w:tcW w:w="810" w:type="dxa"/>
            <w:shd w:val="clear" w:color="auto" w:fill="F2F2F2" w:themeFill="background1" w:themeFillShade="F2"/>
            <w:noWrap/>
            <w:vAlign w:val="center"/>
            <w:hideMark/>
          </w:tcPr>
          <w:p w14:paraId="6B9FED63" w14:textId="6566F09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77.1%</w:t>
            </w:r>
          </w:p>
        </w:tc>
        <w:tc>
          <w:tcPr>
            <w:tcW w:w="662" w:type="dxa"/>
            <w:shd w:val="clear" w:color="auto" w:fill="F2F2F2" w:themeFill="background1" w:themeFillShade="F2"/>
            <w:noWrap/>
            <w:vAlign w:val="center"/>
            <w:hideMark/>
          </w:tcPr>
          <w:p w14:paraId="7162E50D" w14:textId="5075315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85.9%</w:t>
            </w:r>
          </w:p>
        </w:tc>
        <w:tc>
          <w:tcPr>
            <w:tcW w:w="737" w:type="dxa"/>
            <w:shd w:val="clear" w:color="auto" w:fill="F2F2F2" w:themeFill="background1" w:themeFillShade="F2"/>
            <w:noWrap/>
            <w:vAlign w:val="center"/>
            <w:hideMark/>
          </w:tcPr>
          <w:p w14:paraId="79FA07C0" w14:textId="0FC0450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81.7%</w:t>
            </w:r>
          </w:p>
        </w:tc>
        <w:tc>
          <w:tcPr>
            <w:tcW w:w="662" w:type="dxa"/>
            <w:shd w:val="clear" w:color="auto" w:fill="F2F2F2" w:themeFill="background1" w:themeFillShade="F2"/>
            <w:noWrap/>
            <w:vAlign w:val="center"/>
            <w:hideMark/>
          </w:tcPr>
          <w:p w14:paraId="08083D7A" w14:textId="5916FC4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89.0%</w:t>
            </w:r>
          </w:p>
        </w:tc>
        <w:tc>
          <w:tcPr>
            <w:tcW w:w="662" w:type="dxa"/>
            <w:shd w:val="clear" w:color="auto" w:fill="F2F2F2" w:themeFill="background1" w:themeFillShade="F2"/>
            <w:noWrap/>
            <w:vAlign w:val="center"/>
            <w:hideMark/>
          </w:tcPr>
          <w:p w14:paraId="3F2B1403" w14:textId="7BB02B5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85.6%</w:t>
            </w:r>
          </w:p>
        </w:tc>
        <w:tc>
          <w:tcPr>
            <w:tcW w:w="990" w:type="dxa"/>
            <w:shd w:val="clear" w:color="auto" w:fill="F2F2F2" w:themeFill="background1" w:themeFillShade="F2"/>
            <w:noWrap/>
            <w:vAlign w:val="center"/>
            <w:hideMark/>
          </w:tcPr>
          <w:p w14:paraId="72AB94BF" w14:textId="07FE3E0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83.7%</w:t>
            </w:r>
          </w:p>
        </w:tc>
        <w:tc>
          <w:tcPr>
            <w:tcW w:w="662" w:type="dxa"/>
            <w:shd w:val="clear" w:color="auto" w:fill="F2F2F2" w:themeFill="background1" w:themeFillShade="F2"/>
            <w:noWrap/>
            <w:vAlign w:val="center"/>
            <w:hideMark/>
          </w:tcPr>
          <w:p w14:paraId="3B76658A" w14:textId="110E485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662" w:type="dxa"/>
            <w:shd w:val="clear" w:color="auto" w:fill="F2F2F2" w:themeFill="background1" w:themeFillShade="F2"/>
            <w:noWrap/>
            <w:vAlign w:val="center"/>
            <w:hideMark/>
          </w:tcPr>
          <w:p w14:paraId="4822263D" w14:textId="5AD6579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75.0%</w:t>
            </w:r>
          </w:p>
        </w:tc>
        <w:tc>
          <w:tcPr>
            <w:tcW w:w="755" w:type="dxa"/>
            <w:shd w:val="clear" w:color="auto" w:fill="F2F2F2" w:themeFill="background1" w:themeFillShade="F2"/>
            <w:noWrap/>
            <w:vAlign w:val="center"/>
            <w:hideMark/>
          </w:tcPr>
          <w:p w14:paraId="6121DA75" w14:textId="527EC7D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64.0%</w:t>
            </w:r>
          </w:p>
        </w:tc>
        <w:tc>
          <w:tcPr>
            <w:tcW w:w="1042" w:type="dxa"/>
            <w:shd w:val="clear" w:color="auto" w:fill="F2F2F2" w:themeFill="background1" w:themeFillShade="F2"/>
            <w:noWrap/>
            <w:vAlign w:val="center"/>
            <w:hideMark/>
          </w:tcPr>
          <w:p w14:paraId="6AC6B4B6" w14:textId="0C3392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86.0%</w:t>
            </w:r>
          </w:p>
        </w:tc>
      </w:tr>
      <w:tr w:rsidR="00EF4C5F" w:rsidRPr="00A77490" w14:paraId="08687FB2" w14:textId="77777777" w:rsidTr="006347D4">
        <w:trPr>
          <w:trHeight w:val="520"/>
        </w:trPr>
        <w:tc>
          <w:tcPr>
            <w:tcW w:w="720" w:type="dxa"/>
            <w:shd w:val="clear" w:color="auto" w:fill="auto"/>
            <w:noWrap/>
            <w:hideMark/>
          </w:tcPr>
          <w:p w14:paraId="43BEAEE2"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IMA</w:t>
            </w:r>
          </w:p>
        </w:tc>
        <w:tc>
          <w:tcPr>
            <w:tcW w:w="2700" w:type="dxa"/>
            <w:shd w:val="clear" w:color="auto" w:fill="auto"/>
            <w:hideMark/>
          </w:tcPr>
          <w:p w14:paraId="5422188C" w14:textId="77777777" w:rsidR="006C74FD"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Immunization for Adolescents </w:t>
            </w:r>
          </w:p>
          <w:p w14:paraId="0547F8A9" w14:textId="18CB8E63"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w:t>
            </w:r>
            <w:proofErr w:type="gramStart"/>
            <w:r w:rsidRPr="00A77490">
              <w:rPr>
                <w:rFonts w:asciiTheme="minorHAnsi" w:eastAsia="Times New Roman" w:hAnsiTheme="minorHAnsi" w:cstheme="minorHAnsi"/>
                <w:sz w:val="16"/>
                <w:szCs w:val="16"/>
              </w:rPr>
              <w:t>combo</w:t>
            </w:r>
            <w:proofErr w:type="gramEnd"/>
            <w:r w:rsidRPr="00A77490">
              <w:rPr>
                <w:rFonts w:asciiTheme="minorHAnsi" w:eastAsia="Times New Roman" w:hAnsiTheme="minorHAnsi" w:cstheme="minorHAnsi"/>
                <w:sz w:val="16"/>
                <w:szCs w:val="16"/>
              </w:rPr>
              <w:t xml:space="preserve"> 2)</w:t>
            </w:r>
          </w:p>
        </w:tc>
        <w:tc>
          <w:tcPr>
            <w:tcW w:w="810" w:type="dxa"/>
            <w:shd w:val="clear" w:color="auto" w:fill="auto"/>
            <w:noWrap/>
            <w:vAlign w:val="center"/>
            <w:hideMark/>
          </w:tcPr>
          <w:p w14:paraId="351B15BB" w14:textId="06788AB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44.6%</w:t>
            </w:r>
          </w:p>
        </w:tc>
        <w:tc>
          <w:tcPr>
            <w:tcW w:w="662" w:type="dxa"/>
            <w:shd w:val="clear" w:color="auto" w:fill="auto"/>
            <w:noWrap/>
            <w:vAlign w:val="center"/>
            <w:hideMark/>
          </w:tcPr>
          <w:p w14:paraId="6B1D7276" w14:textId="6E597C9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15.7%</w:t>
            </w:r>
          </w:p>
        </w:tc>
        <w:tc>
          <w:tcPr>
            <w:tcW w:w="662" w:type="dxa"/>
            <w:shd w:val="clear" w:color="auto" w:fill="auto"/>
            <w:noWrap/>
            <w:vAlign w:val="center"/>
            <w:hideMark/>
          </w:tcPr>
          <w:p w14:paraId="63BCF64D" w14:textId="6978653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39.2%</w:t>
            </w:r>
          </w:p>
        </w:tc>
        <w:tc>
          <w:tcPr>
            <w:tcW w:w="662" w:type="dxa"/>
            <w:shd w:val="clear" w:color="auto" w:fill="auto"/>
            <w:noWrap/>
            <w:vAlign w:val="center"/>
            <w:hideMark/>
          </w:tcPr>
          <w:p w14:paraId="6341D54B" w14:textId="0C3E997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38.7%</w:t>
            </w:r>
          </w:p>
        </w:tc>
        <w:tc>
          <w:tcPr>
            <w:tcW w:w="662" w:type="dxa"/>
            <w:shd w:val="clear" w:color="auto" w:fill="auto"/>
            <w:noWrap/>
            <w:vAlign w:val="center"/>
            <w:hideMark/>
          </w:tcPr>
          <w:p w14:paraId="6FA0789B" w14:textId="6E9D6CB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47.2%</w:t>
            </w:r>
          </w:p>
        </w:tc>
        <w:tc>
          <w:tcPr>
            <w:tcW w:w="952" w:type="dxa"/>
            <w:shd w:val="clear" w:color="auto" w:fill="auto"/>
            <w:noWrap/>
            <w:vAlign w:val="center"/>
            <w:hideMark/>
          </w:tcPr>
          <w:p w14:paraId="7A3FD4C1" w14:textId="4CE744F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54.1%</w:t>
            </w:r>
          </w:p>
        </w:tc>
        <w:tc>
          <w:tcPr>
            <w:tcW w:w="868" w:type="dxa"/>
            <w:shd w:val="clear" w:color="auto" w:fill="auto"/>
            <w:noWrap/>
            <w:vAlign w:val="center"/>
            <w:hideMark/>
          </w:tcPr>
          <w:p w14:paraId="7DD1F974" w14:textId="3D9FC22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662" w:type="dxa"/>
            <w:shd w:val="clear" w:color="auto" w:fill="auto"/>
            <w:noWrap/>
            <w:vAlign w:val="center"/>
            <w:hideMark/>
          </w:tcPr>
          <w:p w14:paraId="7B5BD564" w14:textId="61172F9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23.6%</w:t>
            </w:r>
          </w:p>
        </w:tc>
        <w:tc>
          <w:tcPr>
            <w:tcW w:w="688" w:type="dxa"/>
            <w:shd w:val="clear" w:color="auto" w:fill="auto"/>
            <w:noWrap/>
            <w:vAlign w:val="center"/>
            <w:hideMark/>
          </w:tcPr>
          <w:p w14:paraId="0D166015" w14:textId="32B7F9F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56.0%</w:t>
            </w:r>
          </w:p>
        </w:tc>
        <w:tc>
          <w:tcPr>
            <w:tcW w:w="1000" w:type="dxa"/>
            <w:shd w:val="clear" w:color="auto" w:fill="auto"/>
            <w:noWrap/>
            <w:vAlign w:val="center"/>
            <w:hideMark/>
          </w:tcPr>
          <w:p w14:paraId="2E70B7C2" w14:textId="340F56D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45.5%</w:t>
            </w:r>
          </w:p>
        </w:tc>
        <w:tc>
          <w:tcPr>
            <w:tcW w:w="890" w:type="dxa"/>
            <w:shd w:val="clear" w:color="auto" w:fill="auto"/>
            <w:noWrap/>
            <w:vAlign w:val="center"/>
            <w:hideMark/>
          </w:tcPr>
          <w:p w14:paraId="354654CF" w14:textId="0CE2EBE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56.8%</w:t>
            </w:r>
          </w:p>
        </w:tc>
        <w:tc>
          <w:tcPr>
            <w:tcW w:w="810" w:type="dxa"/>
            <w:shd w:val="clear" w:color="auto" w:fill="auto"/>
            <w:noWrap/>
            <w:vAlign w:val="center"/>
            <w:hideMark/>
          </w:tcPr>
          <w:p w14:paraId="6630600A" w14:textId="2D77CA6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40.4%</w:t>
            </w:r>
          </w:p>
        </w:tc>
        <w:tc>
          <w:tcPr>
            <w:tcW w:w="662" w:type="dxa"/>
            <w:shd w:val="clear" w:color="auto" w:fill="auto"/>
            <w:noWrap/>
            <w:vAlign w:val="center"/>
            <w:hideMark/>
          </w:tcPr>
          <w:p w14:paraId="68E14D7A" w14:textId="207A230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55.8%</w:t>
            </w:r>
          </w:p>
        </w:tc>
        <w:tc>
          <w:tcPr>
            <w:tcW w:w="737" w:type="dxa"/>
            <w:shd w:val="clear" w:color="auto" w:fill="auto"/>
            <w:noWrap/>
            <w:vAlign w:val="center"/>
            <w:hideMark/>
          </w:tcPr>
          <w:p w14:paraId="2666261A" w14:textId="5365876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56.6%</w:t>
            </w:r>
          </w:p>
        </w:tc>
        <w:tc>
          <w:tcPr>
            <w:tcW w:w="662" w:type="dxa"/>
            <w:shd w:val="clear" w:color="auto" w:fill="auto"/>
            <w:noWrap/>
            <w:vAlign w:val="center"/>
            <w:hideMark/>
          </w:tcPr>
          <w:p w14:paraId="37D072B0" w14:textId="45ADEBB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63.7%</w:t>
            </w:r>
          </w:p>
        </w:tc>
        <w:tc>
          <w:tcPr>
            <w:tcW w:w="662" w:type="dxa"/>
            <w:shd w:val="clear" w:color="auto" w:fill="auto"/>
            <w:noWrap/>
            <w:vAlign w:val="center"/>
            <w:hideMark/>
          </w:tcPr>
          <w:p w14:paraId="52CC891A" w14:textId="62A41E0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28.7%</w:t>
            </w:r>
          </w:p>
        </w:tc>
        <w:tc>
          <w:tcPr>
            <w:tcW w:w="990" w:type="dxa"/>
            <w:shd w:val="clear" w:color="auto" w:fill="auto"/>
            <w:noWrap/>
            <w:vAlign w:val="center"/>
            <w:hideMark/>
          </w:tcPr>
          <w:p w14:paraId="0BB48902" w14:textId="1E7BEAA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35.5%</w:t>
            </w:r>
          </w:p>
        </w:tc>
        <w:tc>
          <w:tcPr>
            <w:tcW w:w="662" w:type="dxa"/>
            <w:shd w:val="clear" w:color="auto" w:fill="auto"/>
            <w:noWrap/>
            <w:vAlign w:val="center"/>
            <w:hideMark/>
          </w:tcPr>
          <w:p w14:paraId="27F8CE0C" w14:textId="709DAEA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auto"/>
            <w:noWrap/>
            <w:vAlign w:val="center"/>
            <w:hideMark/>
          </w:tcPr>
          <w:p w14:paraId="0F055E4E" w14:textId="30462DA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31.9%</w:t>
            </w:r>
          </w:p>
        </w:tc>
        <w:tc>
          <w:tcPr>
            <w:tcW w:w="755" w:type="dxa"/>
            <w:shd w:val="clear" w:color="auto" w:fill="auto"/>
            <w:noWrap/>
            <w:vAlign w:val="center"/>
            <w:hideMark/>
          </w:tcPr>
          <w:p w14:paraId="5BFF95CC" w14:textId="737A66D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21.8%</w:t>
            </w:r>
          </w:p>
        </w:tc>
        <w:tc>
          <w:tcPr>
            <w:tcW w:w="1042" w:type="dxa"/>
            <w:shd w:val="clear" w:color="auto" w:fill="auto"/>
            <w:noWrap/>
            <w:vAlign w:val="center"/>
            <w:hideMark/>
          </w:tcPr>
          <w:p w14:paraId="7722AD8A" w14:textId="30D6A2B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42.0%</w:t>
            </w:r>
          </w:p>
        </w:tc>
      </w:tr>
      <w:tr w:rsidR="00255A16" w:rsidRPr="00A77490" w14:paraId="2E7894CB" w14:textId="77777777" w:rsidTr="006347D4">
        <w:trPr>
          <w:trHeight w:val="310"/>
        </w:trPr>
        <w:tc>
          <w:tcPr>
            <w:tcW w:w="720" w:type="dxa"/>
            <w:shd w:val="clear" w:color="auto" w:fill="F2F2F2" w:themeFill="background1" w:themeFillShade="F2"/>
            <w:noWrap/>
            <w:hideMark/>
          </w:tcPr>
          <w:p w14:paraId="2BF78D2F"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p w14:paraId="52EFFC6B"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/ADA</w:t>
            </w:r>
          </w:p>
        </w:tc>
        <w:tc>
          <w:tcPr>
            <w:tcW w:w="2700" w:type="dxa"/>
            <w:shd w:val="clear" w:color="auto" w:fill="F2F2F2" w:themeFill="background1" w:themeFillShade="F2"/>
            <w:hideMark/>
          </w:tcPr>
          <w:p w14:paraId="5BB3857D" w14:textId="05BE687E"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 xml:space="preserve">Oral Health Evaluation   </w:t>
            </w:r>
            <w:r w:rsidRPr="00A77490">
              <w:rPr>
                <w:rFonts w:asciiTheme="minorHAnsi" w:eastAsia="Times New Roman" w:hAnsiTheme="minorHAnsi" w:cstheme="minorHAnsi"/>
                <w:color w:val="FF0000"/>
                <w:sz w:val="16"/>
                <w:szCs w:val="16"/>
              </w:rPr>
              <w:t xml:space="preserve"> </w:t>
            </w:r>
          </w:p>
        </w:tc>
        <w:tc>
          <w:tcPr>
            <w:tcW w:w="810" w:type="dxa"/>
            <w:shd w:val="clear" w:color="auto" w:fill="F2F2F2" w:themeFill="background1" w:themeFillShade="F2"/>
            <w:noWrap/>
            <w:vAlign w:val="center"/>
            <w:hideMark/>
          </w:tcPr>
          <w:p w14:paraId="1114E67A" w14:textId="0A07CFC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44.7%</w:t>
            </w:r>
          </w:p>
        </w:tc>
        <w:tc>
          <w:tcPr>
            <w:tcW w:w="662" w:type="dxa"/>
            <w:shd w:val="clear" w:color="auto" w:fill="F2F2F2" w:themeFill="background1" w:themeFillShade="F2"/>
            <w:noWrap/>
            <w:vAlign w:val="center"/>
            <w:hideMark/>
          </w:tcPr>
          <w:p w14:paraId="69DA9688" w14:textId="46C91E2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39.6%</w:t>
            </w:r>
          </w:p>
        </w:tc>
        <w:tc>
          <w:tcPr>
            <w:tcW w:w="662" w:type="dxa"/>
            <w:shd w:val="clear" w:color="auto" w:fill="F2F2F2" w:themeFill="background1" w:themeFillShade="F2"/>
            <w:noWrap/>
            <w:vAlign w:val="center"/>
            <w:hideMark/>
          </w:tcPr>
          <w:p w14:paraId="01CDD2CD" w14:textId="4B0766A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49.2%</w:t>
            </w:r>
          </w:p>
        </w:tc>
        <w:tc>
          <w:tcPr>
            <w:tcW w:w="662" w:type="dxa"/>
            <w:shd w:val="clear" w:color="auto" w:fill="F2F2F2" w:themeFill="background1" w:themeFillShade="F2"/>
            <w:noWrap/>
            <w:vAlign w:val="center"/>
            <w:hideMark/>
          </w:tcPr>
          <w:p w14:paraId="501CAB75" w14:textId="0FF2266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49.9%</w:t>
            </w:r>
          </w:p>
        </w:tc>
        <w:tc>
          <w:tcPr>
            <w:tcW w:w="662" w:type="dxa"/>
            <w:shd w:val="clear" w:color="auto" w:fill="F2F2F2" w:themeFill="background1" w:themeFillShade="F2"/>
            <w:noWrap/>
            <w:vAlign w:val="center"/>
            <w:hideMark/>
          </w:tcPr>
          <w:p w14:paraId="76EA8F0E" w14:textId="3A80DE8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38.8%</w:t>
            </w:r>
          </w:p>
        </w:tc>
        <w:tc>
          <w:tcPr>
            <w:tcW w:w="952" w:type="dxa"/>
            <w:shd w:val="clear" w:color="auto" w:fill="F2F2F2" w:themeFill="background1" w:themeFillShade="F2"/>
            <w:noWrap/>
            <w:vAlign w:val="center"/>
            <w:hideMark/>
          </w:tcPr>
          <w:p w14:paraId="1F7EFDFB" w14:textId="1FC47D1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48.0%</w:t>
            </w:r>
          </w:p>
        </w:tc>
        <w:tc>
          <w:tcPr>
            <w:tcW w:w="868" w:type="dxa"/>
            <w:shd w:val="clear" w:color="auto" w:fill="F2F2F2" w:themeFill="background1" w:themeFillShade="F2"/>
            <w:noWrap/>
            <w:vAlign w:val="center"/>
            <w:hideMark/>
          </w:tcPr>
          <w:p w14:paraId="65E23D41" w14:textId="18C9E20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50.5%</w:t>
            </w:r>
          </w:p>
        </w:tc>
        <w:tc>
          <w:tcPr>
            <w:tcW w:w="662" w:type="dxa"/>
            <w:shd w:val="clear" w:color="auto" w:fill="F2F2F2" w:themeFill="background1" w:themeFillShade="F2"/>
            <w:noWrap/>
            <w:vAlign w:val="center"/>
            <w:hideMark/>
          </w:tcPr>
          <w:p w14:paraId="3354D3DC" w14:textId="44BC163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688" w:type="dxa"/>
            <w:shd w:val="clear" w:color="auto" w:fill="F2F2F2" w:themeFill="background1" w:themeFillShade="F2"/>
            <w:noWrap/>
            <w:vAlign w:val="center"/>
            <w:hideMark/>
          </w:tcPr>
          <w:p w14:paraId="58507251" w14:textId="75474B0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46.9%</w:t>
            </w:r>
          </w:p>
        </w:tc>
        <w:tc>
          <w:tcPr>
            <w:tcW w:w="1000" w:type="dxa"/>
            <w:shd w:val="clear" w:color="auto" w:fill="F2F2F2" w:themeFill="background1" w:themeFillShade="F2"/>
            <w:noWrap/>
            <w:vAlign w:val="center"/>
            <w:hideMark/>
          </w:tcPr>
          <w:p w14:paraId="213E6DA3" w14:textId="4B66049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46.3%</w:t>
            </w:r>
          </w:p>
        </w:tc>
        <w:tc>
          <w:tcPr>
            <w:tcW w:w="890" w:type="dxa"/>
            <w:shd w:val="clear" w:color="auto" w:fill="F2F2F2" w:themeFill="background1" w:themeFillShade="F2"/>
            <w:noWrap/>
            <w:vAlign w:val="center"/>
            <w:hideMark/>
          </w:tcPr>
          <w:p w14:paraId="7300C261" w14:textId="5FE2EDD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38.5%</w:t>
            </w:r>
          </w:p>
        </w:tc>
        <w:tc>
          <w:tcPr>
            <w:tcW w:w="810" w:type="dxa"/>
            <w:shd w:val="clear" w:color="auto" w:fill="F2F2F2" w:themeFill="background1" w:themeFillShade="F2"/>
            <w:noWrap/>
            <w:vAlign w:val="center"/>
            <w:hideMark/>
          </w:tcPr>
          <w:p w14:paraId="7F2DFDF8" w14:textId="3F387B8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44.1%</w:t>
            </w:r>
          </w:p>
        </w:tc>
        <w:tc>
          <w:tcPr>
            <w:tcW w:w="662" w:type="dxa"/>
            <w:shd w:val="clear" w:color="auto" w:fill="F2F2F2" w:themeFill="background1" w:themeFillShade="F2"/>
            <w:noWrap/>
            <w:vAlign w:val="center"/>
            <w:hideMark/>
          </w:tcPr>
          <w:p w14:paraId="22750151" w14:textId="67897F2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44.3%</w:t>
            </w:r>
          </w:p>
        </w:tc>
        <w:tc>
          <w:tcPr>
            <w:tcW w:w="737" w:type="dxa"/>
            <w:shd w:val="clear" w:color="auto" w:fill="F2F2F2" w:themeFill="background1" w:themeFillShade="F2"/>
            <w:noWrap/>
            <w:vAlign w:val="center"/>
            <w:hideMark/>
          </w:tcPr>
          <w:p w14:paraId="7DC03B64" w14:textId="2D4D5BA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36.8%</w:t>
            </w:r>
          </w:p>
        </w:tc>
        <w:tc>
          <w:tcPr>
            <w:tcW w:w="662" w:type="dxa"/>
            <w:shd w:val="clear" w:color="auto" w:fill="F2F2F2" w:themeFill="background1" w:themeFillShade="F2"/>
            <w:noWrap/>
            <w:vAlign w:val="center"/>
            <w:hideMark/>
          </w:tcPr>
          <w:p w14:paraId="52B369A8" w14:textId="306356F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42.5%</w:t>
            </w:r>
          </w:p>
        </w:tc>
        <w:tc>
          <w:tcPr>
            <w:tcW w:w="662" w:type="dxa"/>
            <w:shd w:val="clear" w:color="auto" w:fill="F2F2F2" w:themeFill="background1" w:themeFillShade="F2"/>
            <w:noWrap/>
            <w:vAlign w:val="center"/>
            <w:hideMark/>
          </w:tcPr>
          <w:p w14:paraId="47E93576" w14:textId="585B2B8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48.1%</w:t>
            </w:r>
          </w:p>
        </w:tc>
        <w:tc>
          <w:tcPr>
            <w:tcW w:w="990" w:type="dxa"/>
            <w:shd w:val="clear" w:color="auto" w:fill="F2F2F2" w:themeFill="background1" w:themeFillShade="F2"/>
            <w:noWrap/>
            <w:vAlign w:val="center"/>
            <w:hideMark/>
          </w:tcPr>
          <w:p w14:paraId="58B4CB21" w14:textId="79718F9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42.8%</w:t>
            </w:r>
          </w:p>
        </w:tc>
        <w:tc>
          <w:tcPr>
            <w:tcW w:w="662" w:type="dxa"/>
            <w:shd w:val="clear" w:color="auto" w:fill="F2F2F2" w:themeFill="background1" w:themeFillShade="F2"/>
            <w:noWrap/>
            <w:vAlign w:val="center"/>
            <w:hideMark/>
          </w:tcPr>
          <w:p w14:paraId="2AE193F8" w14:textId="1B4AE9C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33.1%</w:t>
            </w:r>
          </w:p>
        </w:tc>
        <w:tc>
          <w:tcPr>
            <w:tcW w:w="662" w:type="dxa"/>
            <w:tcBorders>
              <w:bottom w:val="single" w:sz="4" w:space="0" w:color="auto"/>
            </w:tcBorders>
            <w:shd w:val="clear" w:color="auto" w:fill="F2F2F2" w:themeFill="background1" w:themeFillShade="F2"/>
            <w:noWrap/>
            <w:vAlign w:val="center"/>
            <w:hideMark/>
          </w:tcPr>
          <w:p w14:paraId="2AF668E9" w14:textId="5EA05D2C"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41.2%</w:t>
            </w:r>
          </w:p>
        </w:tc>
        <w:tc>
          <w:tcPr>
            <w:tcW w:w="755" w:type="dxa"/>
            <w:tcBorders>
              <w:bottom w:val="single" w:sz="4" w:space="0" w:color="auto"/>
            </w:tcBorders>
            <w:shd w:val="clear" w:color="auto" w:fill="F2F2F2" w:themeFill="background1" w:themeFillShade="F2"/>
            <w:noWrap/>
            <w:vAlign w:val="center"/>
            <w:hideMark/>
          </w:tcPr>
          <w:p w14:paraId="4A2387FD" w14:textId="6B79F572"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37.2%</w:t>
            </w:r>
          </w:p>
        </w:tc>
        <w:tc>
          <w:tcPr>
            <w:tcW w:w="1042" w:type="dxa"/>
            <w:tcBorders>
              <w:bottom w:val="single" w:sz="4" w:space="0" w:color="auto"/>
            </w:tcBorders>
            <w:shd w:val="clear" w:color="auto" w:fill="F2F2F2" w:themeFill="background1" w:themeFillShade="F2"/>
            <w:noWrap/>
            <w:vAlign w:val="center"/>
            <w:hideMark/>
          </w:tcPr>
          <w:p w14:paraId="5024CA7A" w14:textId="222BF015"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43.2%</w:t>
            </w:r>
          </w:p>
        </w:tc>
      </w:tr>
      <w:tr w:rsidR="00255A16" w:rsidRPr="00A77490" w14:paraId="5CD42B01" w14:textId="77777777" w:rsidTr="006347D4">
        <w:trPr>
          <w:trHeight w:val="520"/>
        </w:trPr>
        <w:tc>
          <w:tcPr>
            <w:tcW w:w="720" w:type="dxa"/>
            <w:shd w:val="clear" w:color="auto" w:fill="auto"/>
            <w:noWrap/>
            <w:hideMark/>
          </w:tcPr>
          <w:p w14:paraId="62F10DDB" w14:textId="77777777" w:rsidR="00273F52" w:rsidRPr="00A77490" w:rsidRDefault="00273F52" w:rsidP="00273F52">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54AD69CB" w14:textId="77777777" w:rsidR="00273F52" w:rsidRPr="00A77490" w:rsidRDefault="00273F52" w:rsidP="00273F52">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Health-Related Social Needs Screening  </w:t>
            </w:r>
          </w:p>
        </w:tc>
        <w:tc>
          <w:tcPr>
            <w:tcW w:w="810" w:type="dxa"/>
            <w:shd w:val="clear" w:color="auto" w:fill="auto"/>
            <w:noWrap/>
            <w:vAlign w:val="center"/>
            <w:hideMark/>
          </w:tcPr>
          <w:p w14:paraId="1BC0656B" w14:textId="23330EE2"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18.4%</w:t>
            </w:r>
          </w:p>
        </w:tc>
        <w:tc>
          <w:tcPr>
            <w:tcW w:w="662" w:type="dxa"/>
            <w:shd w:val="clear" w:color="auto" w:fill="auto"/>
            <w:noWrap/>
            <w:vAlign w:val="center"/>
            <w:hideMark/>
          </w:tcPr>
          <w:p w14:paraId="3EFF7717" w14:textId="2BBA8208"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w:t>
            </w:r>
          </w:p>
        </w:tc>
        <w:tc>
          <w:tcPr>
            <w:tcW w:w="662" w:type="dxa"/>
            <w:shd w:val="clear" w:color="auto" w:fill="auto"/>
            <w:noWrap/>
            <w:vAlign w:val="center"/>
            <w:hideMark/>
          </w:tcPr>
          <w:p w14:paraId="69887030" w14:textId="0A815E8B"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w:t>
            </w:r>
          </w:p>
        </w:tc>
        <w:tc>
          <w:tcPr>
            <w:tcW w:w="662" w:type="dxa"/>
            <w:shd w:val="clear" w:color="auto" w:fill="auto"/>
            <w:noWrap/>
            <w:vAlign w:val="center"/>
            <w:hideMark/>
          </w:tcPr>
          <w:p w14:paraId="3244E28A" w14:textId="57991624"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auto"/>
            <w:noWrap/>
            <w:vAlign w:val="center"/>
            <w:hideMark/>
          </w:tcPr>
          <w:p w14:paraId="17B3A0B3" w14:textId="5DFBC374"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w:t>
            </w:r>
          </w:p>
        </w:tc>
        <w:tc>
          <w:tcPr>
            <w:tcW w:w="952" w:type="dxa"/>
            <w:shd w:val="clear" w:color="auto" w:fill="auto"/>
            <w:noWrap/>
            <w:vAlign w:val="center"/>
            <w:hideMark/>
          </w:tcPr>
          <w:p w14:paraId="6128C153" w14:textId="1AC09FC5"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w:t>
            </w:r>
          </w:p>
        </w:tc>
        <w:tc>
          <w:tcPr>
            <w:tcW w:w="868" w:type="dxa"/>
            <w:shd w:val="clear" w:color="auto" w:fill="auto"/>
            <w:noWrap/>
            <w:vAlign w:val="center"/>
            <w:hideMark/>
          </w:tcPr>
          <w:p w14:paraId="738D863C" w14:textId="165579D8"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19.5%</w:t>
            </w:r>
          </w:p>
        </w:tc>
        <w:tc>
          <w:tcPr>
            <w:tcW w:w="662" w:type="dxa"/>
            <w:shd w:val="clear" w:color="auto" w:fill="auto"/>
            <w:noWrap/>
            <w:vAlign w:val="center"/>
            <w:hideMark/>
          </w:tcPr>
          <w:p w14:paraId="17639A05" w14:textId="14848F3A"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14.6%</w:t>
            </w:r>
          </w:p>
        </w:tc>
        <w:tc>
          <w:tcPr>
            <w:tcW w:w="688" w:type="dxa"/>
            <w:shd w:val="clear" w:color="auto" w:fill="auto"/>
            <w:noWrap/>
            <w:vAlign w:val="center"/>
            <w:hideMark/>
          </w:tcPr>
          <w:p w14:paraId="63186CC8" w14:textId="4D2C3C14"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w:t>
            </w:r>
          </w:p>
        </w:tc>
        <w:tc>
          <w:tcPr>
            <w:tcW w:w="1000" w:type="dxa"/>
            <w:shd w:val="clear" w:color="auto" w:fill="auto"/>
            <w:noWrap/>
            <w:vAlign w:val="center"/>
            <w:hideMark/>
          </w:tcPr>
          <w:p w14:paraId="3B1232FC" w14:textId="4D749577"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47.4%</w:t>
            </w:r>
          </w:p>
        </w:tc>
        <w:tc>
          <w:tcPr>
            <w:tcW w:w="890" w:type="dxa"/>
            <w:shd w:val="clear" w:color="auto" w:fill="auto"/>
            <w:noWrap/>
            <w:vAlign w:val="center"/>
            <w:hideMark/>
          </w:tcPr>
          <w:p w14:paraId="443AD0D4" w14:textId="0F82A22E"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29.4%</w:t>
            </w:r>
          </w:p>
        </w:tc>
        <w:tc>
          <w:tcPr>
            <w:tcW w:w="810" w:type="dxa"/>
            <w:shd w:val="clear" w:color="auto" w:fill="auto"/>
            <w:noWrap/>
            <w:vAlign w:val="center"/>
            <w:hideMark/>
          </w:tcPr>
          <w:p w14:paraId="1F6A2258" w14:textId="5A51860D"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18.7%</w:t>
            </w:r>
          </w:p>
        </w:tc>
        <w:tc>
          <w:tcPr>
            <w:tcW w:w="662" w:type="dxa"/>
            <w:shd w:val="clear" w:color="auto" w:fill="auto"/>
            <w:noWrap/>
            <w:vAlign w:val="center"/>
            <w:hideMark/>
          </w:tcPr>
          <w:p w14:paraId="45B44ED4" w14:textId="38DF93C6"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0.2%</w:t>
            </w:r>
          </w:p>
        </w:tc>
        <w:tc>
          <w:tcPr>
            <w:tcW w:w="737" w:type="dxa"/>
            <w:shd w:val="clear" w:color="auto" w:fill="auto"/>
            <w:noWrap/>
            <w:vAlign w:val="center"/>
            <w:hideMark/>
          </w:tcPr>
          <w:p w14:paraId="3140F215" w14:textId="2CE7D930"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13.4%</w:t>
            </w:r>
          </w:p>
        </w:tc>
        <w:tc>
          <w:tcPr>
            <w:tcW w:w="662" w:type="dxa"/>
            <w:shd w:val="clear" w:color="auto" w:fill="auto"/>
            <w:noWrap/>
            <w:vAlign w:val="center"/>
            <w:hideMark/>
          </w:tcPr>
          <w:p w14:paraId="2393EC04" w14:textId="3ED85A1F"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23.6%</w:t>
            </w:r>
          </w:p>
        </w:tc>
        <w:tc>
          <w:tcPr>
            <w:tcW w:w="662" w:type="dxa"/>
            <w:shd w:val="clear" w:color="000000" w:fill="FFFFFF"/>
            <w:noWrap/>
            <w:vAlign w:val="center"/>
            <w:hideMark/>
          </w:tcPr>
          <w:p w14:paraId="7CD22DDD" w14:textId="40C1CDB0"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17.3%</w:t>
            </w:r>
          </w:p>
        </w:tc>
        <w:tc>
          <w:tcPr>
            <w:tcW w:w="990" w:type="dxa"/>
            <w:shd w:val="clear" w:color="000000" w:fill="FFFFFF"/>
            <w:noWrap/>
            <w:vAlign w:val="center"/>
            <w:hideMark/>
          </w:tcPr>
          <w:p w14:paraId="26368461" w14:textId="2A07521B"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w:t>
            </w:r>
          </w:p>
        </w:tc>
        <w:tc>
          <w:tcPr>
            <w:tcW w:w="662" w:type="dxa"/>
            <w:tcBorders>
              <w:right w:val="single" w:sz="4" w:space="0" w:color="auto"/>
            </w:tcBorders>
            <w:shd w:val="clear" w:color="000000" w:fill="FFFFFF"/>
            <w:noWrap/>
            <w:vAlign w:val="center"/>
            <w:hideMark/>
          </w:tcPr>
          <w:p w14:paraId="148131EA" w14:textId="04432B01" w:rsidR="00273F52" w:rsidRPr="00770E94" w:rsidRDefault="00273F52" w:rsidP="00273F52">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B64AC15" w14:textId="22ACB5C3" w:rsidR="00273F52" w:rsidRPr="00273F52" w:rsidRDefault="00273F52" w:rsidP="00273F52">
            <w:pPr>
              <w:spacing w:after="0"/>
              <w:jc w:val="center"/>
              <w:rPr>
                <w:color w:val="000000"/>
              </w:rPr>
            </w:pPr>
            <w:r w:rsidRPr="00273F52">
              <w:rPr>
                <w:color w:val="000000"/>
              </w:rPr>
              <w:t> </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02A85CF" w14:textId="795A454D" w:rsidR="00273F52" w:rsidRPr="00273F52" w:rsidRDefault="00273F52" w:rsidP="00273F52">
            <w:pPr>
              <w:spacing w:after="0"/>
              <w:jc w:val="center"/>
              <w:rPr>
                <w:color w:val="000000"/>
              </w:rPr>
            </w:pPr>
            <w:r w:rsidRPr="00273F52">
              <w:rPr>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A5C2A6C" w14:textId="7D79340B" w:rsidR="00273F52" w:rsidRPr="00273F52" w:rsidRDefault="00273F52" w:rsidP="00273F52">
            <w:pPr>
              <w:spacing w:after="0"/>
              <w:jc w:val="center"/>
              <w:rPr>
                <w:color w:val="000000"/>
              </w:rPr>
            </w:pPr>
            <w:r w:rsidRPr="00273F52">
              <w:rPr>
                <w:color w:val="000000"/>
              </w:rPr>
              <w:t> </w:t>
            </w:r>
          </w:p>
        </w:tc>
      </w:tr>
      <w:tr w:rsidR="00255A16" w:rsidRPr="00A77490" w14:paraId="5A022EB5" w14:textId="77777777" w:rsidTr="006347D4">
        <w:trPr>
          <w:trHeight w:val="310"/>
        </w:trPr>
        <w:tc>
          <w:tcPr>
            <w:tcW w:w="720" w:type="dxa"/>
            <w:shd w:val="clear" w:color="auto" w:fill="F2F2F2" w:themeFill="background1" w:themeFillShade="F2"/>
            <w:noWrap/>
            <w:hideMark/>
          </w:tcPr>
          <w:p w14:paraId="5282A0ED"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CBP</w:t>
            </w:r>
          </w:p>
        </w:tc>
        <w:tc>
          <w:tcPr>
            <w:tcW w:w="2700" w:type="dxa"/>
            <w:shd w:val="clear" w:color="auto" w:fill="F2F2F2" w:themeFill="background1" w:themeFillShade="F2"/>
            <w:hideMark/>
          </w:tcPr>
          <w:p w14:paraId="78647C96"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Controlling High Blood Pressure  </w:t>
            </w:r>
          </w:p>
        </w:tc>
        <w:tc>
          <w:tcPr>
            <w:tcW w:w="810" w:type="dxa"/>
            <w:shd w:val="clear" w:color="auto" w:fill="F2F2F2" w:themeFill="background1" w:themeFillShade="F2"/>
            <w:noWrap/>
            <w:vAlign w:val="center"/>
            <w:hideMark/>
          </w:tcPr>
          <w:p w14:paraId="420C7430" w14:textId="0FB8636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61.4%</w:t>
            </w:r>
          </w:p>
        </w:tc>
        <w:tc>
          <w:tcPr>
            <w:tcW w:w="662" w:type="dxa"/>
            <w:shd w:val="clear" w:color="auto" w:fill="F2F2F2" w:themeFill="background1" w:themeFillShade="F2"/>
            <w:noWrap/>
            <w:vAlign w:val="center"/>
            <w:hideMark/>
          </w:tcPr>
          <w:p w14:paraId="72D22C47" w14:textId="09B783E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59.4%</w:t>
            </w:r>
          </w:p>
        </w:tc>
        <w:tc>
          <w:tcPr>
            <w:tcW w:w="662" w:type="dxa"/>
            <w:shd w:val="clear" w:color="auto" w:fill="F2F2F2" w:themeFill="background1" w:themeFillShade="F2"/>
            <w:noWrap/>
            <w:vAlign w:val="center"/>
            <w:hideMark/>
          </w:tcPr>
          <w:p w14:paraId="03F98DA4" w14:textId="5AAF216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69.1%</w:t>
            </w:r>
          </w:p>
        </w:tc>
        <w:tc>
          <w:tcPr>
            <w:tcW w:w="662" w:type="dxa"/>
            <w:shd w:val="clear" w:color="auto" w:fill="F2F2F2" w:themeFill="background1" w:themeFillShade="F2"/>
            <w:noWrap/>
            <w:vAlign w:val="center"/>
            <w:hideMark/>
          </w:tcPr>
          <w:p w14:paraId="17BB8B25" w14:textId="4BD675A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58.2%</w:t>
            </w:r>
          </w:p>
        </w:tc>
        <w:tc>
          <w:tcPr>
            <w:tcW w:w="662" w:type="dxa"/>
            <w:shd w:val="clear" w:color="auto" w:fill="F2F2F2" w:themeFill="background1" w:themeFillShade="F2"/>
            <w:noWrap/>
            <w:vAlign w:val="center"/>
            <w:hideMark/>
          </w:tcPr>
          <w:p w14:paraId="10D5D79F" w14:textId="545E152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60.6%</w:t>
            </w:r>
          </w:p>
        </w:tc>
        <w:tc>
          <w:tcPr>
            <w:tcW w:w="952" w:type="dxa"/>
            <w:shd w:val="clear" w:color="auto" w:fill="F2F2F2" w:themeFill="background1" w:themeFillShade="F2"/>
            <w:noWrap/>
            <w:vAlign w:val="center"/>
            <w:hideMark/>
          </w:tcPr>
          <w:p w14:paraId="76BDA5AE" w14:textId="1D00F09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61.6%</w:t>
            </w:r>
          </w:p>
        </w:tc>
        <w:tc>
          <w:tcPr>
            <w:tcW w:w="868" w:type="dxa"/>
            <w:shd w:val="clear" w:color="auto" w:fill="F2F2F2" w:themeFill="background1" w:themeFillShade="F2"/>
            <w:noWrap/>
            <w:vAlign w:val="center"/>
            <w:hideMark/>
          </w:tcPr>
          <w:p w14:paraId="648A09E2" w14:textId="1711EFA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65.5%</w:t>
            </w:r>
          </w:p>
        </w:tc>
        <w:tc>
          <w:tcPr>
            <w:tcW w:w="662" w:type="dxa"/>
            <w:shd w:val="clear" w:color="auto" w:fill="F2F2F2" w:themeFill="background1" w:themeFillShade="F2"/>
            <w:noWrap/>
            <w:vAlign w:val="center"/>
            <w:hideMark/>
          </w:tcPr>
          <w:p w14:paraId="1EA9FEBE" w14:textId="450BB87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57.9%</w:t>
            </w:r>
          </w:p>
        </w:tc>
        <w:tc>
          <w:tcPr>
            <w:tcW w:w="688" w:type="dxa"/>
            <w:shd w:val="clear" w:color="auto" w:fill="F2F2F2" w:themeFill="background1" w:themeFillShade="F2"/>
            <w:noWrap/>
            <w:vAlign w:val="center"/>
            <w:hideMark/>
          </w:tcPr>
          <w:p w14:paraId="7A9E781E" w14:textId="4075B82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60.3%</w:t>
            </w:r>
          </w:p>
        </w:tc>
        <w:tc>
          <w:tcPr>
            <w:tcW w:w="1000" w:type="dxa"/>
            <w:shd w:val="clear" w:color="auto" w:fill="F2F2F2" w:themeFill="background1" w:themeFillShade="F2"/>
            <w:noWrap/>
            <w:vAlign w:val="center"/>
            <w:hideMark/>
          </w:tcPr>
          <w:p w14:paraId="2C730079" w14:textId="5D48048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59.7%</w:t>
            </w:r>
          </w:p>
        </w:tc>
        <w:tc>
          <w:tcPr>
            <w:tcW w:w="890" w:type="dxa"/>
            <w:shd w:val="clear" w:color="auto" w:fill="F2F2F2" w:themeFill="background1" w:themeFillShade="F2"/>
            <w:noWrap/>
            <w:vAlign w:val="center"/>
            <w:hideMark/>
          </w:tcPr>
          <w:p w14:paraId="52E5F93F" w14:textId="3B43F88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57.4%</w:t>
            </w:r>
          </w:p>
        </w:tc>
        <w:tc>
          <w:tcPr>
            <w:tcW w:w="810" w:type="dxa"/>
            <w:shd w:val="clear" w:color="auto" w:fill="F2F2F2" w:themeFill="background1" w:themeFillShade="F2"/>
            <w:noWrap/>
            <w:vAlign w:val="center"/>
            <w:hideMark/>
          </w:tcPr>
          <w:p w14:paraId="5B97D72D" w14:textId="02D6205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F2F2F2" w:themeFill="background1" w:themeFillShade="F2"/>
            <w:noWrap/>
            <w:vAlign w:val="center"/>
            <w:hideMark/>
          </w:tcPr>
          <w:p w14:paraId="6B26CBC3" w14:textId="026B283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69.0%</w:t>
            </w:r>
          </w:p>
        </w:tc>
        <w:tc>
          <w:tcPr>
            <w:tcW w:w="737" w:type="dxa"/>
            <w:shd w:val="clear" w:color="auto" w:fill="F2F2F2" w:themeFill="background1" w:themeFillShade="F2"/>
            <w:noWrap/>
            <w:vAlign w:val="center"/>
            <w:hideMark/>
          </w:tcPr>
          <w:p w14:paraId="4A63DFB1" w14:textId="6F6B3BA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70.8%</w:t>
            </w:r>
          </w:p>
        </w:tc>
        <w:tc>
          <w:tcPr>
            <w:tcW w:w="662" w:type="dxa"/>
            <w:shd w:val="clear" w:color="auto" w:fill="F2F2F2" w:themeFill="background1" w:themeFillShade="F2"/>
            <w:noWrap/>
            <w:vAlign w:val="center"/>
            <w:hideMark/>
          </w:tcPr>
          <w:p w14:paraId="748959D9" w14:textId="2640DE5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51.3%</w:t>
            </w:r>
          </w:p>
        </w:tc>
        <w:tc>
          <w:tcPr>
            <w:tcW w:w="662" w:type="dxa"/>
            <w:shd w:val="clear" w:color="auto" w:fill="F2F2F2" w:themeFill="background1" w:themeFillShade="F2"/>
            <w:noWrap/>
            <w:vAlign w:val="center"/>
            <w:hideMark/>
          </w:tcPr>
          <w:p w14:paraId="5448BDC9" w14:textId="3BAF09C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68.6%</w:t>
            </w:r>
          </w:p>
        </w:tc>
        <w:tc>
          <w:tcPr>
            <w:tcW w:w="990" w:type="dxa"/>
            <w:shd w:val="clear" w:color="auto" w:fill="F2F2F2" w:themeFill="background1" w:themeFillShade="F2"/>
            <w:noWrap/>
            <w:vAlign w:val="center"/>
            <w:hideMark/>
          </w:tcPr>
          <w:p w14:paraId="05A5ADDA" w14:textId="248DD68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68.1%</w:t>
            </w:r>
          </w:p>
        </w:tc>
        <w:tc>
          <w:tcPr>
            <w:tcW w:w="662" w:type="dxa"/>
            <w:shd w:val="clear" w:color="auto" w:fill="F2F2F2" w:themeFill="background1" w:themeFillShade="F2"/>
            <w:noWrap/>
            <w:vAlign w:val="center"/>
            <w:hideMark/>
          </w:tcPr>
          <w:p w14:paraId="400B31E7" w14:textId="0F6A388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54.7%</w:t>
            </w:r>
          </w:p>
        </w:tc>
        <w:tc>
          <w:tcPr>
            <w:tcW w:w="662" w:type="dxa"/>
            <w:tcBorders>
              <w:top w:val="single" w:sz="4" w:space="0" w:color="auto"/>
            </w:tcBorders>
            <w:shd w:val="clear" w:color="auto" w:fill="F2F2F2" w:themeFill="background1" w:themeFillShade="F2"/>
            <w:noWrap/>
            <w:vAlign w:val="center"/>
            <w:hideMark/>
          </w:tcPr>
          <w:p w14:paraId="08863D1E" w14:textId="2DCEE16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39.0%</w:t>
            </w:r>
          </w:p>
        </w:tc>
        <w:tc>
          <w:tcPr>
            <w:tcW w:w="755" w:type="dxa"/>
            <w:tcBorders>
              <w:top w:val="single" w:sz="4" w:space="0" w:color="auto"/>
            </w:tcBorders>
            <w:shd w:val="clear" w:color="auto" w:fill="F2F2F2" w:themeFill="background1" w:themeFillShade="F2"/>
            <w:noWrap/>
            <w:vAlign w:val="center"/>
            <w:hideMark/>
          </w:tcPr>
          <w:p w14:paraId="20E36558" w14:textId="5E87BBF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25.9%</w:t>
            </w:r>
          </w:p>
        </w:tc>
        <w:tc>
          <w:tcPr>
            <w:tcW w:w="1042" w:type="dxa"/>
            <w:tcBorders>
              <w:top w:val="single" w:sz="4" w:space="0" w:color="auto"/>
            </w:tcBorders>
            <w:shd w:val="clear" w:color="auto" w:fill="F2F2F2" w:themeFill="background1" w:themeFillShade="F2"/>
            <w:noWrap/>
            <w:vAlign w:val="center"/>
            <w:hideMark/>
          </w:tcPr>
          <w:p w14:paraId="4EB39259" w14:textId="676102E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52.1%</w:t>
            </w:r>
          </w:p>
        </w:tc>
      </w:tr>
      <w:tr w:rsidR="00EF4C5F" w:rsidRPr="00A77490" w14:paraId="706F6AD2" w14:textId="77777777" w:rsidTr="006347D4">
        <w:trPr>
          <w:trHeight w:val="310"/>
        </w:trPr>
        <w:tc>
          <w:tcPr>
            <w:tcW w:w="720" w:type="dxa"/>
            <w:shd w:val="clear" w:color="auto" w:fill="auto"/>
            <w:noWrap/>
            <w:hideMark/>
          </w:tcPr>
          <w:p w14:paraId="20C6AF72"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AMR</w:t>
            </w:r>
          </w:p>
        </w:tc>
        <w:tc>
          <w:tcPr>
            <w:tcW w:w="2700" w:type="dxa"/>
            <w:shd w:val="clear" w:color="auto" w:fill="auto"/>
            <w:hideMark/>
          </w:tcPr>
          <w:p w14:paraId="01456C27"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Asthma Medication Ratio  </w:t>
            </w:r>
          </w:p>
        </w:tc>
        <w:tc>
          <w:tcPr>
            <w:tcW w:w="810" w:type="dxa"/>
            <w:shd w:val="clear" w:color="auto" w:fill="auto"/>
            <w:noWrap/>
            <w:vAlign w:val="center"/>
            <w:hideMark/>
          </w:tcPr>
          <w:p w14:paraId="5F52CF6F" w14:textId="41710A0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59.5%</w:t>
            </w:r>
          </w:p>
        </w:tc>
        <w:tc>
          <w:tcPr>
            <w:tcW w:w="662" w:type="dxa"/>
            <w:shd w:val="clear" w:color="auto" w:fill="auto"/>
            <w:noWrap/>
            <w:vAlign w:val="center"/>
            <w:hideMark/>
          </w:tcPr>
          <w:p w14:paraId="06ECC92B" w14:textId="343674B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44EE2E85" w14:textId="380C923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79.9%</w:t>
            </w:r>
          </w:p>
        </w:tc>
        <w:tc>
          <w:tcPr>
            <w:tcW w:w="662" w:type="dxa"/>
            <w:shd w:val="clear" w:color="auto" w:fill="auto"/>
            <w:noWrap/>
            <w:vAlign w:val="center"/>
            <w:hideMark/>
          </w:tcPr>
          <w:p w14:paraId="007B6B21" w14:textId="2B1BB53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77.6%</w:t>
            </w:r>
          </w:p>
        </w:tc>
        <w:tc>
          <w:tcPr>
            <w:tcW w:w="662" w:type="dxa"/>
            <w:shd w:val="clear" w:color="auto" w:fill="auto"/>
            <w:noWrap/>
            <w:vAlign w:val="center"/>
            <w:hideMark/>
          </w:tcPr>
          <w:p w14:paraId="19C9770E" w14:textId="6712B67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57.3%</w:t>
            </w:r>
          </w:p>
        </w:tc>
        <w:tc>
          <w:tcPr>
            <w:tcW w:w="952" w:type="dxa"/>
            <w:shd w:val="clear" w:color="auto" w:fill="auto"/>
            <w:noWrap/>
            <w:vAlign w:val="center"/>
            <w:hideMark/>
          </w:tcPr>
          <w:p w14:paraId="60E9120D" w14:textId="0EB3556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58.5%</w:t>
            </w:r>
          </w:p>
        </w:tc>
        <w:tc>
          <w:tcPr>
            <w:tcW w:w="868" w:type="dxa"/>
            <w:shd w:val="clear" w:color="auto" w:fill="auto"/>
            <w:noWrap/>
            <w:vAlign w:val="center"/>
            <w:hideMark/>
          </w:tcPr>
          <w:p w14:paraId="68666A61" w14:textId="5FB3CB6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63.5%</w:t>
            </w:r>
          </w:p>
        </w:tc>
        <w:tc>
          <w:tcPr>
            <w:tcW w:w="662" w:type="dxa"/>
            <w:shd w:val="clear" w:color="auto" w:fill="auto"/>
            <w:noWrap/>
            <w:vAlign w:val="center"/>
            <w:hideMark/>
          </w:tcPr>
          <w:p w14:paraId="3C0BF1BE" w14:textId="7F4D85D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59.0%</w:t>
            </w:r>
          </w:p>
        </w:tc>
        <w:tc>
          <w:tcPr>
            <w:tcW w:w="688" w:type="dxa"/>
            <w:shd w:val="clear" w:color="auto" w:fill="auto"/>
            <w:noWrap/>
            <w:vAlign w:val="center"/>
            <w:hideMark/>
          </w:tcPr>
          <w:p w14:paraId="3145CC15" w14:textId="27AB9A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51.2%</w:t>
            </w:r>
          </w:p>
        </w:tc>
        <w:tc>
          <w:tcPr>
            <w:tcW w:w="1000" w:type="dxa"/>
            <w:shd w:val="clear" w:color="auto" w:fill="auto"/>
            <w:noWrap/>
            <w:vAlign w:val="center"/>
            <w:hideMark/>
          </w:tcPr>
          <w:p w14:paraId="5DB31519" w14:textId="257992C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73.0%</w:t>
            </w:r>
          </w:p>
        </w:tc>
        <w:tc>
          <w:tcPr>
            <w:tcW w:w="890" w:type="dxa"/>
            <w:shd w:val="clear" w:color="auto" w:fill="auto"/>
            <w:noWrap/>
            <w:vAlign w:val="center"/>
            <w:hideMark/>
          </w:tcPr>
          <w:p w14:paraId="3A3D4742" w14:textId="712039E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54.2%</w:t>
            </w:r>
          </w:p>
        </w:tc>
        <w:tc>
          <w:tcPr>
            <w:tcW w:w="810" w:type="dxa"/>
            <w:shd w:val="clear" w:color="auto" w:fill="auto"/>
            <w:noWrap/>
            <w:vAlign w:val="center"/>
            <w:hideMark/>
          </w:tcPr>
          <w:p w14:paraId="5BE38D63" w14:textId="368E94D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65.5%</w:t>
            </w:r>
          </w:p>
        </w:tc>
        <w:tc>
          <w:tcPr>
            <w:tcW w:w="662" w:type="dxa"/>
            <w:shd w:val="clear" w:color="auto" w:fill="auto"/>
            <w:noWrap/>
            <w:vAlign w:val="center"/>
            <w:hideMark/>
          </w:tcPr>
          <w:p w14:paraId="43B3E3B5" w14:textId="0470AFB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50.4%</w:t>
            </w:r>
          </w:p>
        </w:tc>
        <w:tc>
          <w:tcPr>
            <w:tcW w:w="737" w:type="dxa"/>
            <w:shd w:val="clear" w:color="auto" w:fill="auto"/>
            <w:noWrap/>
            <w:vAlign w:val="center"/>
            <w:hideMark/>
          </w:tcPr>
          <w:p w14:paraId="6733814D" w14:textId="4C1CC15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47.6%</w:t>
            </w:r>
          </w:p>
        </w:tc>
        <w:tc>
          <w:tcPr>
            <w:tcW w:w="662" w:type="dxa"/>
            <w:shd w:val="clear" w:color="auto" w:fill="auto"/>
            <w:noWrap/>
            <w:vAlign w:val="center"/>
            <w:hideMark/>
          </w:tcPr>
          <w:p w14:paraId="3DF44C0D" w14:textId="2BA8A53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57.6%</w:t>
            </w:r>
          </w:p>
        </w:tc>
        <w:tc>
          <w:tcPr>
            <w:tcW w:w="662" w:type="dxa"/>
            <w:shd w:val="clear" w:color="auto" w:fill="auto"/>
            <w:noWrap/>
            <w:vAlign w:val="center"/>
            <w:hideMark/>
          </w:tcPr>
          <w:p w14:paraId="601669D5" w14:textId="0A239B0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55.9%</w:t>
            </w:r>
          </w:p>
        </w:tc>
        <w:tc>
          <w:tcPr>
            <w:tcW w:w="990" w:type="dxa"/>
            <w:shd w:val="clear" w:color="auto" w:fill="auto"/>
            <w:noWrap/>
            <w:vAlign w:val="center"/>
            <w:hideMark/>
          </w:tcPr>
          <w:p w14:paraId="56E70BC9" w14:textId="5ACB28B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55.9%</w:t>
            </w:r>
          </w:p>
        </w:tc>
        <w:tc>
          <w:tcPr>
            <w:tcW w:w="662" w:type="dxa"/>
            <w:shd w:val="clear" w:color="auto" w:fill="auto"/>
            <w:noWrap/>
            <w:vAlign w:val="center"/>
            <w:hideMark/>
          </w:tcPr>
          <w:p w14:paraId="78BBFE13" w14:textId="7A8BB5E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47.7%</w:t>
            </w:r>
          </w:p>
        </w:tc>
        <w:tc>
          <w:tcPr>
            <w:tcW w:w="662" w:type="dxa"/>
            <w:shd w:val="clear" w:color="auto" w:fill="auto"/>
            <w:noWrap/>
            <w:vAlign w:val="center"/>
            <w:hideMark/>
          </w:tcPr>
          <w:p w14:paraId="5F0F19DC" w14:textId="0D115AE9"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55.7%</w:t>
            </w:r>
          </w:p>
        </w:tc>
        <w:tc>
          <w:tcPr>
            <w:tcW w:w="755" w:type="dxa"/>
            <w:shd w:val="clear" w:color="auto" w:fill="auto"/>
            <w:noWrap/>
            <w:vAlign w:val="center"/>
            <w:hideMark/>
          </w:tcPr>
          <w:p w14:paraId="615FE99B" w14:textId="43203B3D"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50.8%</w:t>
            </w:r>
          </w:p>
        </w:tc>
        <w:tc>
          <w:tcPr>
            <w:tcW w:w="1042" w:type="dxa"/>
            <w:shd w:val="clear" w:color="auto" w:fill="auto"/>
            <w:noWrap/>
            <w:vAlign w:val="center"/>
            <w:hideMark/>
          </w:tcPr>
          <w:p w14:paraId="3791D399" w14:textId="39C6B43E"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57.3%</w:t>
            </w:r>
          </w:p>
        </w:tc>
      </w:tr>
      <w:tr w:rsidR="00255A16" w:rsidRPr="00A77490" w14:paraId="219DAC80" w14:textId="77777777" w:rsidTr="006347D4">
        <w:trPr>
          <w:trHeight w:val="520"/>
        </w:trPr>
        <w:tc>
          <w:tcPr>
            <w:tcW w:w="720" w:type="dxa"/>
            <w:shd w:val="clear" w:color="auto" w:fill="F2F2F2" w:themeFill="background1" w:themeFillShade="F2"/>
            <w:noWrap/>
            <w:hideMark/>
          </w:tcPr>
          <w:p w14:paraId="7D61FD1C"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CDC</w:t>
            </w:r>
          </w:p>
        </w:tc>
        <w:tc>
          <w:tcPr>
            <w:tcW w:w="2700" w:type="dxa"/>
            <w:shd w:val="clear" w:color="auto" w:fill="F2F2F2" w:themeFill="background1" w:themeFillShade="F2"/>
            <w:hideMark/>
          </w:tcPr>
          <w:p w14:paraId="33382112" w14:textId="0D2ACCCD"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 xml:space="preserve">Comprehensive Diabetes Care: </w:t>
            </w:r>
            <w:r w:rsidR="00142A4B">
              <w:rPr>
                <w:rFonts w:asciiTheme="minorHAnsi" w:eastAsia="Times New Roman" w:hAnsiTheme="minorHAnsi" w:cstheme="minorHAnsi"/>
                <w:sz w:val="16"/>
                <w:szCs w:val="16"/>
              </w:rPr>
              <w:t>A1C</w:t>
            </w:r>
            <w:r w:rsidRPr="00A77490">
              <w:rPr>
                <w:rFonts w:asciiTheme="minorHAnsi" w:eastAsia="Times New Roman" w:hAnsiTheme="minorHAnsi" w:cstheme="minorHAnsi"/>
                <w:sz w:val="16"/>
                <w:szCs w:val="16"/>
              </w:rPr>
              <w:t xml:space="preserve"> Poor Control (lower is better)</w:t>
            </w:r>
          </w:p>
        </w:tc>
        <w:tc>
          <w:tcPr>
            <w:tcW w:w="810" w:type="dxa"/>
            <w:shd w:val="clear" w:color="auto" w:fill="F2F2F2" w:themeFill="background1" w:themeFillShade="F2"/>
            <w:noWrap/>
            <w:vAlign w:val="center"/>
            <w:hideMark/>
          </w:tcPr>
          <w:p w14:paraId="0B5979CC" w14:textId="17092D9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40.8%</w:t>
            </w:r>
          </w:p>
        </w:tc>
        <w:tc>
          <w:tcPr>
            <w:tcW w:w="662" w:type="dxa"/>
            <w:shd w:val="clear" w:color="auto" w:fill="F2F2F2" w:themeFill="background1" w:themeFillShade="F2"/>
            <w:noWrap/>
            <w:vAlign w:val="center"/>
            <w:hideMark/>
          </w:tcPr>
          <w:p w14:paraId="02A23AD0" w14:textId="32C686E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41.8%</w:t>
            </w:r>
          </w:p>
        </w:tc>
        <w:tc>
          <w:tcPr>
            <w:tcW w:w="662" w:type="dxa"/>
            <w:shd w:val="clear" w:color="auto" w:fill="F2F2F2" w:themeFill="background1" w:themeFillShade="F2"/>
            <w:noWrap/>
            <w:vAlign w:val="center"/>
            <w:hideMark/>
          </w:tcPr>
          <w:p w14:paraId="24B6FDC7" w14:textId="15A5221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32.4%</w:t>
            </w:r>
          </w:p>
        </w:tc>
        <w:tc>
          <w:tcPr>
            <w:tcW w:w="662" w:type="dxa"/>
            <w:shd w:val="clear" w:color="auto" w:fill="F2F2F2" w:themeFill="background1" w:themeFillShade="F2"/>
            <w:noWrap/>
            <w:vAlign w:val="center"/>
            <w:hideMark/>
          </w:tcPr>
          <w:p w14:paraId="1B328853" w14:textId="2B5B727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34.8%</w:t>
            </w:r>
          </w:p>
        </w:tc>
        <w:tc>
          <w:tcPr>
            <w:tcW w:w="662" w:type="dxa"/>
            <w:shd w:val="clear" w:color="auto" w:fill="F2F2F2" w:themeFill="background1" w:themeFillShade="F2"/>
            <w:noWrap/>
            <w:vAlign w:val="center"/>
            <w:hideMark/>
          </w:tcPr>
          <w:p w14:paraId="7CA49823" w14:textId="4C2692D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41.8%</w:t>
            </w:r>
          </w:p>
        </w:tc>
        <w:tc>
          <w:tcPr>
            <w:tcW w:w="952" w:type="dxa"/>
            <w:shd w:val="clear" w:color="auto" w:fill="F2F2F2" w:themeFill="background1" w:themeFillShade="F2"/>
            <w:noWrap/>
            <w:vAlign w:val="center"/>
            <w:hideMark/>
          </w:tcPr>
          <w:p w14:paraId="516D7B90" w14:textId="0DB6356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40.3%</w:t>
            </w:r>
          </w:p>
        </w:tc>
        <w:tc>
          <w:tcPr>
            <w:tcW w:w="868" w:type="dxa"/>
            <w:shd w:val="clear" w:color="auto" w:fill="F2F2F2" w:themeFill="background1" w:themeFillShade="F2"/>
            <w:noWrap/>
            <w:vAlign w:val="center"/>
            <w:hideMark/>
          </w:tcPr>
          <w:p w14:paraId="702A1F19" w14:textId="5BC543D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35.1%</w:t>
            </w:r>
          </w:p>
        </w:tc>
        <w:tc>
          <w:tcPr>
            <w:tcW w:w="662" w:type="dxa"/>
            <w:shd w:val="clear" w:color="auto" w:fill="F2F2F2" w:themeFill="background1" w:themeFillShade="F2"/>
            <w:noWrap/>
            <w:vAlign w:val="center"/>
            <w:hideMark/>
          </w:tcPr>
          <w:p w14:paraId="1AF7EF7B" w14:textId="49FE43E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31.3%</w:t>
            </w:r>
          </w:p>
        </w:tc>
        <w:tc>
          <w:tcPr>
            <w:tcW w:w="688" w:type="dxa"/>
            <w:shd w:val="clear" w:color="auto" w:fill="F2F2F2" w:themeFill="background1" w:themeFillShade="F2"/>
            <w:noWrap/>
            <w:vAlign w:val="center"/>
            <w:hideMark/>
          </w:tcPr>
          <w:p w14:paraId="34AAFCA7" w14:textId="4F2F739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46.6%</w:t>
            </w:r>
          </w:p>
        </w:tc>
        <w:tc>
          <w:tcPr>
            <w:tcW w:w="1000" w:type="dxa"/>
            <w:shd w:val="clear" w:color="auto" w:fill="F2F2F2" w:themeFill="background1" w:themeFillShade="F2"/>
            <w:noWrap/>
            <w:vAlign w:val="center"/>
            <w:hideMark/>
          </w:tcPr>
          <w:p w14:paraId="1EAB6AA3" w14:textId="1DBEBB5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65.9%</w:t>
            </w:r>
          </w:p>
        </w:tc>
        <w:tc>
          <w:tcPr>
            <w:tcW w:w="890" w:type="dxa"/>
            <w:shd w:val="clear" w:color="auto" w:fill="F2F2F2" w:themeFill="background1" w:themeFillShade="F2"/>
            <w:noWrap/>
            <w:vAlign w:val="center"/>
            <w:hideMark/>
          </w:tcPr>
          <w:p w14:paraId="3126AC22" w14:textId="1A04CC2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43.1%</w:t>
            </w:r>
          </w:p>
        </w:tc>
        <w:tc>
          <w:tcPr>
            <w:tcW w:w="810" w:type="dxa"/>
            <w:shd w:val="clear" w:color="auto" w:fill="F2F2F2" w:themeFill="background1" w:themeFillShade="F2"/>
            <w:noWrap/>
            <w:vAlign w:val="center"/>
            <w:hideMark/>
          </w:tcPr>
          <w:p w14:paraId="33A661AE" w14:textId="5B0A177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40.0%</w:t>
            </w:r>
          </w:p>
        </w:tc>
        <w:tc>
          <w:tcPr>
            <w:tcW w:w="662" w:type="dxa"/>
            <w:shd w:val="clear" w:color="auto" w:fill="F2F2F2" w:themeFill="background1" w:themeFillShade="F2"/>
            <w:noWrap/>
            <w:vAlign w:val="center"/>
            <w:hideMark/>
          </w:tcPr>
          <w:p w14:paraId="10FE1513" w14:textId="15E8D65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31.8%</w:t>
            </w:r>
          </w:p>
        </w:tc>
        <w:tc>
          <w:tcPr>
            <w:tcW w:w="737" w:type="dxa"/>
            <w:shd w:val="clear" w:color="auto" w:fill="F2F2F2" w:themeFill="background1" w:themeFillShade="F2"/>
            <w:noWrap/>
            <w:vAlign w:val="center"/>
            <w:hideMark/>
          </w:tcPr>
          <w:p w14:paraId="7E7B2A9A" w14:textId="71FBF28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37.9%</w:t>
            </w:r>
          </w:p>
        </w:tc>
        <w:tc>
          <w:tcPr>
            <w:tcW w:w="662" w:type="dxa"/>
            <w:shd w:val="clear" w:color="auto" w:fill="F2F2F2" w:themeFill="background1" w:themeFillShade="F2"/>
            <w:noWrap/>
            <w:vAlign w:val="center"/>
            <w:hideMark/>
          </w:tcPr>
          <w:p w14:paraId="561E58B2" w14:textId="66A4468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42.6%</w:t>
            </w:r>
          </w:p>
        </w:tc>
        <w:tc>
          <w:tcPr>
            <w:tcW w:w="662" w:type="dxa"/>
            <w:shd w:val="clear" w:color="auto" w:fill="F2F2F2" w:themeFill="background1" w:themeFillShade="F2"/>
            <w:noWrap/>
            <w:vAlign w:val="center"/>
            <w:hideMark/>
          </w:tcPr>
          <w:p w14:paraId="653D7D27" w14:textId="15BAB16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37.8%</w:t>
            </w:r>
          </w:p>
        </w:tc>
        <w:tc>
          <w:tcPr>
            <w:tcW w:w="990" w:type="dxa"/>
            <w:shd w:val="clear" w:color="auto" w:fill="F2F2F2" w:themeFill="background1" w:themeFillShade="F2"/>
            <w:noWrap/>
            <w:vAlign w:val="center"/>
            <w:hideMark/>
          </w:tcPr>
          <w:p w14:paraId="02F72EDE" w14:textId="7786A5F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48.1%</w:t>
            </w:r>
          </w:p>
        </w:tc>
        <w:tc>
          <w:tcPr>
            <w:tcW w:w="662" w:type="dxa"/>
            <w:shd w:val="clear" w:color="auto" w:fill="F2F2F2" w:themeFill="background1" w:themeFillShade="F2"/>
            <w:noWrap/>
            <w:vAlign w:val="center"/>
            <w:hideMark/>
          </w:tcPr>
          <w:p w14:paraId="5FCDAB20" w14:textId="569B143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42.6%</w:t>
            </w:r>
          </w:p>
        </w:tc>
        <w:tc>
          <w:tcPr>
            <w:tcW w:w="662" w:type="dxa"/>
            <w:shd w:val="clear" w:color="auto" w:fill="F2F2F2" w:themeFill="background1" w:themeFillShade="F2"/>
            <w:noWrap/>
            <w:vAlign w:val="center"/>
            <w:hideMark/>
          </w:tcPr>
          <w:p w14:paraId="702AD878" w14:textId="171549F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53.4%</w:t>
            </w:r>
          </w:p>
        </w:tc>
        <w:tc>
          <w:tcPr>
            <w:tcW w:w="755" w:type="dxa"/>
            <w:shd w:val="clear" w:color="auto" w:fill="F2F2F2" w:themeFill="background1" w:themeFillShade="F2"/>
            <w:noWrap/>
            <w:vAlign w:val="center"/>
            <w:hideMark/>
          </w:tcPr>
          <w:p w14:paraId="36BF6F60" w14:textId="1B6221C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67.8%</w:t>
            </w:r>
          </w:p>
        </w:tc>
        <w:tc>
          <w:tcPr>
            <w:tcW w:w="1042" w:type="dxa"/>
            <w:shd w:val="clear" w:color="auto" w:fill="F2F2F2" w:themeFill="background1" w:themeFillShade="F2"/>
            <w:noWrap/>
            <w:vAlign w:val="center"/>
            <w:hideMark/>
          </w:tcPr>
          <w:p w14:paraId="69209269" w14:textId="6970883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39.1%</w:t>
            </w:r>
          </w:p>
        </w:tc>
      </w:tr>
      <w:tr w:rsidR="00EF4C5F" w:rsidRPr="00A77490" w14:paraId="2CEFED87" w14:textId="77777777" w:rsidTr="006347D4">
        <w:trPr>
          <w:trHeight w:val="520"/>
        </w:trPr>
        <w:tc>
          <w:tcPr>
            <w:tcW w:w="720" w:type="dxa"/>
            <w:shd w:val="clear" w:color="auto" w:fill="auto"/>
            <w:noWrap/>
            <w:vAlign w:val="bottom"/>
            <w:hideMark/>
          </w:tcPr>
          <w:p w14:paraId="38EF629F" w14:textId="77777777" w:rsidR="00770E94" w:rsidRPr="00A77490" w:rsidRDefault="00770E94" w:rsidP="001D67A8">
            <w:pPr>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PCR-O/E</w:t>
            </w:r>
          </w:p>
        </w:tc>
        <w:tc>
          <w:tcPr>
            <w:tcW w:w="2700" w:type="dxa"/>
            <w:shd w:val="clear" w:color="auto" w:fill="auto"/>
            <w:hideMark/>
          </w:tcPr>
          <w:p w14:paraId="52A74979"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Plan All-Cause Readmissions (observed to expected ratio)</w:t>
            </w:r>
          </w:p>
        </w:tc>
        <w:tc>
          <w:tcPr>
            <w:tcW w:w="810" w:type="dxa"/>
            <w:shd w:val="clear" w:color="auto" w:fill="auto"/>
            <w:noWrap/>
            <w:vAlign w:val="center"/>
            <w:hideMark/>
          </w:tcPr>
          <w:p w14:paraId="76BA8D62" w14:textId="60E42A7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1.2322</w:t>
            </w:r>
          </w:p>
        </w:tc>
        <w:tc>
          <w:tcPr>
            <w:tcW w:w="662" w:type="dxa"/>
            <w:shd w:val="clear" w:color="auto" w:fill="auto"/>
            <w:noWrap/>
            <w:vAlign w:val="center"/>
            <w:hideMark/>
          </w:tcPr>
          <w:p w14:paraId="6DCECE0D" w14:textId="5D59481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1.5292</w:t>
            </w:r>
          </w:p>
        </w:tc>
        <w:tc>
          <w:tcPr>
            <w:tcW w:w="662" w:type="dxa"/>
            <w:shd w:val="clear" w:color="auto" w:fill="auto"/>
            <w:noWrap/>
            <w:vAlign w:val="center"/>
            <w:hideMark/>
          </w:tcPr>
          <w:p w14:paraId="31C3C6D4" w14:textId="59CB8D1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1.3217</w:t>
            </w:r>
          </w:p>
        </w:tc>
        <w:tc>
          <w:tcPr>
            <w:tcW w:w="662" w:type="dxa"/>
            <w:shd w:val="clear" w:color="auto" w:fill="auto"/>
            <w:noWrap/>
            <w:vAlign w:val="center"/>
            <w:hideMark/>
          </w:tcPr>
          <w:p w14:paraId="3EAF8177" w14:textId="2D45183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1.5886</w:t>
            </w:r>
          </w:p>
        </w:tc>
        <w:tc>
          <w:tcPr>
            <w:tcW w:w="662" w:type="dxa"/>
            <w:shd w:val="clear" w:color="auto" w:fill="auto"/>
            <w:noWrap/>
            <w:vAlign w:val="center"/>
            <w:hideMark/>
          </w:tcPr>
          <w:p w14:paraId="6E0692E3" w14:textId="1D95D25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1.1258</w:t>
            </w:r>
          </w:p>
        </w:tc>
        <w:tc>
          <w:tcPr>
            <w:tcW w:w="952" w:type="dxa"/>
            <w:shd w:val="clear" w:color="auto" w:fill="auto"/>
            <w:noWrap/>
            <w:vAlign w:val="center"/>
            <w:hideMark/>
          </w:tcPr>
          <w:p w14:paraId="0D3DF472" w14:textId="7319AA8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1.0737</w:t>
            </w:r>
          </w:p>
        </w:tc>
        <w:tc>
          <w:tcPr>
            <w:tcW w:w="868" w:type="dxa"/>
            <w:shd w:val="clear" w:color="auto" w:fill="auto"/>
            <w:noWrap/>
            <w:vAlign w:val="center"/>
            <w:hideMark/>
          </w:tcPr>
          <w:p w14:paraId="1CD77522" w14:textId="7BFAAAC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1.2513</w:t>
            </w:r>
          </w:p>
        </w:tc>
        <w:tc>
          <w:tcPr>
            <w:tcW w:w="662" w:type="dxa"/>
            <w:shd w:val="clear" w:color="auto" w:fill="auto"/>
            <w:noWrap/>
            <w:vAlign w:val="center"/>
            <w:hideMark/>
          </w:tcPr>
          <w:p w14:paraId="10B56A47" w14:textId="0C12C40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1.1819</w:t>
            </w:r>
          </w:p>
        </w:tc>
        <w:tc>
          <w:tcPr>
            <w:tcW w:w="688" w:type="dxa"/>
            <w:shd w:val="clear" w:color="auto" w:fill="auto"/>
            <w:noWrap/>
            <w:vAlign w:val="center"/>
            <w:hideMark/>
          </w:tcPr>
          <w:p w14:paraId="1ABADFDD" w14:textId="18503BF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1.3088</w:t>
            </w:r>
          </w:p>
        </w:tc>
        <w:tc>
          <w:tcPr>
            <w:tcW w:w="1000" w:type="dxa"/>
            <w:shd w:val="clear" w:color="auto" w:fill="auto"/>
            <w:noWrap/>
            <w:vAlign w:val="center"/>
            <w:hideMark/>
          </w:tcPr>
          <w:p w14:paraId="0E2AF25C" w14:textId="4E9AC86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1.2928</w:t>
            </w:r>
          </w:p>
        </w:tc>
        <w:tc>
          <w:tcPr>
            <w:tcW w:w="890" w:type="dxa"/>
            <w:shd w:val="clear" w:color="auto" w:fill="auto"/>
            <w:noWrap/>
            <w:vAlign w:val="center"/>
            <w:hideMark/>
          </w:tcPr>
          <w:p w14:paraId="20A07B6E" w14:textId="3DBDC39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1.3510</w:t>
            </w:r>
          </w:p>
        </w:tc>
        <w:tc>
          <w:tcPr>
            <w:tcW w:w="810" w:type="dxa"/>
            <w:shd w:val="clear" w:color="auto" w:fill="auto"/>
            <w:noWrap/>
            <w:vAlign w:val="center"/>
            <w:hideMark/>
          </w:tcPr>
          <w:p w14:paraId="47ABF3CB" w14:textId="3AAE888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1.0038</w:t>
            </w:r>
          </w:p>
        </w:tc>
        <w:tc>
          <w:tcPr>
            <w:tcW w:w="662" w:type="dxa"/>
            <w:shd w:val="clear" w:color="auto" w:fill="auto"/>
            <w:noWrap/>
            <w:vAlign w:val="center"/>
            <w:hideMark/>
          </w:tcPr>
          <w:p w14:paraId="2AB47B81" w14:textId="56B28B6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1.4405</w:t>
            </w:r>
          </w:p>
        </w:tc>
        <w:tc>
          <w:tcPr>
            <w:tcW w:w="737" w:type="dxa"/>
            <w:shd w:val="clear" w:color="auto" w:fill="auto"/>
            <w:noWrap/>
            <w:vAlign w:val="center"/>
            <w:hideMark/>
          </w:tcPr>
          <w:p w14:paraId="68F2C5A6" w14:textId="66DAF2A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1.0783</w:t>
            </w:r>
          </w:p>
        </w:tc>
        <w:tc>
          <w:tcPr>
            <w:tcW w:w="662" w:type="dxa"/>
            <w:shd w:val="clear" w:color="auto" w:fill="auto"/>
            <w:noWrap/>
            <w:vAlign w:val="center"/>
            <w:hideMark/>
          </w:tcPr>
          <w:p w14:paraId="44955D93" w14:textId="2700948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1.2497</w:t>
            </w:r>
          </w:p>
        </w:tc>
        <w:tc>
          <w:tcPr>
            <w:tcW w:w="662" w:type="dxa"/>
            <w:shd w:val="clear" w:color="auto" w:fill="auto"/>
            <w:noWrap/>
            <w:vAlign w:val="center"/>
            <w:hideMark/>
          </w:tcPr>
          <w:p w14:paraId="3133BC4D" w14:textId="3A443CF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1.1740</w:t>
            </w:r>
          </w:p>
        </w:tc>
        <w:tc>
          <w:tcPr>
            <w:tcW w:w="990" w:type="dxa"/>
            <w:shd w:val="clear" w:color="auto" w:fill="auto"/>
            <w:noWrap/>
            <w:vAlign w:val="center"/>
            <w:hideMark/>
          </w:tcPr>
          <w:p w14:paraId="28CB9F08" w14:textId="1B0B911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1.1020</w:t>
            </w:r>
          </w:p>
        </w:tc>
        <w:tc>
          <w:tcPr>
            <w:tcW w:w="662" w:type="dxa"/>
            <w:shd w:val="clear" w:color="auto" w:fill="auto"/>
            <w:noWrap/>
            <w:vAlign w:val="center"/>
            <w:hideMark/>
          </w:tcPr>
          <w:p w14:paraId="26A0AD35" w14:textId="7777430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1.2006</w:t>
            </w:r>
          </w:p>
        </w:tc>
        <w:tc>
          <w:tcPr>
            <w:tcW w:w="662" w:type="dxa"/>
            <w:shd w:val="clear" w:color="auto" w:fill="auto"/>
            <w:noWrap/>
            <w:vAlign w:val="center"/>
            <w:hideMark/>
          </w:tcPr>
          <w:p w14:paraId="7D217FAD" w14:textId="68CDCAD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w:t>
            </w:r>
          </w:p>
        </w:tc>
        <w:tc>
          <w:tcPr>
            <w:tcW w:w="755" w:type="dxa"/>
            <w:shd w:val="clear" w:color="auto" w:fill="auto"/>
            <w:noWrap/>
            <w:vAlign w:val="center"/>
            <w:hideMark/>
          </w:tcPr>
          <w:p w14:paraId="092BFD3F" w14:textId="49EBC6C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w:t>
            </w:r>
          </w:p>
        </w:tc>
        <w:tc>
          <w:tcPr>
            <w:tcW w:w="1042" w:type="dxa"/>
            <w:shd w:val="clear" w:color="auto" w:fill="auto"/>
            <w:noWrap/>
            <w:vAlign w:val="center"/>
            <w:hideMark/>
          </w:tcPr>
          <w:p w14:paraId="779F14DA" w14:textId="3000366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11.2%</w:t>
            </w:r>
          </w:p>
        </w:tc>
      </w:tr>
      <w:tr w:rsidR="00255A16" w:rsidRPr="00A77490" w14:paraId="50C19BA9" w14:textId="77777777" w:rsidTr="006347D4">
        <w:trPr>
          <w:trHeight w:val="825"/>
        </w:trPr>
        <w:tc>
          <w:tcPr>
            <w:tcW w:w="720" w:type="dxa"/>
            <w:shd w:val="clear" w:color="auto" w:fill="F2F2F2" w:themeFill="background1" w:themeFillShade="F2"/>
            <w:noWrap/>
            <w:hideMark/>
          </w:tcPr>
          <w:p w14:paraId="0B78111D"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18353A70" w14:textId="77777777" w:rsidR="00770E94" w:rsidRPr="00A77490" w:rsidRDefault="00770E94" w:rsidP="00770E94">
            <w:pPr>
              <w:spacing w:after="0"/>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Risk adjusted ratio (</w:t>
            </w:r>
            <w:proofErr w:type="spellStart"/>
            <w:r w:rsidRPr="00A77490">
              <w:rPr>
                <w:rFonts w:asciiTheme="minorHAnsi" w:eastAsia="Times New Roman" w:hAnsiTheme="minorHAnsi" w:cstheme="minorHAnsi"/>
                <w:color w:val="000000"/>
                <w:sz w:val="16"/>
                <w:szCs w:val="16"/>
              </w:rPr>
              <w:t>obs</w:t>
            </w:r>
            <w:proofErr w:type="spellEnd"/>
            <w:r w:rsidRPr="00A77490">
              <w:rPr>
                <w:rFonts w:asciiTheme="minorHAnsi" w:eastAsia="Times New Roman" w:hAnsiTheme="minorHAnsi" w:cstheme="minorHAnsi"/>
                <w:color w:val="000000"/>
                <w:sz w:val="16"/>
                <w:szCs w:val="16"/>
              </w:rPr>
              <w:t>/exp) of ED visits for members 18-65 identified with a diagnosis of serious mental illness, substance addiction, or co-occurring conditions</w:t>
            </w:r>
          </w:p>
        </w:tc>
        <w:tc>
          <w:tcPr>
            <w:tcW w:w="810" w:type="dxa"/>
            <w:shd w:val="clear" w:color="auto" w:fill="F2F2F2" w:themeFill="background1" w:themeFillShade="F2"/>
            <w:noWrap/>
            <w:vAlign w:val="center"/>
            <w:hideMark/>
          </w:tcPr>
          <w:p w14:paraId="4D0F974E" w14:textId="719C4F9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1.4560</w:t>
            </w:r>
          </w:p>
        </w:tc>
        <w:tc>
          <w:tcPr>
            <w:tcW w:w="662" w:type="dxa"/>
            <w:shd w:val="clear" w:color="auto" w:fill="F2F2F2" w:themeFill="background1" w:themeFillShade="F2"/>
            <w:noWrap/>
            <w:vAlign w:val="center"/>
            <w:hideMark/>
          </w:tcPr>
          <w:p w14:paraId="6A2C6326" w14:textId="4A38E91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1.3665</w:t>
            </w:r>
          </w:p>
        </w:tc>
        <w:tc>
          <w:tcPr>
            <w:tcW w:w="662" w:type="dxa"/>
            <w:shd w:val="clear" w:color="auto" w:fill="F2F2F2" w:themeFill="background1" w:themeFillShade="F2"/>
            <w:noWrap/>
            <w:vAlign w:val="center"/>
            <w:hideMark/>
          </w:tcPr>
          <w:p w14:paraId="43E4A483" w14:textId="1DD3C28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1.3107</w:t>
            </w:r>
          </w:p>
        </w:tc>
        <w:tc>
          <w:tcPr>
            <w:tcW w:w="662" w:type="dxa"/>
            <w:shd w:val="clear" w:color="auto" w:fill="F2F2F2" w:themeFill="background1" w:themeFillShade="F2"/>
            <w:noWrap/>
            <w:vAlign w:val="center"/>
            <w:hideMark/>
          </w:tcPr>
          <w:p w14:paraId="35880B29" w14:textId="0B6162A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1.4966</w:t>
            </w:r>
          </w:p>
        </w:tc>
        <w:tc>
          <w:tcPr>
            <w:tcW w:w="662" w:type="dxa"/>
            <w:shd w:val="clear" w:color="auto" w:fill="F2F2F2" w:themeFill="background1" w:themeFillShade="F2"/>
            <w:noWrap/>
            <w:vAlign w:val="center"/>
            <w:hideMark/>
          </w:tcPr>
          <w:p w14:paraId="3F20E801" w14:textId="21AC6DA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1.1816</w:t>
            </w:r>
          </w:p>
        </w:tc>
        <w:tc>
          <w:tcPr>
            <w:tcW w:w="952" w:type="dxa"/>
            <w:shd w:val="clear" w:color="auto" w:fill="F2F2F2" w:themeFill="background1" w:themeFillShade="F2"/>
            <w:noWrap/>
            <w:vAlign w:val="center"/>
            <w:hideMark/>
          </w:tcPr>
          <w:p w14:paraId="6C714C79" w14:textId="0A472C9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1.4016</w:t>
            </w:r>
          </w:p>
        </w:tc>
        <w:tc>
          <w:tcPr>
            <w:tcW w:w="868" w:type="dxa"/>
            <w:shd w:val="clear" w:color="auto" w:fill="F2F2F2" w:themeFill="background1" w:themeFillShade="F2"/>
            <w:noWrap/>
            <w:vAlign w:val="center"/>
            <w:hideMark/>
          </w:tcPr>
          <w:p w14:paraId="518F9D31" w14:textId="24DBF48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1.2682</w:t>
            </w:r>
          </w:p>
        </w:tc>
        <w:tc>
          <w:tcPr>
            <w:tcW w:w="662" w:type="dxa"/>
            <w:shd w:val="clear" w:color="auto" w:fill="F2F2F2" w:themeFill="background1" w:themeFillShade="F2"/>
            <w:noWrap/>
            <w:vAlign w:val="center"/>
            <w:hideMark/>
          </w:tcPr>
          <w:p w14:paraId="0D8E358C" w14:textId="4BF0F2C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1.5251</w:t>
            </w:r>
          </w:p>
        </w:tc>
        <w:tc>
          <w:tcPr>
            <w:tcW w:w="688" w:type="dxa"/>
            <w:shd w:val="clear" w:color="auto" w:fill="F2F2F2" w:themeFill="background1" w:themeFillShade="F2"/>
            <w:noWrap/>
            <w:vAlign w:val="center"/>
            <w:hideMark/>
          </w:tcPr>
          <w:p w14:paraId="23A9000C" w14:textId="7290519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1.7839</w:t>
            </w:r>
          </w:p>
        </w:tc>
        <w:tc>
          <w:tcPr>
            <w:tcW w:w="1000" w:type="dxa"/>
            <w:shd w:val="clear" w:color="auto" w:fill="F2F2F2" w:themeFill="background1" w:themeFillShade="F2"/>
            <w:noWrap/>
            <w:vAlign w:val="center"/>
            <w:hideMark/>
          </w:tcPr>
          <w:p w14:paraId="25738B14" w14:textId="39D62A8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1.7350</w:t>
            </w:r>
          </w:p>
        </w:tc>
        <w:tc>
          <w:tcPr>
            <w:tcW w:w="890" w:type="dxa"/>
            <w:shd w:val="clear" w:color="auto" w:fill="F2F2F2" w:themeFill="background1" w:themeFillShade="F2"/>
            <w:noWrap/>
            <w:vAlign w:val="center"/>
            <w:hideMark/>
          </w:tcPr>
          <w:p w14:paraId="5CAB3304" w14:textId="391DA74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1.5331</w:t>
            </w:r>
          </w:p>
        </w:tc>
        <w:tc>
          <w:tcPr>
            <w:tcW w:w="810" w:type="dxa"/>
            <w:shd w:val="clear" w:color="auto" w:fill="F2F2F2" w:themeFill="background1" w:themeFillShade="F2"/>
            <w:noWrap/>
            <w:vAlign w:val="center"/>
            <w:hideMark/>
          </w:tcPr>
          <w:p w14:paraId="2ED0F580" w14:textId="1D6DC61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1.2101</w:t>
            </w:r>
          </w:p>
        </w:tc>
        <w:tc>
          <w:tcPr>
            <w:tcW w:w="662" w:type="dxa"/>
            <w:shd w:val="clear" w:color="auto" w:fill="F2F2F2" w:themeFill="background1" w:themeFillShade="F2"/>
            <w:noWrap/>
            <w:vAlign w:val="center"/>
            <w:hideMark/>
          </w:tcPr>
          <w:p w14:paraId="2166E932" w14:textId="1D46DFA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1.3772</w:t>
            </w:r>
          </w:p>
        </w:tc>
        <w:tc>
          <w:tcPr>
            <w:tcW w:w="737" w:type="dxa"/>
            <w:shd w:val="clear" w:color="auto" w:fill="F2F2F2" w:themeFill="background1" w:themeFillShade="F2"/>
            <w:noWrap/>
            <w:vAlign w:val="center"/>
            <w:hideMark/>
          </w:tcPr>
          <w:p w14:paraId="040CF7C3" w14:textId="5628FA1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1.2107</w:t>
            </w:r>
          </w:p>
        </w:tc>
        <w:tc>
          <w:tcPr>
            <w:tcW w:w="662" w:type="dxa"/>
            <w:shd w:val="clear" w:color="auto" w:fill="F2F2F2" w:themeFill="background1" w:themeFillShade="F2"/>
            <w:noWrap/>
            <w:vAlign w:val="center"/>
            <w:hideMark/>
          </w:tcPr>
          <w:p w14:paraId="0089AA18" w14:textId="4D7297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1.5674</w:t>
            </w:r>
          </w:p>
        </w:tc>
        <w:tc>
          <w:tcPr>
            <w:tcW w:w="662" w:type="dxa"/>
            <w:shd w:val="clear" w:color="auto" w:fill="F2F2F2" w:themeFill="background1" w:themeFillShade="F2"/>
            <w:noWrap/>
            <w:vAlign w:val="center"/>
            <w:hideMark/>
          </w:tcPr>
          <w:p w14:paraId="3C4EFB50" w14:textId="0B44146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1.3215</w:t>
            </w:r>
          </w:p>
        </w:tc>
        <w:tc>
          <w:tcPr>
            <w:tcW w:w="990" w:type="dxa"/>
            <w:shd w:val="clear" w:color="auto" w:fill="F2F2F2" w:themeFill="background1" w:themeFillShade="F2"/>
            <w:noWrap/>
            <w:vAlign w:val="center"/>
            <w:hideMark/>
          </w:tcPr>
          <w:p w14:paraId="3D0C066D" w14:textId="12C02D4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1.5447</w:t>
            </w:r>
          </w:p>
        </w:tc>
        <w:tc>
          <w:tcPr>
            <w:tcW w:w="662" w:type="dxa"/>
            <w:shd w:val="clear" w:color="auto" w:fill="F2F2F2" w:themeFill="background1" w:themeFillShade="F2"/>
            <w:noWrap/>
            <w:vAlign w:val="center"/>
            <w:hideMark/>
          </w:tcPr>
          <w:p w14:paraId="115F6B27" w14:textId="48789A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1.3974</w:t>
            </w:r>
          </w:p>
        </w:tc>
        <w:tc>
          <w:tcPr>
            <w:tcW w:w="662" w:type="dxa"/>
            <w:shd w:val="clear" w:color="auto" w:fill="F2F2F2" w:themeFill="background1" w:themeFillShade="F2"/>
            <w:noWrap/>
            <w:vAlign w:val="center"/>
            <w:hideMark/>
          </w:tcPr>
          <w:p w14:paraId="149E6BB2" w14:textId="3ED639A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1.2168</w:t>
            </w:r>
          </w:p>
        </w:tc>
        <w:tc>
          <w:tcPr>
            <w:tcW w:w="755" w:type="dxa"/>
            <w:shd w:val="clear" w:color="auto" w:fill="F2F2F2" w:themeFill="background1" w:themeFillShade="F2"/>
            <w:noWrap/>
            <w:vAlign w:val="center"/>
            <w:hideMark/>
          </w:tcPr>
          <w:p w14:paraId="1C964BCE" w14:textId="04ADBF4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1.2584</w:t>
            </w:r>
          </w:p>
        </w:tc>
        <w:tc>
          <w:tcPr>
            <w:tcW w:w="1042" w:type="dxa"/>
            <w:shd w:val="clear" w:color="auto" w:fill="F2F2F2" w:themeFill="background1" w:themeFillShade="F2"/>
            <w:noWrap/>
            <w:vAlign w:val="center"/>
            <w:hideMark/>
          </w:tcPr>
          <w:p w14:paraId="4CE6E3E5" w14:textId="7A1B6A7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1.1782</w:t>
            </w:r>
          </w:p>
        </w:tc>
      </w:tr>
      <w:tr w:rsidR="00EF4C5F" w:rsidRPr="00A77490" w14:paraId="50187A60" w14:textId="77777777" w:rsidTr="006347D4">
        <w:trPr>
          <w:trHeight w:val="780"/>
        </w:trPr>
        <w:tc>
          <w:tcPr>
            <w:tcW w:w="720" w:type="dxa"/>
            <w:shd w:val="clear" w:color="auto" w:fill="auto"/>
            <w:noWrap/>
            <w:hideMark/>
          </w:tcPr>
          <w:p w14:paraId="2E7D8992"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21138473"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Risk adjusted ratio (</w:t>
            </w:r>
            <w:proofErr w:type="spellStart"/>
            <w:r w:rsidRPr="00A77490">
              <w:rPr>
                <w:rFonts w:asciiTheme="minorHAnsi" w:eastAsia="Times New Roman" w:hAnsiTheme="minorHAnsi" w:cstheme="minorHAnsi"/>
                <w:sz w:val="16"/>
                <w:szCs w:val="16"/>
              </w:rPr>
              <w:t>obs</w:t>
            </w:r>
            <w:proofErr w:type="spellEnd"/>
            <w:r w:rsidRPr="00A77490">
              <w:rPr>
                <w:rFonts w:asciiTheme="minorHAnsi" w:eastAsia="Times New Roman" w:hAnsiTheme="minorHAnsi" w:cstheme="minorHAnsi"/>
                <w:sz w:val="16"/>
                <w:szCs w:val="16"/>
              </w:rPr>
              <w:t>/exp) of Acute Unplanned Admissions for Individuals with Diabetes (Adult) </w:t>
            </w:r>
          </w:p>
        </w:tc>
        <w:tc>
          <w:tcPr>
            <w:tcW w:w="810" w:type="dxa"/>
            <w:shd w:val="clear" w:color="auto" w:fill="auto"/>
            <w:noWrap/>
            <w:vAlign w:val="center"/>
            <w:hideMark/>
          </w:tcPr>
          <w:p w14:paraId="04CD0486" w14:textId="5C6F563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0.6570</w:t>
            </w:r>
          </w:p>
        </w:tc>
        <w:tc>
          <w:tcPr>
            <w:tcW w:w="662" w:type="dxa"/>
            <w:shd w:val="clear" w:color="auto" w:fill="auto"/>
            <w:noWrap/>
            <w:vAlign w:val="center"/>
            <w:hideMark/>
          </w:tcPr>
          <w:p w14:paraId="48334CDD" w14:textId="03FA018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0.6277</w:t>
            </w:r>
          </w:p>
        </w:tc>
        <w:tc>
          <w:tcPr>
            <w:tcW w:w="662" w:type="dxa"/>
            <w:shd w:val="clear" w:color="auto" w:fill="auto"/>
            <w:noWrap/>
            <w:vAlign w:val="center"/>
            <w:hideMark/>
          </w:tcPr>
          <w:p w14:paraId="73189F5C" w14:textId="458AD78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0.5244</w:t>
            </w:r>
          </w:p>
        </w:tc>
        <w:tc>
          <w:tcPr>
            <w:tcW w:w="662" w:type="dxa"/>
            <w:shd w:val="clear" w:color="auto" w:fill="auto"/>
            <w:noWrap/>
            <w:vAlign w:val="center"/>
            <w:hideMark/>
          </w:tcPr>
          <w:p w14:paraId="12A68DE7" w14:textId="4005B49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0.6138</w:t>
            </w:r>
          </w:p>
        </w:tc>
        <w:tc>
          <w:tcPr>
            <w:tcW w:w="662" w:type="dxa"/>
            <w:shd w:val="clear" w:color="auto" w:fill="auto"/>
            <w:noWrap/>
            <w:vAlign w:val="center"/>
            <w:hideMark/>
          </w:tcPr>
          <w:p w14:paraId="1A9E859A" w14:textId="001534E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0.5639</w:t>
            </w:r>
          </w:p>
        </w:tc>
        <w:tc>
          <w:tcPr>
            <w:tcW w:w="952" w:type="dxa"/>
            <w:shd w:val="clear" w:color="auto" w:fill="auto"/>
            <w:noWrap/>
            <w:vAlign w:val="center"/>
            <w:hideMark/>
          </w:tcPr>
          <w:p w14:paraId="4E781EA4" w14:textId="785B8B1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0.7258</w:t>
            </w:r>
          </w:p>
        </w:tc>
        <w:tc>
          <w:tcPr>
            <w:tcW w:w="868" w:type="dxa"/>
            <w:shd w:val="clear" w:color="auto" w:fill="auto"/>
            <w:noWrap/>
            <w:vAlign w:val="center"/>
            <w:hideMark/>
          </w:tcPr>
          <w:p w14:paraId="713C4E2B" w14:textId="58038C4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0.6553</w:t>
            </w:r>
          </w:p>
        </w:tc>
        <w:tc>
          <w:tcPr>
            <w:tcW w:w="662" w:type="dxa"/>
            <w:shd w:val="clear" w:color="auto" w:fill="auto"/>
            <w:noWrap/>
            <w:vAlign w:val="center"/>
            <w:hideMark/>
          </w:tcPr>
          <w:p w14:paraId="318FCA99" w14:textId="47E0388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0.7006</w:t>
            </w:r>
          </w:p>
        </w:tc>
        <w:tc>
          <w:tcPr>
            <w:tcW w:w="688" w:type="dxa"/>
            <w:shd w:val="clear" w:color="auto" w:fill="auto"/>
            <w:noWrap/>
            <w:vAlign w:val="center"/>
            <w:hideMark/>
          </w:tcPr>
          <w:p w14:paraId="745C1689" w14:textId="0D5E3D4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0.7347</w:t>
            </w:r>
          </w:p>
        </w:tc>
        <w:tc>
          <w:tcPr>
            <w:tcW w:w="1000" w:type="dxa"/>
            <w:shd w:val="clear" w:color="auto" w:fill="auto"/>
            <w:noWrap/>
            <w:vAlign w:val="center"/>
            <w:hideMark/>
          </w:tcPr>
          <w:p w14:paraId="0BD98680" w14:textId="0A19234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0.7999</w:t>
            </w:r>
          </w:p>
        </w:tc>
        <w:tc>
          <w:tcPr>
            <w:tcW w:w="890" w:type="dxa"/>
            <w:shd w:val="clear" w:color="auto" w:fill="auto"/>
            <w:noWrap/>
            <w:vAlign w:val="center"/>
            <w:hideMark/>
          </w:tcPr>
          <w:p w14:paraId="33099260" w14:textId="03D2B5F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0.6482</w:t>
            </w:r>
          </w:p>
        </w:tc>
        <w:tc>
          <w:tcPr>
            <w:tcW w:w="810" w:type="dxa"/>
            <w:shd w:val="clear" w:color="auto" w:fill="auto"/>
            <w:noWrap/>
            <w:vAlign w:val="center"/>
            <w:hideMark/>
          </w:tcPr>
          <w:p w14:paraId="1141375B" w14:textId="5F8EC43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0.5866</w:t>
            </w:r>
          </w:p>
        </w:tc>
        <w:tc>
          <w:tcPr>
            <w:tcW w:w="662" w:type="dxa"/>
            <w:shd w:val="clear" w:color="auto" w:fill="auto"/>
            <w:noWrap/>
            <w:vAlign w:val="center"/>
            <w:hideMark/>
          </w:tcPr>
          <w:p w14:paraId="0DF566AB" w14:textId="57579A1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0.8183</w:t>
            </w:r>
          </w:p>
        </w:tc>
        <w:tc>
          <w:tcPr>
            <w:tcW w:w="737" w:type="dxa"/>
            <w:shd w:val="clear" w:color="auto" w:fill="auto"/>
            <w:noWrap/>
            <w:vAlign w:val="center"/>
            <w:hideMark/>
          </w:tcPr>
          <w:p w14:paraId="1A7061F9" w14:textId="72D8989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0.6209</w:t>
            </w:r>
          </w:p>
        </w:tc>
        <w:tc>
          <w:tcPr>
            <w:tcW w:w="662" w:type="dxa"/>
            <w:shd w:val="clear" w:color="auto" w:fill="auto"/>
            <w:noWrap/>
            <w:vAlign w:val="center"/>
            <w:hideMark/>
          </w:tcPr>
          <w:p w14:paraId="646B5B9B" w14:textId="2E4771B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0.6572</w:t>
            </w:r>
          </w:p>
        </w:tc>
        <w:tc>
          <w:tcPr>
            <w:tcW w:w="662" w:type="dxa"/>
            <w:shd w:val="clear" w:color="auto" w:fill="auto"/>
            <w:noWrap/>
            <w:vAlign w:val="center"/>
            <w:hideMark/>
          </w:tcPr>
          <w:p w14:paraId="05A63476" w14:textId="767B53B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0.6486</w:t>
            </w:r>
          </w:p>
        </w:tc>
        <w:tc>
          <w:tcPr>
            <w:tcW w:w="990" w:type="dxa"/>
            <w:shd w:val="clear" w:color="auto" w:fill="auto"/>
            <w:noWrap/>
            <w:vAlign w:val="center"/>
            <w:hideMark/>
          </w:tcPr>
          <w:p w14:paraId="54373C9A" w14:textId="52AF6B5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0.7040</w:t>
            </w:r>
          </w:p>
        </w:tc>
        <w:tc>
          <w:tcPr>
            <w:tcW w:w="662" w:type="dxa"/>
            <w:shd w:val="clear" w:color="auto" w:fill="auto"/>
            <w:noWrap/>
            <w:vAlign w:val="center"/>
            <w:hideMark/>
          </w:tcPr>
          <w:p w14:paraId="661CC073" w14:textId="73F5CC5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0.7911</w:t>
            </w:r>
          </w:p>
        </w:tc>
        <w:tc>
          <w:tcPr>
            <w:tcW w:w="662" w:type="dxa"/>
            <w:shd w:val="clear" w:color="auto" w:fill="auto"/>
            <w:noWrap/>
            <w:vAlign w:val="center"/>
            <w:hideMark/>
          </w:tcPr>
          <w:p w14:paraId="780FFA2E" w14:textId="0BCC22B4"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0.7379</w:t>
            </w:r>
          </w:p>
        </w:tc>
        <w:tc>
          <w:tcPr>
            <w:tcW w:w="755" w:type="dxa"/>
            <w:shd w:val="clear" w:color="auto" w:fill="auto"/>
            <w:noWrap/>
            <w:vAlign w:val="center"/>
            <w:hideMark/>
          </w:tcPr>
          <w:p w14:paraId="17FDA0F6" w14:textId="33D654E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0.7472</w:t>
            </w:r>
          </w:p>
        </w:tc>
        <w:tc>
          <w:tcPr>
            <w:tcW w:w="1042" w:type="dxa"/>
            <w:shd w:val="clear" w:color="auto" w:fill="auto"/>
            <w:noWrap/>
            <w:vAlign w:val="center"/>
            <w:hideMark/>
          </w:tcPr>
          <w:p w14:paraId="7814C6B8" w14:textId="4BCA161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0.7295</w:t>
            </w:r>
          </w:p>
        </w:tc>
      </w:tr>
      <w:tr w:rsidR="00255A16" w:rsidRPr="00A77490" w14:paraId="1866D7C4" w14:textId="77777777" w:rsidTr="006347D4">
        <w:trPr>
          <w:trHeight w:val="1040"/>
        </w:trPr>
        <w:tc>
          <w:tcPr>
            <w:tcW w:w="720" w:type="dxa"/>
            <w:shd w:val="clear" w:color="auto" w:fill="F2F2F2" w:themeFill="background1" w:themeFillShade="F2"/>
            <w:noWrap/>
            <w:hideMark/>
          </w:tcPr>
          <w:p w14:paraId="561BA6B1"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IET-I</w:t>
            </w:r>
          </w:p>
        </w:tc>
        <w:tc>
          <w:tcPr>
            <w:tcW w:w="2700" w:type="dxa"/>
            <w:shd w:val="clear" w:color="auto" w:fill="F2F2F2" w:themeFill="background1" w:themeFillShade="F2"/>
            <w:hideMark/>
          </w:tcPr>
          <w:p w14:paraId="7DD6AAC4" w14:textId="0E344D63"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Initiation and Engagement of Alcohol, Opioid, or Other Drug Abuse or Dependence Treatment (Initiation)</w:t>
            </w:r>
          </w:p>
        </w:tc>
        <w:tc>
          <w:tcPr>
            <w:tcW w:w="810" w:type="dxa"/>
            <w:shd w:val="clear" w:color="auto" w:fill="F2F2F2" w:themeFill="background1" w:themeFillShade="F2"/>
            <w:noWrap/>
            <w:vAlign w:val="center"/>
            <w:hideMark/>
          </w:tcPr>
          <w:p w14:paraId="2F621292" w14:textId="5506726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46.4%</w:t>
            </w:r>
          </w:p>
        </w:tc>
        <w:tc>
          <w:tcPr>
            <w:tcW w:w="662" w:type="dxa"/>
            <w:shd w:val="clear" w:color="auto" w:fill="F2F2F2" w:themeFill="background1" w:themeFillShade="F2"/>
            <w:noWrap/>
            <w:vAlign w:val="center"/>
            <w:hideMark/>
          </w:tcPr>
          <w:p w14:paraId="606F3E22" w14:textId="2DE4A17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59.6%</w:t>
            </w:r>
          </w:p>
        </w:tc>
        <w:tc>
          <w:tcPr>
            <w:tcW w:w="662" w:type="dxa"/>
            <w:shd w:val="clear" w:color="auto" w:fill="F2F2F2" w:themeFill="background1" w:themeFillShade="F2"/>
            <w:noWrap/>
            <w:vAlign w:val="center"/>
            <w:hideMark/>
          </w:tcPr>
          <w:p w14:paraId="26AF890D" w14:textId="775A6B8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58.0%</w:t>
            </w:r>
          </w:p>
        </w:tc>
        <w:tc>
          <w:tcPr>
            <w:tcW w:w="662" w:type="dxa"/>
            <w:shd w:val="clear" w:color="auto" w:fill="F2F2F2" w:themeFill="background1" w:themeFillShade="F2"/>
            <w:noWrap/>
            <w:vAlign w:val="center"/>
            <w:hideMark/>
          </w:tcPr>
          <w:p w14:paraId="37298460" w14:textId="1E83487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39.8%</w:t>
            </w:r>
          </w:p>
        </w:tc>
        <w:tc>
          <w:tcPr>
            <w:tcW w:w="662" w:type="dxa"/>
            <w:shd w:val="clear" w:color="auto" w:fill="F2F2F2" w:themeFill="background1" w:themeFillShade="F2"/>
            <w:noWrap/>
            <w:vAlign w:val="center"/>
            <w:hideMark/>
          </w:tcPr>
          <w:p w14:paraId="4EC829BF" w14:textId="22E5349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53.2%</w:t>
            </w:r>
          </w:p>
        </w:tc>
        <w:tc>
          <w:tcPr>
            <w:tcW w:w="952" w:type="dxa"/>
            <w:shd w:val="clear" w:color="auto" w:fill="F2F2F2" w:themeFill="background1" w:themeFillShade="F2"/>
            <w:noWrap/>
            <w:vAlign w:val="center"/>
            <w:hideMark/>
          </w:tcPr>
          <w:p w14:paraId="6FF65A2D" w14:textId="248943F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36.1%</w:t>
            </w:r>
          </w:p>
        </w:tc>
        <w:tc>
          <w:tcPr>
            <w:tcW w:w="868" w:type="dxa"/>
            <w:shd w:val="clear" w:color="auto" w:fill="F2F2F2" w:themeFill="background1" w:themeFillShade="F2"/>
            <w:noWrap/>
            <w:vAlign w:val="center"/>
            <w:hideMark/>
          </w:tcPr>
          <w:p w14:paraId="58EE6FB9" w14:textId="4D6015A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36.3%</w:t>
            </w:r>
          </w:p>
        </w:tc>
        <w:tc>
          <w:tcPr>
            <w:tcW w:w="662" w:type="dxa"/>
            <w:shd w:val="clear" w:color="auto" w:fill="F2F2F2" w:themeFill="background1" w:themeFillShade="F2"/>
            <w:noWrap/>
            <w:vAlign w:val="center"/>
            <w:hideMark/>
          </w:tcPr>
          <w:p w14:paraId="4E410451" w14:textId="2220208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48.8%</w:t>
            </w:r>
          </w:p>
        </w:tc>
        <w:tc>
          <w:tcPr>
            <w:tcW w:w="688" w:type="dxa"/>
            <w:shd w:val="clear" w:color="auto" w:fill="F2F2F2" w:themeFill="background1" w:themeFillShade="F2"/>
            <w:noWrap/>
            <w:vAlign w:val="center"/>
            <w:hideMark/>
          </w:tcPr>
          <w:p w14:paraId="2F4F77C9" w14:textId="2CEDC6A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63.1%</w:t>
            </w:r>
          </w:p>
        </w:tc>
        <w:tc>
          <w:tcPr>
            <w:tcW w:w="1000" w:type="dxa"/>
            <w:shd w:val="clear" w:color="auto" w:fill="F2F2F2" w:themeFill="background1" w:themeFillShade="F2"/>
            <w:noWrap/>
            <w:vAlign w:val="center"/>
            <w:hideMark/>
          </w:tcPr>
          <w:p w14:paraId="16B32420" w14:textId="1BAEF73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31.5%</w:t>
            </w:r>
          </w:p>
        </w:tc>
        <w:tc>
          <w:tcPr>
            <w:tcW w:w="890" w:type="dxa"/>
            <w:shd w:val="clear" w:color="auto" w:fill="F2F2F2" w:themeFill="background1" w:themeFillShade="F2"/>
            <w:noWrap/>
            <w:vAlign w:val="center"/>
            <w:hideMark/>
          </w:tcPr>
          <w:p w14:paraId="717DABC0" w14:textId="4AE28FE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49.0%</w:t>
            </w:r>
          </w:p>
        </w:tc>
        <w:tc>
          <w:tcPr>
            <w:tcW w:w="810" w:type="dxa"/>
            <w:shd w:val="clear" w:color="auto" w:fill="F2F2F2" w:themeFill="background1" w:themeFillShade="F2"/>
            <w:noWrap/>
            <w:vAlign w:val="center"/>
            <w:hideMark/>
          </w:tcPr>
          <w:p w14:paraId="7D32D391" w14:textId="784E345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47.1%</w:t>
            </w:r>
          </w:p>
        </w:tc>
        <w:tc>
          <w:tcPr>
            <w:tcW w:w="662" w:type="dxa"/>
            <w:shd w:val="clear" w:color="auto" w:fill="F2F2F2" w:themeFill="background1" w:themeFillShade="F2"/>
            <w:noWrap/>
            <w:vAlign w:val="center"/>
            <w:hideMark/>
          </w:tcPr>
          <w:p w14:paraId="21EB5465" w14:textId="6206920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57.7%</w:t>
            </w:r>
          </w:p>
        </w:tc>
        <w:tc>
          <w:tcPr>
            <w:tcW w:w="737" w:type="dxa"/>
            <w:shd w:val="clear" w:color="auto" w:fill="F2F2F2" w:themeFill="background1" w:themeFillShade="F2"/>
            <w:noWrap/>
            <w:vAlign w:val="center"/>
            <w:hideMark/>
          </w:tcPr>
          <w:p w14:paraId="5C115DC3" w14:textId="378D7E5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42.1%</w:t>
            </w:r>
          </w:p>
        </w:tc>
        <w:tc>
          <w:tcPr>
            <w:tcW w:w="662" w:type="dxa"/>
            <w:shd w:val="clear" w:color="auto" w:fill="F2F2F2" w:themeFill="background1" w:themeFillShade="F2"/>
            <w:noWrap/>
            <w:vAlign w:val="center"/>
            <w:hideMark/>
          </w:tcPr>
          <w:p w14:paraId="2146EF16" w14:textId="72A5C4A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47.0%</w:t>
            </w:r>
          </w:p>
        </w:tc>
        <w:tc>
          <w:tcPr>
            <w:tcW w:w="662" w:type="dxa"/>
            <w:shd w:val="clear" w:color="auto" w:fill="F2F2F2" w:themeFill="background1" w:themeFillShade="F2"/>
            <w:noWrap/>
            <w:vAlign w:val="center"/>
            <w:hideMark/>
          </w:tcPr>
          <w:p w14:paraId="394EF263" w14:textId="4C36B39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41.5%</w:t>
            </w:r>
          </w:p>
        </w:tc>
        <w:tc>
          <w:tcPr>
            <w:tcW w:w="990" w:type="dxa"/>
            <w:shd w:val="clear" w:color="auto" w:fill="F2F2F2" w:themeFill="background1" w:themeFillShade="F2"/>
            <w:noWrap/>
            <w:vAlign w:val="center"/>
            <w:hideMark/>
          </w:tcPr>
          <w:p w14:paraId="24B5A02D" w14:textId="6045F72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41.4%</w:t>
            </w:r>
          </w:p>
        </w:tc>
        <w:tc>
          <w:tcPr>
            <w:tcW w:w="662" w:type="dxa"/>
            <w:shd w:val="clear" w:color="auto" w:fill="F2F2F2" w:themeFill="background1" w:themeFillShade="F2"/>
            <w:noWrap/>
            <w:vAlign w:val="center"/>
            <w:hideMark/>
          </w:tcPr>
          <w:p w14:paraId="66CE9A83" w14:textId="5298B08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55.0%</w:t>
            </w:r>
          </w:p>
        </w:tc>
        <w:tc>
          <w:tcPr>
            <w:tcW w:w="662" w:type="dxa"/>
            <w:shd w:val="clear" w:color="auto" w:fill="F2F2F2" w:themeFill="background1" w:themeFillShade="F2"/>
            <w:noWrap/>
            <w:vAlign w:val="center"/>
            <w:hideMark/>
          </w:tcPr>
          <w:p w14:paraId="1F0A8E53" w14:textId="66E0067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54.4%</w:t>
            </w:r>
          </w:p>
        </w:tc>
        <w:tc>
          <w:tcPr>
            <w:tcW w:w="755" w:type="dxa"/>
            <w:shd w:val="clear" w:color="auto" w:fill="F2F2F2" w:themeFill="background1" w:themeFillShade="F2"/>
            <w:noWrap/>
            <w:vAlign w:val="center"/>
            <w:hideMark/>
          </w:tcPr>
          <w:p w14:paraId="7302CDDB" w14:textId="0E9A2C0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56.3%</w:t>
            </w:r>
          </w:p>
        </w:tc>
        <w:tc>
          <w:tcPr>
            <w:tcW w:w="1042" w:type="dxa"/>
            <w:shd w:val="clear" w:color="auto" w:fill="F2F2F2" w:themeFill="background1" w:themeFillShade="F2"/>
            <w:noWrap/>
            <w:vAlign w:val="center"/>
            <w:hideMark/>
          </w:tcPr>
          <w:p w14:paraId="4DA0443E" w14:textId="4682BB3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52.8%</w:t>
            </w:r>
          </w:p>
        </w:tc>
      </w:tr>
      <w:tr w:rsidR="00EF4C5F" w:rsidRPr="00A77490" w14:paraId="73AACF65" w14:textId="77777777" w:rsidTr="006347D4">
        <w:trPr>
          <w:trHeight w:val="1040"/>
        </w:trPr>
        <w:tc>
          <w:tcPr>
            <w:tcW w:w="720" w:type="dxa"/>
            <w:shd w:val="clear" w:color="auto" w:fill="auto"/>
            <w:noWrap/>
            <w:hideMark/>
          </w:tcPr>
          <w:p w14:paraId="3C703A7E"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lastRenderedPageBreak/>
              <w:t>IET-E</w:t>
            </w:r>
          </w:p>
        </w:tc>
        <w:tc>
          <w:tcPr>
            <w:tcW w:w="2700" w:type="dxa"/>
            <w:shd w:val="clear" w:color="auto" w:fill="auto"/>
            <w:hideMark/>
          </w:tcPr>
          <w:p w14:paraId="3880C7C5" w14:textId="07898EA8"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Initiation and Engagement of Alcohol, Opioid, or Other Drug Abuse or Dependence Treatment (Engagement)</w:t>
            </w:r>
          </w:p>
        </w:tc>
        <w:tc>
          <w:tcPr>
            <w:tcW w:w="810" w:type="dxa"/>
            <w:shd w:val="clear" w:color="auto" w:fill="auto"/>
            <w:noWrap/>
            <w:vAlign w:val="center"/>
            <w:hideMark/>
          </w:tcPr>
          <w:p w14:paraId="3F7C9BCB" w14:textId="7A52282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15.9%</w:t>
            </w:r>
          </w:p>
        </w:tc>
        <w:tc>
          <w:tcPr>
            <w:tcW w:w="662" w:type="dxa"/>
            <w:shd w:val="clear" w:color="auto" w:fill="auto"/>
            <w:noWrap/>
            <w:vAlign w:val="center"/>
            <w:hideMark/>
          </w:tcPr>
          <w:p w14:paraId="2A71A2AC" w14:textId="6E9EA68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22.0%</w:t>
            </w:r>
          </w:p>
        </w:tc>
        <w:tc>
          <w:tcPr>
            <w:tcW w:w="662" w:type="dxa"/>
            <w:shd w:val="clear" w:color="auto" w:fill="auto"/>
            <w:noWrap/>
            <w:vAlign w:val="center"/>
            <w:hideMark/>
          </w:tcPr>
          <w:p w14:paraId="647A77D9" w14:textId="20D3CA0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13.0%</w:t>
            </w:r>
          </w:p>
        </w:tc>
        <w:tc>
          <w:tcPr>
            <w:tcW w:w="662" w:type="dxa"/>
            <w:shd w:val="clear" w:color="auto" w:fill="auto"/>
            <w:noWrap/>
            <w:vAlign w:val="center"/>
            <w:hideMark/>
          </w:tcPr>
          <w:p w14:paraId="4954B817" w14:textId="71AA9E6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14.1%</w:t>
            </w:r>
          </w:p>
        </w:tc>
        <w:tc>
          <w:tcPr>
            <w:tcW w:w="662" w:type="dxa"/>
            <w:shd w:val="clear" w:color="auto" w:fill="auto"/>
            <w:noWrap/>
            <w:vAlign w:val="center"/>
            <w:hideMark/>
          </w:tcPr>
          <w:p w14:paraId="522738A6" w14:textId="3D4E1A0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16.4%</w:t>
            </w:r>
          </w:p>
        </w:tc>
        <w:tc>
          <w:tcPr>
            <w:tcW w:w="952" w:type="dxa"/>
            <w:shd w:val="clear" w:color="auto" w:fill="auto"/>
            <w:noWrap/>
            <w:vAlign w:val="center"/>
            <w:hideMark/>
          </w:tcPr>
          <w:p w14:paraId="45B52088" w14:textId="568DA69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w:t>
            </w:r>
          </w:p>
        </w:tc>
        <w:tc>
          <w:tcPr>
            <w:tcW w:w="868" w:type="dxa"/>
            <w:shd w:val="clear" w:color="auto" w:fill="auto"/>
            <w:noWrap/>
            <w:vAlign w:val="center"/>
            <w:hideMark/>
          </w:tcPr>
          <w:p w14:paraId="50ADCE48" w14:textId="3A5A5EE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12.0%</w:t>
            </w:r>
          </w:p>
        </w:tc>
        <w:tc>
          <w:tcPr>
            <w:tcW w:w="662" w:type="dxa"/>
            <w:shd w:val="clear" w:color="auto" w:fill="auto"/>
            <w:noWrap/>
            <w:vAlign w:val="center"/>
            <w:hideMark/>
          </w:tcPr>
          <w:p w14:paraId="36CF87EF" w14:textId="14A7787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w:t>
            </w:r>
          </w:p>
        </w:tc>
        <w:tc>
          <w:tcPr>
            <w:tcW w:w="688" w:type="dxa"/>
            <w:shd w:val="clear" w:color="auto" w:fill="auto"/>
            <w:noWrap/>
            <w:vAlign w:val="center"/>
            <w:hideMark/>
          </w:tcPr>
          <w:p w14:paraId="529EA541" w14:textId="7E6E38E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w:t>
            </w:r>
          </w:p>
        </w:tc>
        <w:tc>
          <w:tcPr>
            <w:tcW w:w="1000" w:type="dxa"/>
            <w:shd w:val="clear" w:color="auto" w:fill="auto"/>
            <w:noWrap/>
            <w:vAlign w:val="center"/>
            <w:hideMark/>
          </w:tcPr>
          <w:p w14:paraId="2B3688C1" w14:textId="71EBA31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w:t>
            </w:r>
          </w:p>
        </w:tc>
        <w:tc>
          <w:tcPr>
            <w:tcW w:w="890" w:type="dxa"/>
            <w:shd w:val="clear" w:color="auto" w:fill="auto"/>
            <w:noWrap/>
            <w:vAlign w:val="center"/>
            <w:hideMark/>
          </w:tcPr>
          <w:p w14:paraId="66291B4B" w14:textId="0FED71C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17.9%</w:t>
            </w:r>
          </w:p>
        </w:tc>
        <w:tc>
          <w:tcPr>
            <w:tcW w:w="810" w:type="dxa"/>
            <w:shd w:val="clear" w:color="auto" w:fill="auto"/>
            <w:noWrap/>
            <w:vAlign w:val="center"/>
            <w:hideMark/>
          </w:tcPr>
          <w:p w14:paraId="5208FB84" w14:textId="68D0433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19.3%</w:t>
            </w:r>
          </w:p>
        </w:tc>
        <w:tc>
          <w:tcPr>
            <w:tcW w:w="662" w:type="dxa"/>
            <w:shd w:val="clear" w:color="auto" w:fill="auto"/>
            <w:noWrap/>
            <w:vAlign w:val="center"/>
            <w:hideMark/>
          </w:tcPr>
          <w:p w14:paraId="3DA5C6AD" w14:textId="3A5BB07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17.1%</w:t>
            </w:r>
          </w:p>
        </w:tc>
        <w:tc>
          <w:tcPr>
            <w:tcW w:w="737" w:type="dxa"/>
            <w:shd w:val="clear" w:color="auto" w:fill="auto"/>
            <w:noWrap/>
            <w:vAlign w:val="center"/>
            <w:hideMark/>
          </w:tcPr>
          <w:p w14:paraId="1BC3BEE1" w14:textId="7A8923A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18.1%</w:t>
            </w:r>
          </w:p>
        </w:tc>
        <w:tc>
          <w:tcPr>
            <w:tcW w:w="662" w:type="dxa"/>
            <w:shd w:val="clear" w:color="auto" w:fill="auto"/>
            <w:noWrap/>
            <w:vAlign w:val="center"/>
            <w:hideMark/>
          </w:tcPr>
          <w:p w14:paraId="3F7E8405" w14:textId="4E15B8C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17.6%</w:t>
            </w:r>
          </w:p>
        </w:tc>
        <w:tc>
          <w:tcPr>
            <w:tcW w:w="662" w:type="dxa"/>
            <w:shd w:val="clear" w:color="auto" w:fill="auto"/>
            <w:noWrap/>
            <w:vAlign w:val="center"/>
            <w:hideMark/>
          </w:tcPr>
          <w:p w14:paraId="739B9C30" w14:textId="11A68EE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13.3%</w:t>
            </w:r>
          </w:p>
        </w:tc>
        <w:tc>
          <w:tcPr>
            <w:tcW w:w="990" w:type="dxa"/>
            <w:shd w:val="clear" w:color="auto" w:fill="auto"/>
            <w:noWrap/>
            <w:vAlign w:val="center"/>
            <w:hideMark/>
          </w:tcPr>
          <w:p w14:paraId="33C3DE9D" w14:textId="6B35320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15.1%</w:t>
            </w:r>
          </w:p>
        </w:tc>
        <w:tc>
          <w:tcPr>
            <w:tcW w:w="662" w:type="dxa"/>
            <w:shd w:val="clear" w:color="auto" w:fill="auto"/>
            <w:noWrap/>
            <w:vAlign w:val="center"/>
            <w:hideMark/>
          </w:tcPr>
          <w:p w14:paraId="7C400C91" w14:textId="19BBC9D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15.5%</w:t>
            </w:r>
          </w:p>
        </w:tc>
        <w:tc>
          <w:tcPr>
            <w:tcW w:w="662" w:type="dxa"/>
            <w:shd w:val="clear" w:color="auto" w:fill="auto"/>
            <w:noWrap/>
            <w:vAlign w:val="center"/>
            <w:hideMark/>
          </w:tcPr>
          <w:p w14:paraId="402F0738" w14:textId="6EB754A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21.7%</w:t>
            </w:r>
          </w:p>
        </w:tc>
        <w:tc>
          <w:tcPr>
            <w:tcW w:w="755" w:type="dxa"/>
            <w:shd w:val="clear" w:color="auto" w:fill="auto"/>
            <w:noWrap/>
            <w:vAlign w:val="center"/>
            <w:hideMark/>
          </w:tcPr>
          <w:p w14:paraId="6734C296" w14:textId="0B37140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21.7%</w:t>
            </w:r>
          </w:p>
        </w:tc>
        <w:tc>
          <w:tcPr>
            <w:tcW w:w="1042" w:type="dxa"/>
            <w:shd w:val="clear" w:color="auto" w:fill="auto"/>
            <w:noWrap/>
            <w:vAlign w:val="center"/>
            <w:hideMark/>
          </w:tcPr>
          <w:p w14:paraId="6E19ED20" w14:textId="7703804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21.6%</w:t>
            </w:r>
          </w:p>
        </w:tc>
      </w:tr>
      <w:tr w:rsidR="00255A16" w:rsidRPr="00A77490" w14:paraId="52AA4DE2" w14:textId="77777777" w:rsidTr="006347D4">
        <w:trPr>
          <w:trHeight w:val="520"/>
        </w:trPr>
        <w:tc>
          <w:tcPr>
            <w:tcW w:w="720" w:type="dxa"/>
            <w:shd w:val="clear" w:color="auto" w:fill="F2F2F2" w:themeFill="background1" w:themeFillShade="F2"/>
            <w:noWrap/>
            <w:hideMark/>
          </w:tcPr>
          <w:p w14:paraId="7AE34FBF"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FUH-7</w:t>
            </w:r>
          </w:p>
        </w:tc>
        <w:tc>
          <w:tcPr>
            <w:tcW w:w="2700" w:type="dxa"/>
            <w:shd w:val="clear" w:color="auto" w:fill="F2F2F2" w:themeFill="background1" w:themeFillShade="F2"/>
            <w:hideMark/>
          </w:tcPr>
          <w:p w14:paraId="7D774E8A"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Follow-Up After Hospitalization for Mental Illness (7 days) </w:t>
            </w:r>
          </w:p>
        </w:tc>
        <w:tc>
          <w:tcPr>
            <w:tcW w:w="810" w:type="dxa"/>
            <w:shd w:val="clear" w:color="auto" w:fill="F2F2F2" w:themeFill="background1" w:themeFillShade="F2"/>
            <w:noWrap/>
            <w:vAlign w:val="center"/>
            <w:hideMark/>
          </w:tcPr>
          <w:p w14:paraId="650D0395" w14:textId="216273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48.2%</w:t>
            </w:r>
          </w:p>
        </w:tc>
        <w:tc>
          <w:tcPr>
            <w:tcW w:w="662" w:type="dxa"/>
            <w:shd w:val="clear" w:color="auto" w:fill="F2F2F2" w:themeFill="background1" w:themeFillShade="F2"/>
            <w:noWrap/>
            <w:vAlign w:val="center"/>
            <w:hideMark/>
          </w:tcPr>
          <w:p w14:paraId="3F4F6A48" w14:textId="28B3D68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39.4%</w:t>
            </w:r>
          </w:p>
        </w:tc>
        <w:tc>
          <w:tcPr>
            <w:tcW w:w="662" w:type="dxa"/>
            <w:shd w:val="clear" w:color="auto" w:fill="F2F2F2" w:themeFill="background1" w:themeFillShade="F2"/>
            <w:noWrap/>
            <w:vAlign w:val="center"/>
            <w:hideMark/>
          </w:tcPr>
          <w:p w14:paraId="64AD2F5C" w14:textId="4E265D7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49.3%</w:t>
            </w:r>
          </w:p>
        </w:tc>
        <w:tc>
          <w:tcPr>
            <w:tcW w:w="662" w:type="dxa"/>
            <w:shd w:val="clear" w:color="auto" w:fill="F2F2F2" w:themeFill="background1" w:themeFillShade="F2"/>
            <w:noWrap/>
            <w:vAlign w:val="center"/>
            <w:hideMark/>
          </w:tcPr>
          <w:p w14:paraId="62FEC924" w14:textId="3BCDFCE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37.0%</w:t>
            </w:r>
          </w:p>
        </w:tc>
        <w:tc>
          <w:tcPr>
            <w:tcW w:w="662" w:type="dxa"/>
            <w:shd w:val="clear" w:color="auto" w:fill="F2F2F2" w:themeFill="background1" w:themeFillShade="F2"/>
            <w:noWrap/>
            <w:vAlign w:val="center"/>
            <w:hideMark/>
          </w:tcPr>
          <w:p w14:paraId="6377596B" w14:textId="673F515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49.8%</w:t>
            </w:r>
          </w:p>
        </w:tc>
        <w:tc>
          <w:tcPr>
            <w:tcW w:w="952" w:type="dxa"/>
            <w:shd w:val="clear" w:color="auto" w:fill="F2F2F2" w:themeFill="background1" w:themeFillShade="F2"/>
            <w:noWrap/>
            <w:vAlign w:val="center"/>
            <w:hideMark/>
          </w:tcPr>
          <w:p w14:paraId="74AE5AEC" w14:textId="6D9A5B0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32.9%</w:t>
            </w:r>
          </w:p>
        </w:tc>
        <w:tc>
          <w:tcPr>
            <w:tcW w:w="868" w:type="dxa"/>
            <w:shd w:val="clear" w:color="auto" w:fill="F2F2F2" w:themeFill="background1" w:themeFillShade="F2"/>
            <w:noWrap/>
            <w:vAlign w:val="center"/>
            <w:hideMark/>
          </w:tcPr>
          <w:p w14:paraId="5FE31601" w14:textId="04E128F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47.1%</w:t>
            </w:r>
          </w:p>
        </w:tc>
        <w:tc>
          <w:tcPr>
            <w:tcW w:w="662" w:type="dxa"/>
            <w:shd w:val="clear" w:color="auto" w:fill="F2F2F2" w:themeFill="background1" w:themeFillShade="F2"/>
            <w:noWrap/>
            <w:vAlign w:val="center"/>
            <w:hideMark/>
          </w:tcPr>
          <w:p w14:paraId="25D01163" w14:textId="58E8DC3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39.1%</w:t>
            </w:r>
          </w:p>
        </w:tc>
        <w:tc>
          <w:tcPr>
            <w:tcW w:w="688" w:type="dxa"/>
            <w:shd w:val="clear" w:color="auto" w:fill="F2F2F2" w:themeFill="background1" w:themeFillShade="F2"/>
            <w:noWrap/>
            <w:vAlign w:val="center"/>
            <w:hideMark/>
          </w:tcPr>
          <w:p w14:paraId="3A37C175" w14:textId="0C89FE0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56.5%</w:t>
            </w:r>
          </w:p>
        </w:tc>
        <w:tc>
          <w:tcPr>
            <w:tcW w:w="1000" w:type="dxa"/>
            <w:shd w:val="clear" w:color="auto" w:fill="F2F2F2" w:themeFill="background1" w:themeFillShade="F2"/>
            <w:noWrap/>
            <w:vAlign w:val="center"/>
            <w:hideMark/>
          </w:tcPr>
          <w:p w14:paraId="08056BB7" w14:textId="444588E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54.6%</w:t>
            </w:r>
          </w:p>
        </w:tc>
        <w:tc>
          <w:tcPr>
            <w:tcW w:w="890" w:type="dxa"/>
            <w:shd w:val="clear" w:color="auto" w:fill="F2F2F2" w:themeFill="background1" w:themeFillShade="F2"/>
            <w:noWrap/>
            <w:vAlign w:val="center"/>
            <w:hideMark/>
          </w:tcPr>
          <w:p w14:paraId="53020686" w14:textId="4E59A00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46.7%</w:t>
            </w:r>
          </w:p>
        </w:tc>
        <w:tc>
          <w:tcPr>
            <w:tcW w:w="810" w:type="dxa"/>
            <w:shd w:val="clear" w:color="auto" w:fill="F2F2F2" w:themeFill="background1" w:themeFillShade="F2"/>
            <w:noWrap/>
            <w:vAlign w:val="center"/>
            <w:hideMark/>
          </w:tcPr>
          <w:p w14:paraId="0FC1219E" w14:textId="6C633B8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64.6%</w:t>
            </w:r>
          </w:p>
        </w:tc>
        <w:tc>
          <w:tcPr>
            <w:tcW w:w="662" w:type="dxa"/>
            <w:shd w:val="clear" w:color="auto" w:fill="F2F2F2" w:themeFill="background1" w:themeFillShade="F2"/>
            <w:noWrap/>
            <w:vAlign w:val="center"/>
            <w:hideMark/>
          </w:tcPr>
          <w:p w14:paraId="7F336331" w14:textId="4160FE5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51.6%</w:t>
            </w:r>
          </w:p>
        </w:tc>
        <w:tc>
          <w:tcPr>
            <w:tcW w:w="737" w:type="dxa"/>
            <w:shd w:val="clear" w:color="auto" w:fill="F2F2F2" w:themeFill="background1" w:themeFillShade="F2"/>
            <w:noWrap/>
            <w:vAlign w:val="center"/>
            <w:hideMark/>
          </w:tcPr>
          <w:p w14:paraId="717142DD" w14:textId="161C764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52.6%</w:t>
            </w:r>
          </w:p>
        </w:tc>
        <w:tc>
          <w:tcPr>
            <w:tcW w:w="662" w:type="dxa"/>
            <w:shd w:val="clear" w:color="auto" w:fill="F2F2F2" w:themeFill="background1" w:themeFillShade="F2"/>
            <w:noWrap/>
            <w:vAlign w:val="center"/>
            <w:hideMark/>
          </w:tcPr>
          <w:p w14:paraId="211F0010" w14:textId="678D1C6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49.3%</w:t>
            </w:r>
          </w:p>
        </w:tc>
        <w:tc>
          <w:tcPr>
            <w:tcW w:w="662" w:type="dxa"/>
            <w:shd w:val="clear" w:color="auto" w:fill="F2F2F2" w:themeFill="background1" w:themeFillShade="F2"/>
            <w:noWrap/>
            <w:vAlign w:val="center"/>
            <w:hideMark/>
          </w:tcPr>
          <w:p w14:paraId="3D522F51" w14:textId="2868120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52.6%</w:t>
            </w:r>
          </w:p>
        </w:tc>
        <w:tc>
          <w:tcPr>
            <w:tcW w:w="990" w:type="dxa"/>
            <w:shd w:val="clear" w:color="auto" w:fill="F2F2F2" w:themeFill="background1" w:themeFillShade="F2"/>
            <w:noWrap/>
            <w:vAlign w:val="center"/>
            <w:hideMark/>
          </w:tcPr>
          <w:p w14:paraId="14EE1789" w14:textId="779D873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46.6%</w:t>
            </w:r>
          </w:p>
        </w:tc>
        <w:tc>
          <w:tcPr>
            <w:tcW w:w="662" w:type="dxa"/>
            <w:shd w:val="clear" w:color="auto" w:fill="F2F2F2" w:themeFill="background1" w:themeFillShade="F2"/>
            <w:noWrap/>
            <w:vAlign w:val="center"/>
            <w:hideMark/>
          </w:tcPr>
          <w:p w14:paraId="0D09A5D5" w14:textId="711B58F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48.6%</w:t>
            </w:r>
          </w:p>
        </w:tc>
        <w:tc>
          <w:tcPr>
            <w:tcW w:w="662" w:type="dxa"/>
            <w:shd w:val="clear" w:color="auto" w:fill="F2F2F2" w:themeFill="background1" w:themeFillShade="F2"/>
            <w:noWrap/>
            <w:vAlign w:val="center"/>
            <w:hideMark/>
          </w:tcPr>
          <w:p w14:paraId="462BA5A9" w14:textId="033FDBB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44.8%</w:t>
            </w:r>
          </w:p>
        </w:tc>
        <w:tc>
          <w:tcPr>
            <w:tcW w:w="755" w:type="dxa"/>
            <w:shd w:val="clear" w:color="auto" w:fill="F2F2F2" w:themeFill="background1" w:themeFillShade="F2"/>
            <w:noWrap/>
            <w:vAlign w:val="center"/>
            <w:hideMark/>
          </w:tcPr>
          <w:p w14:paraId="137F109A" w14:textId="66D9B09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46.2%</w:t>
            </w:r>
          </w:p>
        </w:tc>
        <w:tc>
          <w:tcPr>
            <w:tcW w:w="1042" w:type="dxa"/>
            <w:shd w:val="clear" w:color="auto" w:fill="F2F2F2" w:themeFill="background1" w:themeFillShade="F2"/>
            <w:noWrap/>
            <w:vAlign w:val="center"/>
            <w:hideMark/>
          </w:tcPr>
          <w:p w14:paraId="0CAC8D02" w14:textId="1B9EE4D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43.8%</w:t>
            </w:r>
          </w:p>
        </w:tc>
      </w:tr>
      <w:tr w:rsidR="00EF4C5F" w:rsidRPr="00A77490" w14:paraId="3AD0A436" w14:textId="77777777" w:rsidTr="006347D4">
        <w:trPr>
          <w:trHeight w:val="780"/>
        </w:trPr>
        <w:tc>
          <w:tcPr>
            <w:tcW w:w="720" w:type="dxa"/>
            <w:shd w:val="clear" w:color="auto" w:fill="auto"/>
            <w:noWrap/>
            <w:hideMark/>
          </w:tcPr>
          <w:p w14:paraId="6A7AADDE"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FUM-7</w:t>
            </w:r>
          </w:p>
        </w:tc>
        <w:tc>
          <w:tcPr>
            <w:tcW w:w="2700" w:type="dxa"/>
            <w:shd w:val="clear" w:color="auto" w:fill="auto"/>
            <w:hideMark/>
          </w:tcPr>
          <w:p w14:paraId="7F6D0485"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Follow-Up After Emergency Department Visit for Mental Illness (7 days)</w:t>
            </w:r>
          </w:p>
        </w:tc>
        <w:tc>
          <w:tcPr>
            <w:tcW w:w="810" w:type="dxa"/>
            <w:shd w:val="clear" w:color="auto" w:fill="auto"/>
            <w:noWrap/>
            <w:vAlign w:val="center"/>
            <w:hideMark/>
          </w:tcPr>
          <w:p w14:paraId="14537195" w14:textId="59671D8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73.1%</w:t>
            </w:r>
          </w:p>
        </w:tc>
        <w:tc>
          <w:tcPr>
            <w:tcW w:w="662" w:type="dxa"/>
            <w:shd w:val="clear" w:color="auto" w:fill="auto"/>
            <w:noWrap/>
            <w:vAlign w:val="center"/>
            <w:hideMark/>
          </w:tcPr>
          <w:p w14:paraId="60391FFE" w14:textId="682A56B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0A8D3C54" w14:textId="2356837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84.9%</w:t>
            </w:r>
          </w:p>
        </w:tc>
        <w:tc>
          <w:tcPr>
            <w:tcW w:w="662" w:type="dxa"/>
            <w:shd w:val="clear" w:color="auto" w:fill="auto"/>
            <w:noWrap/>
            <w:vAlign w:val="center"/>
            <w:hideMark/>
          </w:tcPr>
          <w:p w14:paraId="675008F4" w14:textId="47D0EFB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74.5%</w:t>
            </w:r>
          </w:p>
        </w:tc>
        <w:tc>
          <w:tcPr>
            <w:tcW w:w="662" w:type="dxa"/>
            <w:shd w:val="clear" w:color="auto" w:fill="auto"/>
            <w:noWrap/>
            <w:vAlign w:val="center"/>
            <w:hideMark/>
          </w:tcPr>
          <w:p w14:paraId="04745974" w14:textId="42729C8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75.8%</w:t>
            </w:r>
          </w:p>
        </w:tc>
        <w:tc>
          <w:tcPr>
            <w:tcW w:w="952" w:type="dxa"/>
            <w:shd w:val="clear" w:color="auto" w:fill="auto"/>
            <w:noWrap/>
            <w:vAlign w:val="center"/>
            <w:hideMark/>
          </w:tcPr>
          <w:p w14:paraId="7E985E53" w14:textId="0F83CB0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66.8%</w:t>
            </w:r>
          </w:p>
        </w:tc>
        <w:tc>
          <w:tcPr>
            <w:tcW w:w="868" w:type="dxa"/>
            <w:shd w:val="clear" w:color="auto" w:fill="auto"/>
            <w:noWrap/>
            <w:vAlign w:val="center"/>
            <w:hideMark/>
          </w:tcPr>
          <w:p w14:paraId="36679648" w14:textId="0967899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77.1%</w:t>
            </w:r>
          </w:p>
        </w:tc>
        <w:tc>
          <w:tcPr>
            <w:tcW w:w="662" w:type="dxa"/>
            <w:shd w:val="clear" w:color="auto" w:fill="auto"/>
            <w:noWrap/>
            <w:vAlign w:val="center"/>
            <w:hideMark/>
          </w:tcPr>
          <w:p w14:paraId="3EFD1303" w14:textId="5351B7A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65.4%</w:t>
            </w:r>
          </w:p>
        </w:tc>
        <w:tc>
          <w:tcPr>
            <w:tcW w:w="688" w:type="dxa"/>
            <w:shd w:val="clear" w:color="auto" w:fill="auto"/>
            <w:noWrap/>
            <w:vAlign w:val="center"/>
            <w:hideMark/>
          </w:tcPr>
          <w:p w14:paraId="0DCF1F2D" w14:textId="6B30941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70.0%</w:t>
            </w:r>
          </w:p>
        </w:tc>
        <w:tc>
          <w:tcPr>
            <w:tcW w:w="1000" w:type="dxa"/>
            <w:shd w:val="clear" w:color="auto" w:fill="auto"/>
            <w:noWrap/>
            <w:vAlign w:val="center"/>
            <w:hideMark/>
          </w:tcPr>
          <w:p w14:paraId="5DEBC6F4" w14:textId="65CE95A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84.4%</w:t>
            </w:r>
          </w:p>
        </w:tc>
        <w:tc>
          <w:tcPr>
            <w:tcW w:w="890" w:type="dxa"/>
            <w:shd w:val="clear" w:color="auto" w:fill="auto"/>
            <w:noWrap/>
            <w:vAlign w:val="center"/>
            <w:hideMark/>
          </w:tcPr>
          <w:p w14:paraId="393C7507" w14:textId="3D63AD2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70.3%</w:t>
            </w:r>
          </w:p>
        </w:tc>
        <w:tc>
          <w:tcPr>
            <w:tcW w:w="810" w:type="dxa"/>
            <w:shd w:val="clear" w:color="auto" w:fill="auto"/>
            <w:noWrap/>
            <w:vAlign w:val="center"/>
            <w:hideMark/>
          </w:tcPr>
          <w:p w14:paraId="5F626715" w14:textId="30CD748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75.7%</w:t>
            </w:r>
          </w:p>
        </w:tc>
        <w:tc>
          <w:tcPr>
            <w:tcW w:w="662" w:type="dxa"/>
            <w:shd w:val="clear" w:color="auto" w:fill="auto"/>
            <w:noWrap/>
            <w:vAlign w:val="center"/>
            <w:hideMark/>
          </w:tcPr>
          <w:p w14:paraId="5D196CCA" w14:textId="644E36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66.1%</w:t>
            </w:r>
          </w:p>
        </w:tc>
        <w:tc>
          <w:tcPr>
            <w:tcW w:w="737" w:type="dxa"/>
            <w:shd w:val="clear" w:color="auto" w:fill="auto"/>
            <w:noWrap/>
            <w:vAlign w:val="center"/>
            <w:hideMark/>
          </w:tcPr>
          <w:p w14:paraId="336F6B42" w14:textId="33DEBCF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79.2%</w:t>
            </w:r>
          </w:p>
        </w:tc>
        <w:tc>
          <w:tcPr>
            <w:tcW w:w="662" w:type="dxa"/>
            <w:shd w:val="clear" w:color="auto" w:fill="auto"/>
            <w:noWrap/>
            <w:vAlign w:val="center"/>
            <w:hideMark/>
          </w:tcPr>
          <w:p w14:paraId="54728FB4" w14:textId="25C5F20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72.7%</w:t>
            </w:r>
          </w:p>
        </w:tc>
        <w:tc>
          <w:tcPr>
            <w:tcW w:w="662" w:type="dxa"/>
            <w:shd w:val="clear" w:color="auto" w:fill="auto"/>
            <w:noWrap/>
            <w:vAlign w:val="center"/>
            <w:hideMark/>
          </w:tcPr>
          <w:p w14:paraId="49FFC63B" w14:textId="5103A8A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73.9%</w:t>
            </w:r>
          </w:p>
        </w:tc>
        <w:tc>
          <w:tcPr>
            <w:tcW w:w="990" w:type="dxa"/>
            <w:shd w:val="clear" w:color="auto" w:fill="auto"/>
            <w:noWrap/>
            <w:vAlign w:val="center"/>
            <w:hideMark/>
          </w:tcPr>
          <w:p w14:paraId="7464971A" w14:textId="148972E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68.9%</w:t>
            </w:r>
          </w:p>
        </w:tc>
        <w:tc>
          <w:tcPr>
            <w:tcW w:w="662" w:type="dxa"/>
            <w:shd w:val="clear" w:color="auto" w:fill="auto"/>
            <w:noWrap/>
            <w:vAlign w:val="center"/>
            <w:hideMark/>
          </w:tcPr>
          <w:p w14:paraId="5205C033" w14:textId="174468B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69.4%</w:t>
            </w:r>
          </w:p>
        </w:tc>
        <w:tc>
          <w:tcPr>
            <w:tcW w:w="662" w:type="dxa"/>
            <w:shd w:val="clear" w:color="auto" w:fill="auto"/>
            <w:noWrap/>
            <w:vAlign w:val="center"/>
            <w:hideMark/>
          </w:tcPr>
          <w:p w14:paraId="41AB32D4" w14:textId="501DB72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73.0%</w:t>
            </w:r>
          </w:p>
        </w:tc>
        <w:tc>
          <w:tcPr>
            <w:tcW w:w="755" w:type="dxa"/>
            <w:shd w:val="clear" w:color="auto" w:fill="auto"/>
            <w:noWrap/>
            <w:vAlign w:val="center"/>
            <w:hideMark/>
          </w:tcPr>
          <w:p w14:paraId="5FC9C1BC" w14:textId="160FCA4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70.4%</w:t>
            </w:r>
          </w:p>
        </w:tc>
        <w:tc>
          <w:tcPr>
            <w:tcW w:w="1042" w:type="dxa"/>
            <w:shd w:val="clear" w:color="auto" w:fill="auto"/>
            <w:noWrap/>
            <w:vAlign w:val="center"/>
            <w:hideMark/>
          </w:tcPr>
          <w:p w14:paraId="5A1A3784" w14:textId="239FEF0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74.9%</w:t>
            </w:r>
          </w:p>
        </w:tc>
      </w:tr>
      <w:tr w:rsidR="00255A16" w:rsidRPr="00A77490" w14:paraId="6B18C454" w14:textId="77777777" w:rsidTr="006347D4">
        <w:trPr>
          <w:trHeight w:val="780"/>
        </w:trPr>
        <w:tc>
          <w:tcPr>
            <w:tcW w:w="720" w:type="dxa"/>
            <w:shd w:val="clear" w:color="auto" w:fill="F2F2F2" w:themeFill="background1" w:themeFillShade="F2"/>
            <w:noWrap/>
            <w:hideMark/>
          </w:tcPr>
          <w:p w14:paraId="71387C9D"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APM</w:t>
            </w:r>
          </w:p>
        </w:tc>
        <w:tc>
          <w:tcPr>
            <w:tcW w:w="2700" w:type="dxa"/>
            <w:shd w:val="clear" w:color="auto" w:fill="F2F2F2" w:themeFill="background1" w:themeFillShade="F2"/>
            <w:hideMark/>
          </w:tcPr>
          <w:p w14:paraId="1F117A70"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Metabolic Monitoring for Children and Adolescents on Antipsychotics </w:t>
            </w:r>
          </w:p>
        </w:tc>
        <w:tc>
          <w:tcPr>
            <w:tcW w:w="810" w:type="dxa"/>
            <w:shd w:val="clear" w:color="auto" w:fill="F2F2F2" w:themeFill="background1" w:themeFillShade="F2"/>
            <w:noWrap/>
            <w:vAlign w:val="center"/>
            <w:hideMark/>
          </w:tcPr>
          <w:p w14:paraId="7C92E7A3" w14:textId="680AAF4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37.7%</w:t>
            </w:r>
          </w:p>
        </w:tc>
        <w:tc>
          <w:tcPr>
            <w:tcW w:w="662" w:type="dxa"/>
            <w:shd w:val="clear" w:color="auto" w:fill="F2F2F2" w:themeFill="background1" w:themeFillShade="F2"/>
            <w:noWrap/>
            <w:vAlign w:val="center"/>
            <w:hideMark/>
          </w:tcPr>
          <w:p w14:paraId="2ACD46F6" w14:textId="76277E3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18.4%</w:t>
            </w:r>
          </w:p>
        </w:tc>
        <w:tc>
          <w:tcPr>
            <w:tcW w:w="662" w:type="dxa"/>
            <w:shd w:val="clear" w:color="auto" w:fill="F2F2F2" w:themeFill="background1" w:themeFillShade="F2"/>
            <w:noWrap/>
            <w:vAlign w:val="center"/>
            <w:hideMark/>
          </w:tcPr>
          <w:p w14:paraId="202810D4" w14:textId="6FDD672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27.7%</w:t>
            </w:r>
          </w:p>
        </w:tc>
        <w:tc>
          <w:tcPr>
            <w:tcW w:w="662" w:type="dxa"/>
            <w:shd w:val="clear" w:color="auto" w:fill="F2F2F2" w:themeFill="background1" w:themeFillShade="F2"/>
            <w:noWrap/>
            <w:vAlign w:val="center"/>
            <w:hideMark/>
          </w:tcPr>
          <w:p w14:paraId="3C1A571A" w14:textId="399D3E3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35.9%</w:t>
            </w:r>
          </w:p>
        </w:tc>
        <w:tc>
          <w:tcPr>
            <w:tcW w:w="662" w:type="dxa"/>
            <w:shd w:val="clear" w:color="auto" w:fill="F2F2F2" w:themeFill="background1" w:themeFillShade="F2"/>
            <w:noWrap/>
            <w:vAlign w:val="center"/>
            <w:hideMark/>
          </w:tcPr>
          <w:p w14:paraId="598C623A" w14:textId="1A69950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37.7%</w:t>
            </w:r>
          </w:p>
        </w:tc>
        <w:tc>
          <w:tcPr>
            <w:tcW w:w="952" w:type="dxa"/>
            <w:shd w:val="clear" w:color="auto" w:fill="F2F2F2" w:themeFill="background1" w:themeFillShade="F2"/>
            <w:noWrap/>
            <w:vAlign w:val="center"/>
            <w:hideMark/>
          </w:tcPr>
          <w:p w14:paraId="79A1267B" w14:textId="3B15D2A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61.0%</w:t>
            </w:r>
          </w:p>
        </w:tc>
        <w:tc>
          <w:tcPr>
            <w:tcW w:w="868" w:type="dxa"/>
            <w:shd w:val="clear" w:color="auto" w:fill="F2F2F2" w:themeFill="background1" w:themeFillShade="F2"/>
            <w:noWrap/>
            <w:vAlign w:val="center"/>
            <w:hideMark/>
          </w:tcPr>
          <w:p w14:paraId="364E2D9A" w14:textId="2C52CEA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50.3%</w:t>
            </w:r>
          </w:p>
        </w:tc>
        <w:tc>
          <w:tcPr>
            <w:tcW w:w="662" w:type="dxa"/>
            <w:shd w:val="clear" w:color="auto" w:fill="F2F2F2" w:themeFill="background1" w:themeFillShade="F2"/>
            <w:noWrap/>
            <w:vAlign w:val="center"/>
            <w:hideMark/>
          </w:tcPr>
          <w:p w14:paraId="70383C97" w14:textId="327F8CF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88" w:type="dxa"/>
            <w:shd w:val="clear" w:color="auto" w:fill="F2F2F2" w:themeFill="background1" w:themeFillShade="F2"/>
            <w:noWrap/>
            <w:vAlign w:val="center"/>
            <w:hideMark/>
          </w:tcPr>
          <w:p w14:paraId="38797048" w14:textId="43A1246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1000" w:type="dxa"/>
            <w:shd w:val="clear" w:color="auto" w:fill="F2F2F2" w:themeFill="background1" w:themeFillShade="F2"/>
            <w:noWrap/>
            <w:vAlign w:val="center"/>
            <w:hideMark/>
          </w:tcPr>
          <w:p w14:paraId="25D544B6" w14:textId="0B4B265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37.0%</w:t>
            </w:r>
          </w:p>
        </w:tc>
        <w:tc>
          <w:tcPr>
            <w:tcW w:w="890" w:type="dxa"/>
            <w:shd w:val="clear" w:color="auto" w:fill="F2F2F2" w:themeFill="background1" w:themeFillShade="F2"/>
            <w:noWrap/>
            <w:vAlign w:val="center"/>
            <w:hideMark/>
          </w:tcPr>
          <w:p w14:paraId="01B9C9B2" w14:textId="27535B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41.1%</w:t>
            </w:r>
          </w:p>
        </w:tc>
        <w:tc>
          <w:tcPr>
            <w:tcW w:w="810" w:type="dxa"/>
            <w:shd w:val="clear" w:color="auto" w:fill="F2F2F2" w:themeFill="background1" w:themeFillShade="F2"/>
            <w:noWrap/>
            <w:vAlign w:val="center"/>
            <w:hideMark/>
          </w:tcPr>
          <w:p w14:paraId="4F7B6165" w14:textId="34D3282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33.3%</w:t>
            </w:r>
          </w:p>
        </w:tc>
        <w:tc>
          <w:tcPr>
            <w:tcW w:w="662" w:type="dxa"/>
            <w:shd w:val="clear" w:color="auto" w:fill="F2F2F2" w:themeFill="background1" w:themeFillShade="F2"/>
            <w:noWrap/>
            <w:vAlign w:val="center"/>
            <w:hideMark/>
          </w:tcPr>
          <w:p w14:paraId="4B542E38" w14:textId="5C79757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52.8%</w:t>
            </w:r>
          </w:p>
        </w:tc>
        <w:tc>
          <w:tcPr>
            <w:tcW w:w="737" w:type="dxa"/>
            <w:shd w:val="clear" w:color="auto" w:fill="F2F2F2" w:themeFill="background1" w:themeFillShade="F2"/>
            <w:noWrap/>
            <w:vAlign w:val="center"/>
            <w:hideMark/>
          </w:tcPr>
          <w:p w14:paraId="777DF29B" w14:textId="3B7078A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48.8%</w:t>
            </w:r>
          </w:p>
        </w:tc>
        <w:tc>
          <w:tcPr>
            <w:tcW w:w="662" w:type="dxa"/>
            <w:shd w:val="clear" w:color="auto" w:fill="F2F2F2" w:themeFill="background1" w:themeFillShade="F2"/>
            <w:noWrap/>
            <w:vAlign w:val="center"/>
            <w:hideMark/>
          </w:tcPr>
          <w:p w14:paraId="35D12376" w14:textId="2818D37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40.8%</w:t>
            </w:r>
          </w:p>
        </w:tc>
        <w:tc>
          <w:tcPr>
            <w:tcW w:w="662" w:type="dxa"/>
            <w:shd w:val="clear" w:color="auto" w:fill="F2F2F2" w:themeFill="background1" w:themeFillShade="F2"/>
            <w:noWrap/>
            <w:vAlign w:val="center"/>
            <w:hideMark/>
          </w:tcPr>
          <w:p w14:paraId="334A4926" w14:textId="1BA21EC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34.1%</w:t>
            </w:r>
          </w:p>
        </w:tc>
        <w:tc>
          <w:tcPr>
            <w:tcW w:w="990" w:type="dxa"/>
            <w:shd w:val="clear" w:color="auto" w:fill="F2F2F2" w:themeFill="background1" w:themeFillShade="F2"/>
            <w:noWrap/>
            <w:vAlign w:val="center"/>
            <w:hideMark/>
          </w:tcPr>
          <w:p w14:paraId="43E50421" w14:textId="7A9C932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38.8%</w:t>
            </w:r>
          </w:p>
        </w:tc>
        <w:tc>
          <w:tcPr>
            <w:tcW w:w="662" w:type="dxa"/>
            <w:shd w:val="clear" w:color="auto" w:fill="F2F2F2" w:themeFill="background1" w:themeFillShade="F2"/>
            <w:noWrap/>
            <w:vAlign w:val="center"/>
            <w:hideMark/>
          </w:tcPr>
          <w:p w14:paraId="43DC5136" w14:textId="1C28243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tcBorders>
              <w:bottom w:val="single" w:sz="4" w:space="0" w:color="auto"/>
            </w:tcBorders>
            <w:shd w:val="clear" w:color="auto" w:fill="F2F2F2" w:themeFill="background1" w:themeFillShade="F2"/>
            <w:noWrap/>
            <w:vAlign w:val="center"/>
            <w:hideMark/>
          </w:tcPr>
          <w:p w14:paraId="76245BAE" w14:textId="14116C1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28.1%</w:t>
            </w:r>
          </w:p>
        </w:tc>
        <w:tc>
          <w:tcPr>
            <w:tcW w:w="755" w:type="dxa"/>
            <w:tcBorders>
              <w:bottom w:val="single" w:sz="4" w:space="0" w:color="auto"/>
            </w:tcBorders>
            <w:shd w:val="clear" w:color="auto" w:fill="F2F2F2" w:themeFill="background1" w:themeFillShade="F2"/>
            <w:noWrap/>
            <w:vAlign w:val="center"/>
            <w:hideMark/>
          </w:tcPr>
          <w:p w14:paraId="6BDE24F5" w14:textId="7584EE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16.3%</w:t>
            </w:r>
          </w:p>
        </w:tc>
        <w:tc>
          <w:tcPr>
            <w:tcW w:w="1042" w:type="dxa"/>
            <w:tcBorders>
              <w:bottom w:val="single" w:sz="4" w:space="0" w:color="auto"/>
            </w:tcBorders>
            <w:shd w:val="clear" w:color="auto" w:fill="F2F2F2" w:themeFill="background1" w:themeFillShade="F2"/>
            <w:noWrap/>
            <w:vAlign w:val="center"/>
            <w:hideMark/>
          </w:tcPr>
          <w:p w14:paraId="443CC9DC" w14:textId="661D4FF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30.7%</w:t>
            </w:r>
          </w:p>
        </w:tc>
      </w:tr>
      <w:tr w:rsidR="00255A16" w:rsidRPr="00A77490" w14:paraId="109EF4B4" w14:textId="77777777" w:rsidTr="006347D4">
        <w:trPr>
          <w:trHeight w:val="520"/>
        </w:trPr>
        <w:tc>
          <w:tcPr>
            <w:tcW w:w="720" w:type="dxa"/>
            <w:shd w:val="clear" w:color="auto" w:fill="auto"/>
            <w:noWrap/>
            <w:hideMark/>
          </w:tcPr>
          <w:p w14:paraId="3030A854"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DSF</w:t>
            </w:r>
          </w:p>
        </w:tc>
        <w:tc>
          <w:tcPr>
            <w:tcW w:w="2700" w:type="dxa"/>
            <w:shd w:val="clear" w:color="auto" w:fill="auto"/>
            <w:hideMark/>
          </w:tcPr>
          <w:p w14:paraId="55B661E0"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Screening for Depression and Follow-Up Plan</w:t>
            </w:r>
          </w:p>
        </w:tc>
        <w:tc>
          <w:tcPr>
            <w:tcW w:w="810" w:type="dxa"/>
            <w:shd w:val="clear" w:color="auto" w:fill="auto"/>
            <w:noWrap/>
            <w:vAlign w:val="center"/>
            <w:hideMark/>
          </w:tcPr>
          <w:p w14:paraId="50D5B387" w14:textId="2660CBD2" w:rsidR="00770E94" w:rsidRPr="00770E94" w:rsidRDefault="00770E94" w:rsidP="00770E94">
            <w:pPr>
              <w:spacing w:after="0"/>
              <w:jc w:val="center"/>
              <w:rPr>
                <w:rFonts w:asciiTheme="minorHAnsi" w:eastAsia="Times New Roman" w:hAnsiTheme="minorHAnsi" w:cstheme="minorHAnsi"/>
                <w:sz w:val="16"/>
                <w:szCs w:val="16"/>
              </w:rPr>
            </w:pPr>
            <w:r w:rsidRPr="00770E94">
              <w:rPr>
                <w:rFonts w:cs="Calibri"/>
                <w:sz w:val="16"/>
                <w:szCs w:val="16"/>
              </w:rPr>
              <w:t>37.1%</w:t>
            </w:r>
          </w:p>
        </w:tc>
        <w:tc>
          <w:tcPr>
            <w:tcW w:w="662" w:type="dxa"/>
            <w:shd w:val="clear" w:color="auto" w:fill="auto"/>
            <w:noWrap/>
            <w:vAlign w:val="center"/>
            <w:hideMark/>
          </w:tcPr>
          <w:p w14:paraId="31552420" w14:textId="1B10925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8.7%</w:t>
            </w:r>
          </w:p>
        </w:tc>
        <w:tc>
          <w:tcPr>
            <w:tcW w:w="662" w:type="dxa"/>
            <w:shd w:val="clear" w:color="auto" w:fill="auto"/>
            <w:noWrap/>
            <w:vAlign w:val="center"/>
            <w:hideMark/>
          </w:tcPr>
          <w:p w14:paraId="2A57B08D" w14:textId="373A469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25.0%</w:t>
            </w:r>
          </w:p>
        </w:tc>
        <w:tc>
          <w:tcPr>
            <w:tcW w:w="662" w:type="dxa"/>
            <w:shd w:val="clear" w:color="auto" w:fill="auto"/>
            <w:noWrap/>
            <w:vAlign w:val="center"/>
            <w:hideMark/>
          </w:tcPr>
          <w:p w14:paraId="011CCB4C" w14:textId="7354A6C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25.6%</w:t>
            </w:r>
          </w:p>
        </w:tc>
        <w:tc>
          <w:tcPr>
            <w:tcW w:w="662" w:type="dxa"/>
            <w:shd w:val="clear" w:color="auto" w:fill="auto"/>
            <w:noWrap/>
            <w:vAlign w:val="center"/>
            <w:hideMark/>
          </w:tcPr>
          <w:p w14:paraId="48AFCD51" w14:textId="2CC6FC1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39.3%</w:t>
            </w:r>
          </w:p>
        </w:tc>
        <w:tc>
          <w:tcPr>
            <w:tcW w:w="952" w:type="dxa"/>
            <w:shd w:val="clear" w:color="auto" w:fill="auto"/>
            <w:noWrap/>
            <w:vAlign w:val="center"/>
            <w:hideMark/>
          </w:tcPr>
          <w:p w14:paraId="1B648ACD" w14:textId="10EBE79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22.8%</w:t>
            </w:r>
          </w:p>
        </w:tc>
        <w:tc>
          <w:tcPr>
            <w:tcW w:w="868" w:type="dxa"/>
            <w:shd w:val="clear" w:color="auto" w:fill="auto"/>
            <w:noWrap/>
            <w:vAlign w:val="center"/>
            <w:hideMark/>
          </w:tcPr>
          <w:p w14:paraId="7B2D8867" w14:textId="22BA4EF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16.1%</w:t>
            </w:r>
          </w:p>
        </w:tc>
        <w:tc>
          <w:tcPr>
            <w:tcW w:w="662" w:type="dxa"/>
            <w:shd w:val="clear" w:color="auto" w:fill="auto"/>
            <w:noWrap/>
            <w:vAlign w:val="center"/>
            <w:hideMark/>
          </w:tcPr>
          <w:p w14:paraId="1CD6BE86" w14:textId="125C4E5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35.4%</w:t>
            </w:r>
          </w:p>
        </w:tc>
        <w:tc>
          <w:tcPr>
            <w:tcW w:w="688" w:type="dxa"/>
            <w:shd w:val="clear" w:color="auto" w:fill="auto"/>
            <w:noWrap/>
            <w:vAlign w:val="center"/>
            <w:hideMark/>
          </w:tcPr>
          <w:p w14:paraId="7557CBC1" w14:textId="7D7A320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31.8%</w:t>
            </w:r>
          </w:p>
        </w:tc>
        <w:tc>
          <w:tcPr>
            <w:tcW w:w="1000" w:type="dxa"/>
            <w:shd w:val="clear" w:color="auto" w:fill="auto"/>
            <w:noWrap/>
            <w:vAlign w:val="center"/>
            <w:hideMark/>
          </w:tcPr>
          <w:p w14:paraId="4430AA57" w14:textId="26A97D7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57.5%</w:t>
            </w:r>
          </w:p>
        </w:tc>
        <w:tc>
          <w:tcPr>
            <w:tcW w:w="890" w:type="dxa"/>
            <w:shd w:val="clear" w:color="auto" w:fill="auto"/>
            <w:noWrap/>
            <w:vAlign w:val="center"/>
            <w:hideMark/>
          </w:tcPr>
          <w:p w14:paraId="1A03B5EE" w14:textId="58C3DC4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36.0%</w:t>
            </w:r>
          </w:p>
        </w:tc>
        <w:tc>
          <w:tcPr>
            <w:tcW w:w="810" w:type="dxa"/>
            <w:shd w:val="clear" w:color="auto" w:fill="auto"/>
            <w:noWrap/>
            <w:vAlign w:val="center"/>
            <w:hideMark/>
          </w:tcPr>
          <w:p w14:paraId="1B673BA3" w14:textId="5AFCC53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8.8%</w:t>
            </w:r>
          </w:p>
        </w:tc>
        <w:tc>
          <w:tcPr>
            <w:tcW w:w="662" w:type="dxa"/>
            <w:shd w:val="clear" w:color="auto" w:fill="auto"/>
            <w:noWrap/>
            <w:vAlign w:val="center"/>
            <w:hideMark/>
          </w:tcPr>
          <w:p w14:paraId="62679D53" w14:textId="2D388D6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39.2%</w:t>
            </w:r>
          </w:p>
        </w:tc>
        <w:tc>
          <w:tcPr>
            <w:tcW w:w="737" w:type="dxa"/>
            <w:shd w:val="clear" w:color="auto" w:fill="auto"/>
            <w:noWrap/>
            <w:vAlign w:val="center"/>
            <w:hideMark/>
          </w:tcPr>
          <w:p w14:paraId="3C0B7370" w14:textId="0304CBE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92.0%</w:t>
            </w:r>
          </w:p>
        </w:tc>
        <w:tc>
          <w:tcPr>
            <w:tcW w:w="662" w:type="dxa"/>
            <w:shd w:val="clear" w:color="auto" w:fill="auto"/>
            <w:noWrap/>
            <w:vAlign w:val="center"/>
            <w:hideMark/>
          </w:tcPr>
          <w:p w14:paraId="1E5853F3" w14:textId="6B09B93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48.3%</w:t>
            </w:r>
          </w:p>
        </w:tc>
        <w:tc>
          <w:tcPr>
            <w:tcW w:w="662" w:type="dxa"/>
            <w:shd w:val="clear" w:color="auto" w:fill="auto"/>
            <w:noWrap/>
            <w:vAlign w:val="center"/>
            <w:hideMark/>
          </w:tcPr>
          <w:p w14:paraId="3D9956F6" w14:textId="4CBA080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40.9%</w:t>
            </w:r>
          </w:p>
        </w:tc>
        <w:tc>
          <w:tcPr>
            <w:tcW w:w="990" w:type="dxa"/>
            <w:shd w:val="clear" w:color="auto" w:fill="auto"/>
            <w:noWrap/>
            <w:vAlign w:val="center"/>
            <w:hideMark/>
          </w:tcPr>
          <w:p w14:paraId="3EA9F25C" w14:textId="295693F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33.9%</w:t>
            </w:r>
          </w:p>
        </w:tc>
        <w:tc>
          <w:tcPr>
            <w:tcW w:w="662" w:type="dxa"/>
            <w:tcBorders>
              <w:right w:val="single" w:sz="4" w:space="0" w:color="auto"/>
            </w:tcBorders>
            <w:shd w:val="clear" w:color="auto" w:fill="auto"/>
            <w:noWrap/>
            <w:vAlign w:val="center"/>
            <w:hideMark/>
          </w:tcPr>
          <w:p w14:paraId="18C388D8" w14:textId="668D0E6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0657CA5" w14:textId="4C6F7132" w:rsidR="00770E94" w:rsidRPr="00273F52" w:rsidRDefault="00770E94" w:rsidP="00770E94">
            <w:pPr>
              <w:spacing w:after="0"/>
              <w:jc w:val="center"/>
              <w:rPr>
                <w:color w:val="000000"/>
              </w:rPr>
            </w:pPr>
            <w:r w:rsidRPr="00273F52">
              <w:rPr>
                <w:color w:val="000000"/>
              </w:rPr>
              <w:t> </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06B85ED" w14:textId="0EA751F6" w:rsidR="00770E94" w:rsidRPr="00273F52" w:rsidRDefault="00770E94" w:rsidP="00770E94">
            <w:pPr>
              <w:spacing w:after="0"/>
              <w:jc w:val="center"/>
              <w:rPr>
                <w:color w:val="000000"/>
              </w:rPr>
            </w:pPr>
            <w:r w:rsidRPr="00273F52">
              <w:rPr>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7FDD9F2" w14:textId="51075EA1" w:rsidR="00770E94" w:rsidRPr="00273F52" w:rsidRDefault="00770E94" w:rsidP="00770E94">
            <w:pPr>
              <w:spacing w:after="0"/>
              <w:jc w:val="center"/>
              <w:rPr>
                <w:color w:val="000000"/>
              </w:rPr>
            </w:pPr>
            <w:r w:rsidRPr="00273F52">
              <w:rPr>
                <w:color w:val="000000"/>
              </w:rPr>
              <w:t> </w:t>
            </w:r>
          </w:p>
        </w:tc>
      </w:tr>
      <w:tr w:rsidR="00255A16" w:rsidRPr="00A77490" w14:paraId="1B5A5D37" w14:textId="77777777" w:rsidTr="006347D4">
        <w:trPr>
          <w:trHeight w:val="520"/>
        </w:trPr>
        <w:tc>
          <w:tcPr>
            <w:tcW w:w="720" w:type="dxa"/>
            <w:shd w:val="clear" w:color="auto" w:fill="F2F2F2" w:themeFill="background1" w:themeFillShade="F2"/>
            <w:noWrap/>
            <w:hideMark/>
          </w:tcPr>
          <w:p w14:paraId="3D1E646C"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DRR</w:t>
            </w:r>
          </w:p>
        </w:tc>
        <w:tc>
          <w:tcPr>
            <w:tcW w:w="2700" w:type="dxa"/>
            <w:shd w:val="clear" w:color="auto" w:fill="F2F2F2" w:themeFill="background1" w:themeFillShade="F2"/>
            <w:hideMark/>
          </w:tcPr>
          <w:p w14:paraId="51FF6491"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Depression Remission or Response  </w:t>
            </w:r>
          </w:p>
        </w:tc>
        <w:tc>
          <w:tcPr>
            <w:tcW w:w="810" w:type="dxa"/>
            <w:shd w:val="clear" w:color="auto" w:fill="F2F2F2" w:themeFill="background1" w:themeFillShade="F2"/>
            <w:noWrap/>
            <w:vAlign w:val="center"/>
            <w:hideMark/>
          </w:tcPr>
          <w:p w14:paraId="4DC1E6A4" w14:textId="25A22A6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F2F2F2" w:themeFill="background1" w:themeFillShade="F2"/>
            <w:noWrap/>
            <w:vAlign w:val="center"/>
            <w:hideMark/>
          </w:tcPr>
          <w:p w14:paraId="22BA04DC" w14:textId="2A7829C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w:t>
            </w:r>
          </w:p>
        </w:tc>
        <w:tc>
          <w:tcPr>
            <w:tcW w:w="662" w:type="dxa"/>
            <w:shd w:val="clear" w:color="auto" w:fill="F2F2F2" w:themeFill="background1" w:themeFillShade="F2"/>
            <w:noWrap/>
            <w:vAlign w:val="center"/>
            <w:hideMark/>
          </w:tcPr>
          <w:p w14:paraId="5559393F" w14:textId="0CD3215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662" w:type="dxa"/>
            <w:shd w:val="clear" w:color="auto" w:fill="F2F2F2" w:themeFill="background1" w:themeFillShade="F2"/>
            <w:noWrap/>
            <w:vAlign w:val="center"/>
            <w:hideMark/>
          </w:tcPr>
          <w:p w14:paraId="5AF6111C" w14:textId="7A20449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w:t>
            </w:r>
          </w:p>
        </w:tc>
        <w:tc>
          <w:tcPr>
            <w:tcW w:w="662" w:type="dxa"/>
            <w:shd w:val="clear" w:color="auto" w:fill="F2F2F2" w:themeFill="background1" w:themeFillShade="F2"/>
            <w:noWrap/>
            <w:vAlign w:val="center"/>
            <w:hideMark/>
          </w:tcPr>
          <w:p w14:paraId="2CFB363D" w14:textId="411169C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w:t>
            </w:r>
          </w:p>
        </w:tc>
        <w:tc>
          <w:tcPr>
            <w:tcW w:w="952" w:type="dxa"/>
            <w:shd w:val="clear" w:color="auto" w:fill="F2F2F2" w:themeFill="background1" w:themeFillShade="F2"/>
            <w:noWrap/>
            <w:vAlign w:val="center"/>
            <w:hideMark/>
          </w:tcPr>
          <w:p w14:paraId="3C5C9E8C" w14:textId="7CBCA8E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5.4%</w:t>
            </w:r>
          </w:p>
        </w:tc>
        <w:tc>
          <w:tcPr>
            <w:tcW w:w="868" w:type="dxa"/>
            <w:shd w:val="clear" w:color="auto" w:fill="F2F2F2" w:themeFill="background1" w:themeFillShade="F2"/>
            <w:noWrap/>
            <w:vAlign w:val="center"/>
            <w:hideMark/>
          </w:tcPr>
          <w:p w14:paraId="483B3946" w14:textId="74F7F1B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662" w:type="dxa"/>
            <w:shd w:val="clear" w:color="auto" w:fill="F2F2F2" w:themeFill="background1" w:themeFillShade="F2"/>
            <w:noWrap/>
            <w:vAlign w:val="center"/>
            <w:hideMark/>
          </w:tcPr>
          <w:p w14:paraId="23111929" w14:textId="2FB04FB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w:t>
            </w:r>
          </w:p>
        </w:tc>
        <w:tc>
          <w:tcPr>
            <w:tcW w:w="688" w:type="dxa"/>
            <w:shd w:val="clear" w:color="auto" w:fill="F2F2F2" w:themeFill="background1" w:themeFillShade="F2"/>
            <w:noWrap/>
            <w:vAlign w:val="center"/>
            <w:hideMark/>
          </w:tcPr>
          <w:p w14:paraId="61FEEE7E" w14:textId="61DC0A2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w:t>
            </w:r>
          </w:p>
        </w:tc>
        <w:tc>
          <w:tcPr>
            <w:tcW w:w="1000" w:type="dxa"/>
            <w:shd w:val="clear" w:color="auto" w:fill="F2F2F2" w:themeFill="background1" w:themeFillShade="F2"/>
            <w:noWrap/>
            <w:vAlign w:val="center"/>
            <w:hideMark/>
          </w:tcPr>
          <w:p w14:paraId="0C10453F" w14:textId="7164BC3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w:t>
            </w:r>
          </w:p>
        </w:tc>
        <w:tc>
          <w:tcPr>
            <w:tcW w:w="890" w:type="dxa"/>
            <w:shd w:val="clear" w:color="auto" w:fill="F2F2F2" w:themeFill="background1" w:themeFillShade="F2"/>
            <w:noWrap/>
            <w:vAlign w:val="center"/>
            <w:hideMark/>
          </w:tcPr>
          <w:p w14:paraId="673D43D2" w14:textId="32AC652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7.2%</w:t>
            </w:r>
          </w:p>
        </w:tc>
        <w:tc>
          <w:tcPr>
            <w:tcW w:w="810" w:type="dxa"/>
            <w:shd w:val="clear" w:color="auto" w:fill="F2F2F2" w:themeFill="background1" w:themeFillShade="F2"/>
            <w:noWrap/>
            <w:vAlign w:val="center"/>
            <w:hideMark/>
          </w:tcPr>
          <w:p w14:paraId="345FC980" w14:textId="225B337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662" w:type="dxa"/>
            <w:shd w:val="clear" w:color="auto" w:fill="F2F2F2" w:themeFill="background1" w:themeFillShade="F2"/>
            <w:noWrap/>
            <w:vAlign w:val="center"/>
            <w:hideMark/>
          </w:tcPr>
          <w:p w14:paraId="59C1F0CA" w14:textId="551C6DA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5.0%</w:t>
            </w:r>
          </w:p>
        </w:tc>
        <w:tc>
          <w:tcPr>
            <w:tcW w:w="737" w:type="dxa"/>
            <w:shd w:val="clear" w:color="auto" w:fill="F2F2F2" w:themeFill="background1" w:themeFillShade="F2"/>
            <w:noWrap/>
            <w:vAlign w:val="center"/>
            <w:hideMark/>
          </w:tcPr>
          <w:p w14:paraId="003F658E" w14:textId="63A4017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9.1%</w:t>
            </w:r>
          </w:p>
        </w:tc>
        <w:tc>
          <w:tcPr>
            <w:tcW w:w="662" w:type="dxa"/>
            <w:shd w:val="clear" w:color="auto" w:fill="F2F2F2" w:themeFill="background1" w:themeFillShade="F2"/>
            <w:noWrap/>
            <w:vAlign w:val="center"/>
            <w:hideMark/>
          </w:tcPr>
          <w:p w14:paraId="1B27A8D8" w14:textId="00F60C6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9.5%</w:t>
            </w:r>
          </w:p>
        </w:tc>
        <w:tc>
          <w:tcPr>
            <w:tcW w:w="662" w:type="dxa"/>
            <w:shd w:val="clear" w:color="auto" w:fill="F2F2F2" w:themeFill="background1" w:themeFillShade="F2"/>
            <w:noWrap/>
            <w:vAlign w:val="center"/>
            <w:hideMark/>
          </w:tcPr>
          <w:p w14:paraId="5B85190C" w14:textId="17FBD7C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0.0%</w:t>
            </w:r>
          </w:p>
        </w:tc>
        <w:tc>
          <w:tcPr>
            <w:tcW w:w="990" w:type="dxa"/>
            <w:shd w:val="clear" w:color="auto" w:fill="F2F2F2" w:themeFill="background1" w:themeFillShade="F2"/>
            <w:noWrap/>
            <w:vAlign w:val="center"/>
            <w:hideMark/>
          </w:tcPr>
          <w:p w14:paraId="1C1EBA87" w14:textId="0564385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w:t>
            </w:r>
          </w:p>
        </w:tc>
        <w:tc>
          <w:tcPr>
            <w:tcW w:w="662" w:type="dxa"/>
            <w:tcBorders>
              <w:right w:val="single" w:sz="4" w:space="0" w:color="auto"/>
            </w:tcBorders>
            <w:shd w:val="clear" w:color="auto" w:fill="F2F2F2" w:themeFill="background1" w:themeFillShade="F2"/>
            <w:noWrap/>
            <w:vAlign w:val="center"/>
            <w:hideMark/>
          </w:tcPr>
          <w:p w14:paraId="61E6865D" w14:textId="5FFCB2B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9.2%</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3BD75E6" w14:textId="7C618F2A" w:rsidR="00770E94" w:rsidRPr="00273F52" w:rsidRDefault="00770E94" w:rsidP="00770E94">
            <w:pPr>
              <w:spacing w:after="0"/>
              <w:jc w:val="center"/>
              <w:rPr>
                <w:color w:val="000000"/>
              </w:rPr>
            </w:pPr>
            <w:r w:rsidRPr="00273F52">
              <w:rPr>
                <w:color w:val="000000"/>
              </w:rPr>
              <w:t> </w:t>
            </w: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660E9C5" w14:textId="2DA8AF9D" w:rsidR="00770E94" w:rsidRPr="00273F52" w:rsidRDefault="00770E94" w:rsidP="00770E94">
            <w:pPr>
              <w:spacing w:after="0"/>
              <w:jc w:val="center"/>
              <w:rPr>
                <w:color w:val="000000"/>
              </w:rPr>
            </w:pPr>
            <w:r w:rsidRPr="00273F52">
              <w:rPr>
                <w:color w:val="000000"/>
              </w:rPr>
              <w:t> </w:t>
            </w: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EF51603" w14:textId="4FEDD9B2" w:rsidR="00770E94" w:rsidRPr="00273F52" w:rsidRDefault="00770E94" w:rsidP="00770E94">
            <w:pPr>
              <w:spacing w:after="0"/>
              <w:jc w:val="center"/>
              <w:rPr>
                <w:color w:val="000000"/>
              </w:rPr>
            </w:pPr>
            <w:r w:rsidRPr="00273F52">
              <w:rPr>
                <w:color w:val="000000"/>
              </w:rPr>
              <w:t> </w:t>
            </w:r>
          </w:p>
        </w:tc>
      </w:tr>
      <w:tr w:rsidR="00255A16" w:rsidRPr="00A77490" w14:paraId="1BE0EB8A" w14:textId="77777777" w:rsidTr="006347D4">
        <w:trPr>
          <w:trHeight w:val="520"/>
        </w:trPr>
        <w:tc>
          <w:tcPr>
            <w:tcW w:w="720" w:type="dxa"/>
            <w:shd w:val="clear" w:color="auto" w:fill="auto"/>
            <w:noWrap/>
            <w:hideMark/>
          </w:tcPr>
          <w:p w14:paraId="74B6BEA6"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auto"/>
            <w:hideMark/>
          </w:tcPr>
          <w:p w14:paraId="21BCE4F0"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LTSS Community Partner Engagement </w:t>
            </w:r>
          </w:p>
        </w:tc>
        <w:tc>
          <w:tcPr>
            <w:tcW w:w="810" w:type="dxa"/>
            <w:shd w:val="clear" w:color="auto" w:fill="auto"/>
            <w:noWrap/>
            <w:vAlign w:val="center"/>
            <w:hideMark/>
          </w:tcPr>
          <w:p w14:paraId="66A77DC3" w14:textId="1840167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w:t>
            </w:r>
          </w:p>
        </w:tc>
        <w:tc>
          <w:tcPr>
            <w:tcW w:w="662" w:type="dxa"/>
            <w:shd w:val="clear" w:color="auto" w:fill="auto"/>
            <w:noWrap/>
            <w:vAlign w:val="center"/>
            <w:hideMark/>
          </w:tcPr>
          <w:p w14:paraId="429092FB" w14:textId="23C47B9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11.1%</w:t>
            </w:r>
          </w:p>
        </w:tc>
        <w:tc>
          <w:tcPr>
            <w:tcW w:w="662" w:type="dxa"/>
            <w:shd w:val="clear" w:color="auto" w:fill="auto"/>
            <w:noWrap/>
            <w:vAlign w:val="center"/>
            <w:hideMark/>
          </w:tcPr>
          <w:p w14:paraId="3F638BAA" w14:textId="0878A30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w:t>
            </w:r>
          </w:p>
        </w:tc>
        <w:tc>
          <w:tcPr>
            <w:tcW w:w="662" w:type="dxa"/>
            <w:shd w:val="clear" w:color="auto" w:fill="auto"/>
            <w:noWrap/>
            <w:vAlign w:val="center"/>
            <w:hideMark/>
          </w:tcPr>
          <w:p w14:paraId="68F1C27C" w14:textId="566EA6D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11.5%</w:t>
            </w:r>
          </w:p>
        </w:tc>
        <w:tc>
          <w:tcPr>
            <w:tcW w:w="662" w:type="dxa"/>
            <w:shd w:val="clear" w:color="auto" w:fill="auto"/>
            <w:noWrap/>
            <w:vAlign w:val="center"/>
            <w:hideMark/>
          </w:tcPr>
          <w:p w14:paraId="1DBF0510" w14:textId="0FF5361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w:t>
            </w:r>
          </w:p>
        </w:tc>
        <w:tc>
          <w:tcPr>
            <w:tcW w:w="952" w:type="dxa"/>
            <w:shd w:val="clear" w:color="auto" w:fill="auto"/>
            <w:noWrap/>
            <w:vAlign w:val="center"/>
            <w:hideMark/>
          </w:tcPr>
          <w:p w14:paraId="4431ED83" w14:textId="1BB77CD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11.1%</w:t>
            </w:r>
          </w:p>
        </w:tc>
        <w:tc>
          <w:tcPr>
            <w:tcW w:w="868" w:type="dxa"/>
            <w:shd w:val="clear" w:color="auto" w:fill="auto"/>
            <w:noWrap/>
            <w:vAlign w:val="center"/>
            <w:hideMark/>
          </w:tcPr>
          <w:p w14:paraId="4A7184FE" w14:textId="64F289C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4.9%</w:t>
            </w:r>
          </w:p>
        </w:tc>
        <w:tc>
          <w:tcPr>
            <w:tcW w:w="662" w:type="dxa"/>
            <w:shd w:val="clear" w:color="auto" w:fill="auto"/>
            <w:noWrap/>
            <w:vAlign w:val="center"/>
            <w:hideMark/>
          </w:tcPr>
          <w:p w14:paraId="0007EC47" w14:textId="5CA93D9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3.9%</w:t>
            </w:r>
          </w:p>
        </w:tc>
        <w:tc>
          <w:tcPr>
            <w:tcW w:w="688" w:type="dxa"/>
            <w:shd w:val="clear" w:color="auto" w:fill="auto"/>
            <w:noWrap/>
            <w:vAlign w:val="center"/>
            <w:hideMark/>
          </w:tcPr>
          <w:p w14:paraId="4B0017C4" w14:textId="03FF1B4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w:t>
            </w:r>
          </w:p>
        </w:tc>
        <w:tc>
          <w:tcPr>
            <w:tcW w:w="1000" w:type="dxa"/>
            <w:shd w:val="clear" w:color="auto" w:fill="auto"/>
            <w:noWrap/>
            <w:vAlign w:val="center"/>
            <w:hideMark/>
          </w:tcPr>
          <w:p w14:paraId="5D9C87FB" w14:textId="24BDB3F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6.2%</w:t>
            </w:r>
          </w:p>
        </w:tc>
        <w:tc>
          <w:tcPr>
            <w:tcW w:w="890" w:type="dxa"/>
            <w:shd w:val="clear" w:color="auto" w:fill="auto"/>
            <w:noWrap/>
            <w:vAlign w:val="center"/>
            <w:hideMark/>
          </w:tcPr>
          <w:p w14:paraId="59197E20" w14:textId="32E49CC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4.3%</w:t>
            </w:r>
          </w:p>
        </w:tc>
        <w:tc>
          <w:tcPr>
            <w:tcW w:w="810" w:type="dxa"/>
            <w:shd w:val="clear" w:color="auto" w:fill="auto"/>
            <w:noWrap/>
            <w:vAlign w:val="center"/>
            <w:hideMark/>
          </w:tcPr>
          <w:p w14:paraId="42087894" w14:textId="087305C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5.1%</w:t>
            </w:r>
          </w:p>
        </w:tc>
        <w:tc>
          <w:tcPr>
            <w:tcW w:w="662" w:type="dxa"/>
            <w:shd w:val="clear" w:color="auto" w:fill="auto"/>
            <w:noWrap/>
            <w:vAlign w:val="center"/>
            <w:hideMark/>
          </w:tcPr>
          <w:p w14:paraId="5A068F45" w14:textId="052321F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2.7%</w:t>
            </w:r>
          </w:p>
        </w:tc>
        <w:tc>
          <w:tcPr>
            <w:tcW w:w="737" w:type="dxa"/>
            <w:shd w:val="clear" w:color="auto" w:fill="auto"/>
            <w:noWrap/>
            <w:vAlign w:val="center"/>
            <w:hideMark/>
          </w:tcPr>
          <w:p w14:paraId="48B32B2C" w14:textId="5C77F8D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w:t>
            </w:r>
          </w:p>
        </w:tc>
        <w:tc>
          <w:tcPr>
            <w:tcW w:w="662" w:type="dxa"/>
            <w:shd w:val="clear" w:color="auto" w:fill="auto"/>
            <w:noWrap/>
            <w:vAlign w:val="center"/>
            <w:hideMark/>
          </w:tcPr>
          <w:p w14:paraId="1C8C2069" w14:textId="5C8B9B2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6.8%</w:t>
            </w:r>
          </w:p>
        </w:tc>
        <w:tc>
          <w:tcPr>
            <w:tcW w:w="662" w:type="dxa"/>
            <w:shd w:val="clear" w:color="auto" w:fill="auto"/>
            <w:noWrap/>
            <w:vAlign w:val="center"/>
            <w:hideMark/>
          </w:tcPr>
          <w:p w14:paraId="46C4256D" w14:textId="3A2435B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2.8%</w:t>
            </w:r>
          </w:p>
        </w:tc>
        <w:tc>
          <w:tcPr>
            <w:tcW w:w="990" w:type="dxa"/>
            <w:shd w:val="clear" w:color="auto" w:fill="auto"/>
            <w:noWrap/>
            <w:vAlign w:val="center"/>
            <w:hideMark/>
          </w:tcPr>
          <w:p w14:paraId="6DDC92CC" w14:textId="4064CEC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3.6%</w:t>
            </w:r>
          </w:p>
        </w:tc>
        <w:tc>
          <w:tcPr>
            <w:tcW w:w="662" w:type="dxa"/>
            <w:shd w:val="clear" w:color="auto" w:fill="auto"/>
            <w:noWrap/>
            <w:vAlign w:val="center"/>
            <w:hideMark/>
          </w:tcPr>
          <w:p w14:paraId="41F891E6" w14:textId="66DE1B4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4.4%</w:t>
            </w:r>
          </w:p>
        </w:tc>
        <w:tc>
          <w:tcPr>
            <w:tcW w:w="662" w:type="dxa"/>
            <w:tcBorders>
              <w:top w:val="single" w:sz="4" w:space="0" w:color="auto"/>
            </w:tcBorders>
            <w:shd w:val="clear" w:color="auto" w:fill="auto"/>
            <w:noWrap/>
            <w:vAlign w:val="center"/>
            <w:hideMark/>
          </w:tcPr>
          <w:p w14:paraId="7801ECB5" w14:textId="6BC0125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4.5%</w:t>
            </w:r>
          </w:p>
        </w:tc>
        <w:tc>
          <w:tcPr>
            <w:tcW w:w="755" w:type="dxa"/>
            <w:tcBorders>
              <w:top w:val="single" w:sz="4" w:space="0" w:color="auto"/>
            </w:tcBorders>
            <w:shd w:val="clear" w:color="auto" w:fill="auto"/>
            <w:noWrap/>
            <w:vAlign w:val="center"/>
            <w:hideMark/>
          </w:tcPr>
          <w:p w14:paraId="7CE2D8E1" w14:textId="7D75119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3.8%</w:t>
            </w:r>
          </w:p>
        </w:tc>
        <w:tc>
          <w:tcPr>
            <w:tcW w:w="1042" w:type="dxa"/>
            <w:tcBorders>
              <w:top w:val="single" w:sz="4" w:space="0" w:color="auto"/>
            </w:tcBorders>
            <w:shd w:val="clear" w:color="auto" w:fill="auto"/>
            <w:noWrap/>
            <w:vAlign w:val="center"/>
            <w:hideMark/>
          </w:tcPr>
          <w:p w14:paraId="25A73D21" w14:textId="565C637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5.2%</w:t>
            </w:r>
          </w:p>
        </w:tc>
      </w:tr>
      <w:tr w:rsidR="00255A16" w:rsidRPr="00A77490" w14:paraId="74D3B8D9" w14:textId="77777777" w:rsidTr="006347D4">
        <w:trPr>
          <w:trHeight w:val="520"/>
        </w:trPr>
        <w:tc>
          <w:tcPr>
            <w:tcW w:w="720" w:type="dxa"/>
            <w:shd w:val="clear" w:color="auto" w:fill="F2F2F2" w:themeFill="background1" w:themeFillShade="F2"/>
            <w:noWrap/>
            <w:hideMark/>
          </w:tcPr>
          <w:p w14:paraId="1EB8CABA"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324600E3"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Community Tenure - BSP (Risk adjusted O/E ratio)</w:t>
            </w:r>
          </w:p>
        </w:tc>
        <w:tc>
          <w:tcPr>
            <w:tcW w:w="810" w:type="dxa"/>
            <w:shd w:val="clear" w:color="auto" w:fill="F2F2F2" w:themeFill="background1" w:themeFillShade="F2"/>
            <w:noWrap/>
            <w:vAlign w:val="center"/>
            <w:hideMark/>
          </w:tcPr>
          <w:p w14:paraId="429CCA99" w14:textId="7A7B6D1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1.4001</w:t>
            </w:r>
          </w:p>
        </w:tc>
        <w:tc>
          <w:tcPr>
            <w:tcW w:w="662" w:type="dxa"/>
            <w:shd w:val="clear" w:color="auto" w:fill="F2F2F2" w:themeFill="background1" w:themeFillShade="F2"/>
            <w:noWrap/>
            <w:vAlign w:val="center"/>
            <w:hideMark/>
          </w:tcPr>
          <w:p w14:paraId="14152A06" w14:textId="0A81135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0.7194</w:t>
            </w:r>
          </w:p>
        </w:tc>
        <w:tc>
          <w:tcPr>
            <w:tcW w:w="662" w:type="dxa"/>
            <w:shd w:val="clear" w:color="auto" w:fill="F2F2F2" w:themeFill="background1" w:themeFillShade="F2"/>
            <w:noWrap/>
            <w:vAlign w:val="center"/>
            <w:hideMark/>
          </w:tcPr>
          <w:p w14:paraId="0AF9E4E0" w14:textId="7E8B77A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0.7741</w:t>
            </w:r>
          </w:p>
        </w:tc>
        <w:tc>
          <w:tcPr>
            <w:tcW w:w="662" w:type="dxa"/>
            <w:shd w:val="clear" w:color="auto" w:fill="F2F2F2" w:themeFill="background1" w:themeFillShade="F2"/>
            <w:noWrap/>
            <w:vAlign w:val="center"/>
            <w:hideMark/>
          </w:tcPr>
          <w:p w14:paraId="2FCE1DCC" w14:textId="250A76E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1.0932</w:t>
            </w:r>
          </w:p>
        </w:tc>
        <w:tc>
          <w:tcPr>
            <w:tcW w:w="662" w:type="dxa"/>
            <w:shd w:val="clear" w:color="auto" w:fill="F2F2F2" w:themeFill="background1" w:themeFillShade="F2"/>
            <w:noWrap/>
            <w:vAlign w:val="center"/>
            <w:hideMark/>
          </w:tcPr>
          <w:p w14:paraId="1159EC56" w14:textId="645A6C1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1.1979</w:t>
            </w:r>
          </w:p>
        </w:tc>
        <w:tc>
          <w:tcPr>
            <w:tcW w:w="952" w:type="dxa"/>
            <w:shd w:val="clear" w:color="auto" w:fill="F2F2F2" w:themeFill="background1" w:themeFillShade="F2"/>
            <w:noWrap/>
            <w:vAlign w:val="center"/>
            <w:hideMark/>
          </w:tcPr>
          <w:p w14:paraId="41CC4ED2" w14:textId="220AA1D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0.8334</w:t>
            </w:r>
          </w:p>
        </w:tc>
        <w:tc>
          <w:tcPr>
            <w:tcW w:w="868" w:type="dxa"/>
            <w:shd w:val="clear" w:color="auto" w:fill="F2F2F2" w:themeFill="background1" w:themeFillShade="F2"/>
            <w:noWrap/>
            <w:vAlign w:val="center"/>
            <w:hideMark/>
          </w:tcPr>
          <w:p w14:paraId="55F8B53D" w14:textId="302DF33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0.9439</w:t>
            </w:r>
          </w:p>
        </w:tc>
        <w:tc>
          <w:tcPr>
            <w:tcW w:w="662" w:type="dxa"/>
            <w:shd w:val="clear" w:color="auto" w:fill="F2F2F2" w:themeFill="background1" w:themeFillShade="F2"/>
            <w:noWrap/>
            <w:vAlign w:val="center"/>
            <w:hideMark/>
          </w:tcPr>
          <w:p w14:paraId="414DD507" w14:textId="243B479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1.1031</w:t>
            </w:r>
          </w:p>
        </w:tc>
        <w:tc>
          <w:tcPr>
            <w:tcW w:w="688" w:type="dxa"/>
            <w:shd w:val="clear" w:color="auto" w:fill="F2F2F2" w:themeFill="background1" w:themeFillShade="F2"/>
            <w:noWrap/>
            <w:vAlign w:val="center"/>
            <w:hideMark/>
          </w:tcPr>
          <w:p w14:paraId="61F24EA6" w14:textId="0998A4B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0.9283</w:t>
            </w:r>
          </w:p>
        </w:tc>
        <w:tc>
          <w:tcPr>
            <w:tcW w:w="1000" w:type="dxa"/>
            <w:shd w:val="clear" w:color="auto" w:fill="F2F2F2" w:themeFill="background1" w:themeFillShade="F2"/>
            <w:noWrap/>
            <w:vAlign w:val="center"/>
            <w:hideMark/>
          </w:tcPr>
          <w:p w14:paraId="27C01FBB" w14:textId="7C4420A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0.7500</w:t>
            </w:r>
          </w:p>
        </w:tc>
        <w:tc>
          <w:tcPr>
            <w:tcW w:w="890" w:type="dxa"/>
            <w:shd w:val="clear" w:color="auto" w:fill="F2F2F2" w:themeFill="background1" w:themeFillShade="F2"/>
            <w:noWrap/>
            <w:vAlign w:val="center"/>
            <w:hideMark/>
          </w:tcPr>
          <w:p w14:paraId="108E1237" w14:textId="38DA088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1.7257</w:t>
            </w:r>
          </w:p>
        </w:tc>
        <w:tc>
          <w:tcPr>
            <w:tcW w:w="810" w:type="dxa"/>
            <w:shd w:val="clear" w:color="auto" w:fill="F2F2F2" w:themeFill="background1" w:themeFillShade="F2"/>
            <w:noWrap/>
            <w:vAlign w:val="center"/>
            <w:hideMark/>
          </w:tcPr>
          <w:p w14:paraId="355D942F" w14:textId="73DE494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1.4910</w:t>
            </w:r>
          </w:p>
        </w:tc>
        <w:tc>
          <w:tcPr>
            <w:tcW w:w="662" w:type="dxa"/>
            <w:shd w:val="clear" w:color="auto" w:fill="F2F2F2" w:themeFill="background1" w:themeFillShade="F2"/>
            <w:noWrap/>
            <w:vAlign w:val="center"/>
            <w:hideMark/>
          </w:tcPr>
          <w:p w14:paraId="620A9E7F" w14:textId="7F428902"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1.7097</w:t>
            </w:r>
          </w:p>
        </w:tc>
        <w:tc>
          <w:tcPr>
            <w:tcW w:w="737" w:type="dxa"/>
            <w:shd w:val="clear" w:color="auto" w:fill="F2F2F2" w:themeFill="background1" w:themeFillShade="F2"/>
            <w:noWrap/>
            <w:vAlign w:val="center"/>
            <w:hideMark/>
          </w:tcPr>
          <w:p w14:paraId="4C6F5CA8" w14:textId="26D86A0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1.4943</w:t>
            </w:r>
          </w:p>
        </w:tc>
        <w:tc>
          <w:tcPr>
            <w:tcW w:w="662" w:type="dxa"/>
            <w:shd w:val="clear" w:color="auto" w:fill="F2F2F2" w:themeFill="background1" w:themeFillShade="F2"/>
            <w:noWrap/>
            <w:vAlign w:val="center"/>
            <w:hideMark/>
          </w:tcPr>
          <w:p w14:paraId="67426FCC" w14:textId="364615B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1.4492</w:t>
            </w:r>
          </w:p>
        </w:tc>
        <w:tc>
          <w:tcPr>
            <w:tcW w:w="662" w:type="dxa"/>
            <w:shd w:val="clear" w:color="auto" w:fill="F2F2F2" w:themeFill="background1" w:themeFillShade="F2"/>
            <w:noWrap/>
            <w:vAlign w:val="center"/>
            <w:hideMark/>
          </w:tcPr>
          <w:p w14:paraId="7AC7CBFC" w14:textId="0EEFE5C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1.5555</w:t>
            </w:r>
          </w:p>
        </w:tc>
        <w:tc>
          <w:tcPr>
            <w:tcW w:w="990" w:type="dxa"/>
            <w:shd w:val="clear" w:color="auto" w:fill="F2F2F2" w:themeFill="background1" w:themeFillShade="F2"/>
            <w:noWrap/>
            <w:vAlign w:val="center"/>
            <w:hideMark/>
          </w:tcPr>
          <w:p w14:paraId="5DE96B72" w14:textId="56E0B2B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1.3731</w:t>
            </w:r>
          </w:p>
        </w:tc>
        <w:tc>
          <w:tcPr>
            <w:tcW w:w="662" w:type="dxa"/>
            <w:shd w:val="clear" w:color="auto" w:fill="F2F2F2" w:themeFill="background1" w:themeFillShade="F2"/>
            <w:noWrap/>
            <w:vAlign w:val="center"/>
            <w:hideMark/>
          </w:tcPr>
          <w:p w14:paraId="5ECBD9A4" w14:textId="3ADA1D3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1.1536</w:t>
            </w:r>
          </w:p>
        </w:tc>
        <w:tc>
          <w:tcPr>
            <w:tcW w:w="662" w:type="dxa"/>
            <w:shd w:val="clear" w:color="auto" w:fill="F2F2F2" w:themeFill="background1" w:themeFillShade="F2"/>
            <w:noWrap/>
            <w:vAlign w:val="center"/>
            <w:hideMark/>
          </w:tcPr>
          <w:p w14:paraId="4D6951A1" w14:textId="6248497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1.5260</w:t>
            </w:r>
          </w:p>
        </w:tc>
        <w:tc>
          <w:tcPr>
            <w:tcW w:w="755" w:type="dxa"/>
            <w:shd w:val="clear" w:color="auto" w:fill="F2F2F2" w:themeFill="background1" w:themeFillShade="F2"/>
            <w:noWrap/>
            <w:vAlign w:val="center"/>
            <w:hideMark/>
          </w:tcPr>
          <w:p w14:paraId="5C6D5A4A" w14:textId="2B89736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1.9929</w:t>
            </w:r>
          </w:p>
        </w:tc>
        <w:tc>
          <w:tcPr>
            <w:tcW w:w="1042" w:type="dxa"/>
            <w:shd w:val="clear" w:color="auto" w:fill="F2F2F2" w:themeFill="background1" w:themeFillShade="F2"/>
            <w:noWrap/>
            <w:vAlign w:val="center"/>
            <w:hideMark/>
          </w:tcPr>
          <w:p w14:paraId="6A2DA9B0" w14:textId="2060FEF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1.0077</w:t>
            </w:r>
          </w:p>
        </w:tc>
      </w:tr>
      <w:tr w:rsidR="00255A16" w:rsidRPr="00A77490" w14:paraId="1BEF162A" w14:textId="77777777" w:rsidTr="006347D4">
        <w:trPr>
          <w:trHeight w:val="520"/>
        </w:trPr>
        <w:tc>
          <w:tcPr>
            <w:tcW w:w="720" w:type="dxa"/>
            <w:shd w:val="clear" w:color="auto" w:fill="auto"/>
            <w:noWrap/>
            <w:hideMark/>
          </w:tcPr>
          <w:p w14:paraId="79675CF5"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000000" w:fill="FFFFFF"/>
            <w:hideMark/>
          </w:tcPr>
          <w:p w14:paraId="0D661439"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Community Tenure - LTSS (non-BSP) Risk adjusted O/E ratio</w:t>
            </w:r>
          </w:p>
        </w:tc>
        <w:tc>
          <w:tcPr>
            <w:tcW w:w="810" w:type="dxa"/>
            <w:shd w:val="clear" w:color="auto" w:fill="auto"/>
            <w:noWrap/>
            <w:vAlign w:val="center"/>
            <w:hideMark/>
          </w:tcPr>
          <w:p w14:paraId="202293DE" w14:textId="02F9C98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1.9144</w:t>
            </w:r>
          </w:p>
        </w:tc>
        <w:tc>
          <w:tcPr>
            <w:tcW w:w="662" w:type="dxa"/>
            <w:shd w:val="clear" w:color="auto" w:fill="auto"/>
            <w:noWrap/>
            <w:vAlign w:val="center"/>
            <w:hideMark/>
          </w:tcPr>
          <w:p w14:paraId="698F7839" w14:textId="05809F2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1.3621</w:t>
            </w:r>
          </w:p>
        </w:tc>
        <w:tc>
          <w:tcPr>
            <w:tcW w:w="662" w:type="dxa"/>
            <w:shd w:val="clear" w:color="auto" w:fill="auto"/>
            <w:noWrap/>
            <w:vAlign w:val="center"/>
            <w:hideMark/>
          </w:tcPr>
          <w:p w14:paraId="400414F9" w14:textId="0518512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1.1632</w:t>
            </w:r>
          </w:p>
        </w:tc>
        <w:tc>
          <w:tcPr>
            <w:tcW w:w="662" w:type="dxa"/>
            <w:shd w:val="clear" w:color="auto" w:fill="auto"/>
            <w:noWrap/>
            <w:vAlign w:val="center"/>
            <w:hideMark/>
          </w:tcPr>
          <w:p w14:paraId="77A56E5E" w14:textId="7188754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1.0303</w:t>
            </w:r>
          </w:p>
        </w:tc>
        <w:tc>
          <w:tcPr>
            <w:tcW w:w="662" w:type="dxa"/>
            <w:shd w:val="clear" w:color="auto" w:fill="auto"/>
            <w:noWrap/>
            <w:vAlign w:val="center"/>
            <w:hideMark/>
          </w:tcPr>
          <w:p w14:paraId="20880B27" w14:textId="3D2DE91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1.3599</w:t>
            </w:r>
          </w:p>
        </w:tc>
        <w:tc>
          <w:tcPr>
            <w:tcW w:w="952" w:type="dxa"/>
            <w:shd w:val="clear" w:color="auto" w:fill="auto"/>
            <w:noWrap/>
            <w:vAlign w:val="center"/>
            <w:hideMark/>
          </w:tcPr>
          <w:p w14:paraId="1E20AC84" w14:textId="36F8F83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2.1370</w:t>
            </w:r>
          </w:p>
        </w:tc>
        <w:tc>
          <w:tcPr>
            <w:tcW w:w="868" w:type="dxa"/>
            <w:shd w:val="clear" w:color="auto" w:fill="auto"/>
            <w:noWrap/>
            <w:vAlign w:val="center"/>
            <w:hideMark/>
          </w:tcPr>
          <w:p w14:paraId="6686F328" w14:textId="3F214A2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1.5113</w:t>
            </w:r>
          </w:p>
        </w:tc>
        <w:tc>
          <w:tcPr>
            <w:tcW w:w="662" w:type="dxa"/>
            <w:shd w:val="clear" w:color="auto" w:fill="auto"/>
            <w:noWrap/>
            <w:vAlign w:val="center"/>
            <w:hideMark/>
          </w:tcPr>
          <w:p w14:paraId="622B3001" w14:textId="101798C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2.2548</w:t>
            </w:r>
          </w:p>
        </w:tc>
        <w:tc>
          <w:tcPr>
            <w:tcW w:w="688" w:type="dxa"/>
            <w:shd w:val="clear" w:color="auto" w:fill="auto"/>
            <w:noWrap/>
            <w:vAlign w:val="center"/>
            <w:hideMark/>
          </w:tcPr>
          <w:p w14:paraId="2DDD747A" w14:textId="3CA65C6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2.0592</w:t>
            </w:r>
          </w:p>
        </w:tc>
        <w:tc>
          <w:tcPr>
            <w:tcW w:w="1000" w:type="dxa"/>
            <w:shd w:val="clear" w:color="auto" w:fill="auto"/>
            <w:noWrap/>
            <w:vAlign w:val="center"/>
            <w:hideMark/>
          </w:tcPr>
          <w:p w14:paraId="23CA2531" w14:textId="66518C3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1.3107</w:t>
            </w:r>
          </w:p>
        </w:tc>
        <w:tc>
          <w:tcPr>
            <w:tcW w:w="890" w:type="dxa"/>
            <w:shd w:val="clear" w:color="auto" w:fill="auto"/>
            <w:noWrap/>
            <w:vAlign w:val="center"/>
            <w:hideMark/>
          </w:tcPr>
          <w:p w14:paraId="1D019D79" w14:textId="3D9556C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2.3243</w:t>
            </w:r>
          </w:p>
        </w:tc>
        <w:tc>
          <w:tcPr>
            <w:tcW w:w="810" w:type="dxa"/>
            <w:shd w:val="clear" w:color="auto" w:fill="auto"/>
            <w:noWrap/>
            <w:vAlign w:val="center"/>
            <w:hideMark/>
          </w:tcPr>
          <w:p w14:paraId="6202E82C" w14:textId="16F2485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1.4286</w:t>
            </w:r>
          </w:p>
        </w:tc>
        <w:tc>
          <w:tcPr>
            <w:tcW w:w="662" w:type="dxa"/>
            <w:shd w:val="clear" w:color="auto" w:fill="auto"/>
            <w:noWrap/>
            <w:vAlign w:val="center"/>
            <w:hideMark/>
          </w:tcPr>
          <w:p w14:paraId="2491C930" w14:textId="574ED63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3.2018</w:t>
            </w:r>
          </w:p>
        </w:tc>
        <w:tc>
          <w:tcPr>
            <w:tcW w:w="737" w:type="dxa"/>
            <w:shd w:val="clear" w:color="auto" w:fill="auto"/>
            <w:noWrap/>
            <w:vAlign w:val="center"/>
            <w:hideMark/>
          </w:tcPr>
          <w:p w14:paraId="07DFEAD1" w14:textId="1117D0A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1.8086</w:t>
            </w:r>
          </w:p>
        </w:tc>
        <w:tc>
          <w:tcPr>
            <w:tcW w:w="662" w:type="dxa"/>
            <w:shd w:val="clear" w:color="auto" w:fill="auto"/>
            <w:noWrap/>
            <w:vAlign w:val="center"/>
            <w:hideMark/>
          </w:tcPr>
          <w:p w14:paraId="34400621" w14:textId="50F04EF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1.8586</w:t>
            </w:r>
          </w:p>
        </w:tc>
        <w:tc>
          <w:tcPr>
            <w:tcW w:w="662" w:type="dxa"/>
            <w:shd w:val="clear" w:color="auto" w:fill="auto"/>
            <w:noWrap/>
            <w:vAlign w:val="center"/>
            <w:hideMark/>
          </w:tcPr>
          <w:p w14:paraId="1737EE4B" w14:textId="14F94A7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2.0781</w:t>
            </w:r>
          </w:p>
        </w:tc>
        <w:tc>
          <w:tcPr>
            <w:tcW w:w="990" w:type="dxa"/>
            <w:shd w:val="clear" w:color="auto" w:fill="auto"/>
            <w:noWrap/>
            <w:vAlign w:val="center"/>
            <w:hideMark/>
          </w:tcPr>
          <w:p w14:paraId="57BD5F9A" w14:textId="6285BBD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2.1844</w:t>
            </w:r>
          </w:p>
        </w:tc>
        <w:tc>
          <w:tcPr>
            <w:tcW w:w="662" w:type="dxa"/>
            <w:shd w:val="clear" w:color="auto" w:fill="auto"/>
            <w:noWrap/>
            <w:vAlign w:val="center"/>
            <w:hideMark/>
          </w:tcPr>
          <w:p w14:paraId="1709852B" w14:textId="38D9AEB5"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2.0115</w:t>
            </w:r>
          </w:p>
        </w:tc>
        <w:tc>
          <w:tcPr>
            <w:tcW w:w="662" w:type="dxa"/>
            <w:shd w:val="clear" w:color="auto" w:fill="auto"/>
            <w:noWrap/>
            <w:vAlign w:val="center"/>
            <w:hideMark/>
          </w:tcPr>
          <w:p w14:paraId="63467D83" w14:textId="1301604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1.9440</w:t>
            </w:r>
          </w:p>
        </w:tc>
        <w:tc>
          <w:tcPr>
            <w:tcW w:w="755" w:type="dxa"/>
            <w:shd w:val="clear" w:color="auto" w:fill="auto"/>
            <w:noWrap/>
            <w:vAlign w:val="center"/>
            <w:hideMark/>
          </w:tcPr>
          <w:p w14:paraId="224A01F4" w14:textId="58C91BD1"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2.1147</w:t>
            </w:r>
          </w:p>
        </w:tc>
        <w:tc>
          <w:tcPr>
            <w:tcW w:w="1042" w:type="dxa"/>
            <w:shd w:val="clear" w:color="auto" w:fill="auto"/>
            <w:noWrap/>
            <w:vAlign w:val="center"/>
            <w:hideMark/>
          </w:tcPr>
          <w:p w14:paraId="0C39AEAF" w14:textId="5E8F2A4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1.7023</w:t>
            </w:r>
          </w:p>
        </w:tc>
      </w:tr>
      <w:tr w:rsidR="00255A16" w:rsidRPr="00A77490" w14:paraId="6C04777B" w14:textId="77777777" w:rsidTr="006347D4">
        <w:trPr>
          <w:trHeight w:val="520"/>
        </w:trPr>
        <w:tc>
          <w:tcPr>
            <w:tcW w:w="720" w:type="dxa"/>
            <w:shd w:val="clear" w:color="auto" w:fill="F2F2F2" w:themeFill="background1" w:themeFillShade="F2"/>
            <w:noWrap/>
            <w:hideMark/>
          </w:tcPr>
          <w:p w14:paraId="3E3211A4" w14:textId="77777777" w:rsidR="00770E94" w:rsidRPr="00A77490" w:rsidRDefault="00770E94" w:rsidP="00770E94">
            <w:pPr>
              <w:spacing w:after="0"/>
              <w:jc w:val="center"/>
              <w:rPr>
                <w:rFonts w:asciiTheme="minorHAnsi" w:eastAsia="Times New Roman" w:hAnsiTheme="minorHAnsi" w:cstheme="minorHAnsi"/>
                <w:color w:val="000000"/>
                <w:sz w:val="16"/>
                <w:szCs w:val="16"/>
              </w:rPr>
            </w:pPr>
            <w:r w:rsidRPr="00A77490">
              <w:rPr>
                <w:rFonts w:asciiTheme="minorHAnsi" w:eastAsia="Times New Roman" w:hAnsiTheme="minorHAnsi" w:cstheme="minorHAnsi"/>
                <w:color w:val="000000"/>
                <w:sz w:val="16"/>
                <w:szCs w:val="16"/>
              </w:rPr>
              <w:t>EOHHS</w:t>
            </w:r>
          </w:p>
        </w:tc>
        <w:tc>
          <w:tcPr>
            <w:tcW w:w="2700" w:type="dxa"/>
            <w:shd w:val="clear" w:color="auto" w:fill="F2F2F2" w:themeFill="background1" w:themeFillShade="F2"/>
            <w:hideMark/>
          </w:tcPr>
          <w:p w14:paraId="21DB85E4" w14:textId="77777777" w:rsidR="00770E94" w:rsidRPr="00A77490" w:rsidRDefault="00770E94" w:rsidP="00770E94">
            <w:pPr>
              <w:spacing w:after="0"/>
              <w:rPr>
                <w:rFonts w:asciiTheme="minorHAnsi" w:eastAsia="Times New Roman" w:hAnsiTheme="minorHAnsi" w:cstheme="minorHAnsi"/>
                <w:sz w:val="16"/>
                <w:szCs w:val="16"/>
              </w:rPr>
            </w:pPr>
            <w:r w:rsidRPr="00A77490">
              <w:rPr>
                <w:rFonts w:asciiTheme="minorHAnsi" w:eastAsia="Times New Roman" w:hAnsiTheme="minorHAnsi" w:cstheme="minorHAnsi"/>
                <w:sz w:val="16"/>
                <w:szCs w:val="16"/>
              </w:rPr>
              <w:t>Behavioral Health Community Partner Engagement </w:t>
            </w:r>
          </w:p>
        </w:tc>
        <w:tc>
          <w:tcPr>
            <w:tcW w:w="810" w:type="dxa"/>
            <w:shd w:val="clear" w:color="auto" w:fill="F2F2F2" w:themeFill="background1" w:themeFillShade="F2"/>
            <w:noWrap/>
            <w:vAlign w:val="center"/>
            <w:hideMark/>
          </w:tcPr>
          <w:p w14:paraId="7DAC2FFA" w14:textId="5B76C7F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10.5%</w:t>
            </w:r>
          </w:p>
        </w:tc>
        <w:tc>
          <w:tcPr>
            <w:tcW w:w="662" w:type="dxa"/>
            <w:shd w:val="clear" w:color="auto" w:fill="F2F2F2" w:themeFill="background1" w:themeFillShade="F2"/>
            <w:noWrap/>
            <w:vAlign w:val="center"/>
            <w:hideMark/>
          </w:tcPr>
          <w:p w14:paraId="51B973D8" w14:textId="4D15B4A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10.3%</w:t>
            </w:r>
          </w:p>
        </w:tc>
        <w:tc>
          <w:tcPr>
            <w:tcW w:w="662" w:type="dxa"/>
            <w:shd w:val="clear" w:color="auto" w:fill="F2F2F2" w:themeFill="background1" w:themeFillShade="F2"/>
            <w:noWrap/>
            <w:vAlign w:val="center"/>
            <w:hideMark/>
          </w:tcPr>
          <w:p w14:paraId="529E0035" w14:textId="19F592E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17.0%</w:t>
            </w:r>
          </w:p>
        </w:tc>
        <w:tc>
          <w:tcPr>
            <w:tcW w:w="662" w:type="dxa"/>
            <w:shd w:val="clear" w:color="auto" w:fill="F2F2F2" w:themeFill="background1" w:themeFillShade="F2"/>
            <w:noWrap/>
            <w:vAlign w:val="center"/>
            <w:hideMark/>
          </w:tcPr>
          <w:p w14:paraId="127AC9D2" w14:textId="7956E8B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12.7%</w:t>
            </w:r>
          </w:p>
        </w:tc>
        <w:tc>
          <w:tcPr>
            <w:tcW w:w="662" w:type="dxa"/>
            <w:shd w:val="clear" w:color="auto" w:fill="F2F2F2" w:themeFill="background1" w:themeFillShade="F2"/>
            <w:noWrap/>
            <w:vAlign w:val="center"/>
            <w:hideMark/>
          </w:tcPr>
          <w:p w14:paraId="0B9D4B98" w14:textId="6DF53808"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12.4%</w:t>
            </w:r>
          </w:p>
        </w:tc>
        <w:tc>
          <w:tcPr>
            <w:tcW w:w="952" w:type="dxa"/>
            <w:shd w:val="clear" w:color="auto" w:fill="F2F2F2" w:themeFill="background1" w:themeFillShade="F2"/>
            <w:noWrap/>
            <w:vAlign w:val="center"/>
            <w:hideMark/>
          </w:tcPr>
          <w:p w14:paraId="2C69B294" w14:textId="3208AA5E"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17.6%</w:t>
            </w:r>
          </w:p>
        </w:tc>
        <w:tc>
          <w:tcPr>
            <w:tcW w:w="868" w:type="dxa"/>
            <w:shd w:val="clear" w:color="auto" w:fill="F2F2F2" w:themeFill="background1" w:themeFillShade="F2"/>
            <w:noWrap/>
            <w:vAlign w:val="center"/>
            <w:hideMark/>
          </w:tcPr>
          <w:p w14:paraId="6DF49F9F" w14:textId="74C2AB3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16.2%</w:t>
            </w:r>
          </w:p>
        </w:tc>
        <w:tc>
          <w:tcPr>
            <w:tcW w:w="662" w:type="dxa"/>
            <w:shd w:val="clear" w:color="auto" w:fill="F2F2F2" w:themeFill="background1" w:themeFillShade="F2"/>
            <w:noWrap/>
            <w:vAlign w:val="center"/>
            <w:hideMark/>
          </w:tcPr>
          <w:p w14:paraId="5C9C7804" w14:textId="344D674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10.8%</w:t>
            </w:r>
          </w:p>
        </w:tc>
        <w:tc>
          <w:tcPr>
            <w:tcW w:w="688" w:type="dxa"/>
            <w:shd w:val="clear" w:color="auto" w:fill="F2F2F2" w:themeFill="background1" w:themeFillShade="F2"/>
            <w:noWrap/>
            <w:vAlign w:val="center"/>
            <w:hideMark/>
          </w:tcPr>
          <w:p w14:paraId="79B528F6" w14:textId="7AB3C70F"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7.5%</w:t>
            </w:r>
          </w:p>
        </w:tc>
        <w:tc>
          <w:tcPr>
            <w:tcW w:w="1000" w:type="dxa"/>
            <w:shd w:val="clear" w:color="auto" w:fill="F2F2F2" w:themeFill="background1" w:themeFillShade="F2"/>
            <w:noWrap/>
            <w:vAlign w:val="center"/>
            <w:hideMark/>
          </w:tcPr>
          <w:p w14:paraId="35F15AB5" w14:textId="3D1BFA6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NA</w:t>
            </w:r>
          </w:p>
        </w:tc>
        <w:tc>
          <w:tcPr>
            <w:tcW w:w="890" w:type="dxa"/>
            <w:shd w:val="clear" w:color="auto" w:fill="F2F2F2" w:themeFill="background1" w:themeFillShade="F2"/>
            <w:noWrap/>
            <w:vAlign w:val="center"/>
            <w:hideMark/>
          </w:tcPr>
          <w:p w14:paraId="0731969E" w14:textId="61F5D2C0"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11.4%</w:t>
            </w:r>
          </w:p>
        </w:tc>
        <w:tc>
          <w:tcPr>
            <w:tcW w:w="810" w:type="dxa"/>
            <w:shd w:val="clear" w:color="auto" w:fill="F2F2F2" w:themeFill="background1" w:themeFillShade="F2"/>
            <w:noWrap/>
            <w:vAlign w:val="center"/>
            <w:hideMark/>
          </w:tcPr>
          <w:p w14:paraId="146BDC1B" w14:textId="3E9CACDA"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10.6%</w:t>
            </w:r>
          </w:p>
        </w:tc>
        <w:tc>
          <w:tcPr>
            <w:tcW w:w="662" w:type="dxa"/>
            <w:shd w:val="clear" w:color="auto" w:fill="F2F2F2" w:themeFill="background1" w:themeFillShade="F2"/>
            <w:noWrap/>
            <w:vAlign w:val="center"/>
            <w:hideMark/>
          </w:tcPr>
          <w:p w14:paraId="08E7ADD6" w14:textId="61AE2676"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12.9%</w:t>
            </w:r>
          </w:p>
        </w:tc>
        <w:tc>
          <w:tcPr>
            <w:tcW w:w="737" w:type="dxa"/>
            <w:shd w:val="clear" w:color="auto" w:fill="F2F2F2" w:themeFill="background1" w:themeFillShade="F2"/>
            <w:noWrap/>
            <w:vAlign w:val="center"/>
            <w:hideMark/>
          </w:tcPr>
          <w:p w14:paraId="3B049CCB" w14:textId="1D2D58ED"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10.0%</w:t>
            </w:r>
          </w:p>
        </w:tc>
        <w:tc>
          <w:tcPr>
            <w:tcW w:w="662" w:type="dxa"/>
            <w:shd w:val="clear" w:color="auto" w:fill="F2F2F2" w:themeFill="background1" w:themeFillShade="F2"/>
            <w:noWrap/>
            <w:vAlign w:val="center"/>
            <w:hideMark/>
          </w:tcPr>
          <w:p w14:paraId="3AFFFE79" w14:textId="3017D86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8.3%</w:t>
            </w:r>
          </w:p>
        </w:tc>
        <w:tc>
          <w:tcPr>
            <w:tcW w:w="662" w:type="dxa"/>
            <w:shd w:val="clear" w:color="auto" w:fill="F2F2F2" w:themeFill="background1" w:themeFillShade="F2"/>
            <w:noWrap/>
            <w:vAlign w:val="center"/>
            <w:hideMark/>
          </w:tcPr>
          <w:p w14:paraId="09D242EC" w14:textId="41746009"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7.9%</w:t>
            </w:r>
          </w:p>
        </w:tc>
        <w:tc>
          <w:tcPr>
            <w:tcW w:w="990" w:type="dxa"/>
            <w:shd w:val="clear" w:color="auto" w:fill="F2F2F2" w:themeFill="background1" w:themeFillShade="F2"/>
            <w:noWrap/>
            <w:vAlign w:val="center"/>
            <w:hideMark/>
          </w:tcPr>
          <w:p w14:paraId="625E1ED7" w14:textId="76F74E47"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10.2%</w:t>
            </w:r>
          </w:p>
        </w:tc>
        <w:tc>
          <w:tcPr>
            <w:tcW w:w="662" w:type="dxa"/>
            <w:shd w:val="clear" w:color="auto" w:fill="F2F2F2" w:themeFill="background1" w:themeFillShade="F2"/>
            <w:noWrap/>
            <w:vAlign w:val="center"/>
            <w:hideMark/>
          </w:tcPr>
          <w:p w14:paraId="4FD20668" w14:textId="206AA3AB"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9.1%</w:t>
            </w:r>
          </w:p>
        </w:tc>
        <w:tc>
          <w:tcPr>
            <w:tcW w:w="662" w:type="dxa"/>
            <w:shd w:val="clear" w:color="auto" w:fill="F2F2F2" w:themeFill="background1" w:themeFillShade="F2"/>
            <w:noWrap/>
            <w:vAlign w:val="center"/>
            <w:hideMark/>
          </w:tcPr>
          <w:p w14:paraId="474C97A0" w14:textId="73420373"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4.1%</w:t>
            </w:r>
          </w:p>
        </w:tc>
        <w:tc>
          <w:tcPr>
            <w:tcW w:w="755" w:type="dxa"/>
            <w:shd w:val="clear" w:color="auto" w:fill="F2F2F2" w:themeFill="background1" w:themeFillShade="F2"/>
            <w:noWrap/>
            <w:vAlign w:val="center"/>
            <w:hideMark/>
          </w:tcPr>
          <w:p w14:paraId="6061B8C7" w14:textId="68EA2524"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3.4%</w:t>
            </w:r>
          </w:p>
        </w:tc>
        <w:tc>
          <w:tcPr>
            <w:tcW w:w="1042" w:type="dxa"/>
            <w:shd w:val="clear" w:color="auto" w:fill="F2F2F2" w:themeFill="background1" w:themeFillShade="F2"/>
            <w:noWrap/>
            <w:vAlign w:val="center"/>
            <w:hideMark/>
          </w:tcPr>
          <w:p w14:paraId="1FFA9A77" w14:textId="7F492F3C" w:rsidR="00770E94" w:rsidRPr="00770E94" w:rsidRDefault="00770E94" w:rsidP="00770E94">
            <w:pPr>
              <w:spacing w:after="0"/>
              <w:jc w:val="center"/>
              <w:rPr>
                <w:rFonts w:asciiTheme="minorHAnsi" w:eastAsia="Times New Roman" w:hAnsiTheme="minorHAnsi" w:cstheme="minorHAnsi"/>
                <w:color w:val="000000"/>
                <w:sz w:val="16"/>
                <w:szCs w:val="16"/>
              </w:rPr>
            </w:pPr>
            <w:r w:rsidRPr="00770E94">
              <w:rPr>
                <w:rFonts w:cs="Calibri"/>
                <w:color w:val="000000"/>
                <w:sz w:val="16"/>
                <w:szCs w:val="16"/>
              </w:rPr>
              <w:t>4.7%</w:t>
            </w:r>
          </w:p>
        </w:tc>
      </w:tr>
      <w:tr w:rsidR="00255A16" w:rsidRPr="00A77490" w14:paraId="5D849A68" w14:textId="77777777" w:rsidTr="006347D4">
        <w:trPr>
          <w:trHeight w:val="520"/>
        </w:trPr>
        <w:tc>
          <w:tcPr>
            <w:tcW w:w="720" w:type="dxa"/>
            <w:shd w:val="clear" w:color="auto" w:fill="auto"/>
            <w:noWrap/>
          </w:tcPr>
          <w:p w14:paraId="5A65AF42" w14:textId="526F4049" w:rsidR="00515038" w:rsidRPr="00A77490" w:rsidRDefault="00515038" w:rsidP="00515038">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auto"/>
          </w:tcPr>
          <w:p w14:paraId="0A01675F" w14:textId="1102026B" w:rsidR="00515038" w:rsidRPr="00A77490" w:rsidRDefault="00515038" w:rsidP="00515038">
            <w:pPr>
              <w:spacing w:after="0"/>
              <w:rPr>
                <w:rFonts w:asciiTheme="minorHAnsi" w:eastAsia="Times New Roman" w:hAnsiTheme="minorHAnsi" w:cstheme="minorHAnsi"/>
                <w:sz w:val="16"/>
                <w:szCs w:val="16"/>
              </w:rPr>
            </w:pPr>
            <w:r w:rsidRPr="00597EE2">
              <w:rPr>
                <w:rFonts w:cs="Calibri"/>
                <w:color w:val="000000"/>
                <w:sz w:val="16"/>
                <w:szCs w:val="16"/>
              </w:rPr>
              <w:t>Adult: Overall Rating and Care Delivery: Willingness to recommend</w:t>
            </w:r>
          </w:p>
        </w:tc>
        <w:tc>
          <w:tcPr>
            <w:tcW w:w="810" w:type="dxa"/>
            <w:shd w:val="clear" w:color="auto" w:fill="auto"/>
            <w:noWrap/>
            <w:vAlign w:val="center"/>
          </w:tcPr>
          <w:p w14:paraId="72E76CAB" w14:textId="69C9CB96"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62" w:type="dxa"/>
            <w:shd w:val="clear" w:color="auto" w:fill="auto"/>
            <w:noWrap/>
            <w:vAlign w:val="center"/>
          </w:tcPr>
          <w:p w14:paraId="3340CF10" w14:textId="3AD22F33"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62" w:type="dxa"/>
            <w:shd w:val="clear" w:color="auto" w:fill="auto"/>
            <w:noWrap/>
            <w:vAlign w:val="center"/>
          </w:tcPr>
          <w:p w14:paraId="585464DD" w14:textId="666B324E"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662" w:type="dxa"/>
            <w:shd w:val="clear" w:color="auto" w:fill="auto"/>
            <w:noWrap/>
            <w:vAlign w:val="center"/>
          </w:tcPr>
          <w:p w14:paraId="38AE5A23" w14:textId="7651143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85.3%</w:t>
            </w:r>
          </w:p>
        </w:tc>
        <w:tc>
          <w:tcPr>
            <w:tcW w:w="662" w:type="dxa"/>
            <w:shd w:val="clear" w:color="auto" w:fill="auto"/>
            <w:noWrap/>
            <w:vAlign w:val="center"/>
          </w:tcPr>
          <w:p w14:paraId="13C4C11E" w14:textId="32A8FA70"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81.2%</w:t>
            </w:r>
          </w:p>
        </w:tc>
        <w:tc>
          <w:tcPr>
            <w:tcW w:w="952" w:type="dxa"/>
            <w:shd w:val="clear" w:color="auto" w:fill="auto"/>
            <w:noWrap/>
            <w:vAlign w:val="center"/>
          </w:tcPr>
          <w:p w14:paraId="7E314B8D" w14:textId="63C5838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85.0%</w:t>
            </w:r>
          </w:p>
        </w:tc>
        <w:tc>
          <w:tcPr>
            <w:tcW w:w="868" w:type="dxa"/>
            <w:shd w:val="clear" w:color="auto" w:fill="auto"/>
            <w:noWrap/>
            <w:vAlign w:val="center"/>
          </w:tcPr>
          <w:p w14:paraId="442C4E24" w14:textId="5662DA8C"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87.6%</w:t>
            </w:r>
          </w:p>
        </w:tc>
        <w:tc>
          <w:tcPr>
            <w:tcW w:w="662" w:type="dxa"/>
            <w:shd w:val="clear" w:color="auto" w:fill="auto"/>
            <w:noWrap/>
            <w:vAlign w:val="center"/>
          </w:tcPr>
          <w:p w14:paraId="72BEA6E6" w14:textId="748C43C0"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83.7%</w:t>
            </w:r>
          </w:p>
        </w:tc>
        <w:tc>
          <w:tcPr>
            <w:tcW w:w="688" w:type="dxa"/>
            <w:shd w:val="clear" w:color="auto" w:fill="auto"/>
            <w:noWrap/>
            <w:vAlign w:val="center"/>
          </w:tcPr>
          <w:p w14:paraId="1715AE02" w14:textId="392AEEB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83.8%</w:t>
            </w:r>
          </w:p>
        </w:tc>
        <w:tc>
          <w:tcPr>
            <w:tcW w:w="1000" w:type="dxa"/>
            <w:shd w:val="clear" w:color="auto" w:fill="auto"/>
            <w:noWrap/>
            <w:vAlign w:val="center"/>
          </w:tcPr>
          <w:p w14:paraId="35C13E4C" w14:textId="04537BC3"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91.5%</w:t>
            </w:r>
          </w:p>
        </w:tc>
        <w:tc>
          <w:tcPr>
            <w:tcW w:w="890" w:type="dxa"/>
            <w:shd w:val="clear" w:color="auto" w:fill="auto"/>
            <w:noWrap/>
            <w:vAlign w:val="center"/>
          </w:tcPr>
          <w:p w14:paraId="517FAC98" w14:textId="7E2F2A2C"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83.0%</w:t>
            </w:r>
          </w:p>
        </w:tc>
        <w:tc>
          <w:tcPr>
            <w:tcW w:w="810" w:type="dxa"/>
            <w:shd w:val="clear" w:color="auto" w:fill="auto"/>
            <w:noWrap/>
            <w:vAlign w:val="center"/>
          </w:tcPr>
          <w:p w14:paraId="2A0D2BE5" w14:textId="1502D2CE"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82.1%</w:t>
            </w:r>
          </w:p>
        </w:tc>
        <w:tc>
          <w:tcPr>
            <w:tcW w:w="662" w:type="dxa"/>
            <w:shd w:val="clear" w:color="auto" w:fill="auto"/>
            <w:noWrap/>
            <w:vAlign w:val="center"/>
          </w:tcPr>
          <w:p w14:paraId="5659C083" w14:textId="35A5A60B"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737" w:type="dxa"/>
            <w:shd w:val="clear" w:color="auto" w:fill="auto"/>
            <w:noWrap/>
            <w:vAlign w:val="center"/>
          </w:tcPr>
          <w:p w14:paraId="4C3B5701" w14:textId="59C3299B"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88.7%</w:t>
            </w:r>
          </w:p>
        </w:tc>
        <w:tc>
          <w:tcPr>
            <w:tcW w:w="662" w:type="dxa"/>
            <w:shd w:val="clear" w:color="auto" w:fill="auto"/>
            <w:noWrap/>
            <w:vAlign w:val="center"/>
          </w:tcPr>
          <w:p w14:paraId="1B858D0B" w14:textId="78557C1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shd w:val="clear" w:color="auto" w:fill="auto"/>
            <w:noWrap/>
            <w:vAlign w:val="center"/>
          </w:tcPr>
          <w:p w14:paraId="6D80A401" w14:textId="026C03BE"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990" w:type="dxa"/>
            <w:shd w:val="clear" w:color="auto" w:fill="auto"/>
            <w:noWrap/>
            <w:vAlign w:val="center"/>
          </w:tcPr>
          <w:p w14:paraId="7B209F5D" w14:textId="79D8B4B1"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662" w:type="dxa"/>
            <w:shd w:val="clear" w:color="auto" w:fill="auto"/>
            <w:noWrap/>
            <w:vAlign w:val="center"/>
          </w:tcPr>
          <w:p w14:paraId="2D8EAD4B" w14:textId="46E8DAF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87.8%</w:t>
            </w:r>
          </w:p>
        </w:tc>
        <w:tc>
          <w:tcPr>
            <w:tcW w:w="662" w:type="dxa"/>
            <w:shd w:val="clear" w:color="auto" w:fill="A6A6A6" w:themeFill="background1" w:themeFillShade="A6"/>
            <w:noWrap/>
            <w:vAlign w:val="center"/>
          </w:tcPr>
          <w:p w14:paraId="559AEF7C" w14:textId="1070D3CC"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755" w:type="dxa"/>
            <w:shd w:val="clear" w:color="auto" w:fill="A6A6A6" w:themeFill="background1" w:themeFillShade="A6"/>
            <w:noWrap/>
            <w:vAlign w:val="center"/>
          </w:tcPr>
          <w:p w14:paraId="33E24EB3" w14:textId="71F3BCD0"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1042" w:type="dxa"/>
            <w:shd w:val="clear" w:color="auto" w:fill="A6A6A6" w:themeFill="background1" w:themeFillShade="A6"/>
            <w:noWrap/>
            <w:vAlign w:val="center"/>
          </w:tcPr>
          <w:p w14:paraId="0BF1FD07" w14:textId="4968CE88"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r>
      <w:tr w:rsidR="00255A16" w:rsidRPr="00A77490" w14:paraId="5D73370D" w14:textId="77777777" w:rsidTr="006347D4">
        <w:trPr>
          <w:trHeight w:val="520"/>
        </w:trPr>
        <w:tc>
          <w:tcPr>
            <w:tcW w:w="720" w:type="dxa"/>
            <w:shd w:val="clear" w:color="auto" w:fill="F2F2F2" w:themeFill="background1" w:themeFillShade="F2"/>
            <w:noWrap/>
          </w:tcPr>
          <w:p w14:paraId="7939DC6F" w14:textId="15238ACE" w:rsidR="00515038" w:rsidRPr="00A77490" w:rsidRDefault="00515038" w:rsidP="00515038">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F2F2F2" w:themeFill="background1" w:themeFillShade="F2"/>
          </w:tcPr>
          <w:p w14:paraId="3BCA8C47" w14:textId="0F90C2B4" w:rsidR="00515038" w:rsidRPr="00A77490" w:rsidRDefault="00515038" w:rsidP="00515038">
            <w:pPr>
              <w:spacing w:after="0"/>
              <w:rPr>
                <w:rFonts w:asciiTheme="minorHAnsi" w:eastAsia="Times New Roman" w:hAnsiTheme="minorHAnsi" w:cstheme="minorHAnsi"/>
                <w:sz w:val="16"/>
                <w:szCs w:val="16"/>
              </w:rPr>
            </w:pPr>
            <w:r w:rsidRPr="00597EE2">
              <w:rPr>
                <w:rFonts w:cs="Calibri"/>
                <w:color w:val="000000"/>
                <w:sz w:val="16"/>
                <w:szCs w:val="16"/>
              </w:rPr>
              <w:t>Child: Overall Rating and Care Delivery: Willingness to recommend</w:t>
            </w:r>
          </w:p>
        </w:tc>
        <w:tc>
          <w:tcPr>
            <w:tcW w:w="810" w:type="dxa"/>
            <w:shd w:val="clear" w:color="auto" w:fill="F2F2F2" w:themeFill="background1" w:themeFillShade="F2"/>
            <w:noWrap/>
            <w:vAlign w:val="center"/>
          </w:tcPr>
          <w:p w14:paraId="647466AB" w14:textId="319C2D5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90.9%</w:t>
            </w:r>
          </w:p>
        </w:tc>
        <w:tc>
          <w:tcPr>
            <w:tcW w:w="662" w:type="dxa"/>
            <w:shd w:val="clear" w:color="auto" w:fill="F2F2F2" w:themeFill="background1" w:themeFillShade="F2"/>
            <w:noWrap/>
            <w:vAlign w:val="center"/>
          </w:tcPr>
          <w:p w14:paraId="60939705" w14:textId="2C219C8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62" w:type="dxa"/>
            <w:shd w:val="clear" w:color="auto" w:fill="F2F2F2" w:themeFill="background1" w:themeFillShade="F2"/>
            <w:noWrap/>
            <w:vAlign w:val="center"/>
          </w:tcPr>
          <w:p w14:paraId="1915800C" w14:textId="5BEE25D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92.3%</w:t>
            </w:r>
          </w:p>
        </w:tc>
        <w:tc>
          <w:tcPr>
            <w:tcW w:w="662" w:type="dxa"/>
            <w:shd w:val="clear" w:color="auto" w:fill="F2F2F2" w:themeFill="background1" w:themeFillShade="F2"/>
            <w:noWrap/>
            <w:vAlign w:val="center"/>
          </w:tcPr>
          <w:p w14:paraId="68DE0F0B" w14:textId="4F9FD9A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92.0%</w:t>
            </w:r>
          </w:p>
        </w:tc>
        <w:tc>
          <w:tcPr>
            <w:tcW w:w="662" w:type="dxa"/>
            <w:shd w:val="clear" w:color="auto" w:fill="F2F2F2" w:themeFill="background1" w:themeFillShade="F2"/>
            <w:noWrap/>
            <w:vAlign w:val="center"/>
          </w:tcPr>
          <w:p w14:paraId="29F40C2A" w14:textId="74B6933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87.6%</w:t>
            </w:r>
          </w:p>
        </w:tc>
        <w:tc>
          <w:tcPr>
            <w:tcW w:w="952" w:type="dxa"/>
            <w:shd w:val="clear" w:color="auto" w:fill="F2F2F2" w:themeFill="background1" w:themeFillShade="F2"/>
            <w:noWrap/>
            <w:vAlign w:val="center"/>
          </w:tcPr>
          <w:p w14:paraId="128361B4" w14:textId="615F41C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88.6%</w:t>
            </w:r>
          </w:p>
        </w:tc>
        <w:tc>
          <w:tcPr>
            <w:tcW w:w="868" w:type="dxa"/>
            <w:shd w:val="clear" w:color="auto" w:fill="F2F2F2" w:themeFill="background1" w:themeFillShade="F2"/>
            <w:noWrap/>
            <w:vAlign w:val="center"/>
          </w:tcPr>
          <w:p w14:paraId="554803F1" w14:textId="2B480D05"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93.6%</w:t>
            </w:r>
          </w:p>
        </w:tc>
        <w:tc>
          <w:tcPr>
            <w:tcW w:w="662" w:type="dxa"/>
            <w:shd w:val="clear" w:color="auto" w:fill="F2F2F2" w:themeFill="background1" w:themeFillShade="F2"/>
            <w:noWrap/>
            <w:vAlign w:val="center"/>
          </w:tcPr>
          <w:p w14:paraId="46CC0E51" w14:textId="52233DC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88" w:type="dxa"/>
            <w:shd w:val="clear" w:color="auto" w:fill="F2F2F2" w:themeFill="background1" w:themeFillShade="F2"/>
            <w:noWrap/>
            <w:vAlign w:val="center"/>
          </w:tcPr>
          <w:p w14:paraId="1D4E0422" w14:textId="5C6B07D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91.0%</w:t>
            </w:r>
          </w:p>
        </w:tc>
        <w:tc>
          <w:tcPr>
            <w:tcW w:w="1000" w:type="dxa"/>
            <w:shd w:val="clear" w:color="auto" w:fill="F2F2F2" w:themeFill="background1" w:themeFillShade="F2"/>
            <w:noWrap/>
            <w:vAlign w:val="center"/>
          </w:tcPr>
          <w:p w14:paraId="5501437F" w14:textId="6A7740C9"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92.1%</w:t>
            </w:r>
          </w:p>
        </w:tc>
        <w:tc>
          <w:tcPr>
            <w:tcW w:w="890" w:type="dxa"/>
            <w:shd w:val="clear" w:color="auto" w:fill="F2F2F2" w:themeFill="background1" w:themeFillShade="F2"/>
            <w:noWrap/>
            <w:vAlign w:val="center"/>
          </w:tcPr>
          <w:p w14:paraId="2C87535A" w14:textId="3DC5B2B9"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89.0%</w:t>
            </w:r>
          </w:p>
        </w:tc>
        <w:tc>
          <w:tcPr>
            <w:tcW w:w="810" w:type="dxa"/>
            <w:shd w:val="clear" w:color="auto" w:fill="F2F2F2" w:themeFill="background1" w:themeFillShade="F2"/>
            <w:noWrap/>
            <w:vAlign w:val="center"/>
          </w:tcPr>
          <w:p w14:paraId="5E9572F8" w14:textId="3F2A1F16"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89.5%</w:t>
            </w:r>
          </w:p>
        </w:tc>
        <w:tc>
          <w:tcPr>
            <w:tcW w:w="662" w:type="dxa"/>
            <w:shd w:val="clear" w:color="auto" w:fill="F2F2F2" w:themeFill="background1" w:themeFillShade="F2"/>
            <w:noWrap/>
            <w:vAlign w:val="center"/>
          </w:tcPr>
          <w:p w14:paraId="266874AE" w14:textId="274F871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89.7%</w:t>
            </w:r>
          </w:p>
        </w:tc>
        <w:tc>
          <w:tcPr>
            <w:tcW w:w="737" w:type="dxa"/>
            <w:shd w:val="clear" w:color="auto" w:fill="F2F2F2" w:themeFill="background1" w:themeFillShade="F2"/>
            <w:noWrap/>
            <w:vAlign w:val="center"/>
          </w:tcPr>
          <w:p w14:paraId="1050EFDC" w14:textId="54B2AC8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662" w:type="dxa"/>
            <w:shd w:val="clear" w:color="auto" w:fill="F2F2F2" w:themeFill="background1" w:themeFillShade="F2"/>
            <w:noWrap/>
            <w:vAlign w:val="center"/>
          </w:tcPr>
          <w:p w14:paraId="0C0E8AB0" w14:textId="0BC63FB2"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662" w:type="dxa"/>
            <w:shd w:val="clear" w:color="auto" w:fill="F2F2F2" w:themeFill="background1" w:themeFillShade="F2"/>
            <w:noWrap/>
            <w:vAlign w:val="center"/>
          </w:tcPr>
          <w:p w14:paraId="24EB4B85" w14:textId="6F1AB31B"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92.3%</w:t>
            </w:r>
          </w:p>
        </w:tc>
        <w:tc>
          <w:tcPr>
            <w:tcW w:w="990" w:type="dxa"/>
            <w:shd w:val="clear" w:color="auto" w:fill="F2F2F2" w:themeFill="background1" w:themeFillShade="F2"/>
            <w:noWrap/>
            <w:vAlign w:val="center"/>
          </w:tcPr>
          <w:p w14:paraId="71BCEF07" w14:textId="76553525"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93.2%</w:t>
            </w:r>
          </w:p>
        </w:tc>
        <w:tc>
          <w:tcPr>
            <w:tcW w:w="662" w:type="dxa"/>
            <w:shd w:val="clear" w:color="auto" w:fill="F2F2F2" w:themeFill="background1" w:themeFillShade="F2"/>
            <w:noWrap/>
            <w:vAlign w:val="center"/>
          </w:tcPr>
          <w:p w14:paraId="782AC4D8" w14:textId="0D01ADE6"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shd w:val="clear" w:color="auto" w:fill="A6A6A6" w:themeFill="background1" w:themeFillShade="A6"/>
            <w:noWrap/>
            <w:vAlign w:val="center"/>
          </w:tcPr>
          <w:p w14:paraId="1BCE827D" w14:textId="5379FF2B"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755" w:type="dxa"/>
            <w:shd w:val="clear" w:color="auto" w:fill="A6A6A6" w:themeFill="background1" w:themeFillShade="A6"/>
            <w:noWrap/>
            <w:vAlign w:val="center"/>
          </w:tcPr>
          <w:p w14:paraId="5C70BE2A" w14:textId="2E9F72AC"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1042" w:type="dxa"/>
            <w:shd w:val="clear" w:color="auto" w:fill="A6A6A6" w:themeFill="background1" w:themeFillShade="A6"/>
            <w:noWrap/>
            <w:vAlign w:val="center"/>
          </w:tcPr>
          <w:p w14:paraId="6C3C3968" w14:textId="54C80CD3"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r>
      <w:tr w:rsidR="00255A16" w:rsidRPr="00A77490" w14:paraId="042E08AA" w14:textId="77777777" w:rsidTr="006347D4">
        <w:trPr>
          <w:trHeight w:val="520"/>
        </w:trPr>
        <w:tc>
          <w:tcPr>
            <w:tcW w:w="720" w:type="dxa"/>
            <w:shd w:val="clear" w:color="auto" w:fill="auto"/>
            <w:noWrap/>
          </w:tcPr>
          <w:p w14:paraId="0FD5C953" w14:textId="3F8A19E7" w:rsidR="00515038" w:rsidRPr="00A77490" w:rsidRDefault="00515038" w:rsidP="00515038">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auto"/>
          </w:tcPr>
          <w:p w14:paraId="1799342B" w14:textId="30109AB2" w:rsidR="00515038" w:rsidRPr="00A77490" w:rsidRDefault="00515038" w:rsidP="00515038">
            <w:pPr>
              <w:spacing w:after="0"/>
              <w:rPr>
                <w:rFonts w:asciiTheme="minorHAnsi" w:eastAsia="Times New Roman" w:hAnsiTheme="minorHAnsi" w:cstheme="minorHAnsi"/>
                <w:sz w:val="16"/>
                <w:szCs w:val="16"/>
              </w:rPr>
            </w:pPr>
            <w:r w:rsidRPr="00597EE2">
              <w:rPr>
                <w:rFonts w:cs="Calibri"/>
                <w:color w:val="000000"/>
                <w:sz w:val="16"/>
                <w:szCs w:val="16"/>
              </w:rPr>
              <w:t>Adult: Overall Rating and Care Delivery: Communication</w:t>
            </w:r>
          </w:p>
        </w:tc>
        <w:tc>
          <w:tcPr>
            <w:tcW w:w="810" w:type="dxa"/>
            <w:shd w:val="clear" w:color="auto" w:fill="auto"/>
            <w:noWrap/>
            <w:vAlign w:val="center"/>
          </w:tcPr>
          <w:p w14:paraId="6B73263E" w14:textId="037C82FC"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87.1%</w:t>
            </w:r>
          </w:p>
        </w:tc>
        <w:tc>
          <w:tcPr>
            <w:tcW w:w="662" w:type="dxa"/>
            <w:shd w:val="clear" w:color="auto" w:fill="auto"/>
            <w:noWrap/>
            <w:vAlign w:val="center"/>
          </w:tcPr>
          <w:p w14:paraId="3B8F0372" w14:textId="2110E19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86.3%</w:t>
            </w:r>
          </w:p>
        </w:tc>
        <w:tc>
          <w:tcPr>
            <w:tcW w:w="662" w:type="dxa"/>
            <w:shd w:val="clear" w:color="auto" w:fill="auto"/>
            <w:noWrap/>
            <w:vAlign w:val="center"/>
          </w:tcPr>
          <w:p w14:paraId="78840E0B" w14:textId="308035C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88.4%</w:t>
            </w:r>
          </w:p>
        </w:tc>
        <w:tc>
          <w:tcPr>
            <w:tcW w:w="662" w:type="dxa"/>
            <w:shd w:val="clear" w:color="auto" w:fill="auto"/>
            <w:noWrap/>
            <w:vAlign w:val="center"/>
          </w:tcPr>
          <w:p w14:paraId="7D1BAFD5" w14:textId="2355C839"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86.8%</w:t>
            </w:r>
          </w:p>
        </w:tc>
        <w:tc>
          <w:tcPr>
            <w:tcW w:w="662" w:type="dxa"/>
            <w:shd w:val="clear" w:color="auto" w:fill="auto"/>
            <w:noWrap/>
            <w:vAlign w:val="center"/>
          </w:tcPr>
          <w:p w14:paraId="2A3577B1" w14:textId="66546FF9"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952" w:type="dxa"/>
            <w:shd w:val="clear" w:color="auto" w:fill="auto"/>
            <w:noWrap/>
            <w:vAlign w:val="center"/>
          </w:tcPr>
          <w:p w14:paraId="603D77C6" w14:textId="721E4C7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868" w:type="dxa"/>
            <w:shd w:val="clear" w:color="auto" w:fill="auto"/>
            <w:noWrap/>
            <w:vAlign w:val="center"/>
          </w:tcPr>
          <w:p w14:paraId="3128C2CB" w14:textId="5533AC4C"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89.5%</w:t>
            </w:r>
          </w:p>
        </w:tc>
        <w:tc>
          <w:tcPr>
            <w:tcW w:w="662" w:type="dxa"/>
            <w:shd w:val="clear" w:color="auto" w:fill="auto"/>
            <w:noWrap/>
            <w:vAlign w:val="center"/>
          </w:tcPr>
          <w:p w14:paraId="03C5B3C0" w14:textId="6F4B371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85.2%</w:t>
            </w:r>
          </w:p>
        </w:tc>
        <w:tc>
          <w:tcPr>
            <w:tcW w:w="688" w:type="dxa"/>
            <w:shd w:val="clear" w:color="auto" w:fill="auto"/>
            <w:noWrap/>
            <w:vAlign w:val="center"/>
          </w:tcPr>
          <w:p w14:paraId="528D8399" w14:textId="01B1A6C7"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1000" w:type="dxa"/>
            <w:shd w:val="clear" w:color="auto" w:fill="auto"/>
            <w:noWrap/>
            <w:vAlign w:val="center"/>
          </w:tcPr>
          <w:p w14:paraId="19FE5CED" w14:textId="1EB4A622"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890" w:type="dxa"/>
            <w:shd w:val="clear" w:color="auto" w:fill="auto"/>
            <w:noWrap/>
            <w:vAlign w:val="center"/>
          </w:tcPr>
          <w:p w14:paraId="4E3FA97E" w14:textId="69F8A260"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87.3%</w:t>
            </w:r>
          </w:p>
        </w:tc>
        <w:tc>
          <w:tcPr>
            <w:tcW w:w="810" w:type="dxa"/>
            <w:shd w:val="clear" w:color="auto" w:fill="auto"/>
            <w:noWrap/>
            <w:vAlign w:val="center"/>
          </w:tcPr>
          <w:p w14:paraId="7B5625DB" w14:textId="223BEB5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84.5%</w:t>
            </w:r>
          </w:p>
        </w:tc>
        <w:tc>
          <w:tcPr>
            <w:tcW w:w="662" w:type="dxa"/>
            <w:shd w:val="clear" w:color="auto" w:fill="auto"/>
            <w:noWrap/>
            <w:vAlign w:val="center"/>
          </w:tcPr>
          <w:p w14:paraId="32F72FA8" w14:textId="3DE4768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85.0%</w:t>
            </w:r>
          </w:p>
        </w:tc>
        <w:tc>
          <w:tcPr>
            <w:tcW w:w="737" w:type="dxa"/>
            <w:shd w:val="clear" w:color="auto" w:fill="auto"/>
            <w:noWrap/>
            <w:vAlign w:val="center"/>
          </w:tcPr>
          <w:p w14:paraId="4FEC057D" w14:textId="3AD53691"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89.4%</w:t>
            </w:r>
          </w:p>
        </w:tc>
        <w:tc>
          <w:tcPr>
            <w:tcW w:w="662" w:type="dxa"/>
            <w:shd w:val="clear" w:color="auto" w:fill="auto"/>
            <w:noWrap/>
            <w:vAlign w:val="center"/>
          </w:tcPr>
          <w:p w14:paraId="2C9B74DD" w14:textId="799AF55E"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662" w:type="dxa"/>
            <w:shd w:val="clear" w:color="auto" w:fill="auto"/>
            <w:noWrap/>
            <w:vAlign w:val="center"/>
          </w:tcPr>
          <w:p w14:paraId="62DEFDB4" w14:textId="2350E595"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88.0%</w:t>
            </w:r>
          </w:p>
        </w:tc>
        <w:tc>
          <w:tcPr>
            <w:tcW w:w="990" w:type="dxa"/>
            <w:shd w:val="clear" w:color="auto" w:fill="auto"/>
            <w:noWrap/>
            <w:vAlign w:val="center"/>
          </w:tcPr>
          <w:p w14:paraId="1FB7BDCE" w14:textId="7C4AD823"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88.1%</w:t>
            </w:r>
          </w:p>
        </w:tc>
        <w:tc>
          <w:tcPr>
            <w:tcW w:w="662" w:type="dxa"/>
            <w:shd w:val="clear" w:color="auto" w:fill="auto"/>
            <w:noWrap/>
            <w:vAlign w:val="center"/>
          </w:tcPr>
          <w:p w14:paraId="66F95263" w14:textId="23CD8350"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87.8%</w:t>
            </w:r>
          </w:p>
        </w:tc>
        <w:tc>
          <w:tcPr>
            <w:tcW w:w="662" w:type="dxa"/>
            <w:shd w:val="clear" w:color="auto" w:fill="A6A6A6" w:themeFill="background1" w:themeFillShade="A6"/>
            <w:noWrap/>
            <w:vAlign w:val="center"/>
          </w:tcPr>
          <w:p w14:paraId="05DA95E8" w14:textId="0A3EE818"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755" w:type="dxa"/>
            <w:shd w:val="clear" w:color="auto" w:fill="A6A6A6" w:themeFill="background1" w:themeFillShade="A6"/>
            <w:noWrap/>
            <w:vAlign w:val="center"/>
          </w:tcPr>
          <w:p w14:paraId="2DB59503" w14:textId="35FEF4BF"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1042" w:type="dxa"/>
            <w:shd w:val="clear" w:color="auto" w:fill="A6A6A6" w:themeFill="background1" w:themeFillShade="A6"/>
            <w:noWrap/>
            <w:vAlign w:val="center"/>
          </w:tcPr>
          <w:p w14:paraId="2A22629E" w14:textId="19A0D731"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r>
      <w:tr w:rsidR="00255A16" w:rsidRPr="00A77490" w14:paraId="39058667" w14:textId="77777777" w:rsidTr="006347D4">
        <w:trPr>
          <w:trHeight w:val="520"/>
        </w:trPr>
        <w:tc>
          <w:tcPr>
            <w:tcW w:w="720" w:type="dxa"/>
            <w:shd w:val="clear" w:color="auto" w:fill="F2F2F2" w:themeFill="background1" w:themeFillShade="F2"/>
            <w:noWrap/>
          </w:tcPr>
          <w:p w14:paraId="4A69F9CA" w14:textId="080B6819" w:rsidR="00515038" w:rsidRPr="00A77490" w:rsidRDefault="00515038" w:rsidP="00515038">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p>
        </w:tc>
        <w:tc>
          <w:tcPr>
            <w:tcW w:w="2700" w:type="dxa"/>
            <w:shd w:val="clear" w:color="auto" w:fill="F2F2F2" w:themeFill="background1" w:themeFillShade="F2"/>
          </w:tcPr>
          <w:p w14:paraId="5EA098F1" w14:textId="38A53ADC" w:rsidR="00515038" w:rsidRPr="00A77490" w:rsidRDefault="00515038" w:rsidP="00515038">
            <w:pPr>
              <w:spacing w:after="0"/>
              <w:rPr>
                <w:rFonts w:asciiTheme="minorHAnsi" w:eastAsia="Times New Roman" w:hAnsiTheme="minorHAnsi" w:cstheme="minorHAnsi"/>
                <w:sz w:val="16"/>
                <w:szCs w:val="16"/>
              </w:rPr>
            </w:pPr>
            <w:r w:rsidRPr="00597EE2">
              <w:rPr>
                <w:rFonts w:cs="Calibri"/>
                <w:color w:val="000000"/>
                <w:sz w:val="16"/>
                <w:szCs w:val="16"/>
              </w:rPr>
              <w:t>Child: Overall Rating and Care Delivery: Communication</w:t>
            </w:r>
          </w:p>
        </w:tc>
        <w:tc>
          <w:tcPr>
            <w:tcW w:w="810" w:type="dxa"/>
            <w:shd w:val="clear" w:color="auto" w:fill="F2F2F2" w:themeFill="background1" w:themeFillShade="F2"/>
            <w:noWrap/>
            <w:vAlign w:val="center"/>
          </w:tcPr>
          <w:p w14:paraId="5218383B" w14:textId="33AD83E1"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91.2%</w:t>
            </w:r>
          </w:p>
        </w:tc>
        <w:tc>
          <w:tcPr>
            <w:tcW w:w="662" w:type="dxa"/>
            <w:shd w:val="clear" w:color="auto" w:fill="F2F2F2" w:themeFill="background1" w:themeFillShade="F2"/>
            <w:noWrap/>
            <w:vAlign w:val="center"/>
          </w:tcPr>
          <w:p w14:paraId="063211BE" w14:textId="4C89BE54"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91.4%</w:t>
            </w:r>
          </w:p>
        </w:tc>
        <w:tc>
          <w:tcPr>
            <w:tcW w:w="662" w:type="dxa"/>
            <w:shd w:val="clear" w:color="auto" w:fill="F2F2F2" w:themeFill="background1" w:themeFillShade="F2"/>
            <w:noWrap/>
            <w:vAlign w:val="center"/>
          </w:tcPr>
          <w:p w14:paraId="49DF657D" w14:textId="4567329A"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91.3%</w:t>
            </w:r>
          </w:p>
        </w:tc>
        <w:tc>
          <w:tcPr>
            <w:tcW w:w="662" w:type="dxa"/>
            <w:shd w:val="clear" w:color="auto" w:fill="F2F2F2" w:themeFill="background1" w:themeFillShade="F2"/>
            <w:noWrap/>
            <w:vAlign w:val="center"/>
          </w:tcPr>
          <w:p w14:paraId="1A45407B" w14:textId="47A6F395"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90.5%</w:t>
            </w:r>
          </w:p>
        </w:tc>
        <w:tc>
          <w:tcPr>
            <w:tcW w:w="662" w:type="dxa"/>
            <w:shd w:val="clear" w:color="auto" w:fill="F2F2F2" w:themeFill="background1" w:themeFillShade="F2"/>
            <w:noWrap/>
            <w:vAlign w:val="center"/>
          </w:tcPr>
          <w:p w14:paraId="6DC780E1" w14:textId="7D7F9E27"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90.4%</w:t>
            </w:r>
          </w:p>
        </w:tc>
        <w:tc>
          <w:tcPr>
            <w:tcW w:w="952" w:type="dxa"/>
            <w:shd w:val="clear" w:color="auto" w:fill="F2F2F2" w:themeFill="background1" w:themeFillShade="F2"/>
            <w:noWrap/>
            <w:vAlign w:val="center"/>
          </w:tcPr>
          <w:p w14:paraId="19A81B8C" w14:textId="613584B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91.0%</w:t>
            </w:r>
          </w:p>
        </w:tc>
        <w:tc>
          <w:tcPr>
            <w:tcW w:w="868" w:type="dxa"/>
            <w:shd w:val="clear" w:color="auto" w:fill="F2F2F2" w:themeFill="background1" w:themeFillShade="F2"/>
            <w:noWrap/>
            <w:vAlign w:val="center"/>
          </w:tcPr>
          <w:p w14:paraId="61357B3C" w14:textId="68B0ADA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93.7%</w:t>
            </w:r>
          </w:p>
        </w:tc>
        <w:tc>
          <w:tcPr>
            <w:tcW w:w="662" w:type="dxa"/>
            <w:shd w:val="clear" w:color="auto" w:fill="F2F2F2" w:themeFill="background1" w:themeFillShade="F2"/>
            <w:noWrap/>
            <w:vAlign w:val="center"/>
          </w:tcPr>
          <w:p w14:paraId="5BC5A189" w14:textId="72ACAB1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88" w:type="dxa"/>
            <w:shd w:val="clear" w:color="auto" w:fill="F2F2F2" w:themeFill="background1" w:themeFillShade="F2"/>
            <w:noWrap/>
            <w:vAlign w:val="center"/>
          </w:tcPr>
          <w:p w14:paraId="47D2DE75" w14:textId="7CC16B46"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89.9%</w:t>
            </w:r>
          </w:p>
        </w:tc>
        <w:tc>
          <w:tcPr>
            <w:tcW w:w="1000" w:type="dxa"/>
            <w:shd w:val="clear" w:color="auto" w:fill="F2F2F2" w:themeFill="background1" w:themeFillShade="F2"/>
            <w:noWrap/>
            <w:vAlign w:val="center"/>
          </w:tcPr>
          <w:p w14:paraId="7FAD1899" w14:textId="0162C3D8"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92.7%</w:t>
            </w:r>
          </w:p>
        </w:tc>
        <w:tc>
          <w:tcPr>
            <w:tcW w:w="890" w:type="dxa"/>
            <w:shd w:val="clear" w:color="auto" w:fill="F2F2F2" w:themeFill="background1" w:themeFillShade="F2"/>
            <w:noWrap/>
            <w:vAlign w:val="center"/>
          </w:tcPr>
          <w:p w14:paraId="2E95AD94" w14:textId="29F9EDA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89.9%</w:t>
            </w:r>
          </w:p>
        </w:tc>
        <w:tc>
          <w:tcPr>
            <w:tcW w:w="810" w:type="dxa"/>
            <w:shd w:val="clear" w:color="auto" w:fill="F2F2F2" w:themeFill="background1" w:themeFillShade="F2"/>
            <w:noWrap/>
            <w:vAlign w:val="center"/>
          </w:tcPr>
          <w:p w14:paraId="3F30D451" w14:textId="0C022D7C"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91.6%</w:t>
            </w:r>
          </w:p>
        </w:tc>
        <w:tc>
          <w:tcPr>
            <w:tcW w:w="662" w:type="dxa"/>
            <w:shd w:val="clear" w:color="auto" w:fill="F2F2F2" w:themeFill="background1" w:themeFillShade="F2"/>
            <w:noWrap/>
            <w:vAlign w:val="center"/>
          </w:tcPr>
          <w:p w14:paraId="4F4E0130" w14:textId="3592698F"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89.7%</w:t>
            </w:r>
          </w:p>
        </w:tc>
        <w:tc>
          <w:tcPr>
            <w:tcW w:w="737" w:type="dxa"/>
            <w:shd w:val="clear" w:color="auto" w:fill="F2F2F2" w:themeFill="background1" w:themeFillShade="F2"/>
            <w:noWrap/>
            <w:vAlign w:val="center"/>
          </w:tcPr>
          <w:p w14:paraId="7E907F80" w14:textId="0C77097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93.0%</w:t>
            </w:r>
          </w:p>
        </w:tc>
        <w:tc>
          <w:tcPr>
            <w:tcW w:w="662" w:type="dxa"/>
            <w:shd w:val="clear" w:color="auto" w:fill="F2F2F2" w:themeFill="background1" w:themeFillShade="F2"/>
            <w:noWrap/>
            <w:vAlign w:val="center"/>
          </w:tcPr>
          <w:p w14:paraId="08785561" w14:textId="02425A8E"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87.2%</w:t>
            </w:r>
          </w:p>
        </w:tc>
        <w:tc>
          <w:tcPr>
            <w:tcW w:w="662" w:type="dxa"/>
            <w:shd w:val="clear" w:color="auto" w:fill="F2F2F2" w:themeFill="background1" w:themeFillShade="F2"/>
            <w:noWrap/>
            <w:vAlign w:val="center"/>
          </w:tcPr>
          <w:p w14:paraId="0B7011BB" w14:textId="69485B17"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91.8%</w:t>
            </w:r>
          </w:p>
        </w:tc>
        <w:tc>
          <w:tcPr>
            <w:tcW w:w="990" w:type="dxa"/>
            <w:shd w:val="clear" w:color="auto" w:fill="F2F2F2" w:themeFill="background1" w:themeFillShade="F2"/>
            <w:noWrap/>
            <w:vAlign w:val="center"/>
          </w:tcPr>
          <w:p w14:paraId="6564DBD8" w14:textId="578DE495"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93.4%</w:t>
            </w:r>
          </w:p>
        </w:tc>
        <w:tc>
          <w:tcPr>
            <w:tcW w:w="662" w:type="dxa"/>
            <w:shd w:val="clear" w:color="auto" w:fill="F2F2F2" w:themeFill="background1" w:themeFillShade="F2"/>
            <w:noWrap/>
            <w:vAlign w:val="center"/>
          </w:tcPr>
          <w:p w14:paraId="6952CE0D" w14:textId="4C6EACBD" w:rsidR="00515038" w:rsidRPr="00FD6425" w:rsidRDefault="00515038" w:rsidP="00515038">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81.3%</w:t>
            </w:r>
          </w:p>
        </w:tc>
        <w:tc>
          <w:tcPr>
            <w:tcW w:w="662" w:type="dxa"/>
            <w:tcBorders>
              <w:bottom w:val="single" w:sz="4" w:space="0" w:color="auto"/>
            </w:tcBorders>
            <w:shd w:val="clear" w:color="auto" w:fill="A6A6A6" w:themeFill="background1" w:themeFillShade="A6"/>
            <w:noWrap/>
            <w:vAlign w:val="center"/>
          </w:tcPr>
          <w:p w14:paraId="28B7A7BC" w14:textId="2A5AA189"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755" w:type="dxa"/>
            <w:tcBorders>
              <w:bottom w:val="single" w:sz="4" w:space="0" w:color="auto"/>
            </w:tcBorders>
            <w:shd w:val="clear" w:color="auto" w:fill="A6A6A6" w:themeFill="background1" w:themeFillShade="A6"/>
            <w:noWrap/>
            <w:vAlign w:val="center"/>
          </w:tcPr>
          <w:p w14:paraId="28AA9710" w14:textId="11000913"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c>
          <w:tcPr>
            <w:tcW w:w="1042" w:type="dxa"/>
            <w:tcBorders>
              <w:bottom w:val="single" w:sz="4" w:space="0" w:color="auto"/>
            </w:tcBorders>
            <w:shd w:val="clear" w:color="auto" w:fill="A6A6A6" w:themeFill="background1" w:themeFillShade="A6"/>
            <w:noWrap/>
            <w:vAlign w:val="center"/>
          </w:tcPr>
          <w:p w14:paraId="33720A65" w14:textId="4A6C32CA" w:rsidR="00515038" w:rsidRPr="00CE16A0" w:rsidRDefault="00515038" w:rsidP="00515038">
            <w:pPr>
              <w:spacing w:after="0"/>
              <w:jc w:val="center"/>
              <w:rPr>
                <w:rFonts w:asciiTheme="minorHAnsi" w:eastAsia="Times New Roman" w:hAnsiTheme="minorHAnsi" w:cstheme="minorHAnsi"/>
                <w:color w:val="000000"/>
                <w:sz w:val="16"/>
                <w:szCs w:val="16"/>
              </w:rPr>
            </w:pPr>
            <w:r>
              <w:rPr>
                <w:color w:val="000000"/>
              </w:rPr>
              <w:t> </w:t>
            </w:r>
          </w:p>
        </w:tc>
      </w:tr>
      <w:tr w:rsidR="00255A16" w:rsidRPr="00A77490" w14:paraId="2510AE65" w14:textId="77777777" w:rsidTr="006347D4">
        <w:trPr>
          <w:trHeight w:val="520"/>
        </w:trPr>
        <w:tc>
          <w:tcPr>
            <w:tcW w:w="720" w:type="dxa"/>
            <w:shd w:val="clear" w:color="auto" w:fill="F2F2F2" w:themeFill="background1" w:themeFillShade="F2"/>
            <w:noWrap/>
          </w:tcPr>
          <w:p w14:paraId="6C06FF24" w14:textId="35CFD11B" w:rsidR="00FE3F93" w:rsidRPr="00A77490" w:rsidRDefault="00FE3F93" w:rsidP="00FE3F93">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lastRenderedPageBreak/>
              <w:t xml:space="preserve">EOHHS </w:t>
            </w:r>
          </w:p>
        </w:tc>
        <w:tc>
          <w:tcPr>
            <w:tcW w:w="2700" w:type="dxa"/>
            <w:shd w:val="clear" w:color="auto" w:fill="F2F2F2" w:themeFill="background1" w:themeFillShade="F2"/>
          </w:tcPr>
          <w:p w14:paraId="6376FE9D" w14:textId="0095C1B8" w:rsidR="00FE3F93" w:rsidRPr="00A77490" w:rsidRDefault="00FE3F93" w:rsidP="00FE3F93">
            <w:pPr>
              <w:spacing w:after="0"/>
              <w:rPr>
                <w:rFonts w:asciiTheme="minorHAnsi" w:eastAsia="Times New Roman" w:hAnsiTheme="minorHAnsi" w:cstheme="minorHAnsi"/>
                <w:sz w:val="16"/>
                <w:szCs w:val="16"/>
              </w:rPr>
            </w:pPr>
            <w:r w:rsidRPr="00597EE2">
              <w:rPr>
                <w:rFonts w:cs="Calibri"/>
                <w:color w:val="000000"/>
                <w:sz w:val="16"/>
                <w:szCs w:val="16"/>
              </w:rPr>
              <w:t>Adult: Person-Centered Integrated Care: Integration of Care</w:t>
            </w:r>
          </w:p>
        </w:tc>
        <w:tc>
          <w:tcPr>
            <w:tcW w:w="810" w:type="dxa"/>
            <w:shd w:val="clear" w:color="auto" w:fill="F2F2F2" w:themeFill="background1" w:themeFillShade="F2"/>
            <w:noWrap/>
            <w:vAlign w:val="center"/>
          </w:tcPr>
          <w:p w14:paraId="6712B4A9" w14:textId="217E082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78.1%</w:t>
            </w:r>
          </w:p>
        </w:tc>
        <w:tc>
          <w:tcPr>
            <w:tcW w:w="662" w:type="dxa"/>
            <w:shd w:val="clear" w:color="auto" w:fill="F2F2F2" w:themeFill="background1" w:themeFillShade="F2"/>
            <w:noWrap/>
            <w:vAlign w:val="center"/>
          </w:tcPr>
          <w:p w14:paraId="53A99940" w14:textId="23CD861A"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75.0%</w:t>
            </w:r>
          </w:p>
        </w:tc>
        <w:tc>
          <w:tcPr>
            <w:tcW w:w="662" w:type="dxa"/>
            <w:shd w:val="clear" w:color="auto" w:fill="F2F2F2" w:themeFill="background1" w:themeFillShade="F2"/>
            <w:noWrap/>
            <w:vAlign w:val="center"/>
          </w:tcPr>
          <w:p w14:paraId="2C690EA2" w14:textId="3CB6F381"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80.6%</w:t>
            </w:r>
          </w:p>
        </w:tc>
        <w:tc>
          <w:tcPr>
            <w:tcW w:w="662" w:type="dxa"/>
            <w:shd w:val="clear" w:color="auto" w:fill="F2F2F2" w:themeFill="background1" w:themeFillShade="F2"/>
            <w:noWrap/>
            <w:vAlign w:val="center"/>
          </w:tcPr>
          <w:p w14:paraId="55632348" w14:textId="47C67FE8"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79.6%</w:t>
            </w:r>
          </w:p>
        </w:tc>
        <w:tc>
          <w:tcPr>
            <w:tcW w:w="662" w:type="dxa"/>
            <w:shd w:val="clear" w:color="auto" w:fill="F2F2F2" w:themeFill="background1" w:themeFillShade="F2"/>
            <w:noWrap/>
            <w:vAlign w:val="center"/>
          </w:tcPr>
          <w:p w14:paraId="574D7778" w14:textId="33CD9B2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71.7%</w:t>
            </w:r>
          </w:p>
        </w:tc>
        <w:tc>
          <w:tcPr>
            <w:tcW w:w="952" w:type="dxa"/>
            <w:shd w:val="clear" w:color="auto" w:fill="F2F2F2" w:themeFill="background1" w:themeFillShade="F2"/>
            <w:noWrap/>
            <w:vAlign w:val="center"/>
          </w:tcPr>
          <w:p w14:paraId="51ED092A" w14:textId="76A5ADD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75.4%</w:t>
            </w:r>
          </w:p>
        </w:tc>
        <w:tc>
          <w:tcPr>
            <w:tcW w:w="868" w:type="dxa"/>
            <w:shd w:val="clear" w:color="auto" w:fill="F2F2F2" w:themeFill="background1" w:themeFillShade="F2"/>
            <w:noWrap/>
            <w:vAlign w:val="center"/>
          </w:tcPr>
          <w:p w14:paraId="0D85708B" w14:textId="46D5E00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80.4%</w:t>
            </w:r>
          </w:p>
        </w:tc>
        <w:tc>
          <w:tcPr>
            <w:tcW w:w="662" w:type="dxa"/>
            <w:shd w:val="clear" w:color="auto" w:fill="F2F2F2" w:themeFill="background1" w:themeFillShade="F2"/>
            <w:noWrap/>
            <w:vAlign w:val="center"/>
          </w:tcPr>
          <w:p w14:paraId="533B47A2" w14:textId="15FA2C2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75.4%</w:t>
            </w:r>
          </w:p>
        </w:tc>
        <w:tc>
          <w:tcPr>
            <w:tcW w:w="688" w:type="dxa"/>
            <w:shd w:val="clear" w:color="auto" w:fill="F2F2F2" w:themeFill="background1" w:themeFillShade="F2"/>
            <w:noWrap/>
            <w:vAlign w:val="center"/>
          </w:tcPr>
          <w:p w14:paraId="2437E21A" w14:textId="7559258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72.4%</w:t>
            </w:r>
          </w:p>
        </w:tc>
        <w:tc>
          <w:tcPr>
            <w:tcW w:w="1000" w:type="dxa"/>
            <w:shd w:val="clear" w:color="auto" w:fill="F2F2F2" w:themeFill="background1" w:themeFillShade="F2"/>
            <w:noWrap/>
            <w:vAlign w:val="center"/>
          </w:tcPr>
          <w:p w14:paraId="0EE9C788" w14:textId="1B5E105F"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82.6%</w:t>
            </w:r>
          </w:p>
        </w:tc>
        <w:tc>
          <w:tcPr>
            <w:tcW w:w="890" w:type="dxa"/>
            <w:shd w:val="clear" w:color="auto" w:fill="F2F2F2" w:themeFill="background1" w:themeFillShade="F2"/>
            <w:noWrap/>
            <w:vAlign w:val="center"/>
          </w:tcPr>
          <w:p w14:paraId="399855D8" w14:textId="53F7895F"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74.8%</w:t>
            </w:r>
          </w:p>
        </w:tc>
        <w:tc>
          <w:tcPr>
            <w:tcW w:w="810" w:type="dxa"/>
            <w:shd w:val="clear" w:color="auto" w:fill="F2F2F2" w:themeFill="background1" w:themeFillShade="F2"/>
            <w:noWrap/>
            <w:vAlign w:val="center"/>
          </w:tcPr>
          <w:p w14:paraId="2422041B" w14:textId="5FD71BCC"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75.3%</w:t>
            </w:r>
          </w:p>
        </w:tc>
        <w:tc>
          <w:tcPr>
            <w:tcW w:w="662" w:type="dxa"/>
            <w:shd w:val="clear" w:color="auto" w:fill="F2F2F2" w:themeFill="background1" w:themeFillShade="F2"/>
            <w:noWrap/>
            <w:vAlign w:val="center"/>
          </w:tcPr>
          <w:p w14:paraId="480441F8" w14:textId="21A3575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74.2%</w:t>
            </w:r>
          </w:p>
        </w:tc>
        <w:tc>
          <w:tcPr>
            <w:tcW w:w="737" w:type="dxa"/>
            <w:shd w:val="clear" w:color="auto" w:fill="F2F2F2" w:themeFill="background1" w:themeFillShade="F2"/>
            <w:noWrap/>
            <w:vAlign w:val="center"/>
          </w:tcPr>
          <w:p w14:paraId="6663AFD7" w14:textId="134A0DD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80.2%</w:t>
            </w:r>
          </w:p>
        </w:tc>
        <w:tc>
          <w:tcPr>
            <w:tcW w:w="662" w:type="dxa"/>
            <w:shd w:val="clear" w:color="auto" w:fill="F2F2F2" w:themeFill="background1" w:themeFillShade="F2"/>
            <w:noWrap/>
            <w:vAlign w:val="center"/>
          </w:tcPr>
          <w:p w14:paraId="195DC8C3" w14:textId="20D8B89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72.0%</w:t>
            </w:r>
          </w:p>
        </w:tc>
        <w:tc>
          <w:tcPr>
            <w:tcW w:w="662" w:type="dxa"/>
            <w:shd w:val="clear" w:color="auto" w:fill="F2F2F2" w:themeFill="background1" w:themeFillShade="F2"/>
            <w:noWrap/>
            <w:vAlign w:val="center"/>
          </w:tcPr>
          <w:p w14:paraId="3DEBABC5" w14:textId="571735E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78.0%</w:t>
            </w:r>
          </w:p>
        </w:tc>
        <w:tc>
          <w:tcPr>
            <w:tcW w:w="990" w:type="dxa"/>
            <w:shd w:val="clear" w:color="auto" w:fill="F2F2F2" w:themeFill="background1" w:themeFillShade="F2"/>
            <w:noWrap/>
            <w:vAlign w:val="center"/>
          </w:tcPr>
          <w:p w14:paraId="1529709F" w14:textId="78372C8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78.0%</w:t>
            </w:r>
          </w:p>
        </w:tc>
        <w:tc>
          <w:tcPr>
            <w:tcW w:w="662" w:type="dxa"/>
            <w:tcBorders>
              <w:right w:val="single" w:sz="4" w:space="0" w:color="auto"/>
            </w:tcBorders>
            <w:shd w:val="clear" w:color="auto" w:fill="F2F2F2" w:themeFill="background1" w:themeFillShade="F2"/>
            <w:noWrap/>
            <w:vAlign w:val="center"/>
          </w:tcPr>
          <w:p w14:paraId="71D2453F" w14:textId="4E7A87F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AB778A6" w14:textId="4053E6CA"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B9C4E65" w14:textId="3A50943E"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6786D95" w14:textId="33AE21B9" w:rsidR="00FE3F93" w:rsidRPr="00CE16A0" w:rsidRDefault="00FE3F93" w:rsidP="00FE3F93">
            <w:pPr>
              <w:spacing w:after="0"/>
              <w:jc w:val="center"/>
              <w:rPr>
                <w:rFonts w:asciiTheme="minorHAnsi" w:eastAsia="Times New Roman" w:hAnsiTheme="minorHAnsi" w:cstheme="minorHAnsi"/>
                <w:color w:val="000000"/>
                <w:sz w:val="16"/>
                <w:szCs w:val="16"/>
              </w:rPr>
            </w:pPr>
          </w:p>
        </w:tc>
      </w:tr>
      <w:tr w:rsidR="00255A16" w:rsidRPr="00A77490" w14:paraId="01A11C8A" w14:textId="77777777" w:rsidTr="006347D4">
        <w:trPr>
          <w:trHeight w:val="520"/>
        </w:trPr>
        <w:tc>
          <w:tcPr>
            <w:tcW w:w="720" w:type="dxa"/>
            <w:shd w:val="clear" w:color="auto" w:fill="auto"/>
            <w:noWrap/>
          </w:tcPr>
          <w:p w14:paraId="0BFF1430" w14:textId="0C355935" w:rsidR="00FE3F93" w:rsidRPr="00A77490" w:rsidRDefault="00FE3F93" w:rsidP="00FE3F93">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 xml:space="preserve">EOHHS </w:t>
            </w:r>
          </w:p>
        </w:tc>
        <w:tc>
          <w:tcPr>
            <w:tcW w:w="2700" w:type="dxa"/>
            <w:shd w:val="clear" w:color="auto" w:fill="auto"/>
          </w:tcPr>
          <w:p w14:paraId="53B63174" w14:textId="75AC03EB" w:rsidR="00FE3F93" w:rsidRPr="00A77490" w:rsidRDefault="00FE3F93" w:rsidP="00FE3F93">
            <w:pPr>
              <w:spacing w:after="0"/>
              <w:rPr>
                <w:rFonts w:asciiTheme="minorHAnsi" w:eastAsia="Times New Roman" w:hAnsiTheme="minorHAnsi" w:cstheme="minorHAnsi"/>
                <w:sz w:val="16"/>
                <w:szCs w:val="16"/>
              </w:rPr>
            </w:pPr>
            <w:r w:rsidRPr="00597EE2">
              <w:rPr>
                <w:rFonts w:cs="Calibri"/>
                <w:color w:val="000000"/>
                <w:sz w:val="16"/>
                <w:szCs w:val="16"/>
              </w:rPr>
              <w:t>Child:  Person-Centered Integrated Care: Integration of Care</w:t>
            </w:r>
          </w:p>
        </w:tc>
        <w:tc>
          <w:tcPr>
            <w:tcW w:w="810" w:type="dxa"/>
            <w:shd w:val="clear" w:color="auto" w:fill="auto"/>
            <w:noWrap/>
            <w:vAlign w:val="center"/>
          </w:tcPr>
          <w:p w14:paraId="0F941BF1" w14:textId="5A7590D3"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80.2%</w:t>
            </w:r>
          </w:p>
        </w:tc>
        <w:tc>
          <w:tcPr>
            <w:tcW w:w="662" w:type="dxa"/>
            <w:shd w:val="clear" w:color="auto" w:fill="auto"/>
            <w:noWrap/>
            <w:vAlign w:val="center"/>
          </w:tcPr>
          <w:p w14:paraId="40009623" w14:textId="56229688"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84.5%</w:t>
            </w:r>
          </w:p>
        </w:tc>
        <w:tc>
          <w:tcPr>
            <w:tcW w:w="662" w:type="dxa"/>
            <w:shd w:val="clear" w:color="auto" w:fill="auto"/>
            <w:noWrap/>
            <w:vAlign w:val="center"/>
          </w:tcPr>
          <w:p w14:paraId="718C8F48" w14:textId="78467DC3"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81.7%</w:t>
            </w:r>
          </w:p>
        </w:tc>
        <w:tc>
          <w:tcPr>
            <w:tcW w:w="662" w:type="dxa"/>
            <w:shd w:val="clear" w:color="auto" w:fill="auto"/>
            <w:noWrap/>
            <w:vAlign w:val="center"/>
          </w:tcPr>
          <w:p w14:paraId="3861C3CE" w14:textId="7B51082B"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75.6%</w:t>
            </w:r>
          </w:p>
        </w:tc>
        <w:tc>
          <w:tcPr>
            <w:tcW w:w="662" w:type="dxa"/>
            <w:shd w:val="clear" w:color="auto" w:fill="auto"/>
            <w:noWrap/>
            <w:vAlign w:val="center"/>
          </w:tcPr>
          <w:p w14:paraId="19A1790D" w14:textId="72CE96B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77.4%</w:t>
            </w:r>
          </w:p>
        </w:tc>
        <w:tc>
          <w:tcPr>
            <w:tcW w:w="952" w:type="dxa"/>
            <w:shd w:val="clear" w:color="auto" w:fill="auto"/>
            <w:noWrap/>
            <w:vAlign w:val="center"/>
          </w:tcPr>
          <w:p w14:paraId="62AD9893" w14:textId="7F761B93"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77.0%</w:t>
            </w:r>
          </w:p>
        </w:tc>
        <w:tc>
          <w:tcPr>
            <w:tcW w:w="868" w:type="dxa"/>
            <w:shd w:val="clear" w:color="auto" w:fill="auto"/>
            <w:noWrap/>
            <w:vAlign w:val="center"/>
          </w:tcPr>
          <w:p w14:paraId="38C329BA" w14:textId="168033D0"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83.2%</w:t>
            </w:r>
          </w:p>
        </w:tc>
        <w:tc>
          <w:tcPr>
            <w:tcW w:w="662" w:type="dxa"/>
            <w:shd w:val="clear" w:color="auto" w:fill="auto"/>
            <w:noWrap/>
            <w:vAlign w:val="center"/>
          </w:tcPr>
          <w:p w14:paraId="322494BF" w14:textId="5E66B143"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78.4%</w:t>
            </w:r>
          </w:p>
        </w:tc>
        <w:tc>
          <w:tcPr>
            <w:tcW w:w="688" w:type="dxa"/>
            <w:shd w:val="clear" w:color="auto" w:fill="auto"/>
            <w:noWrap/>
            <w:vAlign w:val="center"/>
          </w:tcPr>
          <w:p w14:paraId="406B2480" w14:textId="5AD491FB"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74.7%</w:t>
            </w:r>
          </w:p>
        </w:tc>
        <w:tc>
          <w:tcPr>
            <w:tcW w:w="1000" w:type="dxa"/>
            <w:shd w:val="clear" w:color="auto" w:fill="auto"/>
            <w:noWrap/>
            <w:vAlign w:val="center"/>
          </w:tcPr>
          <w:p w14:paraId="6964166B" w14:textId="68BACEF4"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82.2%</w:t>
            </w:r>
          </w:p>
        </w:tc>
        <w:tc>
          <w:tcPr>
            <w:tcW w:w="890" w:type="dxa"/>
            <w:shd w:val="clear" w:color="auto" w:fill="auto"/>
            <w:noWrap/>
            <w:vAlign w:val="center"/>
          </w:tcPr>
          <w:p w14:paraId="3FBCF17F" w14:textId="2BD21ADA"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77.9%</w:t>
            </w:r>
          </w:p>
        </w:tc>
        <w:tc>
          <w:tcPr>
            <w:tcW w:w="810" w:type="dxa"/>
            <w:shd w:val="clear" w:color="auto" w:fill="auto"/>
            <w:noWrap/>
            <w:vAlign w:val="center"/>
          </w:tcPr>
          <w:p w14:paraId="4E895AD2" w14:textId="268C70C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79.7%</w:t>
            </w:r>
          </w:p>
        </w:tc>
        <w:tc>
          <w:tcPr>
            <w:tcW w:w="662" w:type="dxa"/>
            <w:shd w:val="clear" w:color="auto" w:fill="auto"/>
            <w:noWrap/>
            <w:vAlign w:val="center"/>
          </w:tcPr>
          <w:p w14:paraId="066E0149" w14:textId="7A5DC5B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76.7%</w:t>
            </w:r>
          </w:p>
        </w:tc>
        <w:tc>
          <w:tcPr>
            <w:tcW w:w="737" w:type="dxa"/>
            <w:shd w:val="clear" w:color="auto" w:fill="auto"/>
            <w:noWrap/>
            <w:vAlign w:val="center"/>
          </w:tcPr>
          <w:p w14:paraId="4533FC93" w14:textId="6667504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84.2%</w:t>
            </w:r>
          </w:p>
        </w:tc>
        <w:tc>
          <w:tcPr>
            <w:tcW w:w="662" w:type="dxa"/>
            <w:shd w:val="clear" w:color="auto" w:fill="auto"/>
            <w:noWrap/>
            <w:vAlign w:val="center"/>
          </w:tcPr>
          <w:p w14:paraId="766D6FF0" w14:textId="4270C45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73.3%</w:t>
            </w:r>
          </w:p>
        </w:tc>
        <w:tc>
          <w:tcPr>
            <w:tcW w:w="662" w:type="dxa"/>
            <w:shd w:val="clear" w:color="auto" w:fill="auto"/>
            <w:noWrap/>
            <w:vAlign w:val="center"/>
          </w:tcPr>
          <w:p w14:paraId="5F6C308A" w14:textId="17215BB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78.4%</w:t>
            </w:r>
          </w:p>
        </w:tc>
        <w:tc>
          <w:tcPr>
            <w:tcW w:w="990" w:type="dxa"/>
            <w:shd w:val="clear" w:color="auto" w:fill="auto"/>
            <w:noWrap/>
            <w:vAlign w:val="center"/>
          </w:tcPr>
          <w:p w14:paraId="548EFCC4" w14:textId="16D8F711"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82.3%</w:t>
            </w:r>
          </w:p>
        </w:tc>
        <w:tc>
          <w:tcPr>
            <w:tcW w:w="662" w:type="dxa"/>
            <w:tcBorders>
              <w:right w:val="single" w:sz="4" w:space="0" w:color="auto"/>
            </w:tcBorders>
            <w:shd w:val="clear" w:color="auto" w:fill="auto"/>
            <w:noWrap/>
            <w:vAlign w:val="center"/>
          </w:tcPr>
          <w:p w14:paraId="0C83D4DB" w14:textId="19C1B5B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64.3%</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8898D62" w14:textId="40BDD929"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001A872" w14:textId="6CDEF730"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AA7C79A" w14:textId="6DC9AC2C" w:rsidR="00FE3F93" w:rsidRPr="00CE16A0" w:rsidRDefault="00FE3F93" w:rsidP="00FE3F93">
            <w:pPr>
              <w:spacing w:after="0"/>
              <w:jc w:val="center"/>
              <w:rPr>
                <w:rFonts w:asciiTheme="minorHAnsi" w:eastAsia="Times New Roman" w:hAnsiTheme="minorHAnsi" w:cstheme="minorHAnsi"/>
                <w:color w:val="000000"/>
                <w:sz w:val="16"/>
                <w:szCs w:val="16"/>
              </w:rPr>
            </w:pPr>
          </w:p>
        </w:tc>
      </w:tr>
      <w:tr w:rsidR="00255A16" w:rsidRPr="00A77490" w14:paraId="17D2555D" w14:textId="77777777" w:rsidTr="006347D4">
        <w:trPr>
          <w:trHeight w:val="520"/>
        </w:trPr>
        <w:tc>
          <w:tcPr>
            <w:tcW w:w="720" w:type="dxa"/>
            <w:shd w:val="clear" w:color="auto" w:fill="F2F2F2" w:themeFill="background1" w:themeFillShade="F2"/>
            <w:noWrap/>
          </w:tcPr>
          <w:p w14:paraId="1CD09973" w14:textId="631F4684" w:rsidR="00FE3F93" w:rsidRPr="00A77490" w:rsidRDefault="00FE3F93" w:rsidP="00FE3F93">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F2F2F2" w:themeFill="background1" w:themeFillShade="F2"/>
            <w:vAlign w:val="bottom"/>
          </w:tcPr>
          <w:p w14:paraId="099B96EA" w14:textId="41E12D04" w:rsidR="00FE3F93" w:rsidRPr="00A77490" w:rsidRDefault="00FE3F93" w:rsidP="001D67A8">
            <w:pPr>
              <w:rPr>
                <w:rFonts w:asciiTheme="minorHAnsi" w:eastAsia="Times New Roman" w:hAnsiTheme="minorHAnsi" w:cstheme="minorHAnsi"/>
                <w:sz w:val="16"/>
                <w:szCs w:val="16"/>
              </w:rPr>
            </w:pPr>
            <w:r w:rsidRPr="00597EE2">
              <w:rPr>
                <w:rFonts w:cs="Calibri"/>
                <w:color w:val="000000"/>
                <w:sz w:val="16"/>
                <w:szCs w:val="16"/>
              </w:rPr>
              <w:t>Adult:  Person-Centered Integrated Care: Knowledge of Patient</w:t>
            </w:r>
          </w:p>
        </w:tc>
        <w:tc>
          <w:tcPr>
            <w:tcW w:w="810" w:type="dxa"/>
            <w:shd w:val="clear" w:color="auto" w:fill="F2F2F2" w:themeFill="background1" w:themeFillShade="F2"/>
            <w:noWrap/>
            <w:vAlign w:val="center"/>
          </w:tcPr>
          <w:p w14:paraId="30F94E96" w14:textId="4220070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81.6%</w:t>
            </w:r>
          </w:p>
        </w:tc>
        <w:tc>
          <w:tcPr>
            <w:tcW w:w="662" w:type="dxa"/>
            <w:shd w:val="clear" w:color="auto" w:fill="F2F2F2" w:themeFill="background1" w:themeFillShade="F2"/>
            <w:noWrap/>
            <w:vAlign w:val="center"/>
          </w:tcPr>
          <w:p w14:paraId="67489BD5" w14:textId="3B73A5D8"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80.1%</w:t>
            </w:r>
          </w:p>
        </w:tc>
        <w:tc>
          <w:tcPr>
            <w:tcW w:w="662" w:type="dxa"/>
            <w:shd w:val="clear" w:color="auto" w:fill="F2F2F2" w:themeFill="background1" w:themeFillShade="F2"/>
            <w:noWrap/>
            <w:vAlign w:val="center"/>
          </w:tcPr>
          <w:p w14:paraId="678F1993" w14:textId="59CCD4DF"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662" w:type="dxa"/>
            <w:shd w:val="clear" w:color="auto" w:fill="F2F2F2" w:themeFill="background1" w:themeFillShade="F2"/>
            <w:noWrap/>
            <w:vAlign w:val="center"/>
          </w:tcPr>
          <w:p w14:paraId="77D500CE" w14:textId="40AC966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83.0%</w:t>
            </w:r>
          </w:p>
        </w:tc>
        <w:tc>
          <w:tcPr>
            <w:tcW w:w="662" w:type="dxa"/>
            <w:shd w:val="clear" w:color="auto" w:fill="F2F2F2" w:themeFill="background1" w:themeFillShade="F2"/>
            <w:noWrap/>
            <w:vAlign w:val="center"/>
          </w:tcPr>
          <w:p w14:paraId="418CC7F6" w14:textId="26750E9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78.7%</w:t>
            </w:r>
          </w:p>
        </w:tc>
        <w:tc>
          <w:tcPr>
            <w:tcW w:w="952" w:type="dxa"/>
            <w:shd w:val="clear" w:color="auto" w:fill="F2F2F2" w:themeFill="background1" w:themeFillShade="F2"/>
            <w:noWrap/>
            <w:vAlign w:val="center"/>
          </w:tcPr>
          <w:p w14:paraId="50DFFC36" w14:textId="29EBC45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82.1%</w:t>
            </w:r>
          </w:p>
        </w:tc>
        <w:tc>
          <w:tcPr>
            <w:tcW w:w="868" w:type="dxa"/>
            <w:shd w:val="clear" w:color="auto" w:fill="F2F2F2" w:themeFill="background1" w:themeFillShade="F2"/>
            <w:noWrap/>
            <w:vAlign w:val="center"/>
          </w:tcPr>
          <w:p w14:paraId="3BDB8746" w14:textId="0A8DD46C"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84.0%</w:t>
            </w:r>
          </w:p>
        </w:tc>
        <w:tc>
          <w:tcPr>
            <w:tcW w:w="662" w:type="dxa"/>
            <w:shd w:val="clear" w:color="auto" w:fill="F2F2F2" w:themeFill="background1" w:themeFillShade="F2"/>
            <w:noWrap/>
            <w:vAlign w:val="center"/>
          </w:tcPr>
          <w:p w14:paraId="6FE1523B" w14:textId="68766CC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80.4%</w:t>
            </w:r>
          </w:p>
        </w:tc>
        <w:tc>
          <w:tcPr>
            <w:tcW w:w="688" w:type="dxa"/>
            <w:shd w:val="clear" w:color="auto" w:fill="F2F2F2" w:themeFill="background1" w:themeFillShade="F2"/>
            <w:noWrap/>
            <w:vAlign w:val="center"/>
          </w:tcPr>
          <w:p w14:paraId="321C9E6A" w14:textId="4EDB0234"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80.0%</w:t>
            </w:r>
          </w:p>
        </w:tc>
        <w:tc>
          <w:tcPr>
            <w:tcW w:w="1000" w:type="dxa"/>
            <w:shd w:val="clear" w:color="auto" w:fill="F2F2F2" w:themeFill="background1" w:themeFillShade="F2"/>
            <w:noWrap/>
            <w:vAlign w:val="center"/>
          </w:tcPr>
          <w:p w14:paraId="0EF62173" w14:textId="1DD3168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89.6%</w:t>
            </w:r>
          </w:p>
        </w:tc>
        <w:tc>
          <w:tcPr>
            <w:tcW w:w="890" w:type="dxa"/>
            <w:shd w:val="clear" w:color="auto" w:fill="F2F2F2" w:themeFill="background1" w:themeFillShade="F2"/>
            <w:noWrap/>
            <w:vAlign w:val="center"/>
          </w:tcPr>
          <w:p w14:paraId="136E038F" w14:textId="2B08CA7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80.8%</w:t>
            </w:r>
          </w:p>
        </w:tc>
        <w:tc>
          <w:tcPr>
            <w:tcW w:w="810" w:type="dxa"/>
            <w:shd w:val="clear" w:color="auto" w:fill="F2F2F2" w:themeFill="background1" w:themeFillShade="F2"/>
            <w:noWrap/>
            <w:vAlign w:val="center"/>
          </w:tcPr>
          <w:p w14:paraId="7E8B4310" w14:textId="2231E9DF"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77.5%</w:t>
            </w:r>
          </w:p>
        </w:tc>
        <w:tc>
          <w:tcPr>
            <w:tcW w:w="662" w:type="dxa"/>
            <w:shd w:val="clear" w:color="auto" w:fill="F2F2F2" w:themeFill="background1" w:themeFillShade="F2"/>
            <w:noWrap/>
            <w:vAlign w:val="center"/>
          </w:tcPr>
          <w:p w14:paraId="3F98ACE8" w14:textId="61E1A685"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79.8%</w:t>
            </w:r>
          </w:p>
        </w:tc>
        <w:tc>
          <w:tcPr>
            <w:tcW w:w="737" w:type="dxa"/>
            <w:shd w:val="clear" w:color="auto" w:fill="F2F2F2" w:themeFill="background1" w:themeFillShade="F2"/>
            <w:noWrap/>
            <w:vAlign w:val="center"/>
          </w:tcPr>
          <w:p w14:paraId="5F2E0FEE" w14:textId="2455954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83.6%</w:t>
            </w:r>
          </w:p>
        </w:tc>
        <w:tc>
          <w:tcPr>
            <w:tcW w:w="662" w:type="dxa"/>
            <w:shd w:val="clear" w:color="auto" w:fill="F2F2F2" w:themeFill="background1" w:themeFillShade="F2"/>
            <w:noWrap/>
            <w:vAlign w:val="center"/>
          </w:tcPr>
          <w:p w14:paraId="0525FA87" w14:textId="7154C39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78.1%</w:t>
            </w:r>
          </w:p>
        </w:tc>
        <w:tc>
          <w:tcPr>
            <w:tcW w:w="662" w:type="dxa"/>
            <w:shd w:val="clear" w:color="auto" w:fill="F2F2F2" w:themeFill="background1" w:themeFillShade="F2"/>
            <w:noWrap/>
            <w:vAlign w:val="center"/>
          </w:tcPr>
          <w:p w14:paraId="1D08B116" w14:textId="548EEDDF"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82.6%</w:t>
            </w:r>
          </w:p>
        </w:tc>
        <w:tc>
          <w:tcPr>
            <w:tcW w:w="990" w:type="dxa"/>
            <w:shd w:val="clear" w:color="auto" w:fill="F2F2F2" w:themeFill="background1" w:themeFillShade="F2"/>
            <w:noWrap/>
            <w:vAlign w:val="center"/>
          </w:tcPr>
          <w:p w14:paraId="717E5AA0" w14:textId="17C0894A"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82.8%</w:t>
            </w:r>
          </w:p>
        </w:tc>
        <w:tc>
          <w:tcPr>
            <w:tcW w:w="662" w:type="dxa"/>
            <w:tcBorders>
              <w:right w:val="single" w:sz="4" w:space="0" w:color="auto"/>
            </w:tcBorders>
            <w:shd w:val="clear" w:color="auto" w:fill="F2F2F2" w:themeFill="background1" w:themeFillShade="F2"/>
            <w:noWrap/>
            <w:vAlign w:val="center"/>
          </w:tcPr>
          <w:p w14:paraId="1767B0D3" w14:textId="7E789DAA"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83.4%</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FF75C80" w14:textId="4AB3EFF9"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FA49023" w14:textId="2583C1F1"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3A6F72" w14:textId="4E40C2F3" w:rsidR="00FE3F93" w:rsidRPr="00CE16A0" w:rsidRDefault="00FE3F93" w:rsidP="00FE3F93">
            <w:pPr>
              <w:spacing w:after="0"/>
              <w:jc w:val="center"/>
              <w:rPr>
                <w:rFonts w:asciiTheme="minorHAnsi" w:eastAsia="Times New Roman" w:hAnsiTheme="minorHAnsi" w:cstheme="minorHAnsi"/>
                <w:color w:val="000000"/>
                <w:sz w:val="16"/>
                <w:szCs w:val="16"/>
              </w:rPr>
            </w:pPr>
          </w:p>
        </w:tc>
      </w:tr>
      <w:tr w:rsidR="00255A16" w:rsidRPr="00A77490" w14:paraId="020A6B52" w14:textId="77777777" w:rsidTr="006347D4">
        <w:trPr>
          <w:trHeight w:val="520"/>
        </w:trPr>
        <w:tc>
          <w:tcPr>
            <w:tcW w:w="720" w:type="dxa"/>
            <w:shd w:val="clear" w:color="auto" w:fill="auto"/>
            <w:noWrap/>
          </w:tcPr>
          <w:p w14:paraId="7B218874" w14:textId="7688BDFA" w:rsidR="00FE3F93" w:rsidRPr="00A77490" w:rsidRDefault="00FE3F93" w:rsidP="00FE3F93">
            <w:pPr>
              <w:spacing w:after="0"/>
              <w:jc w:val="center"/>
              <w:rPr>
                <w:rFonts w:asciiTheme="minorHAnsi" w:eastAsia="Times New Roman" w:hAnsiTheme="minorHAnsi" w:cstheme="minorHAnsi"/>
                <w:color w:val="000000"/>
                <w:sz w:val="16"/>
                <w:szCs w:val="16"/>
              </w:rPr>
            </w:pPr>
            <w:r w:rsidRPr="00597EE2">
              <w:rPr>
                <w:rFonts w:cs="Calibri"/>
                <w:color w:val="000000"/>
                <w:sz w:val="16"/>
                <w:szCs w:val="16"/>
              </w:rPr>
              <w:t>EOHH</w:t>
            </w:r>
            <w:r>
              <w:rPr>
                <w:rFonts w:cs="Calibri"/>
                <w:color w:val="000000"/>
                <w:sz w:val="16"/>
                <w:szCs w:val="16"/>
              </w:rPr>
              <w:t>S</w:t>
            </w:r>
            <w:r w:rsidRPr="00597EE2">
              <w:rPr>
                <w:rFonts w:cs="Calibri"/>
                <w:color w:val="000000"/>
                <w:sz w:val="16"/>
                <w:szCs w:val="16"/>
              </w:rPr>
              <w:t xml:space="preserve"> </w:t>
            </w:r>
          </w:p>
        </w:tc>
        <w:tc>
          <w:tcPr>
            <w:tcW w:w="2700" w:type="dxa"/>
            <w:shd w:val="clear" w:color="auto" w:fill="auto"/>
            <w:vAlign w:val="bottom"/>
          </w:tcPr>
          <w:p w14:paraId="507CC8C5" w14:textId="76ED239E" w:rsidR="00FE3F93" w:rsidRPr="00A77490" w:rsidRDefault="00FE3F93" w:rsidP="001D67A8">
            <w:pPr>
              <w:rPr>
                <w:rFonts w:asciiTheme="minorHAnsi" w:eastAsia="Times New Roman" w:hAnsiTheme="minorHAnsi" w:cstheme="minorHAnsi"/>
                <w:sz w:val="16"/>
                <w:szCs w:val="16"/>
              </w:rPr>
            </w:pPr>
            <w:r w:rsidRPr="00597EE2">
              <w:rPr>
                <w:rFonts w:cs="Calibri"/>
                <w:color w:val="000000"/>
                <w:sz w:val="16"/>
                <w:szCs w:val="16"/>
              </w:rPr>
              <w:t>Child:  Person-Centered Integrated Care: Knowledge of Patient</w:t>
            </w:r>
          </w:p>
        </w:tc>
        <w:tc>
          <w:tcPr>
            <w:tcW w:w="810" w:type="dxa"/>
            <w:shd w:val="clear" w:color="auto" w:fill="auto"/>
            <w:noWrap/>
            <w:vAlign w:val="center"/>
          </w:tcPr>
          <w:p w14:paraId="5E2F0681" w14:textId="2BBAB22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87.2%</w:t>
            </w:r>
          </w:p>
        </w:tc>
        <w:tc>
          <w:tcPr>
            <w:tcW w:w="662" w:type="dxa"/>
            <w:shd w:val="clear" w:color="auto" w:fill="auto"/>
            <w:noWrap/>
            <w:vAlign w:val="center"/>
          </w:tcPr>
          <w:p w14:paraId="4D197401" w14:textId="2A614E2B"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86.1%</w:t>
            </w:r>
          </w:p>
        </w:tc>
        <w:tc>
          <w:tcPr>
            <w:tcW w:w="662" w:type="dxa"/>
            <w:shd w:val="clear" w:color="auto" w:fill="auto"/>
            <w:noWrap/>
            <w:vAlign w:val="center"/>
          </w:tcPr>
          <w:p w14:paraId="64842ED7" w14:textId="19176D64"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87.5%</w:t>
            </w:r>
          </w:p>
        </w:tc>
        <w:tc>
          <w:tcPr>
            <w:tcW w:w="662" w:type="dxa"/>
            <w:shd w:val="clear" w:color="auto" w:fill="auto"/>
            <w:noWrap/>
            <w:vAlign w:val="center"/>
          </w:tcPr>
          <w:p w14:paraId="3E05DE33" w14:textId="664AA7E1"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87.9%</w:t>
            </w:r>
          </w:p>
        </w:tc>
        <w:tc>
          <w:tcPr>
            <w:tcW w:w="662" w:type="dxa"/>
            <w:shd w:val="clear" w:color="auto" w:fill="auto"/>
            <w:noWrap/>
            <w:vAlign w:val="center"/>
          </w:tcPr>
          <w:p w14:paraId="022A1A2E" w14:textId="6EEB63DC"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85.6%</w:t>
            </w:r>
          </w:p>
        </w:tc>
        <w:tc>
          <w:tcPr>
            <w:tcW w:w="952" w:type="dxa"/>
            <w:shd w:val="clear" w:color="auto" w:fill="auto"/>
            <w:noWrap/>
            <w:vAlign w:val="center"/>
          </w:tcPr>
          <w:p w14:paraId="243B0D69" w14:textId="0A28E89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84.9%</w:t>
            </w:r>
          </w:p>
        </w:tc>
        <w:tc>
          <w:tcPr>
            <w:tcW w:w="868" w:type="dxa"/>
            <w:shd w:val="clear" w:color="auto" w:fill="auto"/>
            <w:noWrap/>
            <w:vAlign w:val="center"/>
          </w:tcPr>
          <w:p w14:paraId="087E3F8E" w14:textId="21761D4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89.8%</w:t>
            </w:r>
          </w:p>
        </w:tc>
        <w:tc>
          <w:tcPr>
            <w:tcW w:w="662" w:type="dxa"/>
            <w:shd w:val="clear" w:color="auto" w:fill="auto"/>
            <w:noWrap/>
            <w:vAlign w:val="center"/>
          </w:tcPr>
          <w:p w14:paraId="6E58DCDC" w14:textId="11E75B63"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86.6%</w:t>
            </w:r>
          </w:p>
        </w:tc>
        <w:tc>
          <w:tcPr>
            <w:tcW w:w="688" w:type="dxa"/>
            <w:shd w:val="clear" w:color="auto" w:fill="auto"/>
            <w:noWrap/>
            <w:vAlign w:val="center"/>
          </w:tcPr>
          <w:p w14:paraId="621DDF8D" w14:textId="4F99F29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86.7%</w:t>
            </w:r>
          </w:p>
        </w:tc>
        <w:tc>
          <w:tcPr>
            <w:tcW w:w="1000" w:type="dxa"/>
            <w:shd w:val="clear" w:color="auto" w:fill="auto"/>
            <w:noWrap/>
            <w:vAlign w:val="center"/>
          </w:tcPr>
          <w:p w14:paraId="2F161956" w14:textId="55ABC97E"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89.1%</w:t>
            </w:r>
          </w:p>
        </w:tc>
        <w:tc>
          <w:tcPr>
            <w:tcW w:w="890" w:type="dxa"/>
            <w:shd w:val="clear" w:color="auto" w:fill="auto"/>
            <w:noWrap/>
            <w:vAlign w:val="center"/>
          </w:tcPr>
          <w:p w14:paraId="7DD6CE68" w14:textId="3C427B39"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85.5%</w:t>
            </w:r>
          </w:p>
        </w:tc>
        <w:tc>
          <w:tcPr>
            <w:tcW w:w="810" w:type="dxa"/>
            <w:shd w:val="clear" w:color="auto" w:fill="auto"/>
            <w:noWrap/>
            <w:vAlign w:val="center"/>
          </w:tcPr>
          <w:p w14:paraId="34B967A4" w14:textId="45DB14E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87.1%</w:t>
            </w:r>
          </w:p>
        </w:tc>
        <w:tc>
          <w:tcPr>
            <w:tcW w:w="662" w:type="dxa"/>
            <w:shd w:val="clear" w:color="auto" w:fill="auto"/>
            <w:noWrap/>
            <w:vAlign w:val="center"/>
          </w:tcPr>
          <w:p w14:paraId="47C9BBCB" w14:textId="0264290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83.8%</w:t>
            </w:r>
          </w:p>
        </w:tc>
        <w:tc>
          <w:tcPr>
            <w:tcW w:w="737" w:type="dxa"/>
            <w:shd w:val="clear" w:color="auto" w:fill="auto"/>
            <w:noWrap/>
            <w:vAlign w:val="center"/>
          </w:tcPr>
          <w:p w14:paraId="213643F3" w14:textId="5F877B40"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89.3%</w:t>
            </w:r>
          </w:p>
        </w:tc>
        <w:tc>
          <w:tcPr>
            <w:tcW w:w="662" w:type="dxa"/>
            <w:shd w:val="clear" w:color="auto" w:fill="auto"/>
            <w:noWrap/>
            <w:vAlign w:val="center"/>
          </w:tcPr>
          <w:p w14:paraId="39D975A7" w14:textId="154B2B9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84.0%</w:t>
            </w:r>
          </w:p>
        </w:tc>
        <w:tc>
          <w:tcPr>
            <w:tcW w:w="662" w:type="dxa"/>
            <w:shd w:val="clear" w:color="auto" w:fill="auto"/>
            <w:noWrap/>
            <w:vAlign w:val="center"/>
          </w:tcPr>
          <w:p w14:paraId="6683603B" w14:textId="7F5EEA3D"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88.1%</w:t>
            </w:r>
          </w:p>
        </w:tc>
        <w:tc>
          <w:tcPr>
            <w:tcW w:w="990" w:type="dxa"/>
            <w:shd w:val="clear" w:color="auto" w:fill="auto"/>
            <w:noWrap/>
            <w:vAlign w:val="center"/>
          </w:tcPr>
          <w:p w14:paraId="590FAC19" w14:textId="66CE03A2"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89.2%</w:t>
            </w:r>
          </w:p>
        </w:tc>
        <w:tc>
          <w:tcPr>
            <w:tcW w:w="662" w:type="dxa"/>
            <w:tcBorders>
              <w:right w:val="single" w:sz="4" w:space="0" w:color="auto"/>
            </w:tcBorders>
            <w:shd w:val="clear" w:color="auto" w:fill="auto"/>
            <w:noWrap/>
            <w:vAlign w:val="center"/>
          </w:tcPr>
          <w:p w14:paraId="494A0DCD" w14:textId="0904BFD6" w:rsidR="00FE3F93" w:rsidRPr="00FD6425" w:rsidRDefault="00FE3F93" w:rsidP="00FE3F93">
            <w:pPr>
              <w:spacing w:after="0"/>
              <w:jc w:val="center"/>
              <w:rPr>
                <w:rFonts w:asciiTheme="minorHAnsi" w:eastAsia="Times New Roman" w:hAnsiTheme="minorHAnsi" w:cstheme="minorHAnsi"/>
                <w:color w:val="000000"/>
                <w:sz w:val="16"/>
                <w:szCs w:val="16"/>
              </w:rPr>
            </w:pPr>
            <w:r w:rsidRPr="00FD6425">
              <w:rPr>
                <w:rFonts w:cs="Calibri"/>
                <w:color w:val="000000"/>
                <w:sz w:val="16"/>
                <w:szCs w:val="16"/>
              </w:rPr>
              <w:t>71.8%</w:t>
            </w:r>
          </w:p>
        </w:tc>
        <w:tc>
          <w:tcPr>
            <w:tcW w:w="6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005FB1" w14:textId="372B7F16"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75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E63EA8E" w14:textId="41355C87" w:rsidR="00FE3F93" w:rsidRPr="00CE16A0" w:rsidRDefault="00FE3F93" w:rsidP="00FE3F93">
            <w:pPr>
              <w:spacing w:after="0"/>
              <w:jc w:val="center"/>
              <w:rPr>
                <w:rFonts w:asciiTheme="minorHAnsi" w:eastAsia="Times New Roman" w:hAnsiTheme="minorHAnsi" w:cstheme="minorHAnsi"/>
                <w:color w:val="000000"/>
                <w:sz w:val="16"/>
                <w:szCs w:val="16"/>
              </w:rPr>
            </w:pPr>
          </w:p>
        </w:tc>
        <w:tc>
          <w:tcPr>
            <w:tcW w:w="104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A2A40F3" w14:textId="740A10D9" w:rsidR="00FE3F93" w:rsidRPr="00CE16A0" w:rsidRDefault="00FE3F93" w:rsidP="00FE3F93">
            <w:pPr>
              <w:spacing w:after="0"/>
              <w:jc w:val="center"/>
              <w:rPr>
                <w:rFonts w:asciiTheme="minorHAnsi" w:eastAsia="Times New Roman" w:hAnsiTheme="minorHAnsi" w:cstheme="minorHAnsi"/>
                <w:color w:val="000000"/>
                <w:sz w:val="16"/>
                <w:szCs w:val="16"/>
              </w:rPr>
            </w:pPr>
          </w:p>
        </w:tc>
      </w:tr>
    </w:tbl>
    <w:p w14:paraId="123D2939" w14:textId="68EDD897" w:rsidR="00A77490" w:rsidRDefault="00A77490" w:rsidP="00426FB8">
      <w:pPr>
        <w:spacing w:after="160" w:line="259" w:lineRule="auto"/>
        <w:ind w:left="-1170"/>
        <w:rPr>
          <w:rFonts w:eastAsia="Times New Roman" w:cs="Calibri"/>
          <w:b/>
          <w:bCs/>
          <w:color w:val="000000"/>
          <w:sz w:val="20"/>
          <w:szCs w:val="20"/>
        </w:rPr>
      </w:pPr>
    </w:p>
    <w:p w14:paraId="1F0C6A70" w14:textId="0B8A02C7" w:rsidR="00426FB8" w:rsidRDefault="00426FB8" w:rsidP="005736E8">
      <w:pPr>
        <w:spacing w:after="160" w:line="259" w:lineRule="auto"/>
        <w:rPr>
          <w:rFonts w:eastAsia="Times New Roman" w:cs="Calibri"/>
          <w:b/>
          <w:bCs/>
          <w:color w:val="000000"/>
          <w:sz w:val="20"/>
          <w:szCs w:val="20"/>
        </w:rPr>
        <w:sectPr w:rsidR="00426FB8" w:rsidSect="00FD1091">
          <w:pgSz w:w="20160" w:h="12240" w:orient="landscape" w:code="5"/>
          <w:pgMar w:top="1440" w:right="1440" w:bottom="1440" w:left="1440" w:header="720" w:footer="720" w:gutter="0"/>
          <w:cols w:space="720"/>
          <w:docGrid w:linePitch="360"/>
        </w:sectPr>
      </w:pPr>
    </w:p>
    <w:p w14:paraId="3F72BFEC" w14:textId="03CBC5C7" w:rsidR="00001F32" w:rsidRPr="00A87642" w:rsidRDefault="00BE5434" w:rsidP="00001F32">
      <w:pPr>
        <w:spacing w:after="160" w:line="259" w:lineRule="auto"/>
        <w:rPr>
          <w:b/>
          <w:bCs/>
        </w:rPr>
      </w:pPr>
      <w:r w:rsidRPr="21CA7F43">
        <w:rPr>
          <w:rFonts w:eastAsia="Times New Roman" w:cs="Calibri"/>
          <w:b/>
          <w:bCs/>
          <w:color w:val="000000" w:themeColor="text1"/>
          <w:sz w:val="20"/>
          <w:szCs w:val="20"/>
        </w:rPr>
        <w:lastRenderedPageBreak/>
        <w:t xml:space="preserve">Appendix </w:t>
      </w:r>
      <w:r w:rsidR="005B0374"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-4</w:t>
      </w:r>
      <w:r w:rsidR="00AC3575" w:rsidRPr="21CA7F43">
        <w:rPr>
          <w:rFonts w:eastAsia="Times New Roman" w:cs="Calibri"/>
          <w:b/>
          <w:bCs/>
          <w:color w:val="000000" w:themeColor="text1"/>
          <w:sz w:val="20"/>
          <w:szCs w:val="20"/>
        </w:rPr>
        <w:t xml:space="preserve">: </w:t>
      </w:r>
      <w:r w:rsidR="006937C4" w:rsidRPr="21CA7F43">
        <w:rPr>
          <w:rFonts w:eastAsia="Times New Roman" w:cs="Calibri"/>
          <w:b/>
          <w:bCs/>
          <w:color w:val="000000" w:themeColor="text1"/>
          <w:sz w:val="20"/>
          <w:szCs w:val="20"/>
        </w:rPr>
        <w:t xml:space="preserve">Contract Level Performance, </w:t>
      </w:r>
      <w:r w:rsidR="2C958EB3" w:rsidRPr="21CA7F43">
        <w:rPr>
          <w:rFonts w:eastAsia="Times New Roman" w:cs="Calibri"/>
          <w:b/>
          <w:bCs/>
          <w:color w:val="000000" w:themeColor="text1"/>
          <w:sz w:val="20"/>
          <w:szCs w:val="20"/>
        </w:rPr>
        <w:t>M</w:t>
      </w:r>
      <w:r w:rsidR="006937C4" w:rsidRPr="21CA7F43">
        <w:rPr>
          <w:rFonts w:eastAsia="Times New Roman" w:cs="Calibri"/>
          <w:b/>
          <w:bCs/>
          <w:color w:val="000000" w:themeColor="text1"/>
          <w:sz w:val="20"/>
          <w:szCs w:val="20"/>
        </w:rPr>
        <w:t>Y</w:t>
      </w:r>
      <w:r w:rsidR="00001F32" w:rsidRPr="21CA7F43">
        <w:rPr>
          <w:rFonts w:eastAsia="Times New Roman" w:cs="Calibri"/>
          <w:b/>
          <w:bCs/>
          <w:color w:val="000000" w:themeColor="text1"/>
          <w:sz w:val="20"/>
          <w:szCs w:val="20"/>
        </w:rPr>
        <w:t>2018 (One Care and SCO)</w:t>
      </w:r>
    </w:p>
    <w:p w14:paraId="117213EB" w14:textId="562A0982" w:rsidR="00001F32" w:rsidRPr="00CE61A0" w:rsidRDefault="003020F5" w:rsidP="00C7442E">
      <w:pPr>
        <w:ind w:left="-900" w:firstLine="540"/>
        <w:rPr>
          <w:shd w:val="clear" w:color="auto" w:fill="FFFFFF"/>
        </w:rPr>
      </w:pPr>
      <w:r>
        <w:rPr>
          <w:rStyle w:val="normaltextrun"/>
          <w:shd w:val="clear" w:color="auto" w:fill="FFFFFF"/>
        </w:rPr>
        <w:t xml:space="preserve">2018 </w:t>
      </w:r>
      <w:r w:rsidR="00C93335">
        <w:rPr>
          <w:rStyle w:val="normaltextrun"/>
          <w:shd w:val="clear" w:color="auto" w:fill="FFFFFF"/>
        </w:rPr>
        <w:t>Q</w:t>
      </w:r>
      <w:r w:rsidR="00001F32">
        <w:rPr>
          <w:rStyle w:val="normaltextrun"/>
          <w:shd w:val="clear" w:color="auto" w:fill="FFFFFF"/>
        </w:rPr>
        <w:t xml:space="preserve">uality measure performance </w:t>
      </w:r>
      <w:r w:rsidR="00C93335">
        <w:rPr>
          <w:rStyle w:val="normaltextrun"/>
          <w:shd w:val="clear" w:color="auto" w:fill="FFFFFF"/>
        </w:rPr>
        <w:t>for individual OneCare and SCO plan</w:t>
      </w:r>
      <w:r w:rsidR="00001F32">
        <w:rPr>
          <w:rStyle w:val="normaltextrun"/>
          <w:shd w:val="clear" w:color="auto" w:fill="FFFFFF"/>
        </w:rPr>
        <w:t>s</w:t>
      </w:r>
      <w:r w:rsidR="00C93335">
        <w:rPr>
          <w:rStyle w:val="normaltextrun"/>
          <w:shd w:val="clear" w:color="auto" w:fill="FFFFFF"/>
        </w:rPr>
        <w:t xml:space="preserve"> is</w:t>
      </w:r>
      <w:r w:rsidR="00001F32">
        <w:rPr>
          <w:rStyle w:val="normaltextrun"/>
          <w:shd w:val="clear" w:color="auto" w:fill="FFFFFF"/>
        </w:rPr>
        <w:t xml:space="preserve"> presented in Table </w:t>
      </w:r>
      <w:r w:rsidR="005B0374">
        <w:rPr>
          <w:rStyle w:val="normaltextrun"/>
          <w:shd w:val="clear" w:color="auto" w:fill="FFFFFF"/>
        </w:rPr>
        <w:t>B</w:t>
      </w:r>
      <w:r w:rsidR="00001F32">
        <w:rPr>
          <w:rStyle w:val="normaltextrun"/>
          <w:shd w:val="clear" w:color="auto" w:fill="FFFFFF"/>
        </w:rPr>
        <w:t>-</w:t>
      </w:r>
      <w:r>
        <w:rPr>
          <w:rStyle w:val="normaltextrun"/>
          <w:shd w:val="clear" w:color="auto" w:fill="FFFFFF"/>
        </w:rPr>
        <w:t>4</w:t>
      </w:r>
      <w:r w:rsidR="00001F32">
        <w:rPr>
          <w:rStyle w:val="normaltextrun"/>
          <w:shd w:val="clear" w:color="auto" w:fill="FFFFFF"/>
        </w:rPr>
        <w:t>.</w:t>
      </w:r>
      <w:r w:rsidR="00C7442E">
        <w:rPr>
          <w:rStyle w:val="normaltextrun"/>
          <w:shd w:val="clear" w:color="auto" w:fill="FFFFFF"/>
        </w:rPr>
        <w:t xml:space="preserve"> </w:t>
      </w:r>
    </w:p>
    <w:p w14:paraId="6072C8C7" w14:textId="77777777" w:rsidR="00001F32" w:rsidRDefault="00001F32">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4002D5CB" w14:textId="06D04B09" w:rsidR="00001F32" w:rsidRPr="00C93335" w:rsidRDefault="00001F32">
      <w:pPr>
        <w:pStyle w:val="ListParagraph"/>
        <w:numPr>
          <w:ilvl w:val="0"/>
          <w:numId w:val="3"/>
        </w:numPr>
        <w:ind w:left="-360" w:firstLine="0"/>
        <w:rPr>
          <w:b/>
          <w:bCs/>
        </w:rPr>
      </w:pPr>
      <w:r>
        <w:rPr>
          <w:b/>
          <w:bCs/>
        </w:rPr>
        <w:t>“NA” indicates that the rate was not included due to small denominator (n &lt;30).</w:t>
      </w:r>
    </w:p>
    <w:tbl>
      <w:tblPr>
        <w:tblW w:w="16502" w:type="dxa"/>
        <w:jc w:val="center"/>
        <w:tblLayout w:type="fixed"/>
        <w:tblLook w:val="04A0" w:firstRow="1" w:lastRow="0" w:firstColumn="1" w:lastColumn="0" w:noHBand="0" w:noVBand="1"/>
      </w:tblPr>
      <w:tblGrid>
        <w:gridCol w:w="1451"/>
        <w:gridCol w:w="6379"/>
        <w:gridCol w:w="900"/>
        <w:gridCol w:w="884"/>
        <w:gridCol w:w="916"/>
        <w:gridCol w:w="900"/>
        <w:gridCol w:w="810"/>
        <w:gridCol w:w="810"/>
        <w:gridCol w:w="762"/>
        <w:gridCol w:w="830"/>
        <w:gridCol w:w="856"/>
        <w:gridCol w:w="1004"/>
      </w:tblGrid>
      <w:tr w:rsidR="00255A16" w:rsidRPr="0049778F" w14:paraId="065A1BF1" w14:textId="77777777" w:rsidTr="00575EDC">
        <w:trPr>
          <w:trHeight w:val="740"/>
          <w:tblHeader/>
          <w:jc w:val="center"/>
        </w:trPr>
        <w:tc>
          <w:tcPr>
            <w:tcW w:w="1451" w:type="dxa"/>
            <w:tcBorders>
              <w:top w:val="double" w:sz="6" w:space="0" w:color="auto"/>
              <w:left w:val="double" w:sz="6" w:space="0" w:color="auto"/>
              <w:bottom w:val="single" w:sz="12" w:space="0" w:color="auto"/>
              <w:right w:val="single" w:sz="4" w:space="0" w:color="auto"/>
            </w:tcBorders>
            <w:shd w:val="clear" w:color="auto" w:fill="auto"/>
            <w:noWrap/>
            <w:vAlign w:val="center"/>
            <w:hideMark/>
          </w:tcPr>
          <w:p w14:paraId="45FD6F90" w14:textId="77777777" w:rsidR="00554F79" w:rsidRPr="0049778F" w:rsidRDefault="00554F79" w:rsidP="00554F79">
            <w:pPr>
              <w:spacing w:after="0"/>
              <w:jc w:val="center"/>
              <w:rPr>
                <w:rFonts w:eastAsia="Times New Roman" w:cs="Calibri"/>
                <w:b/>
                <w:bCs/>
                <w:color w:val="000000"/>
                <w:sz w:val="18"/>
                <w:szCs w:val="18"/>
              </w:rPr>
            </w:pPr>
            <w:r w:rsidRPr="0049778F">
              <w:rPr>
                <w:rFonts w:eastAsia="Times New Roman" w:cs="Calibri"/>
                <w:b/>
                <w:bCs/>
                <w:color w:val="000000"/>
                <w:sz w:val="18"/>
                <w:szCs w:val="18"/>
              </w:rPr>
              <w:t>Ref</w:t>
            </w:r>
          </w:p>
        </w:tc>
        <w:tc>
          <w:tcPr>
            <w:tcW w:w="6379" w:type="dxa"/>
            <w:tcBorders>
              <w:top w:val="double" w:sz="6" w:space="0" w:color="auto"/>
              <w:left w:val="nil"/>
              <w:bottom w:val="single" w:sz="12" w:space="0" w:color="auto"/>
              <w:right w:val="single" w:sz="4" w:space="0" w:color="auto"/>
            </w:tcBorders>
            <w:shd w:val="clear" w:color="auto" w:fill="auto"/>
            <w:noWrap/>
            <w:vAlign w:val="center"/>
            <w:hideMark/>
          </w:tcPr>
          <w:p w14:paraId="26ADC460" w14:textId="392173BA" w:rsidR="00554F79" w:rsidRPr="0049778F" w:rsidRDefault="00554F79" w:rsidP="00554F79">
            <w:pPr>
              <w:spacing w:after="0"/>
              <w:jc w:val="center"/>
              <w:rPr>
                <w:rFonts w:eastAsia="Times New Roman" w:cs="Calibri"/>
                <w:b/>
                <w:bCs/>
                <w:color w:val="000000"/>
                <w:sz w:val="18"/>
                <w:szCs w:val="18"/>
              </w:rPr>
            </w:pPr>
            <w:r w:rsidRPr="0049778F">
              <w:rPr>
                <w:rFonts w:eastAsia="Times New Roman" w:cs="Calibri"/>
                <w:b/>
                <w:bCs/>
                <w:color w:val="000000"/>
                <w:sz w:val="18"/>
                <w:szCs w:val="18"/>
              </w:rPr>
              <w:t>2018 Measure</w:t>
            </w:r>
          </w:p>
        </w:tc>
        <w:tc>
          <w:tcPr>
            <w:tcW w:w="900" w:type="dxa"/>
            <w:tcBorders>
              <w:top w:val="double" w:sz="6" w:space="0" w:color="auto"/>
              <w:left w:val="nil"/>
              <w:bottom w:val="single" w:sz="12" w:space="0" w:color="auto"/>
              <w:right w:val="single" w:sz="4" w:space="0" w:color="auto"/>
            </w:tcBorders>
            <w:shd w:val="clear" w:color="auto" w:fill="8EAADB" w:themeFill="accent1" w:themeFillTint="99"/>
            <w:vAlign w:val="center"/>
            <w:hideMark/>
          </w:tcPr>
          <w:p w14:paraId="73536147" w14:textId="1F080476"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Total OneCare</w:t>
            </w:r>
          </w:p>
        </w:tc>
        <w:tc>
          <w:tcPr>
            <w:tcW w:w="884"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3BACA29E" w14:textId="77777777"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CCA</w:t>
            </w:r>
          </w:p>
          <w:p w14:paraId="60C7C8CB" w14:textId="68E74C7B"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OneCare</w:t>
            </w:r>
          </w:p>
        </w:tc>
        <w:tc>
          <w:tcPr>
            <w:tcW w:w="916"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719C5B0D" w14:textId="24D10AC9"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THP</w:t>
            </w:r>
          </w:p>
          <w:p w14:paraId="6B6EF214" w14:textId="165E01A1"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OneCare</w:t>
            </w:r>
          </w:p>
        </w:tc>
        <w:tc>
          <w:tcPr>
            <w:tcW w:w="90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1A49DD68" w14:textId="24CC4144"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Total SCO</w:t>
            </w:r>
          </w:p>
        </w:tc>
        <w:tc>
          <w:tcPr>
            <w:tcW w:w="81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0AC32EEB" w14:textId="77777777"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BMC</w:t>
            </w:r>
          </w:p>
          <w:p w14:paraId="1EBFA73D" w14:textId="7CEB9528"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HNET</w:t>
            </w:r>
          </w:p>
        </w:tc>
        <w:tc>
          <w:tcPr>
            <w:tcW w:w="81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397F9B70" w14:textId="6C948575"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CCA SCO</w:t>
            </w:r>
          </w:p>
        </w:tc>
        <w:tc>
          <w:tcPr>
            <w:tcW w:w="762"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1C966506" w14:textId="77777777"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Navi-</w:t>
            </w:r>
          </w:p>
          <w:p w14:paraId="6F7AEE14" w14:textId="50AE5EA9"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care</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5A0C5FAA" w14:textId="5A93A396"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SWH</w:t>
            </w:r>
          </w:p>
        </w:tc>
        <w:tc>
          <w:tcPr>
            <w:tcW w:w="856"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71697960" w14:textId="2C611E38"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THP</w:t>
            </w:r>
          </w:p>
          <w:p w14:paraId="27BED3E7" w14:textId="76623AB4"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SCO</w:t>
            </w:r>
          </w:p>
        </w:tc>
        <w:tc>
          <w:tcPr>
            <w:tcW w:w="1004" w:type="dxa"/>
            <w:tcBorders>
              <w:top w:val="double" w:sz="6" w:space="0" w:color="auto"/>
              <w:left w:val="nil"/>
              <w:bottom w:val="single" w:sz="12" w:space="0" w:color="auto"/>
              <w:right w:val="double" w:sz="6" w:space="0" w:color="auto"/>
            </w:tcBorders>
            <w:shd w:val="clear" w:color="auto" w:fill="2F5496" w:themeFill="accent1" w:themeFillShade="BF"/>
            <w:noWrap/>
            <w:vAlign w:val="center"/>
            <w:hideMark/>
          </w:tcPr>
          <w:p w14:paraId="5ED401E8" w14:textId="232F3362" w:rsidR="00554F79" w:rsidRPr="0049778F" w:rsidRDefault="00554F79" w:rsidP="00554F79">
            <w:pPr>
              <w:spacing w:after="0"/>
              <w:jc w:val="center"/>
              <w:rPr>
                <w:rFonts w:eastAsia="Times New Roman" w:cs="Calibri"/>
                <w:b/>
                <w:bCs/>
                <w:sz w:val="18"/>
                <w:szCs w:val="18"/>
              </w:rPr>
            </w:pPr>
            <w:r w:rsidRPr="0049778F">
              <w:rPr>
                <w:rFonts w:eastAsia="Times New Roman" w:cs="Calibri"/>
                <w:b/>
                <w:bCs/>
                <w:color w:val="FFFFFF" w:themeColor="background1"/>
                <w:sz w:val="18"/>
                <w:szCs w:val="18"/>
              </w:rPr>
              <w:t>United</w:t>
            </w:r>
          </w:p>
        </w:tc>
      </w:tr>
      <w:tr w:rsidR="00AF4022" w:rsidRPr="0049778F" w14:paraId="5286FBF0" w14:textId="77777777" w:rsidTr="00575EDC">
        <w:trPr>
          <w:trHeight w:val="38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49EEAD4A"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CBP</w:t>
            </w:r>
          </w:p>
        </w:tc>
        <w:tc>
          <w:tcPr>
            <w:tcW w:w="6379"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647AC752"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Controlling High Blood Pressure</w:t>
            </w:r>
          </w:p>
        </w:tc>
        <w:tc>
          <w:tcPr>
            <w:tcW w:w="900" w:type="dxa"/>
            <w:tcBorders>
              <w:top w:val="nil"/>
              <w:left w:val="single" w:sz="4" w:space="0" w:color="auto"/>
              <w:bottom w:val="single" w:sz="4" w:space="0" w:color="auto"/>
              <w:right w:val="nil"/>
            </w:tcBorders>
            <w:shd w:val="clear" w:color="auto" w:fill="F2F2F2" w:themeFill="background1" w:themeFillShade="F2"/>
            <w:vAlign w:val="center"/>
            <w:hideMark/>
          </w:tcPr>
          <w:p w14:paraId="553D9404" w14:textId="62027B5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72.3%</w:t>
            </w:r>
          </w:p>
        </w:tc>
        <w:tc>
          <w:tcPr>
            <w:tcW w:w="884" w:type="dxa"/>
            <w:tcBorders>
              <w:top w:val="nil"/>
              <w:left w:val="single" w:sz="4" w:space="0" w:color="auto"/>
              <w:bottom w:val="single" w:sz="4" w:space="0" w:color="auto"/>
              <w:right w:val="nil"/>
            </w:tcBorders>
            <w:shd w:val="clear" w:color="auto" w:fill="F2F2F2" w:themeFill="background1" w:themeFillShade="F2"/>
            <w:noWrap/>
            <w:vAlign w:val="center"/>
            <w:hideMark/>
          </w:tcPr>
          <w:p w14:paraId="366447A1" w14:textId="09D3DE6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72.0%</w:t>
            </w:r>
          </w:p>
        </w:tc>
        <w:tc>
          <w:tcPr>
            <w:tcW w:w="916" w:type="dxa"/>
            <w:tcBorders>
              <w:top w:val="nil"/>
              <w:left w:val="single" w:sz="4" w:space="0" w:color="auto"/>
              <w:bottom w:val="single" w:sz="4" w:space="0" w:color="auto"/>
              <w:right w:val="nil"/>
            </w:tcBorders>
            <w:shd w:val="clear" w:color="auto" w:fill="F2F2F2" w:themeFill="background1" w:themeFillShade="F2"/>
            <w:noWrap/>
            <w:vAlign w:val="center"/>
            <w:hideMark/>
          </w:tcPr>
          <w:p w14:paraId="401CADBA" w14:textId="57E04A1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74.2%</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hideMark/>
          </w:tcPr>
          <w:p w14:paraId="274181ED" w14:textId="0010667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74.3%</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hideMark/>
          </w:tcPr>
          <w:p w14:paraId="17223445" w14:textId="4903632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56.7%</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hideMark/>
          </w:tcPr>
          <w:p w14:paraId="163C065F" w14:textId="12BDAF4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81.0%</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hideMark/>
          </w:tcPr>
          <w:p w14:paraId="17CD330C" w14:textId="2B60A5B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73.5%</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362C003E" w14:textId="20E6B1C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75.9%</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hideMark/>
          </w:tcPr>
          <w:p w14:paraId="51121CCB" w14:textId="580C982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77.1%</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3EE78285" w14:textId="27B0F14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70.3%</w:t>
            </w:r>
          </w:p>
        </w:tc>
      </w:tr>
      <w:tr w:rsidR="00255A16" w:rsidRPr="0049778F" w14:paraId="0F3F47F7" w14:textId="77777777" w:rsidTr="00575EDC">
        <w:trPr>
          <w:trHeight w:val="465"/>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1F7BF4F0"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CDC</w:t>
            </w:r>
          </w:p>
        </w:tc>
        <w:tc>
          <w:tcPr>
            <w:tcW w:w="6379" w:type="dxa"/>
            <w:tcBorders>
              <w:top w:val="single" w:sz="12" w:space="0" w:color="auto"/>
              <w:left w:val="single" w:sz="12" w:space="0" w:color="auto"/>
              <w:bottom w:val="single" w:sz="12" w:space="0" w:color="auto"/>
              <w:right w:val="nil"/>
            </w:tcBorders>
            <w:shd w:val="clear" w:color="auto" w:fill="auto"/>
            <w:hideMark/>
          </w:tcPr>
          <w:p w14:paraId="7170715A" w14:textId="75187C1D" w:rsidR="00C06573" w:rsidRPr="0049778F" w:rsidRDefault="00C06573" w:rsidP="00C06573">
            <w:pPr>
              <w:spacing w:after="0"/>
              <w:rPr>
                <w:rFonts w:eastAsia="Times New Roman" w:cs="Calibri"/>
                <w:sz w:val="18"/>
                <w:szCs w:val="18"/>
              </w:rPr>
            </w:pPr>
            <w:r w:rsidRPr="0049778F">
              <w:rPr>
                <w:rFonts w:eastAsia="Times New Roman" w:cs="Calibri"/>
                <w:sz w:val="18"/>
                <w:szCs w:val="18"/>
              </w:rPr>
              <w:t xml:space="preserve">Comprehensive Diabetes Care: </w:t>
            </w:r>
            <w:r w:rsidR="00142A4B">
              <w:rPr>
                <w:rFonts w:eastAsia="Times New Roman" w:cs="Calibri"/>
                <w:sz w:val="18"/>
                <w:szCs w:val="18"/>
              </w:rPr>
              <w:t>A1C</w:t>
            </w:r>
            <w:r w:rsidRPr="0049778F">
              <w:rPr>
                <w:rFonts w:eastAsia="Times New Roman" w:cs="Calibri"/>
                <w:sz w:val="18"/>
                <w:szCs w:val="18"/>
              </w:rPr>
              <w:t xml:space="preserve"> Poor Control (lower is better)</w:t>
            </w:r>
          </w:p>
        </w:tc>
        <w:tc>
          <w:tcPr>
            <w:tcW w:w="900" w:type="dxa"/>
            <w:tcBorders>
              <w:top w:val="nil"/>
              <w:left w:val="single" w:sz="4" w:space="0" w:color="auto"/>
              <w:bottom w:val="single" w:sz="4" w:space="0" w:color="auto"/>
              <w:right w:val="nil"/>
            </w:tcBorders>
            <w:shd w:val="clear" w:color="auto" w:fill="auto"/>
            <w:noWrap/>
            <w:vAlign w:val="center"/>
            <w:hideMark/>
          </w:tcPr>
          <w:p w14:paraId="01B9858E" w14:textId="6E7678A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39.1%</w:t>
            </w:r>
          </w:p>
        </w:tc>
        <w:tc>
          <w:tcPr>
            <w:tcW w:w="884" w:type="dxa"/>
            <w:tcBorders>
              <w:top w:val="nil"/>
              <w:left w:val="single" w:sz="4" w:space="0" w:color="auto"/>
              <w:bottom w:val="single" w:sz="4" w:space="0" w:color="auto"/>
              <w:right w:val="nil"/>
            </w:tcBorders>
            <w:shd w:val="clear" w:color="auto" w:fill="auto"/>
            <w:noWrap/>
            <w:vAlign w:val="center"/>
            <w:hideMark/>
          </w:tcPr>
          <w:p w14:paraId="454555CD" w14:textId="63684E0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40.9%</w:t>
            </w:r>
          </w:p>
        </w:tc>
        <w:tc>
          <w:tcPr>
            <w:tcW w:w="916" w:type="dxa"/>
            <w:tcBorders>
              <w:top w:val="nil"/>
              <w:left w:val="single" w:sz="4" w:space="0" w:color="auto"/>
              <w:bottom w:val="single" w:sz="4" w:space="0" w:color="auto"/>
              <w:right w:val="nil"/>
            </w:tcBorders>
            <w:shd w:val="clear" w:color="auto" w:fill="auto"/>
            <w:noWrap/>
            <w:vAlign w:val="center"/>
            <w:hideMark/>
          </w:tcPr>
          <w:p w14:paraId="0FF982AD" w14:textId="492D410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27.6%</w:t>
            </w:r>
          </w:p>
        </w:tc>
        <w:tc>
          <w:tcPr>
            <w:tcW w:w="90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216F239" w14:textId="5C41333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5576A91" w14:textId="47EE946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5A0323D" w14:textId="4DD5C01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xml:space="preserve"> </w:t>
            </w:r>
          </w:p>
        </w:tc>
        <w:tc>
          <w:tcPr>
            <w:tcW w:w="762"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DB427D9" w14:textId="7BDD8A71"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36999EE" w14:textId="2D26D23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5432117" w14:textId="62C0CD8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B596331" w14:textId="45D34EB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r>
      <w:tr w:rsidR="00AF4022" w:rsidRPr="0049778F" w14:paraId="3A1BB6C7" w14:textId="77777777" w:rsidTr="00575EDC">
        <w:trPr>
          <w:trHeight w:val="30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09B87732"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PCR-O/E</w:t>
            </w:r>
          </w:p>
        </w:tc>
        <w:tc>
          <w:tcPr>
            <w:tcW w:w="6379"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04C16FF1"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Plan All-Cause Readmissions (observed to expected ratio)</w:t>
            </w:r>
          </w:p>
        </w:tc>
        <w:tc>
          <w:tcPr>
            <w:tcW w:w="900" w:type="dxa"/>
            <w:tcBorders>
              <w:top w:val="nil"/>
              <w:left w:val="single" w:sz="4" w:space="0" w:color="auto"/>
              <w:bottom w:val="single" w:sz="4" w:space="0" w:color="auto"/>
              <w:right w:val="nil"/>
            </w:tcBorders>
            <w:shd w:val="clear" w:color="auto" w:fill="F2F2F2" w:themeFill="background1" w:themeFillShade="F2"/>
            <w:vAlign w:val="center"/>
          </w:tcPr>
          <w:p w14:paraId="0BF01B90" w14:textId="0EE3C6E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0.8838</w:t>
            </w:r>
          </w:p>
        </w:tc>
        <w:tc>
          <w:tcPr>
            <w:tcW w:w="884" w:type="dxa"/>
            <w:tcBorders>
              <w:top w:val="nil"/>
              <w:left w:val="single" w:sz="4" w:space="0" w:color="auto"/>
              <w:bottom w:val="single" w:sz="4" w:space="0" w:color="auto"/>
              <w:right w:val="nil"/>
            </w:tcBorders>
            <w:shd w:val="clear" w:color="auto" w:fill="F2F2F2" w:themeFill="background1" w:themeFillShade="F2"/>
            <w:noWrap/>
            <w:vAlign w:val="center"/>
          </w:tcPr>
          <w:p w14:paraId="155E20D5" w14:textId="77CEEB7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0.8806</w:t>
            </w:r>
          </w:p>
        </w:tc>
        <w:tc>
          <w:tcPr>
            <w:tcW w:w="916" w:type="dxa"/>
            <w:tcBorders>
              <w:top w:val="nil"/>
              <w:left w:val="single" w:sz="4" w:space="0" w:color="auto"/>
              <w:bottom w:val="single" w:sz="4" w:space="0" w:color="auto"/>
              <w:right w:val="nil"/>
            </w:tcBorders>
            <w:shd w:val="clear" w:color="auto" w:fill="F2F2F2" w:themeFill="background1" w:themeFillShade="F2"/>
            <w:noWrap/>
            <w:vAlign w:val="center"/>
          </w:tcPr>
          <w:p w14:paraId="571E43B9" w14:textId="528E6B5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0.8996</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hideMark/>
          </w:tcPr>
          <w:p w14:paraId="3F1900D3" w14:textId="4667DF7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0.9028</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hideMark/>
          </w:tcPr>
          <w:p w14:paraId="3D4178B7" w14:textId="5455DF4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1.1718</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hideMark/>
          </w:tcPr>
          <w:p w14:paraId="13C0EB0F" w14:textId="0C0056D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0.7050</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hideMark/>
          </w:tcPr>
          <w:p w14:paraId="6B066B79" w14:textId="5F73093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0.5304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7055F6AB" w14:textId="14DE204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0.9599</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hideMark/>
          </w:tcPr>
          <w:p w14:paraId="2CE4E5C0" w14:textId="4FAA6C4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0.7113</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644EB251" w14:textId="72D788F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0.5967</w:t>
            </w:r>
          </w:p>
        </w:tc>
      </w:tr>
      <w:tr w:rsidR="00255A16" w:rsidRPr="0049778F" w14:paraId="1DBB5989" w14:textId="77777777" w:rsidTr="00575EDC">
        <w:trPr>
          <w:trHeight w:val="57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543FB29B"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IET-I</w:t>
            </w:r>
          </w:p>
        </w:tc>
        <w:tc>
          <w:tcPr>
            <w:tcW w:w="6379" w:type="dxa"/>
            <w:tcBorders>
              <w:top w:val="single" w:sz="12" w:space="0" w:color="auto"/>
              <w:left w:val="single" w:sz="12" w:space="0" w:color="auto"/>
              <w:bottom w:val="single" w:sz="12" w:space="0" w:color="auto"/>
              <w:right w:val="nil"/>
            </w:tcBorders>
            <w:shd w:val="clear" w:color="auto" w:fill="auto"/>
            <w:hideMark/>
          </w:tcPr>
          <w:p w14:paraId="2AB3B4A2" w14:textId="6F954C04" w:rsidR="00C06573" w:rsidRPr="0049778F" w:rsidRDefault="00C06573" w:rsidP="00C06573">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(Initiation)</w:t>
            </w:r>
          </w:p>
        </w:tc>
        <w:tc>
          <w:tcPr>
            <w:tcW w:w="900" w:type="dxa"/>
            <w:tcBorders>
              <w:top w:val="nil"/>
              <w:left w:val="single" w:sz="4" w:space="0" w:color="auto"/>
              <w:bottom w:val="single" w:sz="4" w:space="0" w:color="auto"/>
              <w:right w:val="nil"/>
            </w:tcBorders>
            <w:shd w:val="clear" w:color="auto" w:fill="auto"/>
            <w:vAlign w:val="center"/>
          </w:tcPr>
          <w:p w14:paraId="4B2579E7" w14:textId="0D01A00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41.7%</w:t>
            </w:r>
          </w:p>
        </w:tc>
        <w:tc>
          <w:tcPr>
            <w:tcW w:w="884" w:type="dxa"/>
            <w:tcBorders>
              <w:top w:val="nil"/>
              <w:left w:val="single" w:sz="4" w:space="0" w:color="auto"/>
              <w:bottom w:val="single" w:sz="4" w:space="0" w:color="auto"/>
              <w:right w:val="nil"/>
            </w:tcBorders>
            <w:shd w:val="clear" w:color="auto" w:fill="auto"/>
            <w:noWrap/>
            <w:vAlign w:val="center"/>
          </w:tcPr>
          <w:p w14:paraId="77C25E98" w14:textId="615273A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41.6%</w:t>
            </w:r>
          </w:p>
        </w:tc>
        <w:tc>
          <w:tcPr>
            <w:tcW w:w="916" w:type="dxa"/>
            <w:tcBorders>
              <w:top w:val="nil"/>
              <w:left w:val="single" w:sz="4" w:space="0" w:color="auto"/>
              <w:bottom w:val="single" w:sz="4" w:space="0" w:color="auto"/>
              <w:right w:val="nil"/>
            </w:tcBorders>
            <w:shd w:val="clear" w:color="auto" w:fill="auto"/>
            <w:noWrap/>
            <w:vAlign w:val="center"/>
          </w:tcPr>
          <w:p w14:paraId="76B3D897" w14:textId="3AA3F82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42.6%</w:t>
            </w:r>
          </w:p>
        </w:tc>
        <w:tc>
          <w:tcPr>
            <w:tcW w:w="90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6C88FDEE" w14:textId="0231FB8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5E829503" w14:textId="6D7A45C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529B702D" w14:textId="3847B97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762"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302B5141" w14:textId="3C20566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08D8FB77" w14:textId="064BAD9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0733B756" w14:textId="3F9B45A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0D0D12" w14:textId="7E4877A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r>
      <w:tr w:rsidR="00AF4022" w:rsidRPr="0049778F" w14:paraId="7FBC794A" w14:textId="77777777" w:rsidTr="00575EDC">
        <w:trPr>
          <w:trHeight w:val="525"/>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3766A91F"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IET-E</w:t>
            </w:r>
          </w:p>
        </w:tc>
        <w:tc>
          <w:tcPr>
            <w:tcW w:w="6379"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7872E79F" w14:textId="4D922E63" w:rsidR="00C06573" w:rsidRPr="0049778F" w:rsidRDefault="00C06573" w:rsidP="00C06573">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(Engagement)</w:t>
            </w:r>
          </w:p>
        </w:tc>
        <w:tc>
          <w:tcPr>
            <w:tcW w:w="900" w:type="dxa"/>
            <w:tcBorders>
              <w:top w:val="nil"/>
              <w:left w:val="single" w:sz="4" w:space="0" w:color="auto"/>
              <w:bottom w:val="single" w:sz="4" w:space="0" w:color="auto"/>
              <w:right w:val="nil"/>
            </w:tcBorders>
            <w:shd w:val="clear" w:color="auto" w:fill="F2F2F2" w:themeFill="background1" w:themeFillShade="F2"/>
            <w:vAlign w:val="center"/>
          </w:tcPr>
          <w:p w14:paraId="6B2CA509" w14:textId="3670985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12.3%</w:t>
            </w:r>
          </w:p>
        </w:tc>
        <w:tc>
          <w:tcPr>
            <w:tcW w:w="884" w:type="dxa"/>
            <w:tcBorders>
              <w:top w:val="nil"/>
              <w:left w:val="single" w:sz="4" w:space="0" w:color="auto"/>
              <w:bottom w:val="single" w:sz="4" w:space="0" w:color="auto"/>
              <w:right w:val="nil"/>
            </w:tcBorders>
            <w:shd w:val="clear" w:color="auto" w:fill="F2F2F2" w:themeFill="background1" w:themeFillShade="F2"/>
            <w:noWrap/>
            <w:vAlign w:val="center"/>
          </w:tcPr>
          <w:p w14:paraId="2AC4483A" w14:textId="257FF3A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12.0%</w:t>
            </w:r>
          </w:p>
        </w:tc>
        <w:tc>
          <w:tcPr>
            <w:tcW w:w="916" w:type="dxa"/>
            <w:tcBorders>
              <w:top w:val="nil"/>
              <w:left w:val="single" w:sz="4" w:space="0" w:color="auto"/>
              <w:bottom w:val="single" w:sz="4" w:space="0" w:color="auto"/>
              <w:right w:val="nil"/>
            </w:tcBorders>
            <w:shd w:val="clear" w:color="auto" w:fill="F2F2F2" w:themeFill="background1" w:themeFillShade="F2"/>
            <w:noWrap/>
            <w:vAlign w:val="center"/>
          </w:tcPr>
          <w:p w14:paraId="47139995" w14:textId="346267D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14.5%</w:t>
            </w:r>
          </w:p>
        </w:tc>
        <w:tc>
          <w:tcPr>
            <w:tcW w:w="90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55F7D207" w14:textId="78C9B6B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1F413BC6" w14:textId="0887601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249EDD9E" w14:textId="3F10DFA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762"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7DA8C332" w14:textId="73D3639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4E555C56" w14:textId="777B8FE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3BC41CCB" w14:textId="45A1CD0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D917182" w14:textId="74947EF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r>
      <w:tr w:rsidR="00255A16" w:rsidRPr="0049778F" w14:paraId="68438D87"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7C860FD4"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FUH-7</w:t>
            </w:r>
          </w:p>
        </w:tc>
        <w:tc>
          <w:tcPr>
            <w:tcW w:w="6379" w:type="dxa"/>
            <w:tcBorders>
              <w:top w:val="single" w:sz="12" w:space="0" w:color="auto"/>
              <w:left w:val="single" w:sz="12" w:space="0" w:color="auto"/>
              <w:bottom w:val="single" w:sz="12" w:space="0" w:color="auto"/>
              <w:right w:val="nil"/>
            </w:tcBorders>
            <w:shd w:val="clear" w:color="auto" w:fill="auto"/>
            <w:hideMark/>
          </w:tcPr>
          <w:p w14:paraId="3E1A3346"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Follow-Up After Hospitalization for Mental Illness (7 days)</w:t>
            </w:r>
          </w:p>
        </w:tc>
        <w:tc>
          <w:tcPr>
            <w:tcW w:w="900" w:type="dxa"/>
            <w:tcBorders>
              <w:top w:val="nil"/>
              <w:left w:val="single" w:sz="4" w:space="0" w:color="auto"/>
              <w:bottom w:val="single" w:sz="4" w:space="0" w:color="auto"/>
              <w:right w:val="nil"/>
            </w:tcBorders>
            <w:shd w:val="clear" w:color="auto" w:fill="auto"/>
            <w:noWrap/>
            <w:vAlign w:val="center"/>
          </w:tcPr>
          <w:p w14:paraId="0E2DD6A1" w14:textId="3C9798D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42.9%</w:t>
            </w:r>
          </w:p>
        </w:tc>
        <w:tc>
          <w:tcPr>
            <w:tcW w:w="884" w:type="dxa"/>
            <w:tcBorders>
              <w:top w:val="nil"/>
              <w:left w:val="single" w:sz="4" w:space="0" w:color="auto"/>
              <w:bottom w:val="single" w:sz="4" w:space="0" w:color="auto"/>
              <w:right w:val="nil"/>
            </w:tcBorders>
            <w:shd w:val="clear" w:color="auto" w:fill="auto"/>
            <w:noWrap/>
            <w:vAlign w:val="center"/>
          </w:tcPr>
          <w:p w14:paraId="0F8F9BEF" w14:textId="1606248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41.6%</w:t>
            </w:r>
          </w:p>
        </w:tc>
        <w:tc>
          <w:tcPr>
            <w:tcW w:w="916" w:type="dxa"/>
            <w:tcBorders>
              <w:top w:val="nil"/>
              <w:left w:val="single" w:sz="4" w:space="0" w:color="auto"/>
              <w:bottom w:val="single" w:sz="4" w:space="0" w:color="auto"/>
              <w:right w:val="nil"/>
            </w:tcBorders>
            <w:shd w:val="clear" w:color="auto" w:fill="auto"/>
            <w:noWrap/>
            <w:vAlign w:val="center"/>
          </w:tcPr>
          <w:p w14:paraId="135DD134" w14:textId="0F0FB21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51.6%</w:t>
            </w:r>
          </w:p>
        </w:tc>
        <w:tc>
          <w:tcPr>
            <w:tcW w:w="900" w:type="dxa"/>
            <w:tcBorders>
              <w:top w:val="nil"/>
              <w:left w:val="single" w:sz="4" w:space="0" w:color="auto"/>
              <w:bottom w:val="single" w:sz="4" w:space="0" w:color="auto"/>
              <w:right w:val="nil"/>
            </w:tcBorders>
            <w:shd w:val="clear" w:color="auto" w:fill="auto"/>
            <w:noWrap/>
            <w:vAlign w:val="center"/>
          </w:tcPr>
          <w:p w14:paraId="112F8645" w14:textId="090660F1"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36.8%</w:t>
            </w:r>
          </w:p>
        </w:tc>
        <w:tc>
          <w:tcPr>
            <w:tcW w:w="810" w:type="dxa"/>
            <w:tcBorders>
              <w:top w:val="nil"/>
              <w:left w:val="single" w:sz="4" w:space="0" w:color="auto"/>
              <w:bottom w:val="single" w:sz="4" w:space="0" w:color="auto"/>
              <w:right w:val="nil"/>
            </w:tcBorders>
            <w:shd w:val="clear" w:color="auto" w:fill="auto"/>
            <w:noWrap/>
            <w:vAlign w:val="center"/>
          </w:tcPr>
          <w:p w14:paraId="673EB864" w14:textId="235B461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single" w:sz="4" w:space="0" w:color="auto"/>
              <w:bottom w:val="single" w:sz="4" w:space="0" w:color="auto"/>
              <w:right w:val="nil"/>
            </w:tcBorders>
            <w:shd w:val="clear" w:color="auto" w:fill="auto"/>
            <w:noWrap/>
            <w:vAlign w:val="center"/>
          </w:tcPr>
          <w:p w14:paraId="6C34BE6D" w14:textId="5F06FE8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33.3%</w:t>
            </w:r>
          </w:p>
        </w:tc>
        <w:tc>
          <w:tcPr>
            <w:tcW w:w="762" w:type="dxa"/>
            <w:tcBorders>
              <w:top w:val="nil"/>
              <w:left w:val="single" w:sz="4" w:space="0" w:color="auto"/>
              <w:bottom w:val="single" w:sz="4" w:space="0" w:color="auto"/>
              <w:right w:val="nil"/>
            </w:tcBorders>
            <w:shd w:val="clear" w:color="auto" w:fill="auto"/>
            <w:noWrap/>
            <w:vAlign w:val="center"/>
          </w:tcPr>
          <w:p w14:paraId="3E7A3D3B" w14:textId="59599FF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46.0%</w:t>
            </w:r>
          </w:p>
        </w:tc>
        <w:tc>
          <w:tcPr>
            <w:tcW w:w="830" w:type="dxa"/>
            <w:tcBorders>
              <w:top w:val="nil"/>
              <w:left w:val="single" w:sz="4" w:space="0" w:color="auto"/>
              <w:bottom w:val="single" w:sz="4" w:space="0" w:color="auto"/>
              <w:right w:val="nil"/>
            </w:tcBorders>
            <w:shd w:val="clear" w:color="auto" w:fill="auto"/>
            <w:noWrap/>
            <w:vAlign w:val="center"/>
          </w:tcPr>
          <w:p w14:paraId="728BCDFB" w14:textId="39385BF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35.9%</w:t>
            </w:r>
          </w:p>
        </w:tc>
        <w:tc>
          <w:tcPr>
            <w:tcW w:w="856" w:type="dxa"/>
            <w:tcBorders>
              <w:top w:val="nil"/>
              <w:left w:val="single" w:sz="4" w:space="0" w:color="auto"/>
              <w:bottom w:val="single" w:sz="4" w:space="0" w:color="auto"/>
              <w:right w:val="nil"/>
            </w:tcBorders>
            <w:shd w:val="clear" w:color="auto" w:fill="auto"/>
            <w:noWrap/>
            <w:vAlign w:val="center"/>
          </w:tcPr>
          <w:p w14:paraId="786A164F" w14:textId="5EC4CA3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45.7%</w:t>
            </w:r>
          </w:p>
        </w:tc>
        <w:tc>
          <w:tcPr>
            <w:tcW w:w="1004" w:type="dxa"/>
            <w:tcBorders>
              <w:top w:val="nil"/>
              <w:left w:val="single" w:sz="4" w:space="0" w:color="auto"/>
              <w:bottom w:val="single" w:sz="4" w:space="0" w:color="auto"/>
              <w:right w:val="double" w:sz="6" w:space="0" w:color="auto"/>
            </w:tcBorders>
            <w:shd w:val="clear" w:color="auto" w:fill="auto"/>
            <w:noWrap/>
            <w:vAlign w:val="center"/>
          </w:tcPr>
          <w:p w14:paraId="18E6C5EB" w14:textId="71646C5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23.3%</w:t>
            </w:r>
          </w:p>
        </w:tc>
      </w:tr>
      <w:tr w:rsidR="00AF4022" w:rsidRPr="0049778F" w14:paraId="32566299" w14:textId="77777777" w:rsidTr="00575EDC">
        <w:trPr>
          <w:trHeight w:val="52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029966FD"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FUM-7</w:t>
            </w:r>
          </w:p>
        </w:tc>
        <w:tc>
          <w:tcPr>
            <w:tcW w:w="6379"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52109D73"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Follow-Up After Emergency Department Visit for Mental Illness (7 days)</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tcPr>
          <w:p w14:paraId="62751EB1" w14:textId="3806A13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77.2%</w:t>
            </w:r>
          </w:p>
        </w:tc>
        <w:tc>
          <w:tcPr>
            <w:tcW w:w="884" w:type="dxa"/>
            <w:tcBorders>
              <w:top w:val="nil"/>
              <w:left w:val="single" w:sz="4" w:space="0" w:color="auto"/>
              <w:bottom w:val="single" w:sz="4" w:space="0" w:color="auto"/>
              <w:right w:val="nil"/>
            </w:tcBorders>
            <w:shd w:val="clear" w:color="auto" w:fill="F2F2F2" w:themeFill="background1" w:themeFillShade="F2"/>
            <w:noWrap/>
            <w:vAlign w:val="center"/>
          </w:tcPr>
          <w:p w14:paraId="42275BF2" w14:textId="33CA437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76.9%</w:t>
            </w:r>
          </w:p>
        </w:tc>
        <w:tc>
          <w:tcPr>
            <w:tcW w:w="916" w:type="dxa"/>
            <w:tcBorders>
              <w:top w:val="nil"/>
              <w:left w:val="single" w:sz="4" w:space="0" w:color="auto"/>
              <w:bottom w:val="single" w:sz="4" w:space="0" w:color="auto"/>
              <w:right w:val="nil"/>
            </w:tcBorders>
            <w:shd w:val="clear" w:color="auto" w:fill="F2F2F2" w:themeFill="background1" w:themeFillShade="F2"/>
            <w:noWrap/>
            <w:vAlign w:val="center"/>
          </w:tcPr>
          <w:p w14:paraId="7AFF1F1D" w14:textId="770E3BE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79.8%</w:t>
            </w:r>
          </w:p>
        </w:tc>
        <w:tc>
          <w:tcPr>
            <w:tcW w:w="90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28599153" w14:textId="2B8DD67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0F28E550" w14:textId="005A1CC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2EF1DE78" w14:textId="65431C0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762"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0FF0621C" w14:textId="71B73F1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13F08EB6" w14:textId="16489AA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nil"/>
            </w:tcBorders>
            <w:shd w:val="clear" w:color="auto" w:fill="A6A6A6" w:themeFill="background1" w:themeFillShade="A6"/>
            <w:noWrap/>
            <w:vAlign w:val="center"/>
          </w:tcPr>
          <w:p w14:paraId="0E9F9AFC" w14:textId="1126ECD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C09783C" w14:textId="6066237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r>
      <w:tr w:rsidR="00255A16" w:rsidRPr="0049778F" w14:paraId="16433F04"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37116864"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FUH-30</w:t>
            </w:r>
          </w:p>
        </w:tc>
        <w:tc>
          <w:tcPr>
            <w:tcW w:w="6379" w:type="dxa"/>
            <w:tcBorders>
              <w:top w:val="single" w:sz="12" w:space="0" w:color="auto"/>
              <w:left w:val="single" w:sz="12" w:space="0" w:color="auto"/>
              <w:bottom w:val="single" w:sz="12" w:space="0" w:color="auto"/>
              <w:right w:val="nil"/>
            </w:tcBorders>
            <w:shd w:val="clear" w:color="auto" w:fill="auto"/>
            <w:hideMark/>
          </w:tcPr>
          <w:p w14:paraId="31DE91E1"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Follow-Up After Hospitalization for Mental Illness (30 days)</w:t>
            </w:r>
          </w:p>
        </w:tc>
        <w:tc>
          <w:tcPr>
            <w:tcW w:w="900" w:type="dxa"/>
            <w:tcBorders>
              <w:top w:val="nil"/>
              <w:left w:val="single" w:sz="4" w:space="0" w:color="auto"/>
              <w:bottom w:val="single" w:sz="4" w:space="0" w:color="auto"/>
              <w:right w:val="nil"/>
            </w:tcBorders>
            <w:shd w:val="clear" w:color="auto" w:fill="auto"/>
            <w:vAlign w:val="center"/>
          </w:tcPr>
          <w:p w14:paraId="428F3E81" w14:textId="2B98A39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72.9%</w:t>
            </w:r>
          </w:p>
        </w:tc>
        <w:tc>
          <w:tcPr>
            <w:tcW w:w="884" w:type="dxa"/>
            <w:tcBorders>
              <w:top w:val="nil"/>
              <w:left w:val="single" w:sz="4" w:space="0" w:color="auto"/>
              <w:bottom w:val="single" w:sz="4" w:space="0" w:color="auto"/>
              <w:right w:val="nil"/>
            </w:tcBorders>
            <w:shd w:val="clear" w:color="auto" w:fill="auto"/>
            <w:noWrap/>
            <w:vAlign w:val="center"/>
          </w:tcPr>
          <w:p w14:paraId="0C5DA592" w14:textId="2ACA260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72.1%</w:t>
            </w:r>
          </w:p>
        </w:tc>
        <w:tc>
          <w:tcPr>
            <w:tcW w:w="916" w:type="dxa"/>
            <w:tcBorders>
              <w:top w:val="nil"/>
              <w:left w:val="single" w:sz="4" w:space="0" w:color="auto"/>
              <w:bottom w:val="single" w:sz="4" w:space="0" w:color="auto"/>
              <w:right w:val="nil"/>
            </w:tcBorders>
            <w:shd w:val="clear" w:color="auto" w:fill="auto"/>
            <w:noWrap/>
            <w:vAlign w:val="center"/>
          </w:tcPr>
          <w:p w14:paraId="7FA5892F" w14:textId="45FCE8D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78.3%</w:t>
            </w:r>
          </w:p>
        </w:tc>
        <w:tc>
          <w:tcPr>
            <w:tcW w:w="900" w:type="dxa"/>
            <w:tcBorders>
              <w:top w:val="nil"/>
              <w:left w:val="single" w:sz="4" w:space="0" w:color="auto"/>
              <w:bottom w:val="single" w:sz="4" w:space="0" w:color="auto"/>
              <w:right w:val="nil"/>
            </w:tcBorders>
            <w:shd w:val="clear" w:color="auto" w:fill="auto"/>
            <w:noWrap/>
            <w:vAlign w:val="center"/>
          </w:tcPr>
          <w:p w14:paraId="0C8CC44B" w14:textId="5E6BDD5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65.0%</w:t>
            </w:r>
          </w:p>
        </w:tc>
        <w:tc>
          <w:tcPr>
            <w:tcW w:w="810" w:type="dxa"/>
            <w:tcBorders>
              <w:top w:val="nil"/>
              <w:left w:val="single" w:sz="4" w:space="0" w:color="auto"/>
              <w:bottom w:val="single" w:sz="4" w:space="0" w:color="auto"/>
              <w:right w:val="nil"/>
            </w:tcBorders>
            <w:shd w:val="clear" w:color="auto" w:fill="auto"/>
            <w:noWrap/>
            <w:vAlign w:val="center"/>
          </w:tcPr>
          <w:p w14:paraId="0F531A3C" w14:textId="4D62151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single" w:sz="4" w:space="0" w:color="auto"/>
              <w:bottom w:val="single" w:sz="4" w:space="0" w:color="auto"/>
              <w:right w:val="nil"/>
            </w:tcBorders>
            <w:shd w:val="clear" w:color="auto" w:fill="auto"/>
            <w:noWrap/>
            <w:vAlign w:val="center"/>
          </w:tcPr>
          <w:p w14:paraId="022230FD" w14:textId="45EA811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68.6%</w:t>
            </w:r>
          </w:p>
        </w:tc>
        <w:tc>
          <w:tcPr>
            <w:tcW w:w="762" w:type="dxa"/>
            <w:tcBorders>
              <w:top w:val="nil"/>
              <w:left w:val="single" w:sz="4" w:space="0" w:color="auto"/>
              <w:bottom w:val="single" w:sz="4" w:space="0" w:color="auto"/>
              <w:right w:val="nil"/>
            </w:tcBorders>
            <w:shd w:val="clear" w:color="auto" w:fill="auto"/>
            <w:noWrap/>
            <w:vAlign w:val="center"/>
          </w:tcPr>
          <w:p w14:paraId="74BE0E6F" w14:textId="17F358F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72.0%</w:t>
            </w:r>
          </w:p>
        </w:tc>
        <w:tc>
          <w:tcPr>
            <w:tcW w:w="830" w:type="dxa"/>
            <w:tcBorders>
              <w:top w:val="nil"/>
              <w:left w:val="single" w:sz="4" w:space="0" w:color="auto"/>
              <w:bottom w:val="single" w:sz="4" w:space="0" w:color="auto"/>
              <w:right w:val="nil"/>
            </w:tcBorders>
            <w:shd w:val="clear" w:color="auto" w:fill="auto"/>
            <w:noWrap/>
            <w:vAlign w:val="center"/>
          </w:tcPr>
          <w:p w14:paraId="3A3C9ED4" w14:textId="53DB9CA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59.0%</w:t>
            </w:r>
          </w:p>
        </w:tc>
        <w:tc>
          <w:tcPr>
            <w:tcW w:w="856" w:type="dxa"/>
            <w:tcBorders>
              <w:top w:val="nil"/>
              <w:left w:val="single" w:sz="4" w:space="0" w:color="auto"/>
              <w:bottom w:val="single" w:sz="4" w:space="0" w:color="auto"/>
              <w:right w:val="nil"/>
            </w:tcBorders>
            <w:shd w:val="clear" w:color="auto" w:fill="auto"/>
            <w:noWrap/>
            <w:vAlign w:val="center"/>
          </w:tcPr>
          <w:p w14:paraId="42A60827" w14:textId="5BF1467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68.6%</w:t>
            </w:r>
          </w:p>
        </w:tc>
        <w:tc>
          <w:tcPr>
            <w:tcW w:w="1004" w:type="dxa"/>
            <w:tcBorders>
              <w:top w:val="nil"/>
              <w:left w:val="single" w:sz="4" w:space="0" w:color="auto"/>
              <w:bottom w:val="single" w:sz="4" w:space="0" w:color="auto"/>
              <w:right w:val="double" w:sz="6" w:space="0" w:color="auto"/>
            </w:tcBorders>
            <w:shd w:val="clear" w:color="auto" w:fill="auto"/>
            <w:noWrap/>
            <w:vAlign w:val="center"/>
          </w:tcPr>
          <w:p w14:paraId="76939189" w14:textId="7850CA6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55.8%</w:t>
            </w:r>
          </w:p>
        </w:tc>
      </w:tr>
      <w:tr w:rsidR="00AF4022" w:rsidRPr="0049778F" w14:paraId="542BA3D0"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2CD534E0"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COL</w:t>
            </w: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0A5A469A"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Colorectal Cancer Screening</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4533186" w14:textId="23D9700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69FC8A2" w14:textId="2323C5C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AE0B85A" w14:textId="1F045DD1"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tcPr>
          <w:p w14:paraId="1A0D5C2B" w14:textId="7CB10BC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80.5%</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0D95A0AF" w14:textId="0EFEAF8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68.5%</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404222DB" w14:textId="4DE53C0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80.4%</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tcPr>
          <w:p w14:paraId="443FF7C3" w14:textId="1B712E1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66.1%</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tcPr>
          <w:p w14:paraId="6510C343" w14:textId="4F33B81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84.2%</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tcPr>
          <w:p w14:paraId="4F1FCFDC" w14:textId="138A56B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75.8%</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tcPr>
          <w:p w14:paraId="127601B1" w14:textId="2545E22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82.5%</w:t>
            </w:r>
          </w:p>
        </w:tc>
      </w:tr>
      <w:tr w:rsidR="00255A16" w:rsidRPr="0049778F" w14:paraId="1971DEF0"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29384B77"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PBH</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6FB3D318"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Persistence of Beta Blocker Treatment After Heart Attack</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0B628C4" w14:textId="427AB0E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746DA85" w14:textId="26ADE38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439E8B3" w14:textId="1B943AD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3CA0E056" w14:textId="7C0F4DE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97.4%</w:t>
            </w:r>
          </w:p>
        </w:tc>
        <w:tc>
          <w:tcPr>
            <w:tcW w:w="810" w:type="dxa"/>
            <w:tcBorders>
              <w:top w:val="nil"/>
              <w:left w:val="nil"/>
              <w:bottom w:val="single" w:sz="4" w:space="0" w:color="auto"/>
              <w:right w:val="single" w:sz="4" w:space="0" w:color="auto"/>
            </w:tcBorders>
            <w:shd w:val="clear" w:color="auto" w:fill="auto"/>
            <w:noWrap/>
            <w:vAlign w:val="center"/>
          </w:tcPr>
          <w:p w14:paraId="02CB1DC2" w14:textId="3BC9B4A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nil"/>
              <w:bottom w:val="single" w:sz="4" w:space="0" w:color="auto"/>
              <w:right w:val="single" w:sz="4" w:space="0" w:color="auto"/>
            </w:tcBorders>
            <w:shd w:val="clear" w:color="auto" w:fill="auto"/>
            <w:noWrap/>
            <w:vAlign w:val="center"/>
          </w:tcPr>
          <w:p w14:paraId="45415F23" w14:textId="252CE35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762" w:type="dxa"/>
            <w:tcBorders>
              <w:top w:val="nil"/>
              <w:left w:val="nil"/>
              <w:bottom w:val="single" w:sz="4" w:space="0" w:color="auto"/>
              <w:right w:val="single" w:sz="4" w:space="0" w:color="auto"/>
            </w:tcBorders>
            <w:shd w:val="clear" w:color="auto" w:fill="auto"/>
            <w:noWrap/>
            <w:vAlign w:val="center"/>
          </w:tcPr>
          <w:p w14:paraId="77EB9C61" w14:textId="20067AB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auto"/>
            <w:noWrap/>
            <w:vAlign w:val="center"/>
          </w:tcPr>
          <w:p w14:paraId="24DB1DD7" w14:textId="766BD97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56" w:type="dxa"/>
            <w:tcBorders>
              <w:top w:val="nil"/>
              <w:left w:val="nil"/>
              <w:bottom w:val="single" w:sz="4" w:space="0" w:color="auto"/>
              <w:right w:val="single" w:sz="4" w:space="0" w:color="auto"/>
            </w:tcBorders>
            <w:shd w:val="clear" w:color="auto" w:fill="auto"/>
            <w:noWrap/>
            <w:vAlign w:val="center"/>
          </w:tcPr>
          <w:p w14:paraId="05148A77" w14:textId="2986C8D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1004" w:type="dxa"/>
            <w:tcBorders>
              <w:top w:val="nil"/>
              <w:left w:val="nil"/>
              <w:bottom w:val="single" w:sz="4" w:space="0" w:color="auto"/>
              <w:right w:val="double" w:sz="6" w:space="0" w:color="auto"/>
            </w:tcBorders>
            <w:shd w:val="clear" w:color="auto" w:fill="auto"/>
            <w:noWrap/>
            <w:vAlign w:val="center"/>
          </w:tcPr>
          <w:p w14:paraId="0010A40B" w14:textId="15796E4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93.8%</w:t>
            </w:r>
          </w:p>
        </w:tc>
      </w:tr>
      <w:tr w:rsidR="00AF4022" w:rsidRPr="0049778F" w14:paraId="6A94C177" w14:textId="77777777" w:rsidTr="00575EDC">
        <w:trPr>
          <w:trHeight w:val="52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408265B8"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PCE-C</w:t>
            </w: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658524BE"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Pharmacotherapy Management of COPD Exacerbation Corticosteroids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DF800A" w14:textId="7AA228E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3FD280" w14:textId="7FC3987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77B74A8" w14:textId="14B9B37A"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tcPr>
          <w:p w14:paraId="16372A20" w14:textId="7E7D116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78.2%</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5D57BFFA" w14:textId="19831F2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87.9%</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0A6CB610" w14:textId="123300C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73.7%</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tcPr>
          <w:p w14:paraId="079127EF" w14:textId="3A010CC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76.3%</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tcPr>
          <w:p w14:paraId="66B59E10" w14:textId="0116C95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80.1%</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tcPr>
          <w:p w14:paraId="607DCC63" w14:textId="7FDC52A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78.9%</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tcPr>
          <w:p w14:paraId="5516E67A" w14:textId="5BDB198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79.9%</w:t>
            </w:r>
          </w:p>
        </w:tc>
      </w:tr>
      <w:tr w:rsidR="00255A16" w:rsidRPr="0049778F" w14:paraId="6D82F1A9" w14:textId="77777777" w:rsidTr="00575EDC">
        <w:trPr>
          <w:trHeight w:val="52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67CEE8B1"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PCE-B</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07C1AED0"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Pharmacotherapy Management of COPD Exacerbation Bronchodilators</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C5C133E" w14:textId="0146022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35AF568" w14:textId="55254DA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85865A" w14:textId="63C85AB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247FEFEE" w14:textId="35786DC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90.0%</w:t>
            </w:r>
          </w:p>
        </w:tc>
        <w:tc>
          <w:tcPr>
            <w:tcW w:w="810" w:type="dxa"/>
            <w:tcBorders>
              <w:top w:val="nil"/>
              <w:left w:val="nil"/>
              <w:bottom w:val="single" w:sz="4" w:space="0" w:color="auto"/>
              <w:right w:val="single" w:sz="4" w:space="0" w:color="auto"/>
            </w:tcBorders>
            <w:shd w:val="clear" w:color="auto" w:fill="auto"/>
            <w:noWrap/>
            <w:vAlign w:val="center"/>
          </w:tcPr>
          <w:p w14:paraId="5B245101" w14:textId="65C4AFB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97.0%</w:t>
            </w:r>
          </w:p>
        </w:tc>
        <w:tc>
          <w:tcPr>
            <w:tcW w:w="810" w:type="dxa"/>
            <w:tcBorders>
              <w:top w:val="nil"/>
              <w:left w:val="nil"/>
              <w:bottom w:val="single" w:sz="4" w:space="0" w:color="auto"/>
              <w:right w:val="single" w:sz="4" w:space="0" w:color="auto"/>
            </w:tcBorders>
            <w:shd w:val="clear" w:color="auto" w:fill="auto"/>
            <w:noWrap/>
            <w:vAlign w:val="center"/>
          </w:tcPr>
          <w:p w14:paraId="1B448183" w14:textId="46903CE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94.2%</w:t>
            </w:r>
          </w:p>
        </w:tc>
        <w:tc>
          <w:tcPr>
            <w:tcW w:w="762" w:type="dxa"/>
            <w:tcBorders>
              <w:top w:val="nil"/>
              <w:left w:val="nil"/>
              <w:bottom w:val="single" w:sz="4" w:space="0" w:color="auto"/>
              <w:right w:val="single" w:sz="4" w:space="0" w:color="auto"/>
            </w:tcBorders>
            <w:shd w:val="clear" w:color="auto" w:fill="auto"/>
            <w:noWrap/>
            <w:vAlign w:val="center"/>
          </w:tcPr>
          <w:p w14:paraId="2E293284" w14:textId="1E77B51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84.0%</w:t>
            </w:r>
          </w:p>
        </w:tc>
        <w:tc>
          <w:tcPr>
            <w:tcW w:w="830" w:type="dxa"/>
            <w:tcBorders>
              <w:top w:val="nil"/>
              <w:left w:val="nil"/>
              <w:bottom w:val="single" w:sz="4" w:space="0" w:color="auto"/>
              <w:right w:val="single" w:sz="4" w:space="0" w:color="auto"/>
            </w:tcBorders>
            <w:shd w:val="clear" w:color="auto" w:fill="auto"/>
            <w:noWrap/>
            <w:vAlign w:val="center"/>
          </w:tcPr>
          <w:p w14:paraId="7D83C711" w14:textId="5DCA9AC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89.0%</w:t>
            </w:r>
          </w:p>
        </w:tc>
        <w:tc>
          <w:tcPr>
            <w:tcW w:w="856" w:type="dxa"/>
            <w:tcBorders>
              <w:top w:val="nil"/>
              <w:left w:val="nil"/>
              <w:bottom w:val="single" w:sz="4" w:space="0" w:color="auto"/>
              <w:right w:val="single" w:sz="4" w:space="0" w:color="auto"/>
            </w:tcBorders>
            <w:shd w:val="clear" w:color="auto" w:fill="auto"/>
            <w:noWrap/>
            <w:vAlign w:val="center"/>
          </w:tcPr>
          <w:p w14:paraId="4378E491" w14:textId="1E8C13E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88.6%</w:t>
            </w:r>
          </w:p>
        </w:tc>
        <w:tc>
          <w:tcPr>
            <w:tcW w:w="1004" w:type="dxa"/>
            <w:tcBorders>
              <w:top w:val="nil"/>
              <w:left w:val="nil"/>
              <w:bottom w:val="single" w:sz="4" w:space="0" w:color="auto"/>
              <w:right w:val="double" w:sz="6" w:space="0" w:color="auto"/>
            </w:tcBorders>
            <w:shd w:val="clear" w:color="auto" w:fill="auto"/>
            <w:noWrap/>
            <w:vAlign w:val="center"/>
          </w:tcPr>
          <w:p w14:paraId="0FE55F3A" w14:textId="01AAE34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91.2%</w:t>
            </w:r>
          </w:p>
        </w:tc>
      </w:tr>
      <w:tr w:rsidR="00AF4022" w:rsidRPr="0049778F" w14:paraId="5838898F" w14:textId="77777777" w:rsidTr="00575EDC">
        <w:trPr>
          <w:trHeight w:val="168"/>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537DC612"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SPR</w:t>
            </w: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1B248D1D"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Use of Spirometry Testing in the Assessment and Diagnosis of COPD</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4464C94" w14:textId="6A7F8C9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F4A8B2" w14:textId="6540704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FF8BA2F" w14:textId="344F80B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nil"/>
            </w:tcBorders>
            <w:shd w:val="clear" w:color="auto" w:fill="F2F2F2" w:themeFill="background1" w:themeFillShade="F2"/>
            <w:noWrap/>
            <w:vAlign w:val="center"/>
          </w:tcPr>
          <w:p w14:paraId="040B914B" w14:textId="690AD64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27.4%</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4AD1933B" w14:textId="5FCC740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650A25FC" w14:textId="418B4C5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28.6%</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tcPr>
          <w:p w14:paraId="51600F6F" w14:textId="17FD6B3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22.7%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tcPr>
          <w:p w14:paraId="6D3CFBD3" w14:textId="7008131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24.5%</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tcPr>
          <w:p w14:paraId="5795BA13" w14:textId="00D17D4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36.7%</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tcPr>
          <w:p w14:paraId="26103E73" w14:textId="7FC0B6EE"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29.6%</w:t>
            </w:r>
          </w:p>
        </w:tc>
      </w:tr>
      <w:tr w:rsidR="00255A16" w:rsidRPr="0049778F" w14:paraId="3D0EE5E4"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05C7A1E4"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TRC</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569A50BD" w14:textId="7C0A6C65" w:rsidR="00C06573" w:rsidRPr="0049778F" w:rsidRDefault="00C06573" w:rsidP="00C06573">
            <w:pPr>
              <w:spacing w:after="0"/>
              <w:rPr>
                <w:rFonts w:eastAsia="Times New Roman" w:cs="Calibri"/>
                <w:sz w:val="18"/>
                <w:szCs w:val="18"/>
              </w:rPr>
            </w:pPr>
            <w:r w:rsidRPr="0049778F">
              <w:rPr>
                <w:rFonts w:eastAsia="Times New Roman" w:cs="Calibri"/>
                <w:sz w:val="18"/>
                <w:szCs w:val="18"/>
              </w:rPr>
              <w:t>Transitions of Care: Medication Reconciliation Post Discharge</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918433D" w14:textId="124A2FA8"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2D88089" w14:textId="48093FE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6C7C789" w14:textId="0D366A4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293E9C5A" w14:textId="17F08E0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65.9%</w:t>
            </w:r>
          </w:p>
        </w:tc>
        <w:tc>
          <w:tcPr>
            <w:tcW w:w="810" w:type="dxa"/>
            <w:tcBorders>
              <w:top w:val="nil"/>
              <w:left w:val="nil"/>
              <w:bottom w:val="single" w:sz="4" w:space="0" w:color="auto"/>
              <w:right w:val="single" w:sz="4" w:space="0" w:color="auto"/>
            </w:tcBorders>
            <w:shd w:val="clear" w:color="auto" w:fill="auto"/>
            <w:noWrap/>
            <w:vAlign w:val="center"/>
          </w:tcPr>
          <w:p w14:paraId="6200EA68" w14:textId="01F4531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73.7%</w:t>
            </w:r>
          </w:p>
        </w:tc>
        <w:tc>
          <w:tcPr>
            <w:tcW w:w="810" w:type="dxa"/>
            <w:tcBorders>
              <w:top w:val="nil"/>
              <w:left w:val="nil"/>
              <w:bottom w:val="single" w:sz="4" w:space="0" w:color="auto"/>
              <w:right w:val="single" w:sz="4" w:space="0" w:color="auto"/>
            </w:tcBorders>
            <w:shd w:val="clear" w:color="auto" w:fill="auto"/>
            <w:noWrap/>
            <w:vAlign w:val="center"/>
          </w:tcPr>
          <w:p w14:paraId="582D7D15" w14:textId="357D8A2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70.8%</w:t>
            </w:r>
          </w:p>
        </w:tc>
        <w:tc>
          <w:tcPr>
            <w:tcW w:w="762" w:type="dxa"/>
            <w:tcBorders>
              <w:top w:val="nil"/>
              <w:left w:val="nil"/>
              <w:bottom w:val="single" w:sz="4" w:space="0" w:color="auto"/>
              <w:right w:val="single" w:sz="4" w:space="0" w:color="auto"/>
            </w:tcBorders>
            <w:shd w:val="clear" w:color="auto" w:fill="auto"/>
            <w:noWrap/>
            <w:vAlign w:val="center"/>
          </w:tcPr>
          <w:p w14:paraId="64247EA5" w14:textId="49EBC75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87.0%</w:t>
            </w:r>
          </w:p>
        </w:tc>
        <w:tc>
          <w:tcPr>
            <w:tcW w:w="830" w:type="dxa"/>
            <w:tcBorders>
              <w:top w:val="nil"/>
              <w:left w:val="nil"/>
              <w:bottom w:val="single" w:sz="4" w:space="0" w:color="auto"/>
              <w:right w:val="single" w:sz="4" w:space="0" w:color="auto"/>
            </w:tcBorders>
            <w:shd w:val="clear" w:color="auto" w:fill="auto"/>
            <w:noWrap/>
            <w:vAlign w:val="center"/>
          </w:tcPr>
          <w:p w14:paraId="671B6EFC" w14:textId="500AD7D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69.3%</w:t>
            </w:r>
          </w:p>
        </w:tc>
        <w:tc>
          <w:tcPr>
            <w:tcW w:w="856" w:type="dxa"/>
            <w:tcBorders>
              <w:top w:val="nil"/>
              <w:left w:val="nil"/>
              <w:bottom w:val="single" w:sz="4" w:space="0" w:color="auto"/>
              <w:right w:val="single" w:sz="4" w:space="0" w:color="auto"/>
            </w:tcBorders>
            <w:shd w:val="clear" w:color="auto" w:fill="auto"/>
            <w:noWrap/>
            <w:vAlign w:val="center"/>
          </w:tcPr>
          <w:p w14:paraId="227D9ABB" w14:textId="62758EC6"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59.4%</w:t>
            </w:r>
          </w:p>
        </w:tc>
        <w:tc>
          <w:tcPr>
            <w:tcW w:w="1004" w:type="dxa"/>
            <w:tcBorders>
              <w:top w:val="nil"/>
              <w:left w:val="nil"/>
              <w:bottom w:val="single" w:sz="4" w:space="0" w:color="auto"/>
              <w:right w:val="double" w:sz="6" w:space="0" w:color="auto"/>
            </w:tcBorders>
            <w:shd w:val="clear" w:color="auto" w:fill="auto"/>
            <w:noWrap/>
            <w:vAlign w:val="center"/>
          </w:tcPr>
          <w:p w14:paraId="47A5C1F6" w14:textId="5354E80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53.5%</w:t>
            </w:r>
          </w:p>
        </w:tc>
      </w:tr>
      <w:tr w:rsidR="00AF4022" w:rsidRPr="0049778F" w14:paraId="0B433E54"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7F962867"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OMW</w:t>
            </w: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3E98E9AF"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Osteoporosis Management in Women Who Had a Fracture</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B49B891" w14:textId="53D14B9C"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63A4BEC" w14:textId="20256D70"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57F6DE2" w14:textId="08B06B0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4A74614" w14:textId="730790E2"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38.5%</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14:paraId="403831FA" w14:textId="044E330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14:paraId="46E20CF3" w14:textId="47085003"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43.2%</w:t>
            </w:r>
          </w:p>
        </w:tc>
        <w:tc>
          <w:tcPr>
            <w:tcW w:w="762" w:type="dxa"/>
            <w:tcBorders>
              <w:top w:val="nil"/>
              <w:left w:val="nil"/>
              <w:bottom w:val="single" w:sz="4" w:space="0" w:color="auto"/>
              <w:right w:val="single" w:sz="4" w:space="0" w:color="auto"/>
            </w:tcBorders>
            <w:shd w:val="clear" w:color="auto" w:fill="F2F2F2" w:themeFill="background1" w:themeFillShade="F2"/>
            <w:noWrap/>
            <w:vAlign w:val="center"/>
          </w:tcPr>
          <w:p w14:paraId="6917AAE7" w14:textId="24F24CF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tcPr>
          <w:p w14:paraId="4C045DF2" w14:textId="7E7FA3AD"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21.7%</w:t>
            </w:r>
          </w:p>
        </w:tc>
        <w:tc>
          <w:tcPr>
            <w:tcW w:w="856" w:type="dxa"/>
            <w:tcBorders>
              <w:top w:val="nil"/>
              <w:left w:val="nil"/>
              <w:bottom w:val="single" w:sz="4" w:space="0" w:color="auto"/>
              <w:right w:val="single" w:sz="4" w:space="0" w:color="auto"/>
            </w:tcBorders>
            <w:shd w:val="clear" w:color="auto" w:fill="F2F2F2" w:themeFill="background1" w:themeFillShade="F2"/>
            <w:noWrap/>
            <w:vAlign w:val="center"/>
          </w:tcPr>
          <w:p w14:paraId="5E94FAAF" w14:textId="01B71F0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NA</w:t>
            </w:r>
          </w:p>
        </w:tc>
        <w:tc>
          <w:tcPr>
            <w:tcW w:w="1004" w:type="dxa"/>
            <w:tcBorders>
              <w:top w:val="nil"/>
              <w:left w:val="nil"/>
              <w:bottom w:val="single" w:sz="4" w:space="0" w:color="auto"/>
              <w:right w:val="double" w:sz="6" w:space="0" w:color="auto"/>
            </w:tcBorders>
            <w:shd w:val="clear" w:color="auto" w:fill="F2F2F2" w:themeFill="background1" w:themeFillShade="F2"/>
            <w:noWrap/>
            <w:vAlign w:val="center"/>
          </w:tcPr>
          <w:p w14:paraId="1461E963" w14:textId="692E410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42.6%</w:t>
            </w:r>
          </w:p>
        </w:tc>
      </w:tr>
      <w:tr w:rsidR="00255A16" w:rsidRPr="0049778F" w14:paraId="4DC405A7"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hideMark/>
          </w:tcPr>
          <w:p w14:paraId="2DBADB4F" w14:textId="77777777" w:rsidR="00C06573" w:rsidRPr="0049778F" w:rsidRDefault="00C06573" w:rsidP="00C06573">
            <w:pPr>
              <w:spacing w:after="0"/>
              <w:jc w:val="center"/>
              <w:rPr>
                <w:rFonts w:eastAsia="Times New Roman" w:cs="Calibri"/>
                <w:color w:val="000000"/>
                <w:sz w:val="18"/>
                <w:szCs w:val="18"/>
              </w:rPr>
            </w:pPr>
            <w:r w:rsidRPr="0049778F">
              <w:rPr>
                <w:rFonts w:eastAsia="Times New Roman" w:cs="Calibri"/>
                <w:color w:val="000000"/>
                <w:sz w:val="18"/>
                <w:szCs w:val="18"/>
              </w:rPr>
              <w:t>FVO NQF0041</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747C216A" w14:textId="77777777" w:rsidR="00C06573" w:rsidRPr="0049778F" w:rsidRDefault="00C06573" w:rsidP="00C06573">
            <w:pPr>
              <w:spacing w:after="0"/>
              <w:rPr>
                <w:rFonts w:eastAsia="Times New Roman" w:cs="Calibri"/>
                <w:sz w:val="18"/>
                <w:szCs w:val="18"/>
              </w:rPr>
            </w:pPr>
            <w:r w:rsidRPr="0049778F">
              <w:rPr>
                <w:rFonts w:eastAsia="Times New Roman" w:cs="Calibri"/>
                <w:sz w:val="18"/>
                <w:szCs w:val="18"/>
              </w:rPr>
              <w:t>Influenza Immunization (age 65+)</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91AD6CB" w14:textId="68A93145"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5AF0A2D" w14:textId="0BE55AB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72657C8" w14:textId="6B5E29E7"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7502822C" w14:textId="749D92A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14:paraId="7C48CF1C" w14:textId="7B1A25F1"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center"/>
          </w:tcPr>
          <w:p w14:paraId="103E7291" w14:textId="57F05F5F"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762" w:type="dxa"/>
            <w:tcBorders>
              <w:top w:val="nil"/>
              <w:left w:val="nil"/>
              <w:bottom w:val="single" w:sz="4" w:space="0" w:color="auto"/>
              <w:right w:val="single" w:sz="4" w:space="0" w:color="auto"/>
            </w:tcBorders>
            <w:shd w:val="clear" w:color="auto" w:fill="auto"/>
            <w:noWrap/>
            <w:vAlign w:val="center"/>
          </w:tcPr>
          <w:p w14:paraId="46BDCEDC" w14:textId="5DA27164"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tcPr>
          <w:p w14:paraId="7AB5B1DF" w14:textId="573F168B"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856" w:type="dxa"/>
            <w:tcBorders>
              <w:top w:val="nil"/>
              <w:left w:val="nil"/>
              <w:bottom w:val="single" w:sz="4" w:space="0" w:color="auto"/>
              <w:right w:val="single" w:sz="4" w:space="0" w:color="auto"/>
            </w:tcBorders>
            <w:shd w:val="clear" w:color="auto" w:fill="auto"/>
            <w:noWrap/>
            <w:vAlign w:val="center"/>
          </w:tcPr>
          <w:p w14:paraId="2775C40E" w14:textId="73355951"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c>
          <w:tcPr>
            <w:tcW w:w="1004" w:type="dxa"/>
            <w:tcBorders>
              <w:top w:val="nil"/>
              <w:left w:val="nil"/>
              <w:bottom w:val="single" w:sz="4" w:space="0" w:color="auto"/>
              <w:right w:val="double" w:sz="6" w:space="0" w:color="auto"/>
            </w:tcBorders>
            <w:shd w:val="clear" w:color="auto" w:fill="auto"/>
            <w:noWrap/>
            <w:vAlign w:val="center"/>
          </w:tcPr>
          <w:p w14:paraId="6BEF134B" w14:textId="6CE56C19" w:rsidR="00C06573" w:rsidRPr="0049778F" w:rsidRDefault="00C06573" w:rsidP="00C06573">
            <w:pPr>
              <w:spacing w:after="0"/>
              <w:jc w:val="center"/>
              <w:rPr>
                <w:rFonts w:eastAsia="Times New Roman" w:cs="Calibri"/>
                <w:color w:val="000000"/>
                <w:sz w:val="18"/>
                <w:szCs w:val="18"/>
              </w:rPr>
            </w:pPr>
            <w:r w:rsidRPr="0049778F">
              <w:rPr>
                <w:rFonts w:cs="Calibri"/>
                <w:color w:val="000000"/>
                <w:sz w:val="18"/>
                <w:szCs w:val="18"/>
              </w:rPr>
              <w:t>--</w:t>
            </w:r>
          </w:p>
        </w:tc>
      </w:tr>
      <w:tr w:rsidR="00AF4022" w:rsidRPr="0049778F" w14:paraId="6DC952D0" w14:textId="77777777" w:rsidTr="00575EDC">
        <w:trPr>
          <w:trHeight w:val="267"/>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tcPr>
          <w:tbl>
            <w:tblPr>
              <w:tblW w:w="7300" w:type="dxa"/>
              <w:tblLayout w:type="fixed"/>
              <w:tblLook w:val="04A0" w:firstRow="1" w:lastRow="0" w:firstColumn="1" w:lastColumn="0" w:noHBand="0" w:noVBand="1"/>
            </w:tblPr>
            <w:tblGrid>
              <w:gridCol w:w="1456"/>
              <w:gridCol w:w="5844"/>
            </w:tblGrid>
            <w:tr w:rsidR="00762BFC" w:rsidRPr="0079077A" w14:paraId="5513075D" w14:textId="77777777" w:rsidTr="0079077A">
              <w:trPr>
                <w:trHeight w:val="300"/>
              </w:trPr>
              <w:tc>
                <w:tcPr>
                  <w:tcW w:w="1456" w:type="dxa"/>
                  <w:tcBorders>
                    <w:top w:val="nil"/>
                    <w:left w:val="nil"/>
                    <w:bottom w:val="nil"/>
                    <w:right w:val="nil"/>
                  </w:tcBorders>
                  <w:shd w:val="clear" w:color="auto" w:fill="auto"/>
                  <w:noWrap/>
                  <w:hideMark/>
                </w:tcPr>
                <w:p w14:paraId="4415A99A" w14:textId="77777777" w:rsidR="00762BFC" w:rsidRPr="0079077A" w:rsidRDefault="00762BFC" w:rsidP="00762BFC">
                  <w:pPr>
                    <w:spacing w:after="0"/>
                    <w:jc w:val="center"/>
                    <w:rPr>
                      <w:rFonts w:eastAsia="Times New Roman" w:cs="Calibri"/>
                      <w:color w:val="000000"/>
                      <w:sz w:val="18"/>
                      <w:szCs w:val="18"/>
                    </w:rPr>
                  </w:pPr>
                  <w:r w:rsidRPr="0079077A">
                    <w:rPr>
                      <w:rFonts w:eastAsia="Times New Roman" w:cs="Calibri"/>
                      <w:color w:val="000000"/>
                      <w:sz w:val="18"/>
                      <w:szCs w:val="18"/>
                    </w:rPr>
                    <w:t>CMS127v9</w:t>
                  </w:r>
                </w:p>
              </w:tc>
              <w:tc>
                <w:tcPr>
                  <w:tcW w:w="5844" w:type="dxa"/>
                  <w:tcBorders>
                    <w:top w:val="nil"/>
                    <w:left w:val="nil"/>
                    <w:bottom w:val="nil"/>
                    <w:right w:val="nil"/>
                  </w:tcBorders>
                  <w:shd w:val="clear" w:color="auto" w:fill="auto"/>
                  <w:hideMark/>
                </w:tcPr>
                <w:p w14:paraId="0E184B72" w14:textId="77777777" w:rsidR="00762BFC" w:rsidRPr="0079077A" w:rsidRDefault="00762BFC" w:rsidP="00762BFC">
                  <w:pPr>
                    <w:spacing w:after="0"/>
                    <w:rPr>
                      <w:rFonts w:eastAsia="Times New Roman" w:cs="Calibri"/>
                      <w:sz w:val="18"/>
                      <w:szCs w:val="18"/>
                    </w:rPr>
                  </w:pPr>
                  <w:r w:rsidRPr="0079077A">
                    <w:rPr>
                      <w:rFonts w:eastAsia="Times New Roman" w:cs="Calibri"/>
                      <w:sz w:val="18"/>
                      <w:szCs w:val="18"/>
                    </w:rPr>
                    <w:t>Pneumococcal Immunization</w:t>
                  </w:r>
                </w:p>
              </w:tc>
            </w:tr>
          </w:tbl>
          <w:p w14:paraId="0190EFD9" w14:textId="77777777" w:rsidR="00762BFC" w:rsidRPr="0049778F" w:rsidRDefault="00762BFC" w:rsidP="00762BFC">
            <w:pPr>
              <w:spacing w:after="0"/>
              <w:jc w:val="center"/>
              <w:rPr>
                <w:rFonts w:eastAsia="Times New Roman" w:cs="Calibri"/>
                <w:color w:val="000000"/>
                <w:sz w:val="18"/>
                <w:szCs w:val="18"/>
              </w:rPr>
            </w:pP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304E1221" w14:textId="41ABCC93" w:rsidR="00762BFC" w:rsidRPr="006347D4" w:rsidRDefault="00762BFC" w:rsidP="006347D4">
            <w:pPr>
              <w:rPr>
                <w:rFonts w:eastAsia="Times New Roman" w:cs="Calibri"/>
                <w:sz w:val="18"/>
                <w:szCs w:val="18"/>
              </w:rPr>
            </w:pPr>
            <w:r w:rsidRPr="0049778F">
              <w:rPr>
                <w:rFonts w:cs="Calibri"/>
                <w:sz w:val="18"/>
                <w:szCs w:val="18"/>
              </w:rPr>
              <w:t>Pneumococcal Immunization</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E1A3B9B" w14:textId="77777777" w:rsidR="00762BFC" w:rsidRPr="0049778F" w:rsidRDefault="00762BFC" w:rsidP="00762BFC">
            <w:pPr>
              <w:spacing w:after="0"/>
              <w:jc w:val="center"/>
              <w:rPr>
                <w:rFonts w:cs="Calibri"/>
                <w:color w:val="000000"/>
                <w:sz w:val="18"/>
                <w:szCs w:val="18"/>
              </w:rPr>
            </w:pP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F6D7075" w14:textId="77777777" w:rsidR="00762BFC" w:rsidRPr="0049778F" w:rsidRDefault="00762BFC" w:rsidP="00762BFC">
            <w:pPr>
              <w:spacing w:after="0"/>
              <w:jc w:val="center"/>
              <w:rPr>
                <w:rFonts w:cs="Calibri"/>
                <w:color w:val="000000"/>
                <w:sz w:val="18"/>
                <w:szCs w:val="18"/>
              </w:rPr>
            </w:pP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47FEAB4" w14:textId="77777777" w:rsidR="00762BFC" w:rsidRPr="0049778F" w:rsidRDefault="00762BFC" w:rsidP="00762BFC">
            <w:pPr>
              <w:spacing w:after="0"/>
              <w:jc w:val="center"/>
              <w:rPr>
                <w:rFonts w:cs="Calibri"/>
                <w:color w:val="000000"/>
                <w:sz w:val="18"/>
                <w:szCs w:val="18"/>
              </w:rPr>
            </w:pPr>
          </w:p>
        </w:tc>
        <w:tc>
          <w:tcPr>
            <w:tcW w:w="900" w:type="dxa"/>
            <w:tcBorders>
              <w:top w:val="nil"/>
              <w:left w:val="single" w:sz="4" w:space="0" w:color="auto"/>
              <w:bottom w:val="single" w:sz="4" w:space="0" w:color="auto"/>
              <w:right w:val="nil"/>
            </w:tcBorders>
            <w:shd w:val="clear" w:color="auto" w:fill="F2F2F2" w:themeFill="background1" w:themeFillShade="F2"/>
            <w:noWrap/>
            <w:vAlign w:val="center"/>
          </w:tcPr>
          <w:p w14:paraId="6A5BF00D" w14:textId="09F86372"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64151BE1" w14:textId="759EDF09"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810" w:type="dxa"/>
            <w:tcBorders>
              <w:top w:val="nil"/>
              <w:left w:val="single" w:sz="4" w:space="0" w:color="auto"/>
              <w:bottom w:val="single" w:sz="4" w:space="0" w:color="auto"/>
              <w:right w:val="nil"/>
            </w:tcBorders>
            <w:shd w:val="clear" w:color="auto" w:fill="F2F2F2" w:themeFill="background1" w:themeFillShade="F2"/>
            <w:noWrap/>
            <w:vAlign w:val="center"/>
          </w:tcPr>
          <w:p w14:paraId="18DB7BEE" w14:textId="1610BDF3"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762" w:type="dxa"/>
            <w:tcBorders>
              <w:top w:val="nil"/>
              <w:left w:val="single" w:sz="4" w:space="0" w:color="auto"/>
              <w:bottom w:val="single" w:sz="4" w:space="0" w:color="auto"/>
              <w:right w:val="nil"/>
            </w:tcBorders>
            <w:shd w:val="clear" w:color="auto" w:fill="F2F2F2" w:themeFill="background1" w:themeFillShade="F2"/>
            <w:noWrap/>
            <w:vAlign w:val="center"/>
          </w:tcPr>
          <w:p w14:paraId="372E103C" w14:textId="7B668477"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tcPr>
          <w:p w14:paraId="7D319F2A" w14:textId="19C92317"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856" w:type="dxa"/>
            <w:tcBorders>
              <w:top w:val="nil"/>
              <w:left w:val="single" w:sz="4" w:space="0" w:color="auto"/>
              <w:bottom w:val="single" w:sz="4" w:space="0" w:color="auto"/>
              <w:right w:val="nil"/>
            </w:tcBorders>
            <w:shd w:val="clear" w:color="auto" w:fill="F2F2F2" w:themeFill="background1" w:themeFillShade="F2"/>
            <w:noWrap/>
            <w:vAlign w:val="center"/>
          </w:tcPr>
          <w:p w14:paraId="73B4187F" w14:textId="2FC48F21"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c>
          <w:tcPr>
            <w:tcW w:w="1004" w:type="dxa"/>
            <w:tcBorders>
              <w:top w:val="nil"/>
              <w:left w:val="single" w:sz="4" w:space="0" w:color="auto"/>
              <w:bottom w:val="single" w:sz="4" w:space="0" w:color="auto"/>
              <w:right w:val="double" w:sz="6" w:space="0" w:color="auto"/>
            </w:tcBorders>
            <w:shd w:val="clear" w:color="auto" w:fill="F2F2F2" w:themeFill="background1" w:themeFillShade="F2"/>
            <w:noWrap/>
            <w:vAlign w:val="center"/>
          </w:tcPr>
          <w:p w14:paraId="5F1CC548" w14:textId="64E33A3A" w:rsidR="00762BFC" w:rsidRPr="0049778F" w:rsidRDefault="00762BFC" w:rsidP="00762BFC">
            <w:pPr>
              <w:spacing w:after="0"/>
              <w:jc w:val="center"/>
              <w:rPr>
                <w:rFonts w:cs="Calibri"/>
                <w:color w:val="000000"/>
                <w:sz w:val="18"/>
                <w:szCs w:val="18"/>
              </w:rPr>
            </w:pPr>
            <w:r w:rsidRPr="0049778F">
              <w:rPr>
                <w:rFonts w:cs="Calibri"/>
                <w:color w:val="000000"/>
                <w:sz w:val="18"/>
                <w:szCs w:val="18"/>
              </w:rPr>
              <w:t>--</w:t>
            </w:r>
          </w:p>
        </w:tc>
      </w:tr>
      <w:tr w:rsidR="00255A16" w:rsidRPr="0049778F" w14:paraId="33C4DB50" w14:textId="77777777" w:rsidTr="00575EDC">
        <w:trPr>
          <w:trHeight w:val="52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7EB9EAF0"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lastRenderedPageBreak/>
              <w:t>DDE</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3D76EB27"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Potentially Harmful Drug Disease Interactions in the Elderly (total) (lower rate is better)</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6281BA6" w14:textId="3870EBE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BB97909" w14:textId="5F17ABD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5651DEB" w14:textId="2A28B259"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nil"/>
            </w:tcBorders>
            <w:shd w:val="clear" w:color="auto" w:fill="auto"/>
            <w:noWrap/>
            <w:vAlign w:val="center"/>
          </w:tcPr>
          <w:p w14:paraId="03399D70" w14:textId="682B8997"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46.1%</w:t>
            </w:r>
          </w:p>
        </w:tc>
        <w:tc>
          <w:tcPr>
            <w:tcW w:w="810" w:type="dxa"/>
            <w:tcBorders>
              <w:top w:val="nil"/>
              <w:left w:val="single" w:sz="4" w:space="0" w:color="auto"/>
              <w:bottom w:val="single" w:sz="4" w:space="0" w:color="auto"/>
              <w:right w:val="nil"/>
            </w:tcBorders>
            <w:shd w:val="clear" w:color="auto" w:fill="auto"/>
            <w:noWrap/>
            <w:vAlign w:val="center"/>
          </w:tcPr>
          <w:p w14:paraId="545975BA" w14:textId="6599265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nil"/>
              <w:left w:val="single" w:sz="4" w:space="0" w:color="auto"/>
              <w:bottom w:val="single" w:sz="4" w:space="0" w:color="auto"/>
              <w:right w:val="nil"/>
            </w:tcBorders>
            <w:shd w:val="clear" w:color="auto" w:fill="auto"/>
            <w:noWrap/>
            <w:vAlign w:val="center"/>
          </w:tcPr>
          <w:p w14:paraId="07064894" w14:textId="1E08668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45.8%</w:t>
            </w:r>
          </w:p>
        </w:tc>
        <w:tc>
          <w:tcPr>
            <w:tcW w:w="762" w:type="dxa"/>
            <w:tcBorders>
              <w:top w:val="nil"/>
              <w:left w:val="single" w:sz="4" w:space="0" w:color="auto"/>
              <w:bottom w:val="single" w:sz="4" w:space="0" w:color="auto"/>
              <w:right w:val="nil"/>
            </w:tcBorders>
            <w:shd w:val="clear" w:color="auto" w:fill="auto"/>
            <w:noWrap/>
            <w:vAlign w:val="center"/>
          </w:tcPr>
          <w:p w14:paraId="171AFE61" w14:textId="5102D221"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52.3%</w:t>
            </w:r>
          </w:p>
        </w:tc>
        <w:tc>
          <w:tcPr>
            <w:tcW w:w="830" w:type="dxa"/>
            <w:tcBorders>
              <w:top w:val="nil"/>
              <w:left w:val="single" w:sz="4" w:space="0" w:color="auto"/>
              <w:bottom w:val="single" w:sz="4" w:space="0" w:color="auto"/>
              <w:right w:val="nil"/>
            </w:tcBorders>
            <w:shd w:val="clear" w:color="auto" w:fill="auto"/>
            <w:noWrap/>
            <w:vAlign w:val="center"/>
          </w:tcPr>
          <w:p w14:paraId="019D93F4" w14:textId="759B59F1"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44.9%</w:t>
            </w:r>
          </w:p>
        </w:tc>
        <w:tc>
          <w:tcPr>
            <w:tcW w:w="856" w:type="dxa"/>
            <w:tcBorders>
              <w:top w:val="nil"/>
              <w:left w:val="single" w:sz="4" w:space="0" w:color="auto"/>
              <w:bottom w:val="single" w:sz="4" w:space="0" w:color="auto"/>
              <w:right w:val="nil"/>
            </w:tcBorders>
            <w:shd w:val="clear" w:color="auto" w:fill="auto"/>
            <w:noWrap/>
            <w:vAlign w:val="center"/>
          </w:tcPr>
          <w:p w14:paraId="15419A69" w14:textId="30DB5774"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47.1%</w:t>
            </w:r>
          </w:p>
        </w:tc>
        <w:tc>
          <w:tcPr>
            <w:tcW w:w="1004" w:type="dxa"/>
            <w:tcBorders>
              <w:top w:val="nil"/>
              <w:left w:val="single" w:sz="4" w:space="0" w:color="auto"/>
              <w:bottom w:val="single" w:sz="4" w:space="0" w:color="auto"/>
              <w:right w:val="double" w:sz="6" w:space="0" w:color="auto"/>
            </w:tcBorders>
            <w:shd w:val="clear" w:color="auto" w:fill="auto"/>
            <w:noWrap/>
            <w:vAlign w:val="center"/>
          </w:tcPr>
          <w:p w14:paraId="10CD6C6A" w14:textId="24AA60A5"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44.8%</w:t>
            </w:r>
          </w:p>
        </w:tc>
      </w:tr>
      <w:tr w:rsidR="00AF4022" w:rsidRPr="0049778F" w14:paraId="5EC01009"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221E621F"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DAE-1Rx</w:t>
            </w:r>
          </w:p>
        </w:tc>
        <w:tc>
          <w:tcPr>
            <w:tcW w:w="6379"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02A6F720"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One RX</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A6336C4" w14:textId="0E0A99E1"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B38DEE0" w14:textId="47BE029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CB0C1F" w14:textId="5F770B83"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B9CC572" w14:textId="3AF8977B"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21.2%</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14:paraId="784F8B7D" w14:textId="15FD52B1"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19.5%</w:t>
            </w:r>
          </w:p>
        </w:tc>
        <w:tc>
          <w:tcPr>
            <w:tcW w:w="810" w:type="dxa"/>
            <w:tcBorders>
              <w:top w:val="nil"/>
              <w:left w:val="nil"/>
              <w:bottom w:val="single" w:sz="4" w:space="0" w:color="auto"/>
              <w:right w:val="single" w:sz="4" w:space="0" w:color="auto"/>
            </w:tcBorders>
            <w:shd w:val="clear" w:color="auto" w:fill="F2F2F2" w:themeFill="background1" w:themeFillShade="F2"/>
            <w:noWrap/>
            <w:vAlign w:val="center"/>
          </w:tcPr>
          <w:p w14:paraId="1EA73BF7" w14:textId="466BCBA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19.6%</w:t>
            </w:r>
          </w:p>
        </w:tc>
        <w:tc>
          <w:tcPr>
            <w:tcW w:w="762" w:type="dxa"/>
            <w:tcBorders>
              <w:top w:val="nil"/>
              <w:left w:val="nil"/>
              <w:bottom w:val="single" w:sz="4" w:space="0" w:color="auto"/>
              <w:right w:val="single" w:sz="4" w:space="0" w:color="auto"/>
            </w:tcBorders>
            <w:shd w:val="clear" w:color="auto" w:fill="F2F2F2" w:themeFill="background1" w:themeFillShade="F2"/>
            <w:noWrap/>
            <w:vAlign w:val="center"/>
          </w:tcPr>
          <w:p w14:paraId="10B42875" w14:textId="4D0270B3"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23.8%</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tcPr>
          <w:p w14:paraId="6A80CD0B" w14:textId="2FED3FFE"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20.4%</w:t>
            </w:r>
          </w:p>
        </w:tc>
        <w:tc>
          <w:tcPr>
            <w:tcW w:w="856" w:type="dxa"/>
            <w:tcBorders>
              <w:top w:val="nil"/>
              <w:left w:val="nil"/>
              <w:bottom w:val="single" w:sz="4" w:space="0" w:color="auto"/>
              <w:right w:val="single" w:sz="4" w:space="0" w:color="auto"/>
            </w:tcBorders>
            <w:shd w:val="clear" w:color="auto" w:fill="F2F2F2" w:themeFill="background1" w:themeFillShade="F2"/>
            <w:noWrap/>
            <w:vAlign w:val="center"/>
          </w:tcPr>
          <w:p w14:paraId="6A471634" w14:textId="55661F96"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17.2%</w:t>
            </w:r>
          </w:p>
        </w:tc>
        <w:tc>
          <w:tcPr>
            <w:tcW w:w="1004" w:type="dxa"/>
            <w:tcBorders>
              <w:top w:val="nil"/>
              <w:left w:val="nil"/>
              <w:bottom w:val="single" w:sz="4" w:space="0" w:color="auto"/>
              <w:right w:val="double" w:sz="6" w:space="0" w:color="auto"/>
            </w:tcBorders>
            <w:shd w:val="clear" w:color="auto" w:fill="F2F2F2" w:themeFill="background1" w:themeFillShade="F2"/>
            <w:noWrap/>
            <w:vAlign w:val="center"/>
          </w:tcPr>
          <w:p w14:paraId="442BC8B8" w14:textId="485BAAD8"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22.7%</w:t>
            </w:r>
          </w:p>
        </w:tc>
      </w:tr>
      <w:tr w:rsidR="00255A16" w:rsidRPr="0049778F" w14:paraId="2E5CB413" w14:textId="77777777" w:rsidTr="00575EDC">
        <w:trPr>
          <w:trHeight w:val="290"/>
          <w:jc w:val="center"/>
        </w:trPr>
        <w:tc>
          <w:tcPr>
            <w:tcW w:w="1451" w:type="dxa"/>
            <w:tcBorders>
              <w:top w:val="single" w:sz="12" w:space="0" w:color="auto"/>
              <w:left w:val="double" w:sz="6" w:space="0" w:color="auto"/>
              <w:bottom w:val="single" w:sz="12" w:space="0" w:color="auto"/>
              <w:right w:val="single" w:sz="12" w:space="0" w:color="auto"/>
            </w:tcBorders>
            <w:shd w:val="clear" w:color="auto" w:fill="auto"/>
            <w:noWrap/>
            <w:hideMark/>
          </w:tcPr>
          <w:p w14:paraId="09341745"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DAE-2Rx</w:t>
            </w:r>
          </w:p>
        </w:tc>
        <w:tc>
          <w:tcPr>
            <w:tcW w:w="6379" w:type="dxa"/>
            <w:tcBorders>
              <w:top w:val="single" w:sz="12" w:space="0" w:color="auto"/>
              <w:left w:val="single" w:sz="12" w:space="0" w:color="auto"/>
              <w:bottom w:val="single" w:sz="12" w:space="0" w:color="auto"/>
              <w:right w:val="single" w:sz="4" w:space="0" w:color="auto"/>
            </w:tcBorders>
            <w:shd w:val="clear" w:color="auto" w:fill="auto"/>
            <w:hideMark/>
          </w:tcPr>
          <w:p w14:paraId="2E6D580E"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Two RX</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3D7EE73" w14:textId="5A6210A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DE371B0" w14:textId="7F2506C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98D6AD2" w14:textId="4A8281D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6147B3C2" w14:textId="03AC763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16.0%</w:t>
            </w:r>
          </w:p>
        </w:tc>
        <w:tc>
          <w:tcPr>
            <w:tcW w:w="810" w:type="dxa"/>
            <w:tcBorders>
              <w:top w:val="nil"/>
              <w:left w:val="nil"/>
              <w:bottom w:val="single" w:sz="4" w:space="0" w:color="auto"/>
              <w:right w:val="single" w:sz="4" w:space="0" w:color="auto"/>
            </w:tcBorders>
            <w:shd w:val="clear" w:color="auto" w:fill="auto"/>
            <w:noWrap/>
            <w:vAlign w:val="center"/>
          </w:tcPr>
          <w:p w14:paraId="16C7FF88" w14:textId="6CF59D5F"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13.7%</w:t>
            </w:r>
          </w:p>
        </w:tc>
        <w:tc>
          <w:tcPr>
            <w:tcW w:w="810" w:type="dxa"/>
            <w:tcBorders>
              <w:top w:val="nil"/>
              <w:left w:val="nil"/>
              <w:bottom w:val="single" w:sz="4" w:space="0" w:color="auto"/>
              <w:right w:val="single" w:sz="4" w:space="0" w:color="auto"/>
            </w:tcBorders>
            <w:shd w:val="clear" w:color="auto" w:fill="auto"/>
            <w:noWrap/>
            <w:vAlign w:val="center"/>
          </w:tcPr>
          <w:p w14:paraId="11A2C705" w14:textId="00B9B1A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15.6%</w:t>
            </w:r>
          </w:p>
        </w:tc>
        <w:tc>
          <w:tcPr>
            <w:tcW w:w="762" w:type="dxa"/>
            <w:tcBorders>
              <w:top w:val="nil"/>
              <w:left w:val="nil"/>
              <w:bottom w:val="single" w:sz="4" w:space="0" w:color="auto"/>
              <w:right w:val="single" w:sz="4" w:space="0" w:color="auto"/>
            </w:tcBorders>
            <w:shd w:val="clear" w:color="auto" w:fill="auto"/>
            <w:noWrap/>
            <w:vAlign w:val="center"/>
          </w:tcPr>
          <w:p w14:paraId="2CB9D0A7" w14:textId="2BA4A42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20.3%</w:t>
            </w:r>
          </w:p>
        </w:tc>
        <w:tc>
          <w:tcPr>
            <w:tcW w:w="830" w:type="dxa"/>
            <w:tcBorders>
              <w:top w:val="nil"/>
              <w:left w:val="nil"/>
              <w:bottom w:val="single" w:sz="4" w:space="0" w:color="auto"/>
              <w:right w:val="single" w:sz="4" w:space="0" w:color="auto"/>
            </w:tcBorders>
            <w:shd w:val="clear" w:color="auto" w:fill="auto"/>
            <w:noWrap/>
            <w:vAlign w:val="center"/>
          </w:tcPr>
          <w:p w14:paraId="6F86553B" w14:textId="4434C1A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15.0%</w:t>
            </w:r>
          </w:p>
        </w:tc>
        <w:tc>
          <w:tcPr>
            <w:tcW w:w="856" w:type="dxa"/>
            <w:tcBorders>
              <w:top w:val="nil"/>
              <w:left w:val="nil"/>
              <w:bottom w:val="single" w:sz="4" w:space="0" w:color="auto"/>
              <w:right w:val="single" w:sz="4" w:space="0" w:color="auto"/>
            </w:tcBorders>
            <w:shd w:val="clear" w:color="auto" w:fill="auto"/>
            <w:noWrap/>
            <w:vAlign w:val="center"/>
          </w:tcPr>
          <w:p w14:paraId="0F80ABFA" w14:textId="79580074"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13.6%</w:t>
            </w:r>
          </w:p>
        </w:tc>
        <w:tc>
          <w:tcPr>
            <w:tcW w:w="1004" w:type="dxa"/>
            <w:tcBorders>
              <w:top w:val="nil"/>
              <w:left w:val="nil"/>
              <w:bottom w:val="single" w:sz="4" w:space="0" w:color="auto"/>
              <w:right w:val="double" w:sz="6" w:space="0" w:color="auto"/>
            </w:tcBorders>
            <w:shd w:val="clear" w:color="auto" w:fill="auto"/>
            <w:noWrap/>
            <w:vAlign w:val="center"/>
          </w:tcPr>
          <w:p w14:paraId="56524CE4" w14:textId="333DF8F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16.3%</w:t>
            </w:r>
          </w:p>
        </w:tc>
      </w:tr>
      <w:tr w:rsidR="00AF4022" w:rsidRPr="0049778F" w14:paraId="10FDA031"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794C85D9" w14:textId="77777777" w:rsidR="003C1650" w:rsidRPr="0049778F" w:rsidRDefault="003C1650" w:rsidP="003C1650">
            <w:pPr>
              <w:spacing w:after="0"/>
              <w:jc w:val="center"/>
              <w:rPr>
                <w:rFonts w:eastAsia="Times New Roman" w:cs="Calibri"/>
                <w:color w:val="000000"/>
                <w:sz w:val="18"/>
                <w:szCs w:val="18"/>
              </w:rPr>
            </w:pPr>
            <w:r w:rsidRPr="0049778F">
              <w:rPr>
                <w:rFonts w:eastAsia="Times New Roman" w:cs="Calibri"/>
                <w:color w:val="000000"/>
                <w:sz w:val="18"/>
                <w:szCs w:val="18"/>
              </w:rPr>
              <w:t>AMM-A</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B7CFD2" w14:textId="77777777" w:rsidR="003C1650" w:rsidRPr="0049778F" w:rsidRDefault="003C1650" w:rsidP="003C1650">
            <w:pPr>
              <w:spacing w:after="0"/>
              <w:rPr>
                <w:rFonts w:eastAsia="Times New Roman" w:cs="Calibri"/>
                <w:color w:val="000000"/>
                <w:sz w:val="18"/>
                <w:szCs w:val="18"/>
              </w:rPr>
            </w:pPr>
            <w:r w:rsidRPr="0049778F">
              <w:rPr>
                <w:rFonts w:eastAsia="Times New Roman" w:cs="Calibri"/>
                <w:color w:val="000000"/>
                <w:sz w:val="18"/>
                <w:szCs w:val="18"/>
              </w:rPr>
              <w:t>Antidepressant Medication Management Acute</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1AC53AD" w14:textId="14C44046"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B12EA04" w14:textId="47E27D0B"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FA870F2" w14:textId="56E3F100"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01D76B" w14:textId="0842BB54"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70.4%</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B2061A" w14:textId="78870722"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A0F24E" w14:textId="2B23EAE2"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72.7%</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7C7287" w14:textId="61E97400"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71.7%</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4276DC" w14:textId="1E87EC92"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72.5%</w:t>
            </w:r>
          </w:p>
        </w:tc>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D6E39D" w14:textId="03653289"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63.8%</w:t>
            </w:r>
          </w:p>
        </w:tc>
        <w:tc>
          <w:tcPr>
            <w:tcW w:w="1004"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tcPr>
          <w:p w14:paraId="55E6C418" w14:textId="1496648F"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68.6%</w:t>
            </w:r>
          </w:p>
        </w:tc>
      </w:tr>
      <w:tr w:rsidR="00255A16" w:rsidRPr="0049778F" w14:paraId="0FFACC15"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auto"/>
            <w:noWrap/>
            <w:hideMark/>
          </w:tcPr>
          <w:p w14:paraId="6CF7389D" w14:textId="77777777" w:rsidR="003C1650" w:rsidRPr="0049778F" w:rsidRDefault="003C1650" w:rsidP="003C1650">
            <w:pPr>
              <w:spacing w:after="0"/>
              <w:jc w:val="center"/>
              <w:rPr>
                <w:rFonts w:eastAsia="Times New Roman" w:cs="Calibri"/>
                <w:color w:val="000000"/>
                <w:sz w:val="18"/>
                <w:szCs w:val="18"/>
              </w:rPr>
            </w:pPr>
            <w:r w:rsidRPr="0049778F">
              <w:rPr>
                <w:rFonts w:eastAsia="Times New Roman" w:cs="Calibri"/>
                <w:color w:val="000000"/>
                <w:sz w:val="18"/>
                <w:szCs w:val="18"/>
              </w:rPr>
              <w:t>AMM-C</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343BD71" w14:textId="77777777" w:rsidR="003C1650" w:rsidRPr="0049778F" w:rsidRDefault="003C1650" w:rsidP="003C1650">
            <w:pPr>
              <w:spacing w:after="0"/>
              <w:rPr>
                <w:rFonts w:eastAsia="Times New Roman" w:cs="Calibri"/>
                <w:color w:val="000000"/>
                <w:sz w:val="18"/>
                <w:szCs w:val="18"/>
              </w:rPr>
            </w:pPr>
            <w:r w:rsidRPr="0049778F">
              <w:rPr>
                <w:rFonts w:eastAsia="Times New Roman" w:cs="Calibri"/>
                <w:color w:val="000000"/>
                <w:sz w:val="18"/>
                <w:szCs w:val="18"/>
              </w:rPr>
              <w:t>Antidepressant Medication Management Continuation</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8C79329" w14:textId="56DFE637"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B655014" w14:textId="668FAECF"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8BDF458" w14:textId="31322B71"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3AF16" w14:textId="5859C55A"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57.7%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08DAC" w14:textId="7C4C4579"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7DF8B" w14:textId="756147BA"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58.4%</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7AC18" w14:textId="7B513D79"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59.5%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1CAF8" w14:textId="631DE2C7"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59.1%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4530D" w14:textId="5095CA93"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52.4%</w:t>
            </w:r>
          </w:p>
        </w:tc>
        <w:tc>
          <w:tcPr>
            <w:tcW w:w="1004" w:type="dxa"/>
            <w:tcBorders>
              <w:top w:val="single" w:sz="4" w:space="0" w:color="auto"/>
              <w:left w:val="single" w:sz="4" w:space="0" w:color="auto"/>
              <w:bottom w:val="single" w:sz="4" w:space="0" w:color="auto"/>
              <w:right w:val="double" w:sz="6" w:space="0" w:color="auto"/>
            </w:tcBorders>
            <w:shd w:val="clear" w:color="auto" w:fill="auto"/>
            <w:noWrap/>
            <w:vAlign w:val="center"/>
          </w:tcPr>
          <w:p w14:paraId="1822F417" w14:textId="34D73F5A"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57.3%</w:t>
            </w:r>
          </w:p>
        </w:tc>
      </w:tr>
      <w:tr w:rsidR="00AF4022" w:rsidRPr="0049778F" w14:paraId="1B68BFC7"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2373FE2C" w14:textId="77777777" w:rsidR="003C1650" w:rsidRPr="0049778F" w:rsidRDefault="003C1650" w:rsidP="003C1650">
            <w:pPr>
              <w:spacing w:after="0"/>
              <w:jc w:val="center"/>
              <w:rPr>
                <w:rFonts w:eastAsia="Times New Roman" w:cs="Calibri"/>
                <w:color w:val="000000"/>
                <w:sz w:val="18"/>
                <w:szCs w:val="18"/>
              </w:rPr>
            </w:pPr>
            <w:r w:rsidRPr="0049778F">
              <w:rPr>
                <w:rFonts w:eastAsia="Times New Roman" w:cs="Calibri"/>
                <w:color w:val="000000"/>
                <w:sz w:val="18"/>
                <w:szCs w:val="18"/>
              </w:rPr>
              <w:t>COA</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EAAED5" w14:textId="77777777" w:rsidR="003C1650" w:rsidRPr="0049778F" w:rsidRDefault="003C1650" w:rsidP="003C1650">
            <w:pPr>
              <w:spacing w:after="0"/>
              <w:rPr>
                <w:rFonts w:eastAsia="Times New Roman" w:cs="Calibri"/>
                <w:color w:val="000000"/>
                <w:sz w:val="18"/>
                <w:szCs w:val="18"/>
              </w:rPr>
            </w:pPr>
            <w:r w:rsidRPr="0049778F">
              <w:rPr>
                <w:rFonts w:eastAsia="Times New Roman" w:cs="Calibri"/>
                <w:color w:val="000000"/>
                <w:sz w:val="18"/>
                <w:szCs w:val="18"/>
              </w:rPr>
              <w:t>Care for Older Adults: Advance Care Plan</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D41FAD8" w14:textId="1B44D544"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88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74105A9" w14:textId="3AB65CB5"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4831264" w14:textId="010F5EC7"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6552AF" w14:textId="447888C0"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83.9%</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21BA92" w14:textId="5F682C32"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88.5%</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FF5950" w14:textId="1F3154B9"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87.7%</w:t>
            </w:r>
          </w:p>
        </w:tc>
        <w:tc>
          <w:tcPr>
            <w:tcW w:w="7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124FF2" w14:textId="0F85E544"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69.4%</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91B063" w14:textId="3BDBE97D"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97.2%</w:t>
            </w:r>
          </w:p>
        </w:tc>
        <w:tc>
          <w:tcPr>
            <w:tcW w:w="8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2885A7" w14:textId="5784B91C"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97.0%</w:t>
            </w:r>
          </w:p>
        </w:tc>
        <w:tc>
          <w:tcPr>
            <w:tcW w:w="1004"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tcPr>
          <w:p w14:paraId="0E9C40A5" w14:textId="3599C1B1" w:rsidR="003C1650" w:rsidRPr="0049778F" w:rsidRDefault="003C1650" w:rsidP="003C1650">
            <w:pPr>
              <w:spacing w:after="0"/>
              <w:jc w:val="center"/>
              <w:rPr>
                <w:rFonts w:eastAsia="Times New Roman" w:cs="Calibri"/>
                <w:color w:val="000000"/>
                <w:sz w:val="18"/>
                <w:szCs w:val="18"/>
              </w:rPr>
            </w:pPr>
            <w:r w:rsidRPr="0049778F">
              <w:rPr>
                <w:rFonts w:cs="Calibri"/>
                <w:color w:val="000000"/>
                <w:sz w:val="18"/>
                <w:szCs w:val="18"/>
              </w:rPr>
              <w:t>73.0%</w:t>
            </w:r>
          </w:p>
        </w:tc>
      </w:tr>
      <w:tr w:rsidR="00255A16" w:rsidRPr="0049778F" w14:paraId="683F2218"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auto"/>
            <w:noWrap/>
            <w:hideMark/>
          </w:tcPr>
          <w:p w14:paraId="446983DD"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AAP</w:t>
            </w:r>
          </w:p>
          <w:p w14:paraId="1C91F3DC" w14:textId="1EF48BAE"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MA-5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26450C1A"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Access to Preventive/Ambulatory Health Services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F85E" w14:textId="7C8C0B26"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97.5%</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E0D75" w14:textId="1937F869"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97.8%</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71D23" w14:textId="537B5641"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95.6%</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D65CD8A" w14:textId="3AD65B67" w:rsidR="00762BFC" w:rsidRPr="0049778F" w:rsidRDefault="00762BFC" w:rsidP="00762BFC">
            <w:pPr>
              <w:spacing w:after="0"/>
              <w:jc w:val="center"/>
              <w:rPr>
                <w:rFonts w:eastAsia="Times New Roman" w:cs="Calibri"/>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58AEA7F" w14:textId="10702F61" w:rsidR="00762BFC" w:rsidRPr="0049778F" w:rsidRDefault="00762BFC" w:rsidP="00762BFC">
            <w:pPr>
              <w:spacing w:after="0"/>
              <w:jc w:val="center"/>
              <w:rPr>
                <w:rFonts w:eastAsia="Times New Roman" w:cs="Calibri"/>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D52C8EE" w14:textId="7491978F" w:rsidR="00762BFC" w:rsidRPr="0049778F" w:rsidRDefault="00762BFC" w:rsidP="00762BFC">
            <w:pPr>
              <w:spacing w:after="0"/>
              <w:jc w:val="center"/>
              <w:rPr>
                <w:rFonts w:eastAsia="Times New Roman" w:cs="Calibri"/>
                <w:color w:val="000000"/>
                <w:sz w:val="18"/>
                <w:szCs w:val="18"/>
              </w:rPr>
            </w:pPr>
          </w:p>
        </w:tc>
        <w:tc>
          <w:tcPr>
            <w:tcW w:w="7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BF30E2E" w14:textId="36EB1BAD" w:rsidR="00762BFC" w:rsidRPr="0049778F" w:rsidRDefault="00762BFC" w:rsidP="00762BFC">
            <w:pPr>
              <w:spacing w:after="0"/>
              <w:jc w:val="center"/>
              <w:rPr>
                <w:rFonts w:eastAsia="Times New Roman" w:cs="Calibri"/>
                <w:color w:val="000000"/>
                <w:sz w:val="18"/>
                <w:szCs w:val="18"/>
              </w:rPr>
            </w:pP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673CBA1" w14:textId="3194DCE5" w:rsidR="00762BFC" w:rsidRPr="0049778F" w:rsidRDefault="00762BFC" w:rsidP="00762BFC">
            <w:pPr>
              <w:spacing w:after="0"/>
              <w:jc w:val="center"/>
              <w:rPr>
                <w:rFonts w:eastAsia="Times New Roman" w:cs="Calibri"/>
                <w:color w:val="000000"/>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357E649" w14:textId="311FF208" w:rsidR="00762BFC" w:rsidRPr="0049778F" w:rsidRDefault="00762BFC" w:rsidP="00762BFC">
            <w:pPr>
              <w:spacing w:after="0"/>
              <w:jc w:val="center"/>
              <w:rPr>
                <w:rFonts w:eastAsia="Times New Roman" w:cs="Calibri"/>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E2A4FAA" w14:textId="578F5796" w:rsidR="00762BFC" w:rsidRPr="0049778F" w:rsidRDefault="00762BFC" w:rsidP="00762BFC">
            <w:pPr>
              <w:spacing w:after="0"/>
              <w:jc w:val="center"/>
              <w:rPr>
                <w:rFonts w:eastAsia="Times New Roman" w:cs="Calibri"/>
                <w:color w:val="000000"/>
                <w:sz w:val="18"/>
                <w:szCs w:val="18"/>
              </w:rPr>
            </w:pPr>
          </w:p>
        </w:tc>
      </w:tr>
      <w:tr w:rsidR="00AF4022" w:rsidRPr="0049778F" w14:paraId="4A88D93E"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269F563F"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 xml:space="preserve">MMP </w:t>
            </w:r>
          </w:p>
          <w:p w14:paraId="590BDDF1" w14:textId="49BC860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CW-12</w:t>
            </w: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3D9E"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Medication Adherence for Diabetes</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9EB2C9" w14:textId="100C0096"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76.0%</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3DA170" w14:textId="23B7846B"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78.0%</w:t>
            </w:r>
          </w:p>
        </w:tc>
        <w:tc>
          <w:tcPr>
            <w:tcW w:w="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67060D" w14:textId="3BE8F8E9"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67.0%</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C5FFBAF" w14:textId="6CFAFB80" w:rsidR="00762BFC" w:rsidRPr="0049778F" w:rsidRDefault="00762BFC" w:rsidP="00762BFC">
            <w:pPr>
              <w:spacing w:after="0"/>
              <w:jc w:val="center"/>
              <w:rPr>
                <w:rFonts w:eastAsia="Times New Roman" w:cs="Calibri"/>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947560C" w14:textId="4C658062" w:rsidR="00762BFC" w:rsidRPr="0049778F" w:rsidRDefault="00762BFC" w:rsidP="00762BFC">
            <w:pPr>
              <w:spacing w:after="0"/>
              <w:jc w:val="center"/>
              <w:rPr>
                <w:rFonts w:eastAsia="Times New Roman" w:cs="Calibri"/>
                <w:color w:val="000000"/>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0BCCC60" w14:textId="7C00F936" w:rsidR="00762BFC" w:rsidRPr="0049778F" w:rsidRDefault="00762BFC" w:rsidP="00762BFC">
            <w:pPr>
              <w:spacing w:after="0"/>
              <w:jc w:val="center"/>
              <w:rPr>
                <w:rFonts w:eastAsia="Times New Roman" w:cs="Calibri"/>
                <w:color w:val="000000"/>
                <w:sz w:val="18"/>
                <w:szCs w:val="18"/>
              </w:rPr>
            </w:pPr>
          </w:p>
        </w:tc>
        <w:tc>
          <w:tcPr>
            <w:tcW w:w="7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5F93353" w14:textId="67C141AA" w:rsidR="00762BFC" w:rsidRPr="0049778F" w:rsidRDefault="00762BFC" w:rsidP="00762BFC">
            <w:pPr>
              <w:spacing w:after="0"/>
              <w:jc w:val="center"/>
              <w:rPr>
                <w:rFonts w:eastAsia="Times New Roman" w:cs="Calibri"/>
                <w:color w:val="000000"/>
                <w:sz w:val="18"/>
                <w:szCs w:val="18"/>
              </w:rPr>
            </w:pP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432D6B0" w14:textId="34F9A1CF" w:rsidR="00762BFC" w:rsidRPr="0049778F" w:rsidRDefault="00762BFC" w:rsidP="00762BFC">
            <w:pPr>
              <w:spacing w:after="0"/>
              <w:jc w:val="center"/>
              <w:rPr>
                <w:rFonts w:eastAsia="Times New Roman" w:cs="Calibri"/>
                <w:color w:val="000000"/>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D62F394" w14:textId="0064C581" w:rsidR="00762BFC" w:rsidRPr="0049778F" w:rsidRDefault="00762BFC" w:rsidP="00762BFC">
            <w:pPr>
              <w:spacing w:after="0"/>
              <w:jc w:val="center"/>
              <w:rPr>
                <w:rFonts w:eastAsia="Times New Roman" w:cs="Calibri"/>
                <w:color w:val="000000"/>
                <w:sz w:val="18"/>
                <w:szCs w:val="18"/>
              </w:rPr>
            </w:pP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8276634" w14:textId="4C7D5CFA" w:rsidR="00762BFC" w:rsidRPr="0049778F" w:rsidRDefault="00762BFC" w:rsidP="00762BFC">
            <w:pPr>
              <w:spacing w:after="0"/>
              <w:jc w:val="center"/>
              <w:rPr>
                <w:rFonts w:eastAsia="Times New Roman" w:cs="Calibri"/>
                <w:color w:val="000000"/>
                <w:sz w:val="18"/>
                <w:szCs w:val="18"/>
              </w:rPr>
            </w:pPr>
          </w:p>
        </w:tc>
      </w:tr>
      <w:tr w:rsidR="00255A16" w:rsidRPr="0049778F" w14:paraId="7BE3056E" w14:textId="77777777" w:rsidTr="00575EDC">
        <w:trPr>
          <w:trHeight w:val="290"/>
          <w:jc w:val="center"/>
        </w:trPr>
        <w:tc>
          <w:tcPr>
            <w:tcW w:w="1451" w:type="dxa"/>
            <w:tcBorders>
              <w:top w:val="single" w:sz="4" w:space="0" w:color="auto"/>
              <w:left w:val="double" w:sz="6" w:space="0" w:color="auto"/>
              <w:bottom w:val="single" w:sz="4" w:space="0" w:color="auto"/>
              <w:right w:val="single" w:sz="4" w:space="0" w:color="auto"/>
            </w:tcBorders>
            <w:shd w:val="clear" w:color="auto" w:fill="auto"/>
            <w:noWrap/>
            <w:hideMark/>
          </w:tcPr>
          <w:p w14:paraId="606E9DE5"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7F02FF21" w14:textId="0EAC54DA"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CW13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31028C80"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Encounter Data Completeness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4D98D" w14:textId="221603EC"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AC1E7" w14:textId="60289EEC"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D7FEE" w14:textId="0693B174"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6818C1B" w14:textId="731A0775"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2E89598" w14:textId="489D0B2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FBFB204" w14:textId="4BC2273E"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7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181D0AD3" w14:textId="72685F52"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D3507CC" w14:textId="291DB8E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678F5B6" w14:textId="744BA0A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9772C15" w14:textId="14600B7B"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r>
      <w:tr w:rsidR="00AF4022" w:rsidRPr="0049778F" w14:paraId="32BB87DF" w14:textId="77777777" w:rsidTr="00575EDC">
        <w:trPr>
          <w:trHeight w:val="300"/>
          <w:jc w:val="center"/>
        </w:trPr>
        <w:tc>
          <w:tcPr>
            <w:tcW w:w="1451" w:type="dxa"/>
            <w:tcBorders>
              <w:top w:val="single" w:sz="4" w:space="0" w:color="auto"/>
              <w:left w:val="double" w:sz="6" w:space="0" w:color="auto"/>
              <w:bottom w:val="double" w:sz="6" w:space="0" w:color="auto"/>
              <w:right w:val="single" w:sz="4" w:space="0" w:color="auto"/>
            </w:tcBorders>
            <w:shd w:val="clear" w:color="auto" w:fill="F2F2F2" w:themeFill="background1" w:themeFillShade="F2"/>
            <w:noWrap/>
            <w:hideMark/>
          </w:tcPr>
          <w:p w14:paraId="043FEFF0" w14:textId="77777777"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4F544B11" w14:textId="23E47B44" w:rsidR="00762BFC" w:rsidRPr="0049778F" w:rsidRDefault="00762BFC" w:rsidP="00762BFC">
            <w:pPr>
              <w:spacing w:after="0"/>
              <w:jc w:val="center"/>
              <w:rPr>
                <w:rFonts w:eastAsia="Times New Roman" w:cs="Calibri"/>
                <w:color w:val="000000"/>
                <w:sz w:val="18"/>
                <w:szCs w:val="18"/>
              </w:rPr>
            </w:pPr>
            <w:r w:rsidRPr="0049778F">
              <w:rPr>
                <w:rFonts w:eastAsia="Times New Roman" w:cs="Calibri"/>
                <w:color w:val="000000"/>
                <w:sz w:val="18"/>
                <w:szCs w:val="18"/>
              </w:rPr>
              <w:t>CW7</w:t>
            </w:r>
          </w:p>
        </w:tc>
        <w:tc>
          <w:tcPr>
            <w:tcW w:w="6379"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6FD099A0" w14:textId="77777777" w:rsidR="00762BFC" w:rsidRPr="0049778F" w:rsidRDefault="00762BFC" w:rsidP="00762BFC">
            <w:pPr>
              <w:spacing w:after="0"/>
              <w:rPr>
                <w:rFonts w:eastAsia="Times New Roman" w:cs="Calibri"/>
                <w:color w:val="000000"/>
                <w:sz w:val="18"/>
                <w:szCs w:val="18"/>
              </w:rPr>
            </w:pPr>
            <w:r w:rsidRPr="0049778F">
              <w:rPr>
                <w:rFonts w:eastAsia="Times New Roman" w:cs="Calibri"/>
                <w:color w:val="000000"/>
                <w:sz w:val="18"/>
                <w:szCs w:val="18"/>
              </w:rPr>
              <w:t>Annual Flu Vaccination</w:t>
            </w:r>
          </w:p>
        </w:tc>
        <w:tc>
          <w:tcPr>
            <w:tcW w:w="900"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tcPr>
          <w:p w14:paraId="30A26FC9" w14:textId="2C82F3B7"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68.0%</w:t>
            </w:r>
          </w:p>
        </w:tc>
        <w:tc>
          <w:tcPr>
            <w:tcW w:w="884"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tcPr>
          <w:p w14:paraId="62A731C8" w14:textId="5B430EEA"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69.0%</w:t>
            </w:r>
          </w:p>
        </w:tc>
        <w:tc>
          <w:tcPr>
            <w:tcW w:w="916"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tcPr>
          <w:p w14:paraId="432DB599" w14:textId="366C728D"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61.0%</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9C96A8" w14:textId="438626F8"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14C9055" w14:textId="0C91C7BF"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149FCE7" w14:textId="4FA8A115"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76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E77CC3D" w14:textId="13389366"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4E2FAFB" w14:textId="7C7B71B0"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2C344B7" w14:textId="26C571A3"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c>
          <w:tcPr>
            <w:tcW w:w="100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82FF44B" w14:textId="7FA54810" w:rsidR="00762BFC" w:rsidRPr="0049778F" w:rsidRDefault="00762BFC" w:rsidP="00762BFC">
            <w:pPr>
              <w:spacing w:after="0"/>
              <w:jc w:val="center"/>
              <w:rPr>
                <w:rFonts w:eastAsia="Times New Roman" w:cs="Calibri"/>
                <w:color w:val="000000"/>
                <w:sz w:val="18"/>
                <w:szCs w:val="18"/>
              </w:rPr>
            </w:pPr>
            <w:r w:rsidRPr="0049778F">
              <w:rPr>
                <w:rFonts w:cs="Calibri"/>
                <w:color w:val="000000"/>
                <w:sz w:val="18"/>
                <w:szCs w:val="18"/>
              </w:rPr>
              <w:t> </w:t>
            </w:r>
          </w:p>
        </w:tc>
      </w:tr>
    </w:tbl>
    <w:p w14:paraId="227D28C7" w14:textId="77777777" w:rsidR="005E56AE" w:rsidRDefault="00283D0F">
      <w:pPr>
        <w:spacing w:after="160" w:line="259" w:lineRule="auto"/>
      </w:pPr>
      <w:r>
        <w:br w:type="page"/>
      </w:r>
    </w:p>
    <w:p w14:paraId="1DF01BAE" w14:textId="63B599A5" w:rsidR="005E56AE" w:rsidRDefault="00CF37A1" w:rsidP="00CF37A1">
      <w:pPr>
        <w:spacing w:after="160" w:line="259" w:lineRule="auto"/>
        <w:ind w:left="-540"/>
        <w:rPr>
          <w:rFonts w:eastAsia="Times New Roman" w:cs="Calibri"/>
          <w:b/>
          <w:bCs/>
          <w:color w:val="000000"/>
          <w:sz w:val="20"/>
          <w:szCs w:val="20"/>
        </w:rPr>
      </w:pPr>
      <w:r w:rsidRPr="21CA7F43">
        <w:rPr>
          <w:rFonts w:eastAsia="Times New Roman" w:cs="Calibri"/>
          <w:b/>
          <w:bCs/>
          <w:color w:val="000000" w:themeColor="text1"/>
          <w:sz w:val="20"/>
          <w:szCs w:val="20"/>
        </w:rPr>
        <w:lastRenderedPageBreak/>
        <w:t xml:space="preserve">Appendix </w:t>
      </w:r>
      <w:r w:rsidR="00FD3DD2"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3020F5" w:rsidRPr="21CA7F43">
        <w:rPr>
          <w:rFonts w:eastAsia="Times New Roman" w:cs="Calibri"/>
          <w:b/>
          <w:bCs/>
          <w:color w:val="000000" w:themeColor="text1"/>
          <w:sz w:val="20"/>
          <w:szCs w:val="20"/>
        </w:rPr>
        <w:t>5</w:t>
      </w:r>
      <w:r w:rsidRPr="21CA7F43">
        <w:rPr>
          <w:rFonts w:eastAsia="Times New Roman" w:cs="Calibri"/>
          <w:b/>
          <w:bCs/>
          <w:color w:val="000000" w:themeColor="text1"/>
          <w:sz w:val="20"/>
          <w:szCs w:val="20"/>
        </w:rPr>
        <w:t xml:space="preserve">: Contact Level Performance, </w:t>
      </w:r>
      <w:r w:rsidR="3FC47F8D" w:rsidRPr="21CA7F43">
        <w:rPr>
          <w:rFonts w:eastAsia="Times New Roman" w:cs="Calibri"/>
          <w:b/>
          <w:bCs/>
          <w:color w:val="000000" w:themeColor="text1"/>
          <w:sz w:val="20"/>
          <w:szCs w:val="20"/>
        </w:rPr>
        <w:t>M</w:t>
      </w:r>
      <w:r w:rsidRPr="21CA7F43">
        <w:rPr>
          <w:rFonts w:eastAsia="Times New Roman" w:cs="Calibri"/>
          <w:b/>
          <w:bCs/>
          <w:color w:val="000000" w:themeColor="text1"/>
          <w:sz w:val="20"/>
          <w:szCs w:val="20"/>
        </w:rPr>
        <w:t>Y2019: (OneCare and SCO)</w:t>
      </w:r>
    </w:p>
    <w:p w14:paraId="60819395" w14:textId="481CCCFF" w:rsidR="00FD3DD2" w:rsidRPr="00CE61A0" w:rsidRDefault="003020F5" w:rsidP="00FD3DD2">
      <w:pPr>
        <w:ind w:left="-900"/>
        <w:rPr>
          <w:shd w:val="clear" w:color="auto" w:fill="FFFFFF"/>
        </w:rPr>
      </w:pPr>
      <w:r>
        <w:rPr>
          <w:rStyle w:val="normaltextrun"/>
          <w:shd w:val="clear" w:color="auto" w:fill="FFFFFF"/>
        </w:rPr>
        <w:t xml:space="preserve">2019 Quality measure performance for individual OneCare and SCO plans is presented in Table </w:t>
      </w:r>
      <w:r w:rsidR="00FD3DD2">
        <w:rPr>
          <w:rStyle w:val="normaltextrun"/>
          <w:shd w:val="clear" w:color="auto" w:fill="FFFFFF"/>
        </w:rPr>
        <w:t>B-</w:t>
      </w:r>
      <w:r>
        <w:rPr>
          <w:rStyle w:val="normaltextrun"/>
          <w:shd w:val="clear" w:color="auto" w:fill="FFFFFF"/>
        </w:rPr>
        <w:t xml:space="preserve">5.  </w:t>
      </w:r>
      <w:r w:rsidR="00FD3DD2">
        <w:rPr>
          <w:rStyle w:val="normaltextrun"/>
          <w:shd w:val="clear" w:color="auto" w:fill="FFFFFF"/>
        </w:rPr>
        <w:t>Program-level totals are weighted means (WM). Please see Appendix A for a list of MassHealth’s managed care plans.</w:t>
      </w:r>
    </w:p>
    <w:p w14:paraId="7756603B" w14:textId="77777777" w:rsidR="003020F5" w:rsidRDefault="003020F5">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7C2AC519" w14:textId="6F4E8E02" w:rsidR="003020F5" w:rsidRPr="00C7442E" w:rsidRDefault="003020F5">
      <w:pPr>
        <w:pStyle w:val="ListParagraph"/>
        <w:numPr>
          <w:ilvl w:val="0"/>
          <w:numId w:val="3"/>
        </w:numPr>
        <w:ind w:left="-360" w:firstLine="0"/>
        <w:rPr>
          <w:b/>
          <w:bCs/>
        </w:rPr>
      </w:pPr>
      <w:r>
        <w:rPr>
          <w:b/>
          <w:bCs/>
        </w:rPr>
        <w:t>“NA” indicates that the rate was not included due to small denominator (n &lt;30).</w:t>
      </w:r>
    </w:p>
    <w:tbl>
      <w:tblPr>
        <w:tblW w:w="15905" w:type="dxa"/>
        <w:tblLook w:val="04A0" w:firstRow="1" w:lastRow="0" w:firstColumn="1" w:lastColumn="0" w:noHBand="0" w:noVBand="1"/>
      </w:tblPr>
      <w:tblGrid>
        <w:gridCol w:w="1234"/>
        <w:gridCol w:w="5853"/>
        <w:gridCol w:w="864"/>
        <w:gridCol w:w="864"/>
        <w:gridCol w:w="970"/>
        <w:gridCol w:w="830"/>
        <w:gridCol w:w="830"/>
        <w:gridCol w:w="950"/>
        <w:gridCol w:w="830"/>
        <w:gridCol w:w="830"/>
        <w:gridCol w:w="950"/>
        <w:gridCol w:w="900"/>
      </w:tblGrid>
      <w:tr w:rsidR="00554F79" w:rsidRPr="0049778F" w14:paraId="37C943D1" w14:textId="77777777" w:rsidTr="001E0B3A">
        <w:trPr>
          <w:trHeight w:val="720"/>
          <w:tblHeader/>
        </w:trPr>
        <w:tc>
          <w:tcPr>
            <w:tcW w:w="1234" w:type="dxa"/>
            <w:tcBorders>
              <w:top w:val="double" w:sz="6" w:space="0" w:color="auto"/>
              <w:left w:val="double" w:sz="6" w:space="0" w:color="auto"/>
              <w:bottom w:val="single" w:sz="12" w:space="0" w:color="auto"/>
              <w:right w:val="single" w:sz="4" w:space="0" w:color="auto"/>
            </w:tcBorders>
            <w:shd w:val="clear" w:color="auto" w:fill="auto"/>
            <w:noWrap/>
            <w:vAlign w:val="center"/>
            <w:hideMark/>
          </w:tcPr>
          <w:p w14:paraId="3A7EF75B" w14:textId="77777777" w:rsidR="00554F79" w:rsidRPr="0049778F" w:rsidRDefault="00554F79" w:rsidP="00554F79">
            <w:pPr>
              <w:spacing w:after="0"/>
              <w:jc w:val="center"/>
              <w:rPr>
                <w:rFonts w:eastAsia="Times New Roman" w:cs="Calibri"/>
                <w:b/>
                <w:bCs/>
                <w:color w:val="000000"/>
                <w:sz w:val="18"/>
                <w:szCs w:val="18"/>
              </w:rPr>
            </w:pPr>
            <w:r w:rsidRPr="0049778F">
              <w:rPr>
                <w:rFonts w:eastAsia="Times New Roman" w:cs="Calibri"/>
                <w:b/>
                <w:bCs/>
                <w:color w:val="000000"/>
                <w:sz w:val="18"/>
                <w:szCs w:val="18"/>
              </w:rPr>
              <w:t>Ref</w:t>
            </w:r>
          </w:p>
        </w:tc>
        <w:tc>
          <w:tcPr>
            <w:tcW w:w="5853" w:type="dxa"/>
            <w:tcBorders>
              <w:top w:val="double" w:sz="6" w:space="0" w:color="auto"/>
              <w:left w:val="nil"/>
              <w:bottom w:val="single" w:sz="12" w:space="0" w:color="auto"/>
              <w:right w:val="single" w:sz="4" w:space="0" w:color="auto"/>
            </w:tcBorders>
            <w:shd w:val="clear" w:color="auto" w:fill="auto"/>
            <w:noWrap/>
            <w:vAlign w:val="center"/>
            <w:hideMark/>
          </w:tcPr>
          <w:p w14:paraId="33E4350D" w14:textId="35511160" w:rsidR="00554F79" w:rsidRPr="0049778F" w:rsidRDefault="00554F79" w:rsidP="00554F79">
            <w:pPr>
              <w:spacing w:after="0"/>
              <w:jc w:val="center"/>
              <w:rPr>
                <w:rFonts w:eastAsia="Times New Roman" w:cs="Calibri"/>
                <w:b/>
                <w:bCs/>
                <w:color w:val="000000"/>
                <w:sz w:val="18"/>
                <w:szCs w:val="18"/>
              </w:rPr>
            </w:pPr>
            <w:r w:rsidRPr="0049778F">
              <w:rPr>
                <w:rFonts w:eastAsia="Times New Roman" w:cs="Calibri"/>
                <w:b/>
                <w:bCs/>
                <w:color w:val="000000"/>
                <w:sz w:val="18"/>
                <w:szCs w:val="18"/>
              </w:rPr>
              <w:t>2019 Measure</w:t>
            </w:r>
          </w:p>
        </w:tc>
        <w:tc>
          <w:tcPr>
            <w:tcW w:w="864" w:type="dxa"/>
            <w:tcBorders>
              <w:top w:val="double" w:sz="6" w:space="0" w:color="auto"/>
              <w:left w:val="nil"/>
              <w:bottom w:val="single" w:sz="12" w:space="0" w:color="auto"/>
              <w:right w:val="single" w:sz="4" w:space="0" w:color="auto"/>
            </w:tcBorders>
            <w:shd w:val="clear" w:color="auto" w:fill="8EAADB" w:themeFill="accent1" w:themeFillTint="99"/>
            <w:vAlign w:val="center"/>
            <w:hideMark/>
          </w:tcPr>
          <w:p w14:paraId="54D40924" w14:textId="6B863B0A"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Total OneCare</w:t>
            </w:r>
          </w:p>
        </w:tc>
        <w:tc>
          <w:tcPr>
            <w:tcW w:w="864"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1F52CF88" w14:textId="77777777"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CCA</w:t>
            </w:r>
          </w:p>
          <w:p w14:paraId="656F869D" w14:textId="46F05598"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OneCare</w:t>
            </w:r>
          </w:p>
        </w:tc>
        <w:tc>
          <w:tcPr>
            <w:tcW w:w="970"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4D82894F" w14:textId="5FBD1A4E"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THP</w:t>
            </w:r>
          </w:p>
          <w:p w14:paraId="028C1B64" w14:textId="23DA881F" w:rsidR="00554F79" w:rsidRPr="0049778F" w:rsidRDefault="00554F79" w:rsidP="00554F79">
            <w:pPr>
              <w:spacing w:after="0"/>
              <w:jc w:val="center"/>
              <w:rPr>
                <w:rFonts w:eastAsia="Times New Roman" w:cs="Calibri"/>
                <w:b/>
                <w:bCs/>
                <w:sz w:val="18"/>
                <w:szCs w:val="18"/>
              </w:rPr>
            </w:pPr>
            <w:r w:rsidRPr="0049778F">
              <w:rPr>
                <w:rFonts w:eastAsia="Times New Roman" w:cs="Calibri"/>
                <w:b/>
                <w:bCs/>
                <w:sz w:val="18"/>
                <w:szCs w:val="18"/>
              </w:rPr>
              <w:t>OneCare</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54038373" w14:textId="7D4E4D1B"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Total SCO</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1D096DE0" w14:textId="77777777"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BMC</w:t>
            </w:r>
          </w:p>
          <w:p w14:paraId="25D6AE7E" w14:textId="0DC8EE90"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HNET</w:t>
            </w:r>
          </w:p>
        </w:tc>
        <w:tc>
          <w:tcPr>
            <w:tcW w:w="95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37F0EED7" w14:textId="4B50ECA8"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CCA SCO</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10EFBEF7" w14:textId="77777777"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Navi-</w:t>
            </w:r>
          </w:p>
          <w:p w14:paraId="31078A7E" w14:textId="587DB81C"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care</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0958DC31" w14:textId="0E151BED"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SWH</w:t>
            </w:r>
          </w:p>
        </w:tc>
        <w:tc>
          <w:tcPr>
            <w:tcW w:w="95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6C82E4E0" w14:textId="74A713B3"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THP</w:t>
            </w:r>
          </w:p>
          <w:p w14:paraId="3104042A" w14:textId="7493456E"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SCO</w:t>
            </w:r>
          </w:p>
        </w:tc>
        <w:tc>
          <w:tcPr>
            <w:tcW w:w="900" w:type="dxa"/>
            <w:tcBorders>
              <w:top w:val="double" w:sz="6" w:space="0" w:color="auto"/>
              <w:left w:val="nil"/>
              <w:bottom w:val="single" w:sz="12" w:space="0" w:color="auto"/>
              <w:right w:val="double" w:sz="6" w:space="0" w:color="auto"/>
            </w:tcBorders>
            <w:shd w:val="clear" w:color="auto" w:fill="2F5496" w:themeFill="accent1" w:themeFillShade="BF"/>
            <w:noWrap/>
            <w:vAlign w:val="center"/>
            <w:hideMark/>
          </w:tcPr>
          <w:p w14:paraId="02209A3A" w14:textId="10FFDECD" w:rsidR="00554F79" w:rsidRPr="0049778F" w:rsidRDefault="00554F79" w:rsidP="00554F79">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United</w:t>
            </w:r>
          </w:p>
        </w:tc>
      </w:tr>
      <w:tr w:rsidR="00EB785C" w:rsidRPr="0049778F" w14:paraId="6A9D7835" w14:textId="77777777" w:rsidTr="00273F52">
        <w:trPr>
          <w:trHeight w:val="31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3F3B6ADE"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CBP</w:t>
            </w:r>
          </w:p>
        </w:tc>
        <w:tc>
          <w:tcPr>
            <w:tcW w:w="5853" w:type="dxa"/>
            <w:tcBorders>
              <w:top w:val="single" w:sz="12" w:space="0" w:color="auto"/>
              <w:left w:val="single" w:sz="12" w:space="0" w:color="auto"/>
              <w:bottom w:val="single" w:sz="12" w:space="0" w:color="auto"/>
              <w:right w:val="nil"/>
            </w:tcBorders>
            <w:shd w:val="clear" w:color="000000" w:fill="FFFFFF"/>
            <w:hideMark/>
          </w:tcPr>
          <w:p w14:paraId="657F8B22" w14:textId="77777777" w:rsidR="00EB785C" w:rsidRPr="0049778F" w:rsidRDefault="00EB785C" w:rsidP="00EB785C">
            <w:pPr>
              <w:spacing w:after="0"/>
              <w:rPr>
                <w:rFonts w:eastAsia="Times New Roman" w:cs="Calibri"/>
                <w:sz w:val="18"/>
                <w:szCs w:val="18"/>
              </w:rPr>
            </w:pPr>
            <w:r w:rsidRPr="0049778F">
              <w:rPr>
                <w:rFonts w:eastAsia="Times New Roman" w:cs="Calibri"/>
                <w:sz w:val="18"/>
                <w:szCs w:val="18"/>
              </w:rPr>
              <w:t>Controlling High Blood Pressure</w:t>
            </w:r>
          </w:p>
        </w:tc>
        <w:tc>
          <w:tcPr>
            <w:tcW w:w="864" w:type="dxa"/>
            <w:tcBorders>
              <w:top w:val="nil"/>
              <w:left w:val="single" w:sz="4" w:space="0" w:color="auto"/>
              <w:bottom w:val="single" w:sz="4" w:space="0" w:color="auto"/>
              <w:right w:val="nil"/>
            </w:tcBorders>
            <w:shd w:val="clear" w:color="auto" w:fill="auto"/>
            <w:vAlign w:val="center"/>
            <w:hideMark/>
          </w:tcPr>
          <w:p w14:paraId="690971F0" w14:textId="1330BBF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72.3%</w:t>
            </w:r>
          </w:p>
        </w:tc>
        <w:tc>
          <w:tcPr>
            <w:tcW w:w="864" w:type="dxa"/>
            <w:tcBorders>
              <w:top w:val="nil"/>
              <w:left w:val="single" w:sz="4" w:space="0" w:color="auto"/>
              <w:bottom w:val="single" w:sz="4" w:space="0" w:color="auto"/>
              <w:right w:val="nil"/>
            </w:tcBorders>
            <w:shd w:val="clear" w:color="auto" w:fill="auto"/>
            <w:noWrap/>
            <w:vAlign w:val="center"/>
            <w:hideMark/>
          </w:tcPr>
          <w:p w14:paraId="2A64F52E" w14:textId="1A872BC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72.0%</w:t>
            </w:r>
          </w:p>
        </w:tc>
        <w:tc>
          <w:tcPr>
            <w:tcW w:w="970" w:type="dxa"/>
            <w:tcBorders>
              <w:top w:val="nil"/>
              <w:left w:val="single" w:sz="4" w:space="0" w:color="auto"/>
              <w:bottom w:val="single" w:sz="4" w:space="0" w:color="auto"/>
              <w:right w:val="nil"/>
            </w:tcBorders>
            <w:shd w:val="clear" w:color="auto" w:fill="auto"/>
            <w:noWrap/>
            <w:vAlign w:val="center"/>
            <w:hideMark/>
          </w:tcPr>
          <w:p w14:paraId="7E1EBC40" w14:textId="5D14BD7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74.2%</w:t>
            </w:r>
          </w:p>
        </w:tc>
        <w:tc>
          <w:tcPr>
            <w:tcW w:w="830" w:type="dxa"/>
            <w:tcBorders>
              <w:top w:val="nil"/>
              <w:left w:val="single" w:sz="4" w:space="0" w:color="auto"/>
              <w:bottom w:val="single" w:sz="4" w:space="0" w:color="auto"/>
              <w:right w:val="nil"/>
            </w:tcBorders>
            <w:shd w:val="clear" w:color="auto" w:fill="auto"/>
            <w:noWrap/>
            <w:vAlign w:val="center"/>
            <w:hideMark/>
          </w:tcPr>
          <w:p w14:paraId="7C28DB95" w14:textId="1C14E6EE"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74.3%</w:t>
            </w:r>
          </w:p>
        </w:tc>
        <w:tc>
          <w:tcPr>
            <w:tcW w:w="830" w:type="dxa"/>
            <w:tcBorders>
              <w:top w:val="nil"/>
              <w:left w:val="single" w:sz="4" w:space="0" w:color="auto"/>
              <w:bottom w:val="single" w:sz="4" w:space="0" w:color="auto"/>
              <w:right w:val="nil"/>
            </w:tcBorders>
            <w:shd w:val="clear" w:color="auto" w:fill="auto"/>
            <w:noWrap/>
            <w:vAlign w:val="center"/>
            <w:hideMark/>
          </w:tcPr>
          <w:p w14:paraId="467CD88B" w14:textId="405C4A1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56.7%</w:t>
            </w:r>
          </w:p>
        </w:tc>
        <w:tc>
          <w:tcPr>
            <w:tcW w:w="950" w:type="dxa"/>
            <w:tcBorders>
              <w:top w:val="nil"/>
              <w:left w:val="single" w:sz="4" w:space="0" w:color="auto"/>
              <w:bottom w:val="single" w:sz="4" w:space="0" w:color="auto"/>
              <w:right w:val="nil"/>
            </w:tcBorders>
            <w:shd w:val="clear" w:color="auto" w:fill="auto"/>
            <w:noWrap/>
            <w:vAlign w:val="center"/>
            <w:hideMark/>
          </w:tcPr>
          <w:p w14:paraId="3E8C1840" w14:textId="607C65EC"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81.0%</w:t>
            </w:r>
          </w:p>
        </w:tc>
        <w:tc>
          <w:tcPr>
            <w:tcW w:w="830" w:type="dxa"/>
            <w:tcBorders>
              <w:top w:val="nil"/>
              <w:left w:val="single" w:sz="4" w:space="0" w:color="auto"/>
              <w:bottom w:val="single" w:sz="4" w:space="0" w:color="auto"/>
              <w:right w:val="nil"/>
            </w:tcBorders>
            <w:shd w:val="clear" w:color="auto" w:fill="auto"/>
            <w:noWrap/>
            <w:vAlign w:val="center"/>
            <w:hideMark/>
          </w:tcPr>
          <w:p w14:paraId="1F8B1B3B" w14:textId="1A09BEA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73.5%</w:t>
            </w:r>
          </w:p>
        </w:tc>
        <w:tc>
          <w:tcPr>
            <w:tcW w:w="830" w:type="dxa"/>
            <w:tcBorders>
              <w:top w:val="nil"/>
              <w:left w:val="single" w:sz="4" w:space="0" w:color="auto"/>
              <w:bottom w:val="single" w:sz="4" w:space="0" w:color="auto"/>
              <w:right w:val="nil"/>
            </w:tcBorders>
            <w:shd w:val="clear" w:color="auto" w:fill="auto"/>
            <w:noWrap/>
            <w:vAlign w:val="center"/>
            <w:hideMark/>
          </w:tcPr>
          <w:p w14:paraId="36A060F4" w14:textId="1B2EF469"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75.9%</w:t>
            </w:r>
          </w:p>
        </w:tc>
        <w:tc>
          <w:tcPr>
            <w:tcW w:w="950" w:type="dxa"/>
            <w:tcBorders>
              <w:top w:val="nil"/>
              <w:left w:val="single" w:sz="4" w:space="0" w:color="auto"/>
              <w:bottom w:val="single" w:sz="4" w:space="0" w:color="auto"/>
              <w:right w:val="nil"/>
            </w:tcBorders>
            <w:shd w:val="clear" w:color="auto" w:fill="auto"/>
            <w:noWrap/>
            <w:vAlign w:val="center"/>
            <w:hideMark/>
          </w:tcPr>
          <w:p w14:paraId="41B44529" w14:textId="3C30D536"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77.1%</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3BCE0B8A" w14:textId="47BC285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70.3%</w:t>
            </w:r>
          </w:p>
        </w:tc>
      </w:tr>
      <w:tr w:rsidR="00EB785C" w:rsidRPr="0049778F" w14:paraId="28F65D46"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3619899B"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CDC</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0CC0DEEC" w14:textId="6A237B00" w:rsidR="00EB785C" w:rsidRPr="0049778F" w:rsidRDefault="00EB785C" w:rsidP="00EB785C">
            <w:pPr>
              <w:spacing w:after="0"/>
              <w:rPr>
                <w:rFonts w:eastAsia="Times New Roman" w:cs="Calibri"/>
                <w:sz w:val="18"/>
                <w:szCs w:val="18"/>
              </w:rPr>
            </w:pPr>
            <w:r w:rsidRPr="0049778F">
              <w:rPr>
                <w:rFonts w:eastAsia="Times New Roman" w:cs="Calibri"/>
                <w:sz w:val="18"/>
                <w:szCs w:val="18"/>
              </w:rPr>
              <w:t xml:space="preserve">Comprehensive Diabetes Care: </w:t>
            </w:r>
            <w:r w:rsidR="00142A4B">
              <w:rPr>
                <w:rFonts w:eastAsia="Times New Roman" w:cs="Calibri"/>
                <w:sz w:val="18"/>
                <w:szCs w:val="18"/>
              </w:rPr>
              <w:t>A1C</w:t>
            </w:r>
            <w:r w:rsidRPr="0049778F">
              <w:rPr>
                <w:rFonts w:eastAsia="Times New Roman" w:cs="Calibri"/>
                <w:sz w:val="18"/>
                <w:szCs w:val="18"/>
              </w:rPr>
              <w:t xml:space="preserve"> Poor Control (lower is better)</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hideMark/>
          </w:tcPr>
          <w:p w14:paraId="5E34AE84" w14:textId="39AF3966"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39.1%</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hideMark/>
          </w:tcPr>
          <w:p w14:paraId="2617F34B" w14:textId="4DA3DA5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40.9%</w:t>
            </w:r>
          </w:p>
        </w:tc>
        <w:tc>
          <w:tcPr>
            <w:tcW w:w="970" w:type="dxa"/>
            <w:tcBorders>
              <w:top w:val="nil"/>
              <w:left w:val="single" w:sz="4" w:space="0" w:color="auto"/>
              <w:bottom w:val="single" w:sz="4" w:space="0" w:color="auto"/>
              <w:right w:val="nil"/>
            </w:tcBorders>
            <w:shd w:val="clear" w:color="auto" w:fill="F2F2F2" w:themeFill="background1" w:themeFillShade="F2"/>
            <w:noWrap/>
            <w:vAlign w:val="center"/>
            <w:hideMark/>
          </w:tcPr>
          <w:p w14:paraId="7FDD48F4" w14:textId="3A236E77"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27.6%</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744A822" w14:textId="62398097"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FF304FB" w14:textId="505BB2D9"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912E8DA" w14:textId="51D89F4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57BBA9B" w14:textId="6CFC5A76"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6B283C2" w14:textId="05DB6E4C"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9756CD6" w14:textId="2F279448"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DD32E6" w14:textId="1CF3EE99"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r>
      <w:tr w:rsidR="00EB785C" w:rsidRPr="0049778F" w14:paraId="31EB3E33" w14:textId="77777777" w:rsidTr="001E0B3A">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0E65175B"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PCR-O/E</w:t>
            </w:r>
          </w:p>
        </w:tc>
        <w:tc>
          <w:tcPr>
            <w:tcW w:w="5853" w:type="dxa"/>
            <w:tcBorders>
              <w:top w:val="single" w:sz="12" w:space="0" w:color="auto"/>
              <w:left w:val="single" w:sz="12" w:space="0" w:color="auto"/>
              <w:bottom w:val="single" w:sz="12" w:space="0" w:color="auto"/>
              <w:right w:val="nil"/>
            </w:tcBorders>
            <w:shd w:val="clear" w:color="auto" w:fill="auto"/>
            <w:hideMark/>
          </w:tcPr>
          <w:p w14:paraId="573DB820" w14:textId="77777777" w:rsidR="00EB785C" w:rsidRPr="0049778F" w:rsidRDefault="00EB785C" w:rsidP="00EB785C">
            <w:pPr>
              <w:spacing w:after="0"/>
              <w:rPr>
                <w:rFonts w:eastAsia="Times New Roman" w:cs="Calibri"/>
                <w:sz w:val="18"/>
                <w:szCs w:val="18"/>
              </w:rPr>
            </w:pPr>
            <w:r w:rsidRPr="0049778F">
              <w:rPr>
                <w:rFonts w:eastAsia="Times New Roman" w:cs="Calibri"/>
                <w:sz w:val="18"/>
                <w:szCs w:val="18"/>
              </w:rPr>
              <w:t>Plan All-Cause Readmissions (observed to expected ratio)</w:t>
            </w:r>
          </w:p>
        </w:tc>
        <w:tc>
          <w:tcPr>
            <w:tcW w:w="864" w:type="dxa"/>
            <w:tcBorders>
              <w:top w:val="nil"/>
              <w:left w:val="single" w:sz="4" w:space="0" w:color="auto"/>
              <w:bottom w:val="single" w:sz="4" w:space="0" w:color="auto"/>
              <w:right w:val="nil"/>
            </w:tcBorders>
            <w:shd w:val="clear" w:color="auto" w:fill="auto"/>
            <w:vAlign w:val="center"/>
            <w:hideMark/>
          </w:tcPr>
          <w:p w14:paraId="75CD9B0F" w14:textId="28E560CC"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0.8838</w:t>
            </w:r>
          </w:p>
        </w:tc>
        <w:tc>
          <w:tcPr>
            <w:tcW w:w="864" w:type="dxa"/>
            <w:tcBorders>
              <w:top w:val="nil"/>
              <w:left w:val="single" w:sz="4" w:space="0" w:color="auto"/>
              <w:bottom w:val="single" w:sz="4" w:space="0" w:color="auto"/>
              <w:right w:val="nil"/>
            </w:tcBorders>
            <w:shd w:val="clear" w:color="auto" w:fill="auto"/>
            <w:noWrap/>
            <w:vAlign w:val="center"/>
            <w:hideMark/>
          </w:tcPr>
          <w:p w14:paraId="6BC27CD1" w14:textId="7FD45AD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0.8806</w:t>
            </w:r>
          </w:p>
        </w:tc>
        <w:tc>
          <w:tcPr>
            <w:tcW w:w="970" w:type="dxa"/>
            <w:tcBorders>
              <w:top w:val="nil"/>
              <w:left w:val="single" w:sz="4" w:space="0" w:color="auto"/>
              <w:bottom w:val="single" w:sz="4" w:space="0" w:color="auto"/>
              <w:right w:val="nil"/>
            </w:tcBorders>
            <w:shd w:val="clear" w:color="auto" w:fill="auto"/>
            <w:noWrap/>
            <w:vAlign w:val="center"/>
            <w:hideMark/>
          </w:tcPr>
          <w:p w14:paraId="1F3B4D32" w14:textId="57D4F6A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0.8996</w:t>
            </w:r>
          </w:p>
        </w:tc>
        <w:tc>
          <w:tcPr>
            <w:tcW w:w="830" w:type="dxa"/>
            <w:tcBorders>
              <w:top w:val="nil"/>
              <w:left w:val="single" w:sz="4" w:space="0" w:color="auto"/>
              <w:bottom w:val="single" w:sz="4" w:space="0" w:color="auto"/>
              <w:right w:val="nil"/>
            </w:tcBorders>
            <w:shd w:val="clear" w:color="auto" w:fill="auto"/>
            <w:noWrap/>
            <w:vAlign w:val="center"/>
            <w:hideMark/>
          </w:tcPr>
          <w:p w14:paraId="410D46F7" w14:textId="2B836234"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0.9028</w:t>
            </w:r>
          </w:p>
        </w:tc>
        <w:tc>
          <w:tcPr>
            <w:tcW w:w="830" w:type="dxa"/>
            <w:tcBorders>
              <w:top w:val="nil"/>
              <w:left w:val="single" w:sz="4" w:space="0" w:color="auto"/>
              <w:bottom w:val="single" w:sz="4" w:space="0" w:color="auto"/>
              <w:right w:val="nil"/>
            </w:tcBorders>
            <w:shd w:val="clear" w:color="auto" w:fill="auto"/>
            <w:noWrap/>
            <w:vAlign w:val="center"/>
            <w:hideMark/>
          </w:tcPr>
          <w:p w14:paraId="3568365E" w14:textId="45242FEA"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1.1718</w:t>
            </w:r>
          </w:p>
        </w:tc>
        <w:tc>
          <w:tcPr>
            <w:tcW w:w="950" w:type="dxa"/>
            <w:tcBorders>
              <w:top w:val="nil"/>
              <w:left w:val="single" w:sz="4" w:space="0" w:color="auto"/>
              <w:bottom w:val="single" w:sz="4" w:space="0" w:color="auto"/>
              <w:right w:val="nil"/>
            </w:tcBorders>
            <w:shd w:val="clear" w:color="auto" w:fill="auto"/>
            <w:noWrap/>
            <w:vAlign w:val="center"/>
            <w:hideMark/>
          </w:tcPr>
          <w:p w14:paraId="79FA764F" w14:textId="2822AE6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0.7050</w:t>
            </w:r>
          </w:p>
        </w:tc>
        <w:tc>
          <w:tcPr>
            <w:tcW w:w="830" w:type="dxa"/>
            <w:tcBorders>
              <w:top w:val="nil"/>
              <w:left w:val="single" w:sz="4" w:space="0" w:color="auto"/>
              <w:bottom w:val="single" w:sz="4" w:space="0" w:color="auto"/>
              <w:right w:val="nil"/>
            </w:tcBorders>
            <w:shd w:val="clear" w:color="auto" w:fill="auto"/>
            <w:noWrap/>
            <w:vAlign w:val="center"/>
            <w:hideMark/>
          </w:tcPr>
          <w:p w14:paraId="18999D74" w14:textId="709CB185"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0.5304</w:t>
            </w:r>
          </w:p>
        </w:tc>
        <w:tc>
          <w:tcPr>
            <w:tcW w:w="830" w:type="dxa"/>
            <w:tcBorders>
              <w:top w:val="nil"/>
              <w:left w:val="single" w:sz="4" w:space="0" w:color="auto"/>
              <w:bottom w:val="single" w:sz="4" w:space="0" w:color="auto"/>
              <w:right w:val="nil"/>
            </w:tcBorders>
            <w:shd w:val="clear" w:color="auto" w:fill="auto"/>
            <w:noWrap/>
            <w:vAlign w:val="center"/>
            <w:hideMark/>
          </w:tcPr>
          <w:p w14:paraId="583A1C38" w14:textId="7D7644A8"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0.9599</w:t>
            </w:r>
          </w:p>
        </w:tc>
        <w:tc>
          <w:tcPr>
            <w:tcW w:w="950" w:type="dxa"/>
            <w:tcBorders>
              <w:top w:val="nil"/>
              <w:left w:val="single" w:sz="4" w:space="0" w:color="auto"/>
              <w:bottom w:val="single" w:sz="4" w:space="0" w:color="auto"/>
              <w:right w:val="nil"/>
            </w:tcBorders>
            <w:shd w:val="clear" w:color="auto" w:fill="auto"/>
            <w:noWrap/>
            <w:vAlign w:val="center"/>
            <w:hideMark/>
          </w:tcPr>
          <w:p w14:paraId="48596935" w14:textId="2E364933"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0.7113</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2926006E" w14:textId="504C18BE"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0.5967</w:t>
            </w:r>
          </w:p>
        </w:tc>
      </w:tr>
      <w:tr w:rsidR="00EB785C" w:rsidRPr="0049778F" w14:paraId="3A4346A8" w14:textId="77777777" w:rsidTr="00273F52">
        <w:trPr>
          <w:trHeight w:val="78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tcPr>
          <w:p w14:paraId="7A3FF371" w14:textId="550DD1C2"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IET-I</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tcPr>
          <w:p w14:paraId="026B3CED" w14:textId="533FA411" w:rsidR="00EB785C" w:rsidRPr="0049778F" w:rsidRDefault="00EB785C" w:rsidP="00EB785C">
            <w:pPr>
              <w:spacing w:after="0"/>
              <w:rPr>
                <w:rFonts w:eastAsia="Times New Roman" w:cs="Calibri"/>
                <w:sz w:val="18"/>
                <w:szCs w:val="18"/>
              </w:rPr>
            </w:pPr>
            <w:r w:rsidRPr="0049778F">
              <w:rPr>
                <w:rFonts w:cs="Calibri"/>
                <w:sz w:val="18"/>
                <w:szCs w:val="18"/>
              </w:rPr>
              <w:t>Initiation and Engagement of Alcohol, Opioid, or Other Drug Abuse or Dependence Treatment (Initiation)</w:t>
            </w:r>
          </w:p>
        </w:tc>
        <w:tc>
          <w:tcPr>
            <w:tcW w:w="864" w:type="dxa"/>
            <w:tcBorders>
              <w:top w:val="nil"/>
              <w:left w:val="single" w:sz="4" w:space="0" w:color="auto"/>
              <w:bottom w:val="single" w:sz="4" w:space="0" w:color="auto"/>
              <w:right w:val="nil"/>
            </w:tcBorders>
            <w:shd w:val="clear" w:color="auto" w:fill="F2F2F2" w:themeFill="background1" w:themeFillShade="F2"/>
            <w:vAlign w:val="center"/>
          </w:tcPr>
          <w:p w14:paraId="670D01C6" w14:textId="125E089E" w:rsidR="00EB785C" w:rsidRPr="0049778F" w:rsidRDefault="00EB785C" w:rsidP="00EB785C">
            <w:pPr>
              <w:spacing w:after="0"/>
              <w:jc w:val="center"/>
              <w:rPr>
                <w:rFonts w:cs="Calibri"/>
                <w:color w:val="000000"/>
                <w:sz w:val="18"/>
                <w:szCs w:val="18"/>
              </w:rPr>
            </w:pPr>
            <w:r w:rsidRPr="0049778F">
              <w:rPr>
                <w:rFonts w:cs="Calibri"/>
                <w:color w:val="000000"/>
                <w:sz w:val="18"/>
                <w:szCs w:val="18"/>
              </w:rPr>
              <w:t>41.7%</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tcPr>
          <w:p w14:paraId="7909F32D" w14:textId="3C7D55D6" w:rsidR="00EB785C" w:rsidRPr="0049778F" w:rsidRDefault="00EB785C" w:rsidP="00EB785C">
            <w:pPr>
              <w:spacing w:after="0"/>
              <w:jc w:val="center"/>
              <w:rPr>
                <w:rFonts w:cs="Calibri"/>
                <w:color w:val="000000"/>
                <w:sz w:val="18"/>
                <w:szCs w:val="18"/>
              </w:rPr>
            </w:pPr>
            <w:r w:rsidRPr="0049778F">
              <w:rPr>
                <w:rFonts w:cs="Calibri"/>
                <w:color w:val="000000"/>
                <w:sz w:val="18"/>
                <w:szCs w:val="18"/>
              </w:rPr>
              <w:t>41.6%</w:t>
            </w:r>
          </w:p>
        </w:tc>
        <w:tc>
          <w:tcPr>
            <w:tcW w:w="970" w:type="dxa"/>
            <w:tcBorders>
              <w:top w:val="nil"/>
              <w:left w:val="single" w:sz="4" w:space="0" w:color="auto"/>
              <w:bottom w:val="single" w:sz="4" w:space="0" w:color="auto"/>
              <w:right w:val="nil"/>
            </w:tcBorders>
            <w:shd w:val="clear" w:color="auto" w:fill="F2F2F2" w:themeFill="background1" w:themeFillShade="F2"/>
            <w:noWrap/>
            <w:vAlign w:val="center"/>
          </w:tcPr>
          <w:p w14:paraId="0DC30BEC" w14:textId="2F52D4AD" w:rsidR="00EB785C" w:rsidRPr="0049778F" w:rsidRDefault="00EB785C" w:rsidP="00EB785C">
            <w:pPr>
              <w:spacing w:after="0"/>
              <w:jc w:val="center"/>
              <w:rPr>
                <w:rFonts w:cs="Calibri"/>
                <w:color w:val="000000"/>
                <w:sz w:val="18"/>
                <w:szCs w:val="18"/>
              </w:rPr>
            </w:pPr>
            <w:r w:rsidRPr="0049778F">
              <w:rPr>
                <w:rFonts w:cs="Calibri"/>
                <w:color w:val="000000"/>
                <w:sz w:val="18"/>
                <w:szCs w:val="18"/>
              </w:rPr>
              <w:t>42.6%</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tcPr>
          <w:p w14:paraId="0EAD18E8" w14:textId="17B5B3D6"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tcPr>
          <w:p w14:paraId="21A12A4A" w14:textId="30C0DB0E"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950" w:type="dxa"/>
            <w:tcBorders>
              <w:top w:val="nil"/>
              <w:left w:val="single" w:sz="4" w:space="0" w:color="auto"/>
              <w:bottom w:val="single" w:sz="4" w:space="0" w:color="auto"/>
              <w:right w:val="nil"/>
            </w:tcBorders>
            <w:shd w:val="clear" w:color="auto" w:fill="A6A6A6" w:themeFill="background1" w:themeFillShade="A6"/>
            <w:noWrap/>
            <w:vAlign w:val="center"/>
          </w:tcPr>
          <w:p w14:paraId="3EE02097" w14:textId="71A07868"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tcPr>
          <w:p w14:paraId="374F142D" w14:textId="34382332"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tcPr>
          <w:p w14:paraId="6FC5DB96" w14:textId="68AB00EA"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950" w:type="dxa"/>
            <w:tcBorders>
              <w:top w:val="nil"/>
              <w:left w:val="single" w:sz="4" w:space="0" w:color="auto"/>
              <w:bottom w:val="single" w:sz="4" w:space="0" w:color="auto"/>
              <w:right w:val="nil"/>
            </w:tcBorders>
            <w:shd w:val="clear" w:color="auto" w:fill="A6A6A6" w:themeFill="background1" w:themeFillShade="A6"/>
            <w:noWrap/>
            <w:vAlign w:val="center"/>
          </w:tcPr>
          <w:p w14:paraId="1485F026" w14:textId="034F035A"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double" w:sz="6" w:space="0" w:color="auto"/>
            </w:tcBorders>
            <w:shd w:val="clear" w:color="auto" w:fill="A6A6A6" w:themeFill="background1" w:themeFillShade="A6"/>
            <w:noWrap/>
            <w:vAlign w:val="center"/>
          </w:tcPr>
          <w:p w14:paraId="715A8F95" w14:textId="09404E38" w:rsidR="00EB785C" w:rsidRPr="0049778F" w:rsidRDefault="00EB785C" w:rsidP="00EB785C">
            <w:pPr>
              <w:spacing w:after="0"/>
              <w:jc w:val="center"/>
              <w:rPr>
                <w:rFonts w:cs="Calibri"/>
                <w:color w:val="000000"/>
                <w:sz w:val="18"/>
                <w:szCs w:val="18"/>
              </w:rPr>
            </w:pPr>
            <w:r w:rsidRPr="0049778F">
              <w:rPr>
                <w:rFonts w:cs="Calibri"/>
                <w:color w:val="000000"/>
                <w:sz w:val="18"/>
                <w:szCs w:val="18"/>
              </w:rPr>
              <w:t> </w:t>
            </w:r>
          </w:p>
        </w:tc>
      </w:tr>
      <w:tr w:rsidR="00EB785C" w:rsidRPr="0049778F" w14:paraId="118ED9D2" w14:textId="77777777" w:rsidTr="00273F52">
        <w:trPr>
          <w:trHeight w:val="78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28BDF3E2"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IET-E</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1A41F846" w14:textId="36ED5621" w:rsidR="00EB785C" w:rsidRPr="0049778F" w:rsidRDefault="00EB785C" w:rsidP="00EB785C">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(Engagement)</w:t>
            </w:r>
          </w:p>
        </w:tc>
        <w:tc>
          <w:tcPr>
            <w:tcW w:w="864" w:type="dxa"/>
            <w:tcBorders>
              <w:top w:val="nil"/>
              <w:left w:val="single" w:sz="4" w:space="0" w:color="auto"/>
              <w:bottom w:val="single" w:sz="4" w:space="0" w:color="auto"/>
              <w:right w:val="nil"/>
            </w:tcBorders>
            <w:shd w:val="clear" w:color="auto" w:fill="F2F2F2" w:themeFill="background1" w:themeFillShade="F2"/>
            <w:vAlign w:val="center"/>
            <w:hideMark/>
          </w:tcPr>
          <w:p w14:paraId="6FDE60BB" w14:textId="0186E324"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12.3%</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hideMark/>
          </w:tcPr>
          <w:p w14:paraId="4131D4D4" w14:textId="45A8788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12.0%</w:t>
            </w:r>
          </w:p>
        </w:tc>
        <w:tc>
          <w:tcPr>
            <w:tcW w:w="970" w:type="dxa"/>
            <w:tcBorders>
              <w:top w:val="nil"/>
              <w:left w:val="single" w:sz="4" w:space="0" w:color="auto"/>
              <w:bottom w:val="single" w:sz="4" w:space="0" w:color="auto"/>
              <w:right w:val="nil"/>
            </w:tcBorders>
            <w:shd w:val="clear" w:color="auto" w:fill="F2F2F2" w:themeFill="background1" w:themeFillShade="F2"/>
            <w:noWrap/>
            <w:vAlign w:val="center"/>
            <w:hideMark/>
          </w:tcPr>
          <w:p w14:paraId="2FBE9C43" w14:textId="5049A119"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14.5%</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hideMark/>
          </w:tcPr>
          <w:p w14:paraId="3E7D889D" w14:textId="6A711C0B"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hideMark/>
          </w:tcPr>
          <w:p w14:paraId="70EEB371" w14:textId="128BD6F7"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nil"/>
              <w:left w:val="single" w:sz="4" w:space="0" w:color="auto"/>
              <w:bottom w:val="single" w:sz="4" w:space="0" w:color="auto"/>
              <w:right w:val="nil"/>
            </w:tcBorders>
            <w:shd w:val="clear" w:color="auto" w:fill="A6A6A6" w:themeFill="background1" w:themeFillShade="A6"/>
            <w:noWrap/>
            <w:vAlign w:val="center"/>
            <w:hideMark/>
          </w:tcPr>
          <w:p w14:paraId="1066F00A" w14:textId="537C0AE9"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hideMark/>
          </w:tcPr>
          <w:p w14:paraId="58135805" w14:textId="272102B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6A6A6" w:themeFill="background1" w:themeFillShade="A6"/>
            <w:noWrap/>
            <w:vAlign w:val="center"/>
            <w:hideMark/>
          </w:tcPr>
          <w:p w14:paraId="79248DFB" w14:textId="5DE9461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nil"/>
              <w:left w:val="single" w:sz="4" w:space="0" w:color="auto"/>
              <w:bottom w:val="single" w:sz="4" w:space="0" w:color="auto"/>
              <w:right w:val="nil"/>
            </w:tcBorders>
            <w:shd w:val="clear" w:color="auto" w:fill="A6A6A6" w:themeFill="background1" w:themeFillShade="A6"/>
            <w:noWrap/>
            <w:vAlign w:val="center"/>
            <w:hideMark/>
          </w:tcPr>
          <w:p w14:paraId="0A67D20B" w14:textId="3B40ABE8"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nil"/>
              <w:left w:val="single" w:sz="4" w:space="0" w:color="auto"/>
              <w:bottom w:val="single" w:sz="4" w:space="0" w:color="auto"/>
              <w:right w:val="double" w:sz="6" w:space="0" w:color="auto"/>
            </w:tcBorders>
            <w:shd w:val="clear" w:color="auto" w:fill="A6A6A6" w:themeFill="background1" w:themeFillShade="A6"/>
            <w:noWrap/>
            <w:vAlign w:val="center"/>
            <w:hideMark/>
          </w:tcPr>
          <w:p w14:paraId="4BF1AD36" w14:textId="6552E5E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r>
      <w:tr w:rsidR="00EB785C" w:rsidRPr="0049778F" w14:paraId="2AA47E12"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304701AA"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FUH-7</w:t>
            </w:r>
          </w:p>
        </w:tc>
        <w:tc>
          <w:tcPr>
            <w:tcW w:w="5853" w:type="dxa"/>
            <w:tcBorders>
              <w:top w:val="single" w:sz="12" w:space="0" w:color="auto"/>
              <w:left w:val="single" w:sz="12" w:space="0" w:color="auto"/>
              <w:bottom w:val="single" w:sz="12" w:space="0" w:color="auto"/>
              <w:right w:val="nil"/>
            </w:tcBorders>
            <w:shd w:val="clear" w:color="auto" w:fill="auto"/>
            <w:hideMark/>
          </w:tcPr>
          <w:p w14:paraId="2F17AF53" w14:textId="77777777" w:rsidR="00EB785C" w:rsidRPr="0049778F" w:rsidRDefault="00EB785C" w:rsidP="00EB785C">
            <w:pPr>
              <w:spacing w:after="0"/>
              <w:rPr>
                <w:rFonts w:eastAsia="Times New Roman" w:cs="Calibri"/>
                <w:sz w:val="18"/>
                <w:szCs w:val="18"/>
              </w:rPr>
            </w:pPr>
            <w:r w:rsidRPr="0049778F">
              <w:rPr>
                <w:rFonts w:eastAsia="Times New Roman" w:cs="Calibri"/>
                <w:sz w:val="18"/>
                <w:szCs w:val="18"/>
              </w:rPr>
              <w:t>Follow-Up After Hospitalization for Mental Illness (7 days)</w:t>
            </w:r>
          </w:p>
        </w:tc>
        <w:tc>
          <w:tcPr>
            <w:tcW w:w="864" w:type="dxa"/>
            <w:tcBorders>
              <w:top w:val="nil"/>
              <w:left w:val="single" w:sz="4" w:space="0" w:color="auto"/>
              <w:bottom w:val="single" w:sz="4" w:space="0" w:color="auto"/>
              <w:right w:val="nil"/>
            </w:tcBorders>
            <w:shd w:val="clear" w:color="auto" w:fill="auto"/>
            <w:noWrap/>
            <w:vAlign w:val="center"/>
            <w:hideMark/>
          </w:tcPr>
          <w:p w14:paraId="3AADD174" w14:textId="0612BBE2"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42.9%</w:t>
            </w:r>
          </w:p>
        </w:tc>
        <w:tc>
          <w:tcPr>
            <w:tcW w:w="864" w:type="dxa"/>
            <w:tcBorders>
              <w:top w:val="nil"/>
              <w:left w:val="single" w:sz="4" w:space="0" w:color="auto"/>
              <w:bottom w:val="single" w:sz="4" w:space="0" w:color="auto"/>
              <w:right w:val="nil"/>
            </w:tcBorders>
            <w:shd w:val="clear" w:color="auto" w:fill="auto"/>
            <w:noWrap/>
            <w:vAlign w:val="center"/>
            <w:hideMark/>
          </w:tcPr>
          <w:p w14:paraId="394921DD" w14:textId="0182C903"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41.6%</w:t>
            </w:r>
          </w:p>
        </w:tc>
        <w:tc>
          <w:tcPr>
            <w:tcW w:w="970" w:type="dxa"/>
            <w:tcBorders>
              <w:top w:val="nil"/>
              <w:left w:val="single" w:sz="4" w:space="0" w:color="auto"/>
              <w:bottom w:val="single" w:sz="4" w:space="0" w:color="auto"/>
              <w:right w:val="nil"/>
            </w:tcBorders>
            <w:shd w:val="clear" w:color="auto" w:fill="auto"/>
            <w:noWrap/>
            <w:vAlign w:val="center"/>
            <w:hideMark/>
          </w:tcPr>
          <w:p w14:paraId="45A4E324" w14:textId="17462F7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51.6%</w:t>
            </w:r>
          </w:p>
        </w:tc>
        <w:tc>
          <w:tcPr>
            <w:tcW w:w="830" w:type="dxa"/>
            <w:tcBorders>
              <w:top w:val="nil"/>
              <w:left w:val="single" w:sz="4" w:space="0" w:color="auto"/>
              <w:bottom w:val="single" w:sz="4" w:space="0" w:color="auto"/>
              <w:right w:val="nil"/>
            </w:tcBorders>
            <w:shd w:val="clear" w:color="auto" w:fill="auto"/>
            <w:noWrap/>
            <w:vAlign w:val="center"/>
            <w:hideMark/>
          </w:tcPr>
          <w:p w14:paraId="61AABD55" w14:textId="4BE79317"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36.8%</w:t>
            </w:r>
          </w:p>
        </w:tc>
        <w:tc>
          <w:tcPr>
            <w:tcW w:w="830" w:type="dxa"/>
            <w:tcBorders>
              <w:top w:val="nil"/>
              <w:left w:val="single" w:sz="4" w:space="0" w:color="auto"/>
              <w:bottom w:val="single" w:sz="4" w:space="0" w:color="auto"/>
              <w:right w:val="nil"/>
            </w:tcBorders>
            <w:shd w:val="clear" w:color="auto" w:fill="auto"/>
            <w:noWrap/>
            <w:vAlign w:val="center"/>
            <w:hideMark/>
          </w:tcPr>
          <w:p w14:paraId="6E2E5D3D" w14:textId="1BF9F04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single" w:sz="4" w:space="0" w:color="auto"/>
              <w:bottom w:val="single" w:sz="4" w:space="0" w:color="auto"/>
              <w:right w:val="nil"/>
            </w:tcBorders>
            <w:shd w:val="clear" w:color="auto" w:fill="auto"/>
            <w:noWrap/>
            <w:vAlign w:val="center"/>
            <w:hideMark/>
          </w:tcPr>
          <w:p w14:paraId="03BBD491" w14:textId="1945280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33.3%</w:t>
            </w:r>
          </w:p>
        </w:tc>
        <w:tc>
          <w:tcPr>
            <w:tcW w:w="830" w:type="dxa"/>
            <w:tcBorders>
              <w:top w:val="nil"/>
              <w:left w:val="single" w:sz="4" w:space="0" w:color="auto"/>
              <w:bottom w:val="single" w:sz="4" w:space="0" w:color="auto"/>
              <w:right w:val="nil"/>
            </w:tcBorders>
            <w:shd w:val="clear" w:color="auto" w:fill="auto"/>
            <w:noWrap/>
            <w:vAlign w:val="center"/>
            <w:hideMark/>
          </w:tcPr>
          <w:p w14:paraId="57D66543" w14:textId="167A746A"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46.0%</w:t>
            </w:r>
          </w:p>
        </w:tc>
        <w:tc>
          <w:tcPr>
            <w:tcW w:w="830" w:type="dxa"/>
            <w:tcBorders>
              <w:top w:val="nil"/>
              <w:left w:val="single" w:sz="4" w:space="0" w:color="auto"/>
              <w:bottom w:val="single" w:sz="4" w:space="0" w:color="auto"/>
              <w:right w:val="nil"/>
            </w:tcBorders>
            <w:shd w:val="clear" w:color="auto" w:fill="auto"/>
            <w:noWrap/>
            <w:vAlign w:val="center"/>
            <w:hideMark/>
          </w:tcPr>
          <w:p w14:paraId="56F7AA15" w14:textId="50B49997"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35.9%</w:t>
            </w:r>
          </w:p>
        </w:tc>
        <w:tc>
          <w:tcPr>
            <w:tcW w:w="950" w:type="dxa"/>
            <w:tcBorders>
              <w:top w:val="nil"/>
              <w:left w:val="single" w:sz="4" w:space="0" w:color="auto"/>
              <w:bottom w:val="single" w:sz="4" w:space="0" w:color="auto"/>
              <w:right w:val="nil"/>
            </w:tcBorders>
            <w:shd w:val="clear" w:color="auto" w:fill="auto"/>
            <w:noWrap/>
            <w:vAlign w:val="center"/>
            <w:hideMark/>
          </w:tcPr>
          <w:p w14:paraId="7644D34C" w14:textId="185D4982"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45.7%</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496B0B7C" w14:textId="33401888"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23.3%</w:t>
            </w:r>
          </w:p>
        </w:tc>
      </w:tr>
      <w:tr w:rsidR="00EB785C" w:rsidRPr="0049778F" w14:paraId="113841C2"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03855335"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FUM-7</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2CD5C37D" w14:textId="77777777" w:rsidR="00EB785C" w:rsidRPr="0049778F" w:rsidRDefault="00EB785C" w:rsidP="00EB785C">
            <w:pPr>
              <w:spacing w:after="0"/>
              <w:rPr>
                <w:rFonts w:eastAsia="Times New Roman" w:cs="Calibri"/>
                <w:sz w:val="18"/>
                <w:szCs w:val="18"/>
              </w:rPr>
            </w:pPr>
            <w:r w:rsidRPr="0049778F">
              <w:rPr>
                <w:rFonts w:eastAsia="Times New Roman" w:cs="Calibri"/>
                <w:sz w:val="18"/>
                <w:szCs w:val="18"/>
              </w:rPr>
              <w:t>Follow-Up After Emergency Department Visit for Mental Illness (7 days)</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hideMark/>
          </w:tcPr>
          <w:p w14:paraId="1FB964D5" w14:textId="5846B3FA"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77.2%</w:t>
            </w:r>
          </w:p>
        </w:tc>
        <w:tc>
          <w:tcPr>
            <w:tcW w:w="864" w:type="dxa"/>
            <w:tcBorders>
              <w:top w:val="nil"/>
              <w:left w:val="single" w:sz="4" w:space="0" w:color="auto"/>
              <w:bottom w:val="single" w:sz="4" w:space="0" w:color="auto"/>
              <w:right w:val="nil"/>
            </w:tcBorders>
            <w:shd w:val="clear" w:color="auto" w:fill="F2F2F2" w:themeFill="background1" w:themeFillShade="F2"/>
            <w:noWrap/>
            <w:vAlign w:val="center"/>
            <w:hideMark/>
          </w:tcPr>
          <w:p w14:paraId="265E11BA" w14:textId="043E7154"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76.9%</w:t>
            </w:r>
          </w:p>
        </w:tc>
        <w:tc>
          <w:tcPr>
            <w:tcW w:w="970" w:type="dxa"/>
            <w:tcBorders>
              <w:top w:val="nil"/>
              <w:left w:val="single" w:sz="4" w:space="0" w:color="auto"/>
              <w:bottom w:val="single" w:sz="4" w:space="0" w:color="auto"/>
              <w:right w:val="nil"/>
            </w:tcBorders>
            <w:shd w:val="clear" w:color="auto" w:fill="F2F2F2" w:themeFill="background1" w:themeFillShade="F2"/>
            <w:noWrap/>
            <w:vAlign w:val="center"/>
            <w:hideMark/>
          </w:tcPr>
          <w:p w14:paraId="01DAD7F4" w14:textId="7030B104"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79.8%</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39B54C7" w14:textId="06EC03E0"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910256C" w14:textId="4334F065"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B786385" w14:textId="04015FC4"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48EC381" w14:textId="406EF01A"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3EEEBB4" w14:textId="77CC57FA"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FD528F0" w14:textId="4E11896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906324" w14:textId="40EB63B8"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 </w:t>
            </w:r>
          </w:p>
        </w:tc>
      </w:tr>
      <w:tr w:rsidR="00EB785C" w:rsidRPr="0049778F" w14:paraId="6852391B"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363F75AF" w14:textId="77777777" w:rsidR="00EB785C" w:rsidRPr="0049778F" w:rsidRDefault="00EB785C" w:rsidP="00EB785C">
            <w:pPr>
              <w:spacing w:after="0"/>
              <w:jc w:val="center"/>
              <w:rPr>
                <w:rFonts w:eastAsia="Times New Roman" w:cs="Calibri"/>
                <w:color w:val="000000"/>
                <w:sz w:val="18"/>
                <w:szCs w:val="18"/>
              </w:rPr>
            </w:pPr>
            <w:r w:rsidRPr="0049778F">
              <w:rPr>
                <w:rFonts w:eastAsia="Times New Roman" w:cs="Calibri"/>
                <w:color w:val="000000"/>
                <w:sz w:val="18"/>
                <w:szCs w:val="18"/>
              </w:rPr>
              <w:t>FUH-30</w:t>
            </w:r>
          </w:p>
        </w:tc>
        <w:tc>
          <w:tcPr>
            <w:tcW w:w="5853" w:type="dxa"/>
            <w:tcBorders>
              <w:top w:val="single" w:sz="12" w:space="0" w:color="auto"/>
              <w:left w:val="single" w:sz="12" w:space="0" w:color="auto"/>
              <w:bottom w:val="single" w:sz="12" w:space="0" w:color="auto"/>
              <w:right w:val="nil"/>
            </w:tcBorders>
            <w:shd w:val="clear" w:color="auto" w:fill="auto"/>
            <w:hideMark/>
          </w:tcPr>
          <w:p w14:paraId="3B929BFB" w14:textId="77777777" w:rsidR="00EB785C" w:rsidRPr="0049778F" w:rsidRDefault="00EB785C" w:rsidP="00EB785C">
            <w:pPr>
              <w:spacing w:after="0"/>
              <w:rPr>
                <w:rFonts w:eastAsia="Times New Roman" w:cs="Calibri"/>
                <w:sz w:val="18"/>
                <w:szCs w:val="18"/>
              </w:rPr>
            </w:pPr>
            <w:r w:rsidRPr="0049778F">
              <w:rPr>
                <w:rFonts w:eastAsia="Times New Roman" w:cs="Calibri"/>
                <w:sz w:val="18"/>
                <w:szCs w:val="18"/>
              </w:rPr>
              <w:t>Follow-Up After Hospitalization for Mental Illness (30 days)</w:t>
            </w:r>
          </w:p>
        </w:tc>
        <w:tc>
          <w:tcPr>
            <w:tcW w:w="864" w:type="dxa"/>
            <w:tcBorders>
              <w:top w:val="nil"/>
              <w:left w:val="single" w:sz="4" w:space="0" w:color="auto"/>
              <w:bottom w:val="single" w:sz="4" w:space="0" w:color="auto"/>
              <w:right w:val="nil"/>
            </w:tcBorders>
            <w:shd w:val="clear" w:color="auto" w:fill="auto"/>
            <w:vAlign w:val="center"/>
            <w:hideMark/>
          </w:tcPr>
          <w:p w14:paraId="0276CB1F" w14:textId="15F70B8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72.9%</w:t>
            </w:r>
          </w:p>
        </w:tc>
        <w:tc>
          <w:tcPr>
            <w:tcW w:w="864" w:type="dxa"/>
            <w:tcBorders>
              <w:top w:val="nil"/>
              <w:left w:val="single" w:sz="4" w:space="0" w:color="auto"/>
              <w:bottom w:val="single" w:sz="4" w:space="0" w:color="auto"/>
              <w:right w:val="nil"/>
            </w:tcBorders>
            <w:shd w:val="clear" w:color="auto" w:fill="auto"/>
            <w:noWrap/>
            <w:vAlign w:val="center"/>
            <w:hideMark/>
          </w:tcPr>
          <w:p w14:paraId="225B1D0F" w14:textId="62A7576B"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72.1%</w:t>
            </w:r>
          </w:p>
        </w:tc>
        <w:tc>
          <w:tcPr>
            <w:tcW w:w="970" w:type="dxa"/>
            <w:tcBorders>
              <w:top w:val="nil"/>
              <w:left w:val="single" w:sz="4" w:space="0" w:color="auto"/>
              <w:bottom w:val="single" w:sz="4" w:space="0" w:color="auto"/>
              <w:right w:val="nil"/>
            </w:tcBorders>
            <w:shd w:val="clear" w:color="auto" w:fill="auto"/>
            <w:noWrap/>
            <w:vAlign w:val="center"/>
            <w:hideMark/>
          </w:tcPr>
          <w:p w14:paraId="1C769628" w14:textId="2934F0C1"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78.3%</w:t>
            </w:r>
          </w:p>
        </w:tc>
        <w:tc>
          <w:tcPr>
            <w:tcW w:w="830" w:type="dxa"/>
            <w:tcBorders>
              <w:top w:val="nil"/>
              <w:left w:val="single" w:sz="4" w:space="0" w:color="auto"/>
              <w:bottom w:val="single" w:sz="4" w:space="0" w:color="auto"/>
              <w:right w:val="nil"/>
            </w:tcBorders>
            <w:shd w:val="clear" w:color="auto" w:fill="auto"/>
            <w:noWrap/>
            <w:vAlign w:val="center"/>
            <w:hideMark/>
          </w:tcPr>
          <w:p w14:paraId="0C6B2E83" w14:textId="2A73B94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65.0%</w:t>
            </w:r>
          </w:p>
        </w:tc>
        <w:tc>
          <w:tcPr>
            <w:tcW w:w="830" w:type="dxa"/>
            <w:tcBorders>
              <w:top w:val="nil"/>
              <w:left w:val="single" w:sz="4" w:space="0" w:color="auto"/>
              <w:bottom w:val="single" w:sz="4" w:space="0" w:color="auto"/>
              <w:right w:val="nil"/>
            </w:tcBorders>
            <w:shd w:val="clear" w:color="auto" w:fill="auto"/>
            <w:noWrap/>
            <w:vAlign w:val="center"/>
            <w:hideMark/>
          </w:tcPr>
          <w:p w14:paraId="06E410FD" w14:textId="58DB66E5"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single" w:sz="4" w:space="0" w:color="auto"/>
              <w:bottom w:val="single" w:sz="4" w:space="0" w:color="auto"/>
              <w:right w:val="nil"/>
            </w:tcBorders>
            <w:shd w:val="clear" w:color="auto" w:fill="auto"/>
            <w:noWrap/>
            <w:vAlign w:val="center"/>
            <w:hideMark/>
          </w:tcPr>
          <w:p w14:paraId="766C72A1" w14:textId="558269CD"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68.6%</w:t>
            </w:r>
          </w:p>
        </w:tc>
        <w:tc>
          <w:tcPr>
            <w:tcW w:w="830" w:type="dxa"/>
            <w:tcBorders>
              <w:top w:val="nil"/>
              <w:left w:val="single" w:sz="4" w:space="0" w:color="auto"/>
              <w:bottom w:val="single" w:sz="4" w:space="0" w:color="auto"/>
              <w:right w:val="nil"/>
            </w:tcBorders>
            <w:shd w:val="clear" w:color="auto" w:fill="auto"/>
            <w:noWrap/>
            <w:vAlign w:val="center"/>
            <w:hideMark/>
          </w:tcPr>
          <w:p w14:paraId="39767796" w14:textId="32D5D17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72.0%</w:t>
            </w:r>
          </w:p>
        </w:tc>
        <w:tc>
          <w:tcPr>
            <w:tcW w:w="830" w:type="dxa"/>
            <w:tcBorders>
              <w:top w:val="nil"/>
              <w:left w:val="single" w:sz="4" w:space="0" w:color="auto"/>
              <w:bottom w:val="single" w:sz="4" w:space="0" w:color="auto"/>
              <w:right w:val="nil"/>
            </w:tcBorders>
            <w:shd w:val="clear" w:color="auto" w:fill="auto"/>
            <w:noWrap/>
            <w:vAlign w:val="center"/>
            <w:hideMark/>
          </w:tcPr>
          <w:p w14:paraId="10D67AF4" w14:textId="621983F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59.0%</w:t>
            </w:r>
          </w:p>
        </w:tc>
        <w:tc>
          <w:tcPr>
            <w:tcW w:w="950" w:type="dxa"/>
            <w:tcBorders>
              <w:top w:val="nil"/>
              <w:left w:val="single" w:sz="4" w:space="0" w:color="auto"/>
              <w:bottom w:val="single" w:sz="4" w:space="0" w:color="auto"/>
              <w:right w:val="nil"/>
            </w:tcBorders>
            <w:shd w:val="clear" w:color="auto" w:fill="auto"/>
            <w:noWrap/>
            <w:vAlign w:val="center"/>
            <w:hideMark/>
          </w:tcPr>
          <w:p w14:paraId="0F37A4BB" w14:textId="2A99BBAF"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68.6%</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64B7555A" w14:textId="37995F95" w:rsidR="00EB785C" w:rsidRPr="0049778F" w:rsidRDefault="00EB785C" w:rsidP="00EB785C">
            <w:pPr>
              <w:spacing w:after="0"/>
              <w:jc w:val="center"/>
              <w:rPr>
                <w:rFonts w:eastAsia="Times New Roman" w:cs="Calibri"/>
                <w:color w:val="000000"/>
                <w:sz w:val="18"/>
                <w:szCs w:val="18"/>
              </w:rPr>
            </w:pPr>
            <w:r w:rsidRPr="0049778F">
              <w:rPr>
                <w:rFonts w:cs="Calibri"/>
                <w:color w:val="000000"/>
                <w:sz w:val="18"/>
                <w:szCs w:val="18"/>
              </w:rPr>
              <w:t>55.8%</w:t>
            </w:r>
          </w:p>
        </w:tc>
      </w:tr>
      <w:tr w:rsidR="00893148" w:rsidRPr="0049778F" w14:paraId="1C344DE1" w14:textId="77777777" w:rsidTr="00273F52">
        <w:trPr>
          <w:trHeight w:val="375"/>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3565B1BA"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COL</w:t>
            </w:r>
          </w:p>
        </w:tc>
        <w:tc>
          <w:tcPr>
            <w:tcW w:w="5853"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195FFC26"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Colorectal Cancer Screening</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258ED8A" w14:textId="47B76FD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89D6F4B" w14:textId="4A65766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AC377DF" w14:textId="7ABFDF7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7DA87F1" w14:textId="4E29EB4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80.5%</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259E11E7" w14:textId="7E2F32A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68.5%</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3C218D3B" w14:textId="005AA33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80.4%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E33E0C1" w14:textId="360D174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66.1%</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57424186" w14:textId="51D167B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84.2%</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23D8A3CC" w14:textId="12F21C7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75.8%</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49109516" w14:textId="1FEEA7F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82.5%</w:t>
            </w:r>
          </w:p>
        </w:tc>
      </w:tr>
      <w:tr w:rsidR="00893148" w:rsidRPr="0049778F" w14:paraId="4766D7BD"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1D9C5EE6"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PBH</w:t>
            </w:r>
          </w:p>
        </w:tc>
        <w:tc>
          <w:tcPr>
            <w:tcW w:w="5853" w:type="dxa"/>
            <w:tcBorders>
              <w:top w:val="single" w:sz="12" w:space="0" w:color="auto"/>
              <w:left w:val="single" w:sz="12" w:space="0" w:color="auto"/>
              <w:bottom w:val="single" w:sz="12" w:space="0" w:color="auto"/>
              <w:right w:val="single" w:sz="4" w:space="0" w:color="auto"/>
            </w:tcBorders>
            <w:shd w:val="clear" w:color="auto" w:fill="auto"/>
            <w:hideMark/>
          </w:tcPr>
          <w:p w14:paraId="12F14CD6"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Persistence of Beta Blocker Treatment After Heart Attack</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E1D78D2" w14:textId="2B1C882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BB0EA47" w14:textId="1A4EC22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D188567" w14:textId="600FCF7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20C29191" w14:textId="6F314ED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97.4%</w:t>
            </w:r>
          </w:p>
        </w:tc>
        <w:tc>
          <w:tcPr>
            <w:tcW w:w="830" w:type="dxa"/>
            <w:tcBorders>
              <w:top w:val="nil"/>
              <w:left w:val="nil"/>
              <w:bottom w:val="single" w:sz="4" w:space="0" w:color="auto"/>
              <w:right w:val="single" w:sz="4" w:space="0" w:color="auto"/>
            </w:tcBorders>
            <w:shd w:val="clear" w:color="auto" w:fill="auto"/>
            <w:noWrap/>
            <w:vAlign w:val="center"/>
            <w:hideMark/>
          </w:tcPr>
          <w:p w14:paraId="635736A6" w14:textId="1AA0364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nil"/>
              <w:bottom w:val="single" w:sz="4" w:space="0" w:color="auto"/>
              <w:right w:val="single" w:sz="4" w:space="0" w:color="auto"/>
            </w:tcBorders>
            <w:shd w:val="clear" w:color="auto" w:fill="auto"/>
            <w:noWrap/>
            <w:vAlign w:val="center"/>
            <w:hideMark/>
          </w:tcPr>
          <w:p w14:paraId="23D86961" w14:textId="0B0EFDF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auto"/>
            <w:noWrap/>
            <w:vAlign w:val="center"/>
            <w:hideMark/>
          </w:tcPr>
          <w:p w14:paraId="404F775E" w14:textId="02F2AEC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auto"/>
            <w:noWrap/>
            <w:vAlign w:val="center"/>
            <w:hideMark/>
          </w:tcPr>
          <w:p w14:paraId="43A335C7" w14:textId="238CCE4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nil"/>
              <w:bottom w:val="single" w:sz="4" w:space="0" w:color="auto"/>
              <w:right w:val="single" w:sz="4" w:space="0" w:color="auto"/>
            </w:tcBorders>
            <w:shd w:val="clear" w:color="auto" w:fill="auto"/>
            <w:noWrap/>
            <w:vAlign w:val="center"/>
            <w:hideMark/>
          </w:tcPr>
          <w:p w14:paraId="6752EAF5" w14:textId="06BB650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00" w:type="dxa"/>
            <w:tcBorders>
              <w:top w:val="nil"/>
              <w:left w:val="nil"/>
              <w:bottom w:val="single" w:sz="4" w:space="0" w:color="auto"/>
              <w:right w:val="double" w:sz="6" w:space="0" w:color="auto"/>
            </w:tcBorders>
            <w:shd w:val="clear" w:color="auto" w:fill="auto"/>
            <w:noWrap/>
            <w:vAlign w:val="center"/>
            <w:hideMark/>
          </w:tcPr>
          <w:p w14:paraId="730CA6C5" w14:textId="4DD67B7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93.8%</w:t>
            </w:r>
          </w:p>
        </w:tc>
      </w:tr>
      <w:tr w:rsidR="00893148" w:rsidRPr="0049778F" w14:paraId="59BD3CD4"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4F6F5762"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PCE-C</w:t>
            </w:r>
          </w:p>
        </w:tc>
        <w:tc>
          <w:tcPr>
            <w:tcW w:w="5853"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hideMark/>
          </w:tcPr>
          <w:p w14:paraId="7D782FC0"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Pharmacotherapy Management of COPD Exacerbation Corticosteroids</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6CCE133" w14:textId="1CD1ECE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CE80C28" w14:textId="2CA963A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D27684B" w14:textId="3C11D16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1BD8F890" w14:textId="7410C2C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78.2%</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DC474C4" w14:textId="33DDBE1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87.9%</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24C075D8" w14:textId="636CC93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73.7%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0675B604" w14:textId="649F601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76.3%</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CD4630F" w14:textId="0128578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80.1%</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2AE92BB7" w14:textId="69291A0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78.9%</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4E3EC94C" w14:textId="51AA59E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79.9%</w:t>
            </w:r>
          </w:p>
        </w:tc>
      </w:tr>
      <w:tr w:rsidR="00893148" w:rsidRPr="0049778F" w14:paraId="1A96F072"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4BD37126"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PCE-B</w:t>
            </w:r>
          </w:p>
        </w:tc>
        <w:tc>
          <w:tcPr>
            <w:tcW w:w="5853" w:type="dxa"/>
            <w:tcBorders>
              <w:top w:val="single" w:sz="12" w:space="0" w:color="auto"/>
              <w:left w:val="single" w:sz="12" w:space="0" w:color="auto"/>
              <w:bottom w:val="single" w:sz="12" w:space="0" w:color="auto"/>
              <w:right w:val="single" w:sz="4" w:space="0" w:color="auto"/>
            </w:tcBorders>
            <w:shd w:val="clear" w:color="auto" w:fill="auto"/>
            <w:hideMark/>
          </w:tcPr>
          <w:p w14:paraId="09A89A5F"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Pharmacotherapy Management of COPD Exacerbation Bronchodilators</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436E0A4" w14:textId="2709BE0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854BAE8" w14:textId="7BF82E2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593537D" w14:textId="2F0F494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FF6A9E4" w14:textId="4EC5D05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90.0%</w:t>
            </w:r>
          </w:p>
        </w:tc>
        <w:tc>
          <w:tcPr>
            <w:tcW w:w="830" w:type="dxa"/>
            <w:tcBorders>
              <w:top w:val="nil"/>
              <w:left w:val="nil"/>
              <w:bottom w:val="single" w:sz="4" w:space="0" w:color="auto"/>
              <w:right w:val="single" w:sz="4" w:space="0" w:color="auto"/>
            </w:tcBorders>
            <w:shd w:val="clear" w:color="auto" w:fill="auto"/>
            <w:noWrap/>
            <w:vAlign w:val="center"/>
            <w:hideMark/>
          </w:tcPr>
          <w:p w14:paraId="44E0749B" w14:textId="476C3EB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97.0%</w:t>
            </w:r>
          </w:p>
        </w:tc>
        <w:tc>
          <w:tcPr>
            <w:tcW w:w="950" w:type="dxa"/>
            <w:tcBorders>
              <w:top w:val="nil"/>
              <w:left w:val="nil"/>
              <w:bottom w:val="single" w:sz="4" w:space="0" w:color="auto"/>
              <w:right w:val="single" w:sz="4" w:space="0" w:color="auto"/>
            </w:tcBorders>
            <w:shd w:val="clear" w:color="auto" w:fill="auto"/>
            <w:noWrap/>
            <w:vAlign w:val="center"/>
            <w:hideMark/>
          </w:tcPr>
          <w:p w14:paraId="71E643E9" w14:textId="2420216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94.2%</w:t>
            </w:r>
          </w:p>
        </w:tc>
        <w:tc>
          <w:tcPr>
            <w:tcW w:w="830" w:type="dxa"/>
            <w:tcBorders>
              <w:top w:val="nil"/>
              <w:left w:val="nil"/>
              <w:bottom w:val="single" w:sz="4" w:space="0" w:color="auto"/>
              <w:right w:val="single" w:sz="4" w:space="0" w:color="auto"/>
            </w:tcBorders>
            <w:shd w:val="clear" w:color="auto" w:fill="auto"/>
            <w:noWrap/>
            <w:vAlign w:val="center"/>
            <w:hideMark/>
          </w:tcPr>
          <w:p w14:paraId="29C8272D" w14:textId="51199EC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84.0%</w:t>
            </w:r>
          </w:p>
        </w:tc>
        <w:tc>
          <w:tcPr>
            <w:tcW w:w="830" w:type="dxa"/>
            <w:tcBorders>
              <w:top w:val="nil"/>
              <w:left w:val="nil"/>
              <w:bottom w:val="single" w:sz="4" w:space="0" w:color="auto"/>
              <w:right w:val="single" w:sz="4" w:space="0" w:color="auto"/>
            </w:tcBorders>
            <w:shd w:val="clear" w:color="auto" w:fill="auto"/>
            <w:noWrap/>
            <w:vAlign w:val="center"/>
            <w:hideMark/>
          </w:tcPr>
          <w:p w14:paraId="7E93A19E" w14:textId="3819A99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89.0%</w:t>
            </w:r>
          </w:p>
        </w:tc>
        <w:tc>
          <w:tcPr>
            <w:tcW w:w="950" w:type="dxa"/>
            <w:tcBorders>
              <w:top w:val="nil"/>
              <w:left w:val="nil"/>
              <w:bottom w:val="single" w:sz="4" w:space="0" w:color="auto"/>
              <w:right w:val="single" w:sz="4" w:space="0" w:color="auto"/>
            </w:tcBorders>
            <w:shd w:val="clear" w:color="auto" w:fill="auto"/>
            <w:noWrap/>
            <w:vAlign w:val="center"/>
            <w:hideMark/>
          </w:tcPr>
          <w:p w14:paraId="00AC140D" w14:textId="5A77499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88.6%</w:t>
            </w:r>
          </w:p>
        </w:tc>
        <w:tc>
          <w:tcPr>
            <w:tcW w:w="900" w:type="dxa"/>
            <w:tcBorders>
              <w:top w:val="nil"/>
              <w:left w:val="nil"/>
              <w:bottom w:val="single" w:sz="4" w:space="0" w:color="auto"/>
              <w:right w:val="double" w:sz="6" w:space="0" w:color="auto"/>
            </w:tcBorders>
            <w:shd w:val="clear" w:color="auto" w:fill="auto"/>
            <w:noWrap/>
            <w:vAlign w:val="center"/>
            <w:hideMark/>
          </w:tcPr>
          <w:p w14:paraId="6489EEB1" w14:textId="3C6BC5D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91.2%</w:t>
            </w:r>
          </w:p>
        </w:tc>
      </w:tr>
      <w:tr w:rsidR="00893148" w:rsidRPr="0049778F" w14:paraId="5F482515"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2B92F2D2"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lastRenderedPageBreak/>
              <w:t>SPR</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3F7A3EFA"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Use of Spirometry Testing in the Assessment and Diagnosis of COPD</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FCECABF" w14:textId="2502C82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B44D7A1" w14:textId="1424F3C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B1117F4" w14:textId="57759E8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9D0A4A9" w14:textId="7421824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27.4%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449CA00" w14:textId="528B586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7DD73D56" w14:textId="7AA81FC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28.6%</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558F631" w14:textId="657DBB1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22.7%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00E989A6" w14:textId="14E6A0C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24.5%</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1A526299" w14:textId="406127A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36.7%</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659D5163" w14:textId="7CCF7FD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29.6%</w:t>
            </w:r>
          </w:p>
        </w:tc>
      </w:tr>
      <w:tr w:rsidR="00893148" w:rsidRPr="0049778F" w14:paraId="14CEBAA8" w14:textId="77777777" w:rsidTr="00273F52">
        <w:trPr>
          <w:trHeight w:val="528"/>
        </w:trPr>
        <w:tc>
          <w:tcPr>
            <w:tcW w:w="1234" w:type="dxa"/>
            <w:tcBorders>
              <w:top w:val="single" w:sz="12" w:space="0" w:color="auto"/>
              <w:left w:val="double" w:sz="6" w:space="0" w:color="auto"/>
              <w:bottom w:val="single" w:sz="12" w:space="0" w:color="auto"/>
              <w:right w:val="single" w:sz="12" w:space="0" w:color="auto"/>
            </w:tcBorders>
            <w:shd w:val="clear" w:color="auto" w:fill="auto"/>
            <w:noWrap/>
            <w:hideMark/>
          </w:tcPr>
          <w:p w14:paraId="6DC37E2D"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TRC</w:t>
            </w:r>
          </w:p>
        </w:tc>
        <w:tc>
          <w:tcPr>
            <w:tcW w:w="5853" w:type="dxa"/>
            <w:tcBorders>
              <w:top w:val="single" w:sz="12" w:space="0" w:color="auto"/>
              <w:left w:val="single" w:sz="12" w:space="0" w:color="auto"/>
              <w:bottom w:val="single" w:sz="12" w:space="0" w:color="auto"/>
              <w:right w:val="nil"/>
            </w:tcBorders>
            <w:shd w:val="clear" w:color="auto" w:fill="auto"/>
            <w:hideMark/>
          </w:tcPr>
          <w:p w14:paraId="7FCC8598"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Transitions of Care: Medication Reconciliation Post Discharge</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42E2528" w14:textId="31C03C7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95462FF" w14:textId="1FFD2B3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566A6F5" w14:textId="4AF7433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1E1FC213" w14:textId="05CC8AD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65.9%</w:t>
            </w:r>
          </w:p>
        </w:tc>
        <w:tc>
          <w:tcPr>
            <w:tcW w:w="830" w:type="dxa"/>
            <w:tcBorders>
              <w:top w:val="nil"/>
              <w:left w:val="nil"/>
              <w:bottom w:val="single" w:sz="4" w:space="0" w:color="auto"/>
              <w:right w:val="single" w:sz="4" w:space="0" w:color="auto"/>
            </w:tcBorders>
            <w:shd w:val="clear" w:color="auto" w:fill="auto"/>
            <w:noWrap/>
            <w:vAlign w:val="center"/>
            <w:hideMark/>
          </w:tcPr>
          <w:p w14:paraId="436507CD" w14:textId="3CD0AF7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73.7%</w:t>
            </w:r>
          </w:p>
        </w:tc>
        <w:tc>
          <w:tcPr>
            <w:tcW w:w="950" w:type="dxa"/>
            <w:tcBorders>
              <w:top w:val="nil"/>
              <w:left w:val="nil"/>
              <w:bottom w:val="single" w:sz="4" w:space="0" w:color="auto"/>
              <w:right w:val="single" w:sz="4" w:space="0" w:color="auto"/>
            </w:tcBorders>
            <w:shd w:val="clear" w:color="auto" w:fill="auto"/>
            <w:noWrap/>
            <w:vAlign w:val="center"/>
            <w:hideMark/>
          </w:tcPr>
          <w:p w14:paraId="15E92675" w14:textId="0C461C8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70.8%</w:t>
            </w:r>
          </w:p>
        </w:tc>
        <w:tc>
          <w:tcPr>
            <w:tcW w:w="830" w:type="dxa"/>
            <w:tcBorders>
              <w:top w:val="nil"/>
              <w:left w:val="nil"/>
              <w:bottom w:val="single" w:sz="4" w:space="0" w:color="auto"/>
              <w:right w:val="single" w:sz="4" w:space="0" w:color="auto"/>
            </w:tcBorders>
            <w:shd w:val="clear" w:color="auto" w:fill="auto"/>
            <w:noWrap/>
            <w:vAlign w:val="center"/>
            <w:hideMark/>
          </w:tcPr>
          <w:p w14:paraId="2C7507F5" w14:textId="42A7E6F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87.0%</w:t>
            </w:r>
          </w:p>
        </w:tc>
        <w:tc>
          <w:tcPr>
            <w:tcW w:w="830" w:type="dxa"/>
            <w:tcBorders>
              <w:top w:val="nil"/>
              <w:left w:val="nil"/>
              <w:bottom w:val="single" w:sz="4" w:space="0" w:color="auto"/>
              <w:right w:val="single" w:sz="4" w:space="0" w:color="auto"/>
            </w:tcBorders>
            <w:shd w:val="clear" w:color="auto" w:fill="auto"/>
            <w:noWrap/>
            <w:vAlign w:val="center"/>
            <w:hideMark/>
          </w:tcPr>
          <w:p w14:paraId="20BF1759" w14:textId="500FF13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69.3%</w:t>
            </w:r>
          </w:p>
        </w:tc>
        <w:tc>
          <w:tcPr>
            <w:tcW w:w="950" w:type="dxa"/>
            <w:tcBorders>
              <w:top w:val="nil"/>
              <w:left w:val="nil"/>
              <w:bottom w:val="single" w:sz="4" w:space="0" w:color="auto"/>
              <w:right w:val="single" w:sz="4" w:space="0" w:color="auto"/>
            </w:tcBorders>
            <w:shd w:val="clear" w:color="auto" w:fill="auto"/>
            <w:noWrap/>
            <w:vAlign w:val="center"/>
            <w:hideMark/>
          </w:tcPr>
          <w:p w14:paraId="5DEF86E6" w14:textId="1F951CB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59.4%</w:t>
            </w:r>
          </w:p>
        </w:tc>
        <w:tc>
          <w:tcPr>
            <w:tcW w:w="900" w:type="dxa"/>
            <w:tcBorders>
              <w:top w:val="nil"/>
              <w:left w:val="nil"/>
              <w:bottom w:val="single" w:sz="4" w:space="0" w:color="auto"/>
              <w:right w:val="double" w:sz="6" w:space="0" w:color="auto"/>
            </w:tcBorders>
            <w:shd w:val="clear" w:color="auto" w:fill="auto"/>
            <w:noWrap/>
            <w:vAlign w:val="center"/>
            <w:hideMark/>
          </w:tcPr>
          <w:p w14:paraId="49171007" w14:textId="39BDBB6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53.5%</w:t>
            </w:r>
          </w:p>
        </w:tc>
      </w:tr>
      <w:tr w:rsidR="00893148" w:rsidRPr="0049778F" w14:paraId="2FC848CB"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59DB77E7"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OMW</w:t>
            </w:r>
          </w:p>
        </w:tc>
        <w:tc>
          <w:tcPr>
            <w:tcW w:w="5853" w:type="dxa"/>
            <w:tcBorders>
              <w:top w:val="single" w:sz="12" w:space="0" w:color="auto"/>
              <w:left w:val="single" w:sz="12" w:space="0" w:color="auto"/>
              <w:bottom w:val="single" w:sz="12" w:space="0" w:color="auto"/>
              <w:right w:val="nil"/>
            </w:tcBorders>
            <w:shd w:val="clear" w:color="auto" w:fill="F2F2F2" w:themeFill="background1" w:themeFillShade="F2"/>
            <w:hideMark/>
          </w:tcPr>
          <w:p w14:paraId="5393AD96"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Osteoporosis Management in Women Who Had a Fracture</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3773712" w14:textId="6ABCF70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F8896BC" w14:textId="0A7D65A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60BAB65" w14:textId="141E8C2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8BB40B1" w14:textId="6A4423C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38.5%</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72ADC1EE" w14:textId="462F95F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F5BC6D" w14:textId="335AC25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43.2%</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44A69E8" w14:textId="6616C3F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35CDA79F" w14:textId="5CB2085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21.7%</w:t>
            </w:r>
          </w:p>
        </w:tc>
        <w:tc>
          <w:tcPr>
            <w:tcW w:w="950" w:type="dxa"/>
            <w:tcBorders>
              <w:top w:val="nil"/>
              <w:left w:val="nil"/>
              <w:bottom w:val="single" w:sz="4" w:space="0" w:color="auto"/>
              <w:right w:val="single" w:sz="4" w:space="0" w:color="auto"/>
            </w:tcBorders>
            <w:shd w:val="clear" w:color="auto" w:fill="F2F2F2" w:themeFill="background1" w:themeFillShade="F2"/>
            <w:noWrap/>
            <w:vAlign w:val="center"/>
            <w:hideMark/>
          </w:tcPr>
          <w:p w14:paraId="2DA45D66" w14:textId="7A46AD5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159FD558" w14:textId="7C34B98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42.6%</w:t>
            </w:r>
          </w:p>
        </w:tc>
      </w:tr>
      <w:tr w:rsidR="00893148" w:rsidRPr="0049778F" w14:paraId="1E09DB3F" w14:textId="77777777" w:rsidTr="00273F52">
        <w:trPr>
          <w:trHeight w:val="520"/>
        </w:trPr>
        <w:tc>
          <w:tcPr>
            <w:tcW w:w="1234" w:type="dxa"/>
            <w:tcBorders>
              <w:top w:val="single" w:sz="12" w:space="0" w:color="auto"/>
              <w:left w:val="double" w:sz="6" w:space="0" w:color="auto"/>
              <w:bottom w:val="single" w:sz="12" w:space="0" w:color="auto"/>
              <w:right w:val="single" w:sz="12" w:space="0" w:color="auto"/>
            </w:tcBorders>
            <w:shd w:val="clear" w:color="auto" w:fill="auto"/>
            <w:hideMark/>
          </w:tcPr>
          <w:p w14:paraId="319D5396"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FVO NQF0041</w:t>
            </w:r>
          </w:p>
        </w:tc>
        <w:tc>
          <w:tcPr>
            <w:tcW w:w="5853" w:type="dxa"/>
            <w:tcBorders>
              <w:top w:val="single" w:sz="12" w:space="0" w:color="auto"/>
              <w:left w:val="single" w:sz="12" w:space="0" w:color="auto"/>
              <w:bottom w:val="single" w:sz="12" w:space="0" w:color="auto"/>
              <w:right w:val="nil"/>
            </w:tcBorders>
            <w:shd w:val="clear" w:color="auto" w:fill="auto"/>
            <w:hideMark/>
          </w:tcPr>
          <w:p w14:paraId="7B9C7209"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Influenza Immunization (age 65+)</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BCFCD96" w14:textId="74A1CCA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E0ED952" w14:textId="712A0F9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AB3F2DD" w14:textId="4861149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3478B41F" w14:textId="3388F59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15A2C6B5" w14:textId="6DD6E4E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50" w:type="dxa"/>
            <w:tcBorders>
              <w:top w:val="nil"/>
              <w:left w:val="nil"/>
              <w:bottom w:val="single" w:sz="4" w:space="0" w:color="auto"/>
              <w:right w:val="single" w:sz="4" w:space="0" w:color="auto"/>
            </w:tcBorders>
            <w:shd w:val="clear" w:color="auto" w:fill="auto"/>
            <w:noWrap/>
            <w:vAlign w:val="center"/>
            <w:hideMark/>
          </w:tcPr>
          <w:p w14:paraId="20ADBF22" w14:textId="3106C09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448A49BA" w14:textId="6583E50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083B3E43" w14:textId="4CC3A5A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50" w:type="dxa"/>
            <w:tcBorders>
              <w:top w:val="nil"/>
              <w:left w:val="nil"/>
              <w:bottom w:val="single" w:sz="4" w:space="0" w:color="auto"/>
              <w:right w:val="single" w:sz="4" w:space="0" w:color="auto"/>
            </w:tcBorders>
            <w:shd w:val="clear" w:color="auto" w:fill="auto"/>
            <w:noWrap/>
            <w:vAlign w:val="center"/>
            <w:hideMark/>
          </w:tcPr>
          <w:p w14:paraId="63D05413" w14:textId="153537B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nil"/>
              <w:left w:val="nil"/>
              <w:bottom w:val="single" w:sz="4" w:space="0" w:color="auto"/>
              <w:right w:val="double" w:sz="6" w:space="0" w:color="auto"/>
            </w:tcBorders>
            <w:shd w:val="clear" w:color="auto" w:fill="auto"/>
            <w:noWrap/>
            <w:vAlign w:val="center"/>
            <w:hideMark/>
          </w:tcPr>
          <w:p w14:paraId="4A363E89" w14:textId="54D0895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r>
      <w:tr w:rsidR="00893148" w:rsidRPr="0049778F" w14:paraId="674CE0FD" w14:textId="77777777" w:rsidTr="00273F52">
        <w:trPr>
          <w:trHeight w:val="330"/>
        </w:trPr>
        <w:tc>
          <w:tcPr>
            <w:tcW w:w="1234" w:type="dxa"/>
            <w:tcBorders>
              <w:top w:val="single" w:sz="12" w:space="0" w:color="auto"/>
              <w:left w:val="double" w:sz="6" w:space="0" w:color="auto"/>
              <w:bottom w:val="double" w:sz="4" w:space="0" w:color="auto"/>
              <w:right w:val="single" w:sz="12" w:space="0" w:color="auto"/>
            </w:tcBorders>
            <w:shd w:val="clear" w:color="auto" w:fill="F2F2F2" w:themeFill="background1" w:themeFillShade="F2"/>
            <w:noWrap/>
            <w:hideMark/>
          </w:tcPr>
          <w:p w14:paraId="7B2CD2AE"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CMS127v9</w:t>
            </w:r>
          </w:p>
        </w:tc>
        <w:tc>
          <w:tcPr>
            <w:tcW w:w="5853" w:type="dxa"/>
            <w:tcBorders>
              <w:top w:val="single" w:sz="12" w:space="0" w:color="auto"/>
              <w:left w:val="single" w:sz="12" w:space="0" w:color="auto"/>
              <w:bottom w:val="double" w:sz="4" w:space="0" w:color="auto"/>
              <w:right w:val="nil"/>
            </w:tcBorders>
            <w:shd w:val="clear" w:color="auto" w:fill="F2F2F2" w:themeFill="background1" w:themeFillShade="F2"/>
            <w:hideMark/>
          </w:tcPr>
          <w:p w14:paraId="019B5267" w14:textId="77777777" w:rsidR="00893148" w:rsidRPr="0049778F" w:rsidRDefault="00893148" w:rsidP="00893148">
            <w:pPr>
              <w:spacing w:after="0"/>
              <w:rPr>
                <w:rFonts w:eastAsia="Times New Roman" w:cs="Calibri"/>
                <w:sz w:val="18"/>
                <w:szCs w:val="18"/>
              </w:rPr>
            </w:pPr>
            <w:r w:rsidRPr="0049778F">
              <w:rPr>
                <w:rFonts w:eastAsia="Times New Roman" w:cs="Calibri"/>
                <w:sz w:val="18"/>
                <w:szCs w:val="18"/>
              </w:rPr>
              <w:t>Pneumococcal Immunization</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EB4F031" w14:textId="0D12865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E6F592D" w14:textId="5A0C315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0BCDC54" w14:textId="7D9D936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785D5934" w14:textId="2FF896A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14:paraId="3034262A" w14:textId="5181E8A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50"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14:paraId="5BA8DFEA" w14:textId="1CBF0BF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14:paraId="78A2F8DC" w14:textId="2C03083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14:paraId="1F31FC7F" w14:textId="7CBBF4F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50" w:type="dxa"/>
            <w:tcBorders>
              <w:top w:val="single" w:sz="4" w:space="0" w:color="auto"/>
              <w:left w:val="nil"/>
              <w:bottom w:val="double" w:sz="4" w:space="0" w:color="auto"/>
              <w:right w:val="single" w:sz="4" w:space="0" w:color="auto"/>
            </w:tcBorders>
            <w:shd w:val="clear" w:color="auto" w:fill="F2F2F2" w:themeFill="background1" w:themeFillShade="F2"/>
            <w:noWrap/>
            <w:vAlign w:val="center"/>
            <w:hideMark/>
          </w:tcPr>
          <w:p w14:paraId="5BB04F41" w14:textId="4D1C1C9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single" w:sz="4" w:space="0" w:color="auto"/>
              <w:left w:val="nil"/>
              <w:bottom w:val="double" w:sz="4" w:space="0" w:color="auto"/>
              <w:right w:val="double" w:sz="6" w:space="0" w:color="auto"/>
            </w:tcBorders>
            <w:shd w:val="clear" w:color="auto" w:fill="F2F2F2" w:themeFill="background1" w:themeFillShade="F2"/>
            <w:noWrap/>
            <w:vAlign w:val="center"/>
            <w:hideMark/>
          </w:tcPr>
          <w:p w14:paraId="15DD5685" w14:textId="68248C0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r>
      <w:tr w:rsidR="00893148" w:rsidRPr="0049778F" w14:paraId="7794017D" w14:textId="77777777" w:rsidTr="00273F52">
        <w:trPr>
          <w:trHeight w:val="790"/>
        </w:trPr>
        <w:tc>
          <w:tcPr>
            <w:tcW w:w="1234" w:type="dxa"/>
            <w:tcBorders>
              <w:top w:val="double" w:sz="4" w:space="0" w:color="auto"/>
              <w:left w:val="double" w:sz="6" w:space="0" w:color="auto"/>
              <w:bottom w:val="single" w:sz="4" w:space="0" w:color="auto"/>
              <w:right w:val="single" w:sz="4" w:space="0" w:color="auto"/>
            </w:tcBorders>
            <w:shd w:val="clear" w:color="auto" w:fill="auto"/>
            <w:noWrap/>
            <w:hideMark/>
          </w:tcPr>
          <w:p w14:paraId="0B603E5A"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DDE</w:t>
            </w:r>
          </w:p>
        </w:tc>
        <w:tc>
          <w:tcPr>
            <w:tcW w:w="5853" w:type="dxa"/>
            <w:tcBorders>
              <w:top w:val="double" w:sz="4" w:space="0" w:color="auto"/>
              <w:left w:val="single" w:sz="4" w:space="0" w:color="auto"/>
              <w:bottom w:val="single" w:sz="4" w:space="0" w:color="auto"/>
              <w:right w:val="single" w:sz="4" w:space="0" w:color="auto"/>
            </w:tcBorders>
            <w:shd w:val="clear" w:color="auto" w:fill="auto"/>
            <w:hideMark/>
          </w:tcPr>
          <w:p w14:paraId="0644C084"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Potentially Harmful Drug Disease Interactions in the Elderly (total) (lower rate is better)</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69A35D0" w14:textId="299DCB6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50F2655" w14:textId="42EBF7B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13E6672" w14:textId="7E0349D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double" w:sz="4" w:space="0" w:color="auto"/>
              <w:left w:val="single" w:sz="4" w:space="0" w:color="auto"/>
              <w:bottom w:val="single" w:sz="4" w:space="0" w:color="auto"/>
              <w:right w:val="nil"/>
            </w:tcBorders>
            <w:shd w:val="clear" w:color="auto" w:fill="auto"/>
            <w:noWrap/>
            <w:vAlign w:val="center"/>
            <w:hideMark/>
          </w:tcPr>
          <w:p w14:paraId="71ECD58A" w14:textId="0A34991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46.1%</w:t>
            </w:r>
          </w:p>
        </w:tc>
        <w:tc>
          <w:tcPr>
            <w:tcW w:w="830" w:type="dxa"/>
            <w:tcBorders>
              <w:top w:val="double" w:sz="4" w:space="0" w:color="auto"/>
              <w:left w:val="single" w:sz="4" w:space="0" w:color="auto"/>
              <w:bottom w:val="single" w:sz="4" w:space="0" w:color="auto"/>
              <w:right w:val="nil"/>
            </w:tcBorders>
            <w:shd w:val="clear" w:color="auto" w:fill="auto"/>
            <w:noWrap/>
            <w:vAlign w:val="center"/>
            <w:hideMark/>
          </w:tcPr>
          <w:p w14:paraId="25C8FCD4" w14:textId="2E76A87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double" w:sz="4" w:space="0" w:color="auto"/>
              <w:left w:val="single" w:sz="4" w:space="0" w:color="auto"/>
              <w:bottom w:val="single" w:sz="4" w:space="0" w:color="auto"/>
              <w:right w:val="nil"/>
            </w:tcBorders>
            <w:shd w:val="clear" w:color="auto" w:fill="auto"/>
            <w:noWrap/>
            <w:vAlign w:val="center"/>
            <w:hideMark/>
          </w:tcPr>
          <w:p w14:paraId="2A9827DC" w14:textId="4BB205B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45.8%</w:t>
            </w:r>
          </w:p>
        </w:tc>
        <w:tc>
          <w:tcPr>
            <w:tcW w:w="830" w:type="dxa"/>
            <w:tcBorders>
              <w:top w:val="double" w:sz="4" w:space="0" w:color="auto"/>
              <w:left w:val="single" w:sz="4" w:space="0" w:color="auto"/>
              <w:bottom w:val="single" w:sz="4" w:space="0" w:color="auto"/>
              <w:right w:val="nil"/>
            </w:tcBorders>
            <w:shd w:val="clear" w:color="auto" w:fill="auto"/>
            <w:noWrap/>
            <w:vAlign w:val="center"/>
            <w:hideMark/>
          </w:tcPr>
          <w:p w14:paraId="2A3DEA68" w14:textId="0FF6588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52.3%</w:t>
            </w:r>
          </w:p>
        </w:tc>
        <w:tc>
          <w:tcPr>
            <w:tcW w:w="830" w:type="dxa"/>
            <w:tcBorders>
              <w:top w:val="double" w:sz="4" w:space="0" w:color="auto"/>
              <w:left w:val="single" w:sz="4" w:space="0" w:color="auto"/>
              <w:bottom w:val="single" w:sz="4" w:space="0" w:color="auto"/>
              <w:right w:val="nil"/>
            </w:tcBorders>
            <w:shd w:val="clear" w:color="auto" w:fill="auto"/>
            <w:noWrap/>
            <w:vAlign w:val="center"/>
            <w:hideMark/>
          </w:tcPr>
          <w:p w14:paraId="24565633" w14:textId="5A9FD15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44.9%</w:t>
            </w:r>
          </w:p>
        </w:tc>
        <w:tc>
          <w:tcPr>
            <w:tcW w:w="950" w:type="dxa"/>
            <w:tcBorders>
              <w:top w:val="double" w:sz="4" w:space="0" w:color="auto"/>
              <w:left w:val="single" w:sz="4" w:space="0" w:color="auto"/>
              <w:bottom w:val="single" w:sz="4" w:space="0" w:color="auto"/>
              <w:right w:val="nil"/>
            </w:tcBorders>
            <w:shd w:val="clear" w:color="auto" w:fill="auto"/>
            <w:noWrap/>
            <w:vAlign w:val="center"/>
            <w:hideMark/>
          </w:tcPr>
          <w:p w14:paraId="1F35A1C5" w14:textId="4BD1D3F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47.1%</w:t>
            </w:r>
          </w:p>
        </w:tc>
        <w:tc>
          <w:tcPr>
            <w:tcW w:w="900" w:type="dxa"/>
            <w:tcBorders>
              <w:top w:val="double" w:sz="4" w:space="0" w:color="auto"/>
              <w:left w:val="single" w:sz="4" w:space="0" w:color="auto"/>
              <w:bottom w:val="single" w:sz="4" w:space="0" w:color="auto"/>
              <w:right w:val="double" w:sz="6" w:space="0" w:color="auto"/>
            </w:tcBorders>
            <w:shd w:val="clear" w:color="auto" w:fill="auto"/>
            <w:noWrap/>
            <w:vAlign w:val="center"/>
            <w:hideMark/>
          </w:tcPr>
          <w:p w14:paraId="678BC1BB" w14:textId="4EBF438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44.8%</w:t>
            </w:r>
          </w:p>
        </w:tc>
      </w:tr>
      <w:tr w:rsidR="00893148" w:rsidRPr="0049778F" w14:paraId="5CFAFD14" w14:textId="77777777" w:rsidTr="00273F52">
        <w:trPr>
          <w:trHeight w:val="520"/>
        </w:trPr>
        <w:tc>
          <w:tcPr>
            <w:tcW w:w="1234"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040A2175"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DAE-1Rx</w:t>
            </w:r>
          </w:p>
        </w:tc>
        <w:tc>
          <w:tcPr>
            <w:tcW w:w="5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24186"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One RX</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888781D" w14:textId="3EFC425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674C07B" w14:textId="3E84BC1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809279F" w14:textId="3EAB905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41B8AF" w14:textId="17AEBFF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21.2%</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2E56D4B6" w14:textId="503310D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19.5%</w:t>
            </w:r>
          </w:p>
        </w:tc>
        <w:tc>
          <w:tcPr>
            <w:tcW w:w="950" w:type="dxa"/>
            <w:tcBorders>
              <w:top w:val="nil"/>
              <w:left w:val="nil"/>
              <w:bottom w:val="single" w:sz="4" w:space="0" w:color="auto"/>
              <w:right w:val="single" w:sz="4" w:space="0" w:color="auto"/>
            </w:tcBorders>
            <w:shd w:val="clear" w:color="auto" w:fill="F2F2F2" w:themeFill="background1" w:themeFillShade="F2"/>
            <w:noWrap/>
            <w:vAlign w:val="center"/>
            <w:hideMark/>
          </w:tcPr>
          <w:p w14:paraId="542B1A5E" w14:textId="4D783C7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19.6%</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149F673C" w14:textId="50325C5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23.8%</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42482F88" w14:textId="3FC5E9B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20.4%</w:t>
            </w:r>
          </w:p>
        </w:tc>
        <w:tc>
          <w:tcPr>
            <w:tcW w:w="950" w:type="dxa"/>
            <w:tcBorders>
              <w:top w:val="nil"/>
              <w:left w:val="nil"/>
              <w:bottom w:val="single" w:sz="4" w:space="0" w:color="auto"/>
              <w:right w:val="single" w:sz="4" w:space="0" w:color="auto"/>
            </w:tcBorders>
            <w:shd w:val="clear" w:color="auto" w:fill="F2F2F2" w:themeFill="background1" w:themeFillShade="F2"/>
            <w:noWrap/>
            <w:vAlign w:val="center"/>
            <w:hideMark/>
          </w:tcPr>
          <w:p w14:paraId="665439DD" w14:textId="1491430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17.2%</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483CBBBC" w14:textId="79A14C7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22.7%</w:t>
            </w:r>
          </w:p>
        </w:tc>
      </w:tr>
      <w:tr w:rsidR="00893148" w:rsidRPr="0049778F" w14:paraId="05B39A84" w14:textId="77777777" w:rsidTr="00273F52">
        <w:trPr>
          <w:trHeight w:val="520"/>
        </w:trPr>
        <w:tc>
          <w:tcPr>
            <w:tcW w:w="1234" w:type="dxa"/>
            <w:tcBorders>
              <w:top w:val="single" w:sz="4" w:space="0" w:color="auto"/>
              <w:left w:val="double" w:sz="6" w:space="0" w:color="auto"/>
              <w:bottom w:val="single" w:sz="4" w:space="0" w:color="auto"/>
              <w:right w:val="single" w:sz="4" w:space="0" w:color="auto"/>
            </w:tcBorders>
            <w:shd w:val="clear" w:color="auto" w:fill="auto"/>
            <w:noWrap/>
            <w:hideMark/>
          </w:tcPr>
          <w:p w14:paraId="23CBC3AE"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DAE-2Rx</w:t>
            </w:r>
          </w:p>
        </w:tc>
        <w:tc>
          <w:tcPr>
            <w:tcW w:w="5853" w:type="dxa"/>
            <w:tcBorders>
              <w:top w:val="single" w:sz="4" w:space="0" w:color="auto"/>
              <w:left w:val="single" w:sz="4" w:space="0" w:color="auto"/>
              <w:bottom w:val="single" w:sz="4" w:space="0" w:color="auto"/>
              <w:right w:val="single" w:sz="4" w:space="0" w:color="auto"/>
            </w:tcBorders>
            <w:shd w:val="clear" w:color="auto" w:fill="auto"/>
            <w:hideMark/>
          </w:tcPr>
          <w:p w14:paraId="5B1EB4C3"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Two RX</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40992C7" w14:textId="498E5EB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E50B263" w14:textId="5FB9C1D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8D84E7E" w14:textId="0E05FBB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D47F909" w14:textId="4E71C08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16.0%</w:t>
            </w:r>
          </w:p>
        </w:tc>
        <w:tc>
          <w:tcPr>
            <w:tcW w:w="830" w:type="dxa"/>
            <w:tcBorders>
              <w:top w:val="nil"/>
              <w:left w:val="nil"/>
              <w:bottom w:val="single" w:sz="4" w:space="0" w:color="auto"/>
              <w:right w:val="single" w:sz="4" w:space="0" w:color="auto"/>
            </w:tcBorders>
            <w:shd w:val="clear" w:color="auto" w:fill="auto"/>
            <w:noWrap/>
            <w:vAlign w:val="center"/>
            <w:hideMark/>
          </w:tcPr>
          <w:p w14:paraId="2D29B021" w14:textId="465C806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13.7%</w:t>
            </w:r>
          </w:p>
        </w:tc>
        <w:tc>
          <w:tcPr>
            <w:tcW w:w="950" w:type="dxa"/>
            <w:tcBorders>
              <w:top w:val="nil"/>
              <w:left w:val="nil"/>
              <w:bottom w:val="single" w:sz="4" w:space="0" w:color="auto"/>
              <w:right w:val="single" w:sz="4" w:space="0" w:color="auto"/>
            </w:tcBorders>
            <w:shd w:val="clear" w:color="auto" w:fill="auto"/>
            <w:noWrap/>
            <w:vAlign w:val="center"/>
            <w:hideMark/>
          </w:tcPr>
          <w:p w14:paraId="33569E02" w14:textId="128C91A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15.6%</w:t>
            </w:r>
          </w:p>
        </w:tc>
        <w:tc>
          <w:tcPr>
            <w:tcW w:w="830" w:type="dxa"/>
            <w:tcBorders>
              <w:top w:val="nil"/>
              <w:left w:val="nil"/>
              <w:bottom w:val="single" w:sz="4" w:space="0" w:color="auto"/>
              <w:right w:val="single" w:sz="4" w:space="0" w:color="auto"/>
            </w:tcBorders>
            <w:shd w:val="clear" w:color="auto" w:fill="auto"/>
            <w:noWrap/>
            <w:vAlign w:val="center"/>
            <w:hideMark/>
          </w:tcPr>
          <w:p w14:paraId="1CF87929" w14:textId="6ED1E02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20.3%</w:t>
            </w:r>
          </w:p>
        </w:tc>
        <w:tc>
          <w:tcPr>
            <w:tcW w:w="830" w:type="dxa"/>
            <w:tcBorders>
              <w:top w:val="nil"/>
              <w:left w:val="nil"/>
              <w:bottom w:val="single" w:sz="4" w:space="0" w:color="auto"/>
              <w:right w:val="single" w:sz="4" w:space="0" w:color="auto"/>
            </w:tcBorders>
            <w:shd w:val="clear" w:color="auto" w:fill="auto"/>
            <w:noWrap/>
            <w:vAlign w:val="center"/>
            <w:hideMark/>
          </w:tcPr>
          <w:p w14:paraId="034CE9D9" w14:textId="4CDFA34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15.0%</w:t>
            </w:r>
          </w:p>
        </w:tc>
        <w:tc>
          <w:tcPr>
            <w:tcW w:w="950" w:type="dxa"/>
            <w:tcBorders>
              <w:top w:val="nil"/>
              <w:left w:val="nil"/>
              <w:bottom w:val="single" w:sz="4" w:space="0" w:color="auto"/>
              <w:right w:val="single" w:sz="4" w:space="0" w:color="auto"/>
            </w:tcBorders>
            <w:shd w:val="clear" w:color="auto" w:fill="auto"/>
            <w:noWrap/>
            <w:vAlign w:val="center"/>
            <w:hideMark/>
          </w:tcPr>
          <w:p w14:paraId="38B3D60A" w14:textId="24ED17A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13.6%</w:t>
            </w:r>
          </w:p>
        </w:tc>
        <w:tc>
          <w:tcPr>
            <w:tcW w:w="900" w:type="dxa"/>
            <w:tcBorders>
              <w:top w:val="nil"/>
              <w:left w:val="nil"/>
              <w:bottom w:val="single" w:sz="4" w:space="0" w:color="auto"/>
              <w:right w:val="double" w:sz="6" w:space="0" w:color="auto"/>
            </w:tcBorders>
            <w:shd w:val="clear" w:color="auto" w:fill="auto"/>
            <w:noWrap/>
            <w:vAlign w:val="center"/>
            <w:hideMark/>
          </w:tcPr>
          <w:p w14:paraId="66271DEA" w14:textId="36DA647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16.3%</w:t>
            </w:r>
          </w:p>
        </w:tc>
      </w:tr>
      <w:tr w:rsidR="00893148" w:rsidRPr="0049778F" w14:paraId="790960F6" w14:textId="77777777" w:rsidTr="00273F52">
        <w:trPr>
          <w:trHeight w:val="520"/>
        </w:trPr>
        <w:tc>
          <w:tcPr>
            <w:tcW w:w="1234" w:type="dxa"/>
            <w:tcBorders>
              <w:top w:val="single" w:sz="4" w:space="0" w:color="auto"/>
              <w:left w:val="double" w:sz="6" w:space="0" w:color="auto"/>
              <w:bottom w:val="single" w:sz="4" w:space="0" w:color="auto"/>
              <w:right w:val="single" w:sz="4" w:space="0" w:color="auto"/>
            </w:tcBorders>
            <w:shd w:val="clear" w:color="auto" w:fill="auto"/>
            <w:noWrap/>
            <w:hideMark/>
          </w:tcPr>
          <w:p w14:paraId="48C52FEF"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AMM-A</w:t>
            </w:r>
          </w:p>
        </w:tc>
        <w:tc>
          <w:tcPr>
            <w:tcW w:w="5853" w:type="dxa"/>
            <w:tcBorders>
              <w:top w:val="single" w:sz="4" w:space="0" w:color="auto"/>
              <w:left w:val="single" w:sz="4" w:space="0" w:color="auto"/>
              <w:bottom w:val="single" w:sz="4" w:space="0" w:color="auto"/>
              <w:right w:val="single" w:sz="4" w:space="0" w:color="auto"/>
            </w:tcBorders>
            <w:shd w:val="clear" w:color="auto" w:fill="auto"/>
            <w:hideMark/>
          </w:tcPr>
          <w:p w14:paraId="4FCCD0D8"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Antidepressant Medication Management Acute</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F74D352" w14:textId="06ED0AA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FDBDD5C" w14:textId="77F3085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0C7F3E7" w14:textId="5A2AD19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uto"/>
            <w:noWrap/>
            <w:vAlign w:val="center"/>
            <w:hideMark/>
          </w:tcPr>
          <w:p w14:paraId="41E4CAD2" w14:textId="36146A9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70.4%</w:t>
            </w:r>
          </w:p>
        </w:tc>
        <w:tc>
          <w:tcPr>
            <w:tcW w:w="830" w:type="dxa"/>
            <w:tcBorders>
              <w:top w:val="nil"/>
              <w:left w:val="single" w:sz="4" w:space="0" w:color="auto"/>
              <w:bottom w:val="single" w:sz="4" w:space="0" w:color="auto"/>
              <w:right w:val="nil"/>
            </w:tcBorders>
            <w:shd w:val="clear" w:color="auto" w:fill="auto"/>
            <w:noWrap/>
            <w:vAlign w:val="center"/>
            <w:hideMark/>
          </w:tcPr>
          <w:p w14:paraId="0145B555" w14:textId="567C0C5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single" w:sz="4" w:space="0" w:color="auto"/>
              <w:bottom w:val="single" w:sz="4" w:space="0" w:color="auto"/>
              <w:right w:val="nil"/>
            </w:tcBorders>
            <w:shd w:val="clear" w:color="auto" w:fill="auto"/>
            <w:noWrap/>
            <w:vAlign w:val="center"/>
            <w:hideMark/>
          </w:tcPr>
          <w:p w14:paraId="6A4A2597" w14:textId="4859D5C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72.7%</w:t>
            </w:r>
          </w:p>
        </w:tc>
        <w:tc>
          <w:tcPr>
            <w:tcW w:w="830" w:type="dxa"/>
            <w:tcBorders>
              <w:top w:val="nil"/>
              <w:left w:val="single" w:sz="4" w:space="0" w:color="auto"/>
              <w:bottom w:val="single" w:sz="4" w:space="0" w:color="auto"/>
              <w:right w:val="nil"/>
            </w:tcBorders>
            <w:shd w:val="clear" w:color="auto" w:fill="auto"/>
            <w:noWrap/>
            <w:vAlign w:val="center"/>
            <w:hideMark/>
          </w:tcPr>
          <w:p w14:paraId="3990F609" w14:textId="315DC146"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71.7%</w:t>
            </w:r>
          </w:p>
        </w:tc>
        <w:tc>
          <w:tcPr>
            <w:tcW w:w="830" w:type="dxa"/>
            <w:tcBorders>
              <w:top w:val="nil"/>
              <w:left w:val="single" w:sz="4" w:space="0" w:color="auto"/>
              <w:bottom w:val="single" w:sz="4" w:space="0" w:color="auto"/>
              <w:right w:val="nil"/>
            </w:tcBorders>
            <w:shd w:val="clear" w:color="auto" w:fill="auto"/>
            <w:noWrap/>
            <w:vAlign w:val="center"/>
            <w:hideMark/>
          </w:tcPr>
          <w:p w14:paraId="093B96F5" w14:textId="5E2E7F6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72.5%</w:t>
            </w:r>
          </w:p>
        </w:tc>
        <w:tc>
          <w:tcPr>
            <w:tcW w:w="950" w:type="dxa"/>
            <w:tcBorders>
              <w:top w:val="nil"/>
              <w:left w:val="single" w:sz="4" w:space="0" w:color="auto"/>
              <w:bottom w:val="single" w:sz="4" w:space="0" w:color="auto"/>
              <w:right w:val="nil"/>
            </w:tcBorders>
            <w:shd w:val="clear" w:color="auto" w:fill="auto"/>
            <w:noWrap/>
            <w:vAlign w:val="center"/>
            <w:hideMark/>
          </w:tcPr>
          <w:p w14:paraId="4E1AE6C1" w14:textId="5D0B593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63.8%</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79136B54" w14:textId="59EE71F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68.6%</w:t>
            </w:r>
          </w:p>
        </w:tc>
      </w:tr>
      <w:tr w:rsidR="00893148" w:rsidRPr="0049778F" w14:paraId="41D7ADD9" w14:textId="77777777" w:rsidTr="00273F52">
        <w:trPr>
          <w:trHeight w:val="530"/>
        </w:trPr>
        <w:tc>
          <w:tcPr>
            <w:tcW w:w="1234"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77D9A97C"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AMM-C</w:t>
            </w:r>
          </w:p>
        </w:tc>
        <w:tc>
          <w:tcPr>
            <w:tcW w:w="5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7FE71"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Antidepressant Medication Management Continuation</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F933C2" w14:textId="56E2BE0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B4352F2" w14:textId="584151D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0D1F3F7" w14:textId="30CF84E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518933B4" w14:textId="0E4BD6E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57.7%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17916C97" w14:textId="000A0BB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NA</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40FF9B6C" w14:textId="383D919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58.4%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28FA4B6A" w14:textId="24A80E7C"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59.5%</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252BD86F" w14:textId="6B8A51E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59.1%</w:t>
            </w:r>
          </w:p>
        </w:tc>
        <w:tc>
          <w:tcPr>
            <w:tcW w:w="950" w:type="dxa"/>
            <w:tcBorders>
              <w:top w:val="nil"/>
              <w:left w:val="single" w:sz="4" w:space="0" w:color="auto"/>
              <w:bottom w:val="single" w:sz="4" w:space="0" w:color="auto"/>
              <w:right w:val="nil"/>
            </w:tcBorders>
            <w:shd w:val="clear" w:color="auto" w:fill="F2F2F2" w:themeFill="background1" w:themeFillShade="F2"/>
            <w:noWrap/>
            <w:vAlign w:val="center"/>
            <w:hideMark/>
          </w:tcPr>
          <w:p w14:paraId="1E1AD346" w14:textId="7A775FF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52.4%</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0627D9B5" w14:textId="6C466AA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57.3%</w:t>
            </w:r>
          </w:p>
        </w:tc>
      </w:tr>
      <w:tr w:rsidR="00893148" w:rsidRPr="0049778F" w14:paraId="37E1EA9B" w14:textId="77777777" w:rsidTr="00273F52">
        <w:trPr>
          <w:trHeight w:val="310"/>
        </w:trPr>
        <w:tc>
          <w:tcPr>
            <w:tcW w:w="1234" w:type="dxa"/>
            <w:tcBorders>
              <w:top w:val="single" w:sz="4" w:space="0" w:color="auto"/>
              <w:left w:val="double" w:sz="6" w:space="0" w:color="auto"/>
              <w:bottom w:val="single" w:sz="4" w:space="0" w:color="auto"/>
              <w:right w:val="single" w:sz="4" w:space="0" w:color="auto"/>
            </w:tcBorders>
            <w:shd w:val="clear" w:color="auto" w:fill="auto"/>
            <w:noWrap/>
            <w:hideMark/>
          </w:tcPr>
          <w:p w14:paraId="0A354769"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COA</w:t>
            </w:r>
          </w:p>
        </w:tc>
        <w:tc>
          <w:tcPr>
            <w:tcW w:w="5853" w:type="dxa"/>
            <w:tcBorders>
              <w:top w:val="single" w:sz="4" w:space="0" w:color="auto"/>
              <w:left w:val="single" w:sz="4" w:space="0" w:color="auto"/>
              <w:bottom w:val="single" w:sz="4" w:space="0" w:color="auto"/>
              <w:right w:val="single" w:sz="4" w:space="0" w:color="auto"/>
            </w:tcBorders>
            <w:shd w:val="clear" w:color="auto" w:fill="auto"/>
            <w:hideMark/>
          </w:tcPr>
          <w:p w14:paraId="39013800"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Care for Older Adults: Advance Care Plan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ECE1BF5" w14:textId="39B1712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4137C8A" w14:textId="5DA4A6E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A9DA1C2" w14:textId="19E336A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uto"/>
            <w:noWrap/>
            <w:vAlign w:val="center"/>
            <w:hideMark/>
          </w:tcPr>
          <w:p w14:paraId="4C537155" w14:textId="7D2DC241"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83.9%</w:t>
            </w:r>
          </w:p>
        </w:tc>
        <w:tc>
          <w:tcPr>
            <w:tcW w:w="830" w:type="dxa"/>
            <w:tcBorders>
              <w:top w:val="nil"/>
              <w:left w:val="single" w:sz="4" w:space="0" w:color="auto"/>
              <w:bottom w:val="single" w:sz="4" w:space="0" w:color="auto"/>
              <w:right w:val="nil"/>
            </w:tcBorders>
            <w:shd w:val="clear" w:color="auto" w:fill="auto"/>
            <w:noWrap/>
            <w:vAlign w:val="center"/>
            <w:hideMark/>
          </w:tcPr>
          <w:p w14:paraId="382FAC43" w14:textId="1E5424C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88.5%</w:t>
            </w:r>
          </w:p>
        </w:tc>
        <w:tc>
          <w:tcPr>
            <w:tcW w:w="950" w:type="dxa"/>
            <w:tcBorders>
              <w:top w:val="nil"/>
              <w:left w:val="single" w:sz="4" w:space="0" w:color="auto"/>
              <w:bottom w:val="single" w:sz="4" w:space="0" w:color="auto"/>
              <w:right w:val="nil"/>
            </w:tcBorders>
            <w:shd w:val="clear" w:color="auto" w:fill="auto"/>
            <w:noWrap/>
            <w:vAlign w:val="center"/>
            <w:hideMark/>
          </w:tcPr>
          <w:p w14:paraId="17F04CC6" w14:textId="6FA62ED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87.7%</w:t>
            </w:r>
          </w:p>
        </w:tc>
        <w:tc>
          <w:tcPr>
            <w:tcW w:w="830" w:type="dxa"/>
            <w:tcBorders>
              <w:top w:val="nil"/>
              <w:left w:val="single" w:sz="4" w:space="0" w:color="auto"/>
              <w:bottom w:val="single" w:sz="4" w:space="0" w:color="auto"/>
              <w:right w:val="nil"/>
            </w:tcBorders>
            <w:shd w:val="clear" w:color="auto" w:fill="auto"/>
            <w:noWrap/>
            <w:vAlign w:val="center"/>
            <w:hideMark/>
          </w:tcPr>
          <w:p w14:paraId="78BE17E0" w14:textId="7D1E041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69.4%</w:t>
            </w:r>
          </w:p>
        </w:tc>
        <w:tc>
          <w:tcPr>
            <w:tcW w:w="830" w:type="dxa"/>
            <w:tcBorders>
              <w:top w:val="nil"/>
              <w:left w:val="single" w:sz="4" w:space="0" w:color="auto"/>
              <w:bottom w:val="single" w:sz="4" w:space="0" w:color="auto"/>
              <w:right w:val="nil"/>
            </w:tcBorders>
            <w:shd w:val="clear" w:color="auto" w:fill="auto"/>
            <w:noWrap/>
            <w:vAlign w:val="center"/>
            <w:hideMark/>
          </w:tcPr>
          <w:p w14:paraId="2FA6E550" w14:textId="4147FC6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97.2%</w:t>
            </w:r>
          </w:p>
        </w:tc>
        <w:tc>
          <w:tcPr>
            <w:tcW w:w="950" w:type="dxa"/>
            <w:tcBorders>
              <w:top w:val="nil"/>
              <w:left w:val="single" w:sz="4" w:space="0" w:color="auto"/>
              <w:bottom w:val="single" w:sz="4" w:space="0" w:color="auto"/>
              <w:right w:val="nil"/>
            </w:tcBorders>
            <w:shd w:val="clear" w:color="auto" w:fill="auto"/>
            <w:noWrap/>
            <w:vAlign w:val="center"/>
            <w:hideMark/>
          </w:tcPr>
          <w:p w14:paraId="30B7E822" w14:textId="77D6E14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97.0%</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1A51316D" w14:textId="73359D3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73.0%</w:t>
            </w:r>
          </w:p>
        </w:tc>
      </w:tr>
      <w:tr w:rsidR="00893148" w:rsidRPr="0049778F" w14:paraId="1F1CCDFD" w14:textId="77777777" w:rsidTr="00273F52">
        <w:trPr>
          <w:trHeight w:val="530"/>
        </w:trPr>
        <w:tc>
          <w:tcPr>
            <w:tcW w:w="1234" w:type="dxa"/>
            <w:tcBorders>
              <w:top w:val="single" w:sz="4" w:space="0" w:color="auto"/>
              <w:left w:val="double" w:sz="4" w:space="0" w:color="auto"/>
              <w:bottom w:val="single" w:sz="4" w:space="0" w:color="auto"/>
              <w:right w:val="single" w:sz="4" w:space="0" w:color="auto"/>
            </w:tcBorders>
            <w:shd w:val="clear" w:color="auto" w:fill="F2F2F2" w:themeFill="background1" w:themeFillShade="F2"/>
            <w:noWrap/>
            <w:hideMark/>
          </w:tcPr>
          <w:p w14:paraId="2750FD9A"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AAP</w:t>
            </w:r>
          </w:p>
          <w:p w14:paraId="70F20523" w14:textId="691DBA9C"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MA-5</w:t>
            </w:r>
          </w:p>
        </w:tc>
        <w:tc>
          <w:tcPr>
            <w:tcW w:w="5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BFED6"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 xml:space="preserve">Access to Preventive/Ambulatory Health Services </w:t>
            </w:r>
          </w:p>
        </w:tc>
        <w:tc>
          <w:tcPr>
            <w:tcW w:w="8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A2C199B" w14:textId="65FE174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97.5%</w:t>
            </w:r>
          </w:p>
        </w:tc>
        <w:tc>
          <w:tcPr>
            <w:tcW w:w="8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8DF1C2F" w14:textId="6024C91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97.8%</w:t>
            </w:r>
          </w:p>
        </w:tc>
        <w:tc>
          <w:tcPr>
            <w:tcW w:w="97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2491EDA" w14:textId="5ACA482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95.6%</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A315AA0" w14:textId="27683A1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26E8644" w14:textId="03E141F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521A5E3" w14:textId="63A3AF8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6E5BE5E" w14:textId="742A0FD4"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6C5123D" w14:textId="0F1D773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1596BD4" w14:textId="7D22DE1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E8A6A4B" w14:textId="119BBBE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r>
      <w:tr w:rsidR="00893148" w:rsidRPr="0049778F" w14:paraId="19B6A93F" w14:textId="77777777" w:rsidTr="00273F52">
        <w:trPr>
          <w:trHeight w:val="310"/>
        </w:trPr>
        <w:tc>
          <w:tcPr>
            <w:tcW w:w="1234" w:type="dxa"/>
            <w:tcBorders>
              <w:top w:val="single" w:sz="4" w:space="0" w:color="auto"/>
              <w:left w:val="double" w:sz="4" w:space="0" w:color="auto"/>
              <w:bottom w:val="single" w:sz="4" w:space="0" w:color="auto"/>
              <w:right w:val="single" w:sz="4" w:space="0" w:color="auto"/>
            </w:tcBorders>
            <w:shd w:val="clear" w:color="auto" w:fill="auto"/>
            <w:noWrap/>
            <w:hideMark/>
          </w:tcPr>
          <w:p w14:paraId="348CDF52"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 xml:space="preserve">MMP </w:t>
            </w:r>
          </w:p>
          <w:p w14:paraId="2F171770" w14:textId="1B600ECE"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CW-12</w:t>
            </w:r>
          </w:p>
        </w:tc>
        <w:tc>
          <w:tcPr>
            <w:tcW w:w="5853" w:type="dxa"/>
            <w:tcBorders>
              <w:top w:val="single" w:sz="4" w:space="0" w:color="auto"/>
              <w:left w:val="single" w:sz="4" w:space="0" w:color="auto"/>
              <w:bottom w:val="single" w:sz="4" w:space="0" w:color="auto"/>
              <w:right w:val="single" w:sz="4" w:space="0" w:color="auto"/>
            </w:tcBorders>
            <w:shd w:val="clear" w:color="auto" w:fill="auto"/>
            <w:hideMark/>
          </w:tcPr>
          <w:p w14:paraId="23EAE3D4"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Medication Adherence for Diabetes</w:t>
            </w:r>
          </w:p>
        </w:tc>
        <w:tc>
          <w:tcPr>
            <w:tcW w:w="864" w:type="dxa"/>
            <w:tcBorders>
              <w:top w:val="single" w:sz="4" w:space="0" w:color="auto"/>
              <w:left w:val="single" w:sz="4" w:space="0" w:color="auto"/>
              <w:bottom w:val="single" w:sz="4" w:space="0" w:color="auto"/>
              <w:right w:val="nil"/>
            </w:tcBorders>
            <w:shd w:val="clear" w:color="auto" w:fill="auto"/>
            <w:noWrap/>
            <w:vAlign w:val="center"/>
            <w:hideMark/>
          </w:tcPr>
          <w:p w14:paraId="05330214" w14:textId="6AC2BEB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80.0%</w:t>
            </w:r>
          </w:p>
        </w:tc>
        <w:tc>
          <w:tcPr>
            <w:tcW w:w="864" w:type="dxa"/>
            <w:tcBorders>
              <w:top w:val="single" w:sz="4" w:space="0" w:color="auto"/>
              <w:left w:val="single" w:sz="4" w:space="0" w:color="auto"/>
              <w:bottom w:val="single" w:sz="4" w:space="0" w:color="auto"/>
              <w:right w:val="nil"/>
            </w:tcBorders>
            <w:shd w:val="clear" w:color="auto" w:fill="auto"/>
            <w:noWrap/>
            <w:vAlign w:val="center"/>
            <w:hideMark/>
          </w:tcPr>
          <w:p w14:paraId="10E36660" w14:textId="395508E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81.0%</w:t>
            </w:r>
          </w:p>
        </w:tc>
        <w:tc>
          <w:tcPr>
            <w:tcW w:w="970" w:type="dxa"/>
            <w:tcBorders>
              <w:top w:val="single" w:sz="4" w:space="0" w:color="auto"/>
              <w:left w:val="single" w:sz="4" w:space="0" w:color="auto"/>
              <w:bottom w:val="single" w:sz="4" w:space="0" w:color="auto"/>
              <w:right w:val="nil"/>
            </w:tcBorders>
            <w:shd w:val="clear" w:color="auto" w:fill="auto"/>
            <w:noWrap/>
            <w:vAlign w:val="center"/>
            <w:hideMark/>
          </w:tcPr>
          <w:p w14:paraId="7EDB31AF" w14:textId="585EDEA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72.0%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A0E0B59" w14:textId="0E9FE29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7D62A13" w14:textId="64689EB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E190572" w14:textId="4FCD0D1F"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0F2F1DC" w14:textId="4A7305D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33539C0" w14:textId="65F994C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BF53066" w14:textId="21955C3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84E94FF" w14:textId="700E480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r>
      <w:tr w:rsidR="00893148" w:rsidRPr="0049778F" w14:paraId="043A5C22" w14:textId="77777777" w:rsidTr="00273F52">
        <w:trPr>
          <w:trHeight w:val="310"/>
        </w:trPr>
        <w:tc>
          <w:tcPr>
            <w:tcW w:w="1234" w:type="dxa"/>
            <w:tcBorders>
              <w:top w:val="single" w:sz="4" w:space="0" w:color="auto"/>
              <w:left w:val="double" w:sz="4" w:space="0" w:color="auto"/>
              <w:bottom w:val="single" w:sz="4" w:space="0" w:color="auto"/>
              <w:right w:val="single" w:sz="4" w:space="0" w:color="auto"/>
            </w:tcBorders>
            <w:shd w:val="clear" w:color="auto" w:fill="F2F2F2" w:themeFill="background1" w:themeFillShade="F2"/>
            <w:noWrap/>
            <w:hideMark/>
          </w:tcPr>
          <w:p w14:paraId="4F24A949"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0F87889E" w14:textId="4C7F350D"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CW13</w:t>
            </w:r>
          </w:p>
        </w:tc>
        <w:tc>
          <w:tcPr>
            <w:tcW w:w="5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90C7C0"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Encounter Data Completeness</w:t>
            </w:r>
          </w:p>
        </w:tc>
        <w:tc>
          <w:tcPr>
            <w:tcW w:w="8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64BECFD" w14:textId="2216D4F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w:t>
            </w:r>
          </w:p>
        </w:tc>
        <w:tc>
          <w:tcPr>
            <w:tcW w:w="864"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9CF7063" w14:textId="38FDEB4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76.0%</w:t>
            </w:r>
          </w:p>
        </w:tc>
        <w:tc>
          <w:tcPr>
            <w:tcW w:w="97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61774F0" w14:textId="7FC68315"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91.0%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CEDCF1C" w14:textId="71FFAFD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A2F60A7" w14:textId="6C6F227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69BCDB3" w14:textId="2C6F080B"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22EF637" w14:textId="668EFA6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EA85991" w14:textId="2839EDD7"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B811BB8" w14:textId="56A461EE"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311280D" w14:textId="7456121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r>
      <w:tr w:rsidR="00893148" w:rsidRPr="0049778F" w14:paraId="73725E1F" w14:textId="77777777" w:rsidTr="00273F52">
        <w:trPr>
          <w:trHeight w:val="320"/>
        </w:trPr>
        <w:tc>
          <w:tcPr>
            <w:tcW w:w="1234" w:type="dxa"/>
            <w:tcBorders>
              <w:top w:val="single" w:sz="4" w:space="0" w:color="auto"/>
              <w:left w:val="double" w:sz="4" w:space="0" w:color="auto"/>
              <w:bottom w:val="double" w:sz="4" w:space="0" w:color="auto"/>
              <w:right w:val="single" w:sz="4" w:space="0" w:color="auto"/>
            </w:tcBorders>
            <w:shd w:val="clear" w:color="auto" w:fill="auto"/>
            <w:noWrap/>
            <w:hideMark/>
          </w:tcPr>
          <w:p w14:paraId="2A3317CD" w14:textId="77777777"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4DED3CEC" w14:textId="0524D7D0" w:rsidR="00893148" w:rsidRPr="0049778F" w:rsidRDefault="00893148" w:rsidP="00893148">
            <w:pPr>
              <w:spacing w:after="0"/>
              <w:jc w:val="center"/>
              <w:rPr>
                <w:rFonts w:eastAsia="Times New Roman" w:cs="Calibri"/>
                <w:color w:val="000000"/>
                <w:sz w:val="18"/>
                <w:szCs w:val="18"/>
              </w:rPr>
            </w:pPr>
            <w:r w:rsidRPr="0049778F">
              <w:rPr>
                <w:rFonts w:eastAsia="Times New Roman" w:cs="Calibri"/>
                <w:color w:val="000000"/>
                <w:sz w:val="18"/>
                <w:szCs w:val="18"/>
              </w:rPr>
              <w:t>CW7</w:t>
            </w:r>
          </w:p>
        </w:tc>
        <w:tc>
          <w:tcPr>
            <w:tcW w:w="5853" w:type="dxa"/>
            <w:tcBorders>
              <w:top w:val="single" w:sz="4" w:space="0" w:color="auto"/>
              <w:left w:val="single" w:sz="4" w:space="0" w:color="auto"/>
              <w:bottom w:val="double" w:sz="4" w:space="0" w:color="auto"/>
              <w:right w:val="single" w:sz="4" w:space="0" w:color="auto"/>
            </w:tcBorders>
            <w:shd w:val="clear" w:color="auto" w:fill="auto"/>
            <w:hideMark/>
          </w:tcPr>
          <w:p w14:paraId="214708E5" w14:textId="77777777" w:rsidR="00893148" w:rsidRPr="0049778F" w:rsidRDefault="00893148" w:rsidP="00893148">
            <w:pPr>
              <w:spacing w:after="0"/>
              <w:rPr>
                <w:rFonts w:eastAsia="Times New Roman" w:cs="Calibri"/>
                <w:color w:val="000000"/>
                <w:sz w:val="18"/>
                <w:szCs w:val="18"/>
              </w:rPr>
            </w:pPr>
            <w:r w:rsidRPr="0049778F">
              <w:rPr>
                <w:rFonts w:eastAsia="Times New Roman" w:cs="Calibri"/>
                <w:color w:val="000000"/>
                <w:sz w:val="18"/>
                <w:szCs w:val="18"/>
              </w:rPr>
              <w:t>Annual Flu Vaccination</w:t>
            </w:r>
          </w:p>
        </w:tc>
        <w:tc>
          <w:tcPr>
            <w:tcW w:w="864" w:type="dxa"/>
            <w:tcBorders>
              <w:top w:val="single" w:sz="4" w:space="0" w:color="auto"/>
              <w:left w:val="single" w:sz="4" w:space="0" w:color="auto"/>
              <w:bottom w:val="double" w:sz="4" w:space="0" w:color="auto"/>
              <w:right w:val="nil"/>
            </w:tcBorders>
            <w:shd w:val="clear" w:color="auto" w:fill="auto"/>
            <w:noWrap/>
            <w:vAlign w:val="center"/>
            <w:hideMark/>
          </w:tcPr>
          <w:p w14:paraId="3D2D06E4" w14:textId="4302869A"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68.0%</w:t>
            </w:r>
          </w:p>
        </w:tc>
        <w:tc>
          <w:tcPr>
            <w:tcW w:w="864" w:type="dxa"/>
            <w:tcBorders>
              <w:top w:val="single" w:sz="4" w:space="0" w:color="auto"/>
              <w:left w:val="single" w:sz="4" w:space="0" w:color="auto"/>
              <w:bottom w:val="double" w:sz="4" w:space="0" w:color="auto"/>
              <w:right w:val="nil"/>
            </w:tcBorders>
            <w:shd w:val="clear" w:color="auto" w:fill="auto"/>
            <w:noWrap/>
            <w:vAlign w:val="center"/>
            <w:hideMark/>
          </w:tcPr>
          <w:p w14:paraId="036E4088" w14:textId="42F2C14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69.0%</w:t>
            </w:r>
          </w:p>
        </w:tc>
        <w:tc>
          <w:tcPr>
            <w:tcW w:w="970" w:type="dxa"/>
            <w:tcBorders>
              <w:top w:val="single" w:sz="4" w:space="0" w:color="auto"/>
              <w:left w:val="single" w:sz="4" w:space="0" w:color="auto"/>
              <w:bottom w:val="double" w:sz="4" w:space="0" w:color="auto"/>
              <w:right w:val="nil"/>
            </w:tcBorders>
            <w:shd w:val="clear" w:color="auto" w:fill="auto"/>
            <w:noWrap/>
            <w:vAlign w:val="center"/>
            <w:hideMark/>
          </w:tcPr>
          <w:p w14:paraId="37AE63DE" w14:textId="5857EE2D"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61.0%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83A19E9" w14:textId="33DE14F9"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800C674" w14:textId="061A0908"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0CA1C91" w14:textId="37A1B47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4B6CB02" w14:textId="4694C4E2"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396C786" w14:textId="65905153"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5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A711136" w14:textId="70969A7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EADFA90" w14:textId="5BB01970" w:rsidR="00893148" w:rsidRPr="0049778F" w:rsidRDefault="00893148" w:rsidP="00893148">
            <w:pPr>
              <w:spacing w:after="0"/>
              <w:jc w:val="center"/>
              <w:rPr>
                <w:rFonts w:eastAsia="Times New Roman" w:cs="Calibri"/>
                <w:color w:val="000000"/>
                <w:sz w:val="18"/>
                <w:szCs w:val="18"/>
              </w:rPr>
            </w:pPr>
            <w:r w:rsidRPr="0049778F">
              <w:rPr>
                <w:rFonts w:cs="Calibri"/>
                <w:color w:val="000000"/>
                <w:sz w:val="18"/>
                <w:szCs w:val="18"/>
              </w:rPr>
              <w:t> </w:t>
            </w:r>
          </w:p>
        </w:tc>
      </w:tr>
    </w:tbl>
    <w:p w14:paraId="238E38B1" w14:textId="77777777" w:rsidR="005E56AE" w:rsidRDefault="005E56AE">
      <w:pPr>
        <w:spacing w:after="160" w:line="259" w:lineRule="auto"/>
      </w:pPr>
    </w:p>
    <w:p w14:paraId="348190DA" w14:textId="77777777" w:rsidR="000F783F" w:rsidRDefault="000F783F" w:rsidP="00AA52DC">
      <w:pPr>
        <w:spacing w:after="160" w:line="259" w:lineRule="auto"/>
        <w:rPr>
          <w:rFonts w:eastAsia="Times New Roman" w:cs="Calibri"/>
          <w:b/>
          <w:bCs/>
          <w:color w:val="000000"/>
          <w:sz w:val="20"/>
          <w:szCs w:val="20"/>
        </w:rPr>
      </w:pPr>
    </w:p>
    <w:p w14:paraId="1C3502D5" w14:textId="1C70392B" w:rsidR="00283D0F" w:rsidRPr="00AA52DC" w:rsidRDefault="00CF37A1" w:rsidP="00AA52DC">
      <w:pPr>
        <w:spacing w:after="160" w:line="259" w:lineRule="auto"/>
      </w:pPr>
      <w:r w:rsidRPr="21CA7F43">
        <w:rPr>
          <w:rFonts w:eastAsia="Times New Roman" w:cs="Calibri"/>
          <w:b/>
          <w:bCs/>
          <w:color w:val="000000" w:themeColor="text1"/>
          <w:sz w:val="20"/>
          <w:szCs w:val="20"/>
        </w:rPr>
        <w:lastRenderedPageBreak/>
        <w:t xml:space="preserve">Appendix </w:t>
      </w:r>
      <w:r w:rsidR="00FD3DD2" w:rsidRPr="21CA7F43">
        <w:rPr>
          <w:rFonts w:eastAsia="Times New Roman" w:cs="Calibri"/>
          <w:b/>
          <w:bCs/>
          <w:color w:val="000000" w:themeColor="text1"/>
          <w:sz w:val="20"/>
          <w:szCs w:val="20"/>
        </w:rPr>
        <w:t>B</w:t>
      </w:r>
      <w:r w:rsidRPr="21CA7F43">
        <w:rPr>
          <w:rFonts w:eastAsia="Times New Roman" w:cs="Calibri"/>
          <w:b/>
          <w:bCs/>
          <w:color w:val="000000" w:themeColor="text1"/>
          <w:sz w:val="20"/>
          <w:szCs w:val="20"/>
        </w:rPr>
        <w:t>-</w:t>
      </w:r>
      <w:r w:rsidR="00AA52DC" w:rsidRPr="21CA7F43">
        <w:rPr>
          <w:rFonts w:eastAsia="Times New Roman" w:cs="Calibri"/>
          <w:b/>
          <w:bCs/>
          <w:color w:val="000000" w:themeColor="text1"/>
          <w:sz w:val="20"/>
          <w:szCs w:val="20"/>
        </w:rPr>
        <w:t>6</w:t>
      </w:r>
      <w:r w:rsidRPr="21CA7F43">
        <w:rPr>
          <w:rFonts w:eastAsia="Times New Roman" w:cs="Calibri"/>
          <w:b/>
          <w:bCs/>
          <w:color w:val="000000" w:themeColor="text1"/>
          <w:sz w:val="20"/>
          <w:szCs w:val="20"/>
        </w:rPr>
        <w:t xml:space="preserve">: Contact Level Performance, </w:t>
      </w:r>
      <w:r w:rsidR="7E1DC20F" w:rsidRPr="21CA7F43">
        <w:rPr>
          <w:rFonts w:eastAsia="Times New Roman" w:cs="Calibri"/>
          <w:b/>
          <w:bCs/>
          <w:color w:val="000000" w:themeColor="text1"/>
          <w:sz w:val="20"/>
          <w:szCs w:val="20"/>
        </w:rPr>
        <w:t>M</w:t>
      </w:r>
      <w:r w:rsidRPr="21CA7F43">
        <w:rPr>
          <w:rFonts w:eastAsia="Times New Roman" w:cs="Calibri"/>
          <w:b/>
          <w:bCs/>
          <w:color w:val="000000" w:themeColor="text1"/>
          <w:sz w:val="20"/>
          <w:szCs w:val="20"/>
        </w:rPr>
        <w:t>Y2020: (OneCare and SCO)</w:t>
      </w:r>
    </w:p>
    <w:p w14:paraId="0080682D" w14:textId="217A7149" w:rsidR="00AA52DC" w:rsidRPr="00CE61A0" w:rsidRDefault="00AA52DC" w:rsidP="00FD3DD2">
      <w:pPr>
        <w:ind w:left="-900"/>
        <w:rPr>
          <w:shd w:val="clear" w:color="auto" w:fill="FFFFFF"/>
        </w:rPr>
      </w:pPr>
      <w:r>
        <w:rPr>
          <w:rStyle w:val="normaltextrun"/>
          <w:shd w:val="clear" w:color="auto" w:fill="FFFFFF"/>
        </w:rPr>
        <w:t xml:space="preserve">2020 Quality measure performance for individual OneCare and SCO plans is presented in Table </w:t>
      </w:r>
      <w:r w:rsidR="00FD3DD2">
        <w:rPr>
          <w:rStyle w:val="normaltextrun"/>
          <w:shd w:val="clear" w:color="auto" w:fill="FFFFFF"/>
        </w:rPr>
        <w:t>B</w:t>
      </w:r>
      <w:r>
        <w:rPr>
          <w:rStyle w:val="normaltextrun"/>
          <w:shd w:val="clear" w:color="auto" w:fill="FFFFFF"/>
        </w:rPr>
        <w:t>-6.</w:t>
      </w:r>
      <w:r w:rsidR="00C7442E">
        <w:rPr>
          <w:rStyle w:val="normaltextrun"/>
          <w:shd w:val="clear" w:color="auto" w:fill="FFFFFF"/>
        </w:rPr>
        <w:t xml:space="preserve"> </w:t>
      </w:r>
      <w:r w:rsidR="00FD3DD2">
        <w:rPr>
          <w:rStyle w:val="normaltextrun"/>
          <w:shd w:val="clear" w:color="auto" w:fill="FFFFFF"/>
        </w:rPr>
        <w:t>Program-level totals are weighted means (WM). Please see Appendix A for a list of MassHealth’s managed care plans.</w:t>
      </w:r>
    </w:p>
    <w:p w14:paraId="592942F7" w14:textId="77777777" w:rsidR="00AA52DC" w:rsidRDefault="00AA52DC">
      <w:pPr>
        <w:pStyle w:val="ListParagraph"/>
        <w:numPr>
          <w:ilvl w:val="0"/>
          <w:numId w:val="3"/>
        </w:numPr>
        <w:ind w:left="-360" w:firstLine="0"/>
        <w:rPr>
          <w:b/>
          <w:bCs/>
        </w:rPr>
      </w:pPr>
      <w:r w:rsidRPr="00137463">
        <w:rPr>
          <w:b/>
          <w:bCs/>
        </w:rPr>
        <w:t xml:space="preserve">“--” indicates that the measure </w:t>
      </w:r>
      <w:r>
        <w:rPr>
          <w:b/>
          <w:bCs/>
        </w:rPr>
        <w:t>or target was</w:t>
      </w:r>
      <w:r w:rsidRPr="00137463">
        <w:rPr>
          <w:b/>
          <w:bCs/>
        </w:rPr>
        <w:t xml:space="preserve"> not</w:t>
      </w:r>
      <w:r>
        <w:rPr>
          <w:b/>
          <w:bCs/>
        </w:rPr>
        <w:t xml:space="preserve"> available, not</w:t>
      </w:r>
      <w:r w:rsidRPr="00137463">
        <w:rPr>
          <w:b/>
          <w:bCs/>
        </w:rPr>
        <w:t xml:space="preserve"> required, not collected, or not calculated</w:t>
      </w:r>
      <w:r>
        <w:rPr>
          <w:b/>
          <w:bCs/>
        </w:rPr>
        <w:t>.</w:t>
      </w:r>
    </w:p>
    <w:p w14:paraId="1EFAD58D" w14:textId="77777777" w:rsidR="00AA52DC" w:rsidRPr="00C93335" w:rsidRDefault="00AA52DC">
      <w:pPr>
        <w:pStyle w:val="ListParagraph"/>
        <w:numPr>
          <w:ilvl w:val="0"/>
          <w:numId w:val="3"/>
        </w:numPr>
        <w:ind w:left="-360" w:firstLine="0"/>
        <w:rPr>
          <w:b/>
          <w:bCs/>
        </w:rPr>
      </w:pPr>
      <w:r>
        <w:rPr>
          <w:b/>
          <w:bCs/>
        </w:rPr>
        <w:t>“NA” indicates that the rate was not included due to small denominator (n &lt;30).</w:t>
      </w:r>
    </w:p>
    <w:p w14:paraId="3C32B617" w14:textId="77777777" w:rsidR="00AA52DC" w:rsidRPr="00CF37A1" w:rsidRDefault="00AA52DC" w:rsidP="00CF37A1">
      <w:pPr>
        <w:spacing w:after="160" w:line="259" w:lineRule="auto"/>
        <w:ind w:left="-540"/>
        <w:rPr>
          <w:rFonts w:eastAsia="Times New Roman" w:cs="Calibri"/>
          <w:b/>
          <w:bCs/>
          <w:color w:val="000000"/>
          <w:sz w:val="20"/>
          <w:szCs w:val="20"/>
        </w:rPr>
      </w:pPr>
    </w:p>
    <w:tbl>
      <w:tblPr>
        <w:tblW w:w="15601" w:type="dxa"/>
        <w:tblLook w:val="04A0" w:firstRow="1" w:lastRow="0" w:firstColumn="1" w:lastColumn="0" w:noHBand="0" w:noVBand="1"/>
      </w:tblPr>
      <w:tblGrid>
        <w:gridCol w:w="1237"/>
        <w:gridCol w:w="5546"/>
        <w:gridCol w:w="864"/>
        <w:gridCol w:w="864"/>
        <w:gridCol w:w="970"/>
        <w:gridCol w:w="830"/>
        <w:gridCol w:w="830"/>
        <w:gridCol w:w="1040"/>
        <w:gridCol w:w="830"/>
        <w:gridCol w:w="830"/>
        <w:gridCol w:w="860"/>
        <w:gridCol w:w="900"/>
      </w:tblGrid>
      <w:tr w:rsidR="00B77CC3" w:rsidRPr="0049778F" w14:paraId="46EA3A62" w14:textId="77777777" w:rsidTr="00C6146F">
        <w:trPr>
          <w:trHeight w:val="500"/>
          <w:tblHeader/>
        </w:trPr>
        <w:tc>
          <w:tcPr>
            <w:tcW w:w="1237" w:type="dxa"/>
            <w:tcBorders>
              <w:top w:val="double" w:sz="6" w:space="0" w:color="auto"/>
              <w:left w:val="double" w:sz="6" w:space="0" w:color="auto"/>
              <w:bottom w:val="single" w:sz="12" w:space="0" w:color="auto"/>
              <w:right w:val="single" w:sz="4" w:space="0" w:color="auto"/>
            </w:tcBorders>
            <w:shd w:val="clear" w:color="auto" w:fill="auto"/>
            <w:noWrap/>
            <w:vAlign w:val="center"/>
            <w:hideMark/>
          </w:tcPr>
          <w:p w14:paraId="6D9090D3" w14:textId="77777777" w:rsidR="00E865D2" w:rsidRPr="0049778F" w:rsidRDefault="00E865D2" w:rsidP="00E865D2">
            <w:pPr>
              <w:spacing w:after="0"/>
              <w:jc w:val="center"/>
              <w:rPr>
                <w:rFonts w:eastAsia="Times New Roman" w:cs="Calibri"/>
                <w:b/>
                <w:bCs/>
                <w:color w:val="000000"/>
                <w:sz w:val="18"/>
                <w:szCs w:val="18"/>
              </w:rPr>
            </w:pPr>
            <w:r w:rsidRPr="0049778F">
              <w:rPr>
                <w:rFonts w:eastAsia="Times New Roman" w:cs="Calibri"/>
                <w:b/>
                <w:bCs/>
                <w:color w:val="000000"/>
                <w:sz w:val="18"/>
                <w:szCs w:val="18"/>
              </w:rPr>
              <w:t>Ref</w:t>
            </w:r>
          </w:p>
        </w:tc>
        <w:tc>
          <w:tcPr>
            <w:tcW w:w="5546" w:type="dxa"/>
            <w:tcBorders>
              <w:top w:val="double" w:sz="6" w:space="0" w:color="auto"/>
              <w:left w:val="nil"/>
              <w:bottom w:val="single" w:sz="12" w:space="0" w:color="auto"/>
              <w:right w:val="single" w:sz="4" w:space="0" w:color="auto"/>
            </w:tcBorders>
            <w:shd w:val="clear" w:color="auto" w:fill="auto"/>
            <w:noWrap/>
            <w:vAlign w:val="center"/>
            <w:hideMark/>
          </w:tcPr>
          <w:p w14:paraId="5E10D4B4" w14:textId="3D2F5802" w:rsidR="00E865D2" w:rsidRPr="0049778F" w:rsidRDefault="00CF37A1" w:rsidP="00E865D2">
            <w:pPr>
              <w:spacing w:after="0"/>
              <w:jc w:val="center"/>
              <w:rPr>
                <w:rFonts w:eastAsia="Times New Roman" w:cs="Calibri"/>
                <w:b/>
                <w:bCs/>
                <w:color w:val="000000"/>
                <w:sz w:val="18"/>
                <w:szCs w:val="18"/>
              </w:rPr>
            </w:pPr>
            <w:r w:rsidRPr="0049778F">
              <w:rPr>
                <w:rFonts w:eastAsia="Times New Roman" w:cs="Calibri"/>
                <w:b/>
                <w:bCs/>
                <w:color w:val="000000"/>
                <w:sz w:val="18"/>
                <w:szCs w:val="18"/>
              </w:rPr>
              <w:t xml:space="preserve">2020 </w:t>
            </w:r>
            <w:r w:rsidR="00E865D2" w:rsidRPr="0049778F">
              <w:rPr>
                <w:rFonts w:eastAsia="Times New Roman" w:cs="Calibri"/>
                <w:b/>
                <w:bCs/>
                <w:color w:val="000000"/>
                <w:sz w:val="18"/>
                <w:szCs w:val="18"/>
              </w:rPr>
              <w:t>Measure</w:t>
            </w:r>
          </w:p>
        </w:tc>
        <w:tc>
          <w:tcPr>
            <w:tcW w:w="864" w:type="dxa"/>
            <w:tcBorders>
              <w:top w:val="double" w:sz="6" w:space="0" w:color="auto"/>
              <w:left w:val="nil"/>
              <w:bottom w:val="single" w:sz="12" w:space="0" w:color="auto"/>
              <w:right w:val="single" w:sz="4" w:space="0" w:color="auto"/>
            </w:tcBorders>
            <w:shd w:val="clear" w:color="auto" w:fill="8EAADB" w:themeFill="accent1" w:themeFillTint="99"/>
            <w:vAlign w:val="center"/>
            <w:hideMark/>
          </w:tcPr>
          <w:p w14:paraId="46BCE684" w14:textId="77777777" w:rsidR="00E865D2" w:rsidRPr="0049778F" w:rsidRDefault="00E865D2" w:rsidP="00E865D2">
            <w:pPr>
              <w:spacing w:after="0"/>
              <w:jc w:val="center"/>
              <w:rPr>
                <w:rFonts w:eastAsia="Times New Roman" w:cs="Calibri"/>
                <w:b/>
                <w:bCs/>
                <w:sz w:val="18"/>
                <w:szCs w:val="18"/>
              </w:rPr>
            </w:pPr>
            <w:r w:rsidRPr="0049778F">
              <w:rPr>
                <w:rFonts w:eastAsia="Times New Roman" w:cs="Calibri"/>
                <w:b/>
                <w:bCs/>
                <w:sz w:val="18"/>
                <w:szCs w:val="18"/>
              </w:rPr>
              <w:t>Total OneCare</w:t>
            </w:r>
          </w:p>
        </w:tc>
        <w:tc>
          <w:tcPr>
            <w:tcW w:w="864"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62BC0653" w14:textId="77777777" w:rsidR="00E865D2" w:rsidRPr="0049778F" w:rsidRDefault="00E865D2" w:rsidP="00E865D2">
            <w:pPr>
              <w:spacing w:after="0"/>
              <w:jc w:val="center"/>
              <w:rPr>
                <w:rFonts w:eastAsia="Times New Roman" w:cs="Calibri"/>
                <w:b/>
                <w:bCs/>
                <w:sz w:val="18"/>
                <w:szCs w:val="18"/>
              </w:rPr>
            </w:pPr>
            <w:r w:rsidRPr="0049778F">
              <w:rPr>
                <w:rFonts w:eastAsia="Times New Roman" w:cs="Calibri"/>
                <w:b/>
                <w:bCs/>
                <w:sz w:val="18"/>
                <w:szCs w:val="18"/>
              </w:rPr>
              <w:t>CCA</w:t>
            </w:r>
          </w:p>
          <w:p w14:paraId="57E429B9" w14:textId="61506429" w:rsidR="00554F79" w:rsidRPr="0049778F" w:rsidRDefault="00554F79" w:rsidP="00E865D2">
            <w:pPr>
              <w:spacing w:after="0"/>
              <w:jc w:val="center"/>
              <w:rPr>
                <w:rFonts w:eastAsia="Times New Roman" w:cs="Calibri"/>
                <w:b/>
                <w:bCs/>
                <w:sz w:val="18"/>
                <w:szCs w:val="18"/>
              </w:rPr>
            </w:pPr>
            <w:r w:rsidRPr="0049778F">
              <w:rPr>
                <w:rFonts w:eastAsia="Times New Roman" w:cs="Calibri"/>
                <w:b/>
                <w:bCs/>
                <w:sz w:val="18"/>
                <w:szCs w:val="18"/>
              </w:rPr>
              <w:t>OneCare</w:t>
            </w:r>
          </w:p>
        </w:tc>
        <w:tc>
          <w:tcPr>
            <w:tcW w:w="970" w:type="dxa"/>
            <w:tcBorders>
              <w:top w:val="double" w:sz="6" w:space="0" w:color="auto"/>
              <w:left w:val="nil"/>
              <w:bottom w:val="single" w:sz="12" w:space="0" w:color="auto"/>
              <w:right w:val="single" w:sz="4" w:space="0" w:color="auto"/>
            </w:tcBorders>
            <w:shd w:val="clear" w:color="auto" w:fill="8EAADB" w:themeFill="accent1" w:themeFillTint="99"/>
            <w:noWrap/>
            <w:vAlign w:val="center"/>
            <w:hideMark/>
          </w:tcPr>
          <w:p w14:paraId="486B1C6E" w14:textId="7E0EA6DF" w:rsidR="00E865D2" w:rsidRPr="0049778F" w:rsidRDefault="00E865D2" w:rsidP="00E865D2">
            <w:pPr>
              <w:spacing w:after="0"/>
              <w:jc w:val="center"/>
              <w:rPr>
                <w:rFonts w:eastAsia="Times New Roman" w:cs="Calibri"/>
                <w:b/>
                <w:bCs/>
                <w:sz w:val="18"/>
                <w:szCs w:val="18"/>
              </w:rPr>
            </w:pPr>
            <w:r w:rsidRPr="0049778F">
              <w:rPr>
                <w:rFonts w:eastAsia="Times New Roman" w:cs="Calibri"/>
                <w:b/>
                <w:bCs/>
                <w:sz w:val="18"/>
                <w:szCs w:val="18"/>
              </w:rPr>
              <w:t>T</w:t>
            </w:r>
            <w:r w:rsidR="007F38D6" w:rsidRPr="0049778F">
              <w:rPr>
                <w:rFonts w:eastAsia="Times New Roman" w:cs="Calibri"/>
                <w:b/>
                <w:bCs/>
                <w:sz w:val="18"/>
                <w:szCs w:val="18"/>
              </w:rPr>
              <w:t>HP</w:t>
            </w:r>
          </w:p>
          <w:p w14:paraId="67217AE4" w14:textId="676E3529" w:rsidR="00554F79" w:rsidRPr="0049778F" w:rsidRDefault="00554F79" w:rsidP="00E865D2">
            <w:pPr>
              <w:spacing w:after="0"/>
              <w:jc w:val="center"/>
              <w:rPr>
                <w:rFonts w:eastAsia="Times New Roman" w:cs="Calibri"/>
                <w:b/>
                <w:bCs/>
                <w:sz w:val="18"/>
                <w:szCs w:val="18"/>
              </w:rPr>
            </w:pPr>
            <w:r w:rsidRPr="0049778F">
              <w:rPr>
                <w:rFonts w:eastAsia="Times New Roman" w:cs="Calibri"/>
                <w:b/>
                <w:bCs/>
                <w:sz w:val="18"/>
                <w:szCs w:val="18"/>
              </w:rPr>
              <w:t>OneCare</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0A74711F" w14:textId="77777777" w:rsidR="00E865D2" w:rsidRPr="0049778F" w:rsidRDefault="00E865D2"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Total SCO</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69C19960" w14:textId="77777777" w:rsidR="00E865D2" w:rsidRPr="0049778F" w:rsidRDefault="0074061F"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BMC</w:t>
            </w:r>
          </w:p>
          <w:p w14:paraId="30246224" w14:textId="729032CE" w:rsidR="0074061F" w:rsidRPr="0049778F" w:rsidRDefault="0074061F"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HNET</w:t>
            </w:r>
          </w:p>
        </w:tc>
        <w:tc>
          <w:tcPr>
            <w:tcW w:w="104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7ED5DB89" w14:textId="0D8CB768" w:rsidR="00E865D2" w:rsidRPr="0049778F" w:rsidRDefault="0021618F"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CCA</w:t>
            </w:r>
            <w:r w:rsidR="00554F79" w:rsidRPr="0049778F">
              <w:rPr>
                <w:rFonts w:eastAsia="Times New Roman" w:cs="Calibri"/>
                <w:b/>
                <w:bCs/>
                <w:color w:val="FFFFFF" w:themeColor="background1"/>
                <w:sz w:val="18"/>
                <w:szCs w:val="18"/>
              </w:rPr>
              <w:t xml:space="preserve"> SCO</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2C9966EB" w14:textId="77777777" w:rsidR="00E865D2" w:rsidRPr="0049778F" w:rsidRDefault="0021618F"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Navi-</w:t>
            </w:r>
          </w:p>
          <w:p w14:paraId="6D541C84" w14:textId="0B90E01F" w:rsidR="0021618F" w:rsidRPr="0049778F" w:rsidRDefault="0021618F"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care</w:t>
            </w:r>
          </w:p>
        </w:tc>
        <w:tc>
          <w:tcPr>
            <w:tcW w:w="83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4ED6D6A2" w14:textId="0DB9BED3" w:rsidR="00E865D2" w:rsidRPr="0049778F" w:rsidRDefault="00E865D2"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w:t>
            </w:r>
            <w:r w:rsidR="0021618F" w:rsidRPr="0049778F">
              <w:rPr>
                <w:rFonts w:eastAsia="Times New Roman" w:cs="Calibri"/>
                <w:b/>
                <w:bCs/>
                <w:color w:val="FFFFFF" w:themeColor="background1"/>
                <w:sz w:val="18"/>
                <w:szCs w:val="18"/>
              </w:rPr>
              <w:t>WH</w:t>
            </w:r>
          </w:p>
        </w:tc>
        <w:tc>
          <w:tcPr>
            <w:tcW w:w="860" w:type="dxa"/>
            <w:tcBorders>
              <w:top w:val="double" w:sz="6" w:space="0" w:color="auto"/>
              <w:left w:val="nil"/>
              <w:bottom w:val="single" w:sz="12" w:space="0" w:color="auto"/>
              <w:right w:val="single" w:sz="4" w:space="0" w:color="auto"/>
            </w:tcBorders>
            <w:shd w:val="clear" w:color="auto" w:fill="2F5496" w:themeFill="accent1" w:themeFillShade="BF"/>
            <w:noWrap/>
            <w:vAlign w:val="center"/>
            <w:hideMark/>
          </w:tcPr>
          <w:p w14:paraId="5ACD28EC" w14:textId="48ABB369" w:rsidR="00E865D2" w:rsidRPr="0049778F" w:rsidRDefault="007F38D6"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THP</w:t>
            </w:r>
          </w:p>
          <w:p w14:paraId="22F4E73C" w14:textId="39D68661" w:rsidR="007F38D6" w:rsidRPr="0049778F" w:rsidRDefault="007F38D6"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SCO</w:t>
            </w:r>
          </w:p>
        </w:tc>
        <w:tc>
          <w:tcPr>
            <w:tcW w:w="900" w:type="dxa"/>
            <w:tcBorders>
              <w:top w:val="double" w:sz="6" w:space="0" w:color="auto"/>
              <w:left w:val="nil"/>
              <w:bottom w:val="single" w:sz="12" w:space="0" w:color="auto"/>
              <w:right w:val="double" w:sz="6" w:space="0" w:color="auto"/>
            </w:tcBorders>
            <w:shd w:val="clear" w:color="auto" w:fill="2F5496" w:themeFill="accent1" w:themeFillShade="BF"/>
            <w:noWrap/>
            <w:vAlign w:val="center"/>
            <w:hideMark/>
          </w:tcPr>
          <w:p w14:paraId="2857AF3B" w14:textId="7383565E" w:rsidR="00E865D2" w:rsidRPr="0049778F" w:rsidRDefault="007F38D6" w:rsidP="00E865D2">
            <w:pPr>
              <w:spacing w:after="0"/>
              <w:jc w:val="center"/>
              <w:rPr>
                <w:rFonts w:eastAsia="Times New Roman" w:cs="Calibri"/>
                <w:b/>
                <w:bCs/>
                <w:color w:val="FFFFFF" w:themeColor="background1"/>
                <w:sz w:val="18"/>
                <w:szCs w:val="18"/>
              </w:rPr>
            </w:pPr>
            <w:r w:rsidRPr="0049778F">
              <w:rPr>
                <w:rFonts w:eastAsia="Times New Roman" w:cs="Calibri"/>
                <w:b/>
                <w:bCs/>
                <w:color w:val="FFFFFF" w:themeColor="background1"/>
                <w:sz w:val="18"/>
                <w:szCs w:val="18"/>
              </w:rPr>
              <w:t>United</w:t>
            </w:r>
          </w:p>
        </w:tc>
      </w:tr>
      <w:tr w:rsidR="008B6E07" w:rsidRPr="0049778F" w14:paraId="4B9BE535" w14:textId="77777777" w:rsidTr="00273F52">
        <w:trPr>
          <w:trHeight w:val="310"/>
        </w:trPr>
        <w:tc>
          <w:tcPr>
            <w:tcW w:w="1237" w:type="dxa"/>
            <w:tcBorders>
              <w:top w:val="single" w:sz="12" w:space="0" w:color="auto"/>
              <w:left w:val="double" w:sz="6" w:space="0" w:color="auto"/>
              <w:bottom w:val="single" w:sz="12" w:space="0" w:color="auto"/>
              <w:right w:val="single" w:sz="12" w:space="0" w:color="auto"/>
            </w:tcBorders>
            <w:shd w:val="clear" w:color="auto" w:fill="auto"/>
            <w:noWrap/>
            <w:hideMark/>
          </w:tcPr>
          <w:p w14:paraId="22CE942D"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CBP</w:t>
            </w:r>
          </w:p>
        </w:tc>
        <w:tc>
          <w:tcPr>
            <w:tcW w:w="5546" w:type="dxa"/>
            <w:tcBorders>
              <w:top w:val="single" w:sz="12" w:space="0" w:color="auto"/>
              <w:left w:val="single" w:sz="12" w:space="0" w:color="auto"/>
              <w:bottom w:val="single" w:sz="12" w:space="0" w:color="auto"/>
              <w:right w:val="nil"/>
            </w:tcBorders>
            <w:shd w:val="clear" w:color="000000" w:fill="FFFFFF"/>
            <w:hideMark/>
          </w:tcPr>
          <w:p w14:paraId="6A173C44"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Controlling High Blood Pressure</w:t>
            </w:r>
          </w:p>
        </w:tc>
        <w:tc>
          <w:tcPr>
            <w:tcW w:w="864" w:type="dxa"/>
            <w:tcBorders>
              <w:top w:val="nil"/>
              <w:left w:val="single" w:sz="4" w:space="0" w:color="auto"/>
              <w:bottom w:val="single" w:sz="4" w:space="0" w:color="auto"/>
              <w:right w:val="nil"/>
            </w:tcBorders>
            <w:shd w:val="clear" w:color="auto" w:fill="auto"/>
            <w:vAlign w:val="center"/>
            <w:hideMark/>
          </w:tcPr>
          <w:p w14:paraId="186FE634" w14:textId="47C40EE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56.7%</w:t>
            </w:r>
          </w:p>
        </w:tc>
        <w:tc>
          <w:tcPr>
            <w:tcW w:w="864" w:type="dxa"/>
            <w:tcBorders>
              <w:top w:val="nil"/>
              <w:left w:val="single" w:sz="4" w:space="0" w:color="auto"/>
              <w:bottom w:val="single" w:sz="4" w:space="0" w:color="auto"/>
              <w:right w:val="nil"/>
            </w:tcBorders>
            <w:shd w:val="clear" w:color="auto" w:fill="auto"/>
            <w:vAlign w:val="center"/>
            <w:hideMark/>
          </w:tcPr>
          <w:p w14:paraId="17DF2924" w14:textId="141A11D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58.4%</w:t>
            </w:r>
          </w:p>
        </w:tc>
        <w:tc>
          <w:tcPr>
            <w:tcW w:w="970" w:type="dxa"/>
            <w:tcBorders>
              <w:top w:val="nil"/>
              <w:left w:val="single" w:sz="4" w:space="0" w:color="auto"/>
              <w:bottom w:val="single" w:sz="4" w:space="0" w:color="auto"/>
              <w:right w:val="nil"/>
            </w:tcBorders>
            <w:shd w:val="clear" w:color="auto" w:fill="auto"/>
            <w:vAlign w:val="center"/>
            <w:hideMark/>
          </w:tcPr>
          <w:p w14:paraId="673A1228" w14:textId="4A1E845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42.8%</w:t>
            </w:r>
          </w:p>
        </w:tc>
        <w:tc>
          <w:tcPr>
            <w:tcW w:w="830" w:type="dxa"/>
            <w:tcBorders>
              <w:top w:val="nil"/>
              <w:left w:val="nil"/>
              <w:bottom w:val="single" w:sz="4" w:space="0" w:color="auto"/>
              <w:right w:val="nil"/>
            </w:tcBorders>
            <w:shd w:val="clear" w:color="auto" w:fill="auto"/>
            <w:vAlign w:val="center"/>
            <w:hideMark/>
          </w:tcPr>
          <w:p w14:paraId="39D77EB2" w14:textId="5D73374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61.2%</w:t>
            </w:r>
          </w:p>
        </w:tc>
        <w:tc>
          <w:tcPr>
            <w:tcW w:w="830" w:type="dxa"/>
            <w:tcBorders>
              <w:top w:val="nil"/>
              <w:left w:val="nil"/>
              <w:bottom w:val="single" w:sz="4" w:space="0" w:color="auto"/>
              <w:right w:val="nil"/>
            </w:tcBorders>
            <w:shd w:val="clear" w:color="auto" w:fill="auto"/>
            <w:noWrap/>
            <w:vAlign w:val="center"/>
            <w:hideMark/>
          </w:tcPr>
          <w:p w14:paraId="1B24374D" w14:textId="5369F58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57.9%</w:t>
            </w:r>
          </w:p>
        </w:tc>
        <w:tc>
          <w:tcPr>
            <w:tcW w:w="1040" w:type="dxa"/>
            <w:tcBorders>
              <w:top w:val="nil"/>
              <w:left w:val="single" w:sz="4" w:space="0" w:color="auto"/>
              <w:bottom w:val="single" w:sz="4" w:space="0" w:color="auto"/>
              <w:right w:val="nil"/>
            </w:tcBorders>
            <w:shd w:val="clear" w:color="auto" w:fill="auto"/>
            <w:vAlign w:val="center"/>
            <w:hideMark/>
          </w:tcPr>
          <w:p w14:paraId="576A4722" w14:textId="11914FA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59.4%</w:t>
            </w:r>
          </w:p>
        </w:tc>
        <w:tc>
          <w:tcPr>
            <w:tcW w:w="830" w:type="dxa"/>
            <w:tcBorders>
              <w:top w:val="nil"/>
              <w:left w:val="single" w:sz="4" w:space="0" w:color="auto"/>
              <w:bottom w:val="single" w:sz="4" w:space="0" w:color="auto"/>
              <w:right w:val="nil"/>
            </w:tcBorders>
            <w:shd w:val="clear" w:color="auto" w:fill="auto"/>
            <w:vAlign w:val="center"/>
            <w:hideMark/>
          </w:tcPr>
          <w:p w14:paraId="2337CC1A" w14:textId="2CF9BFA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57.7%</w:t>
            </w:r>
          </w:p>
        </w:tc>
        <w:tc>
          <w:tcPr>
            <w:tcW w:w="830" w:type="dxa"/>
            <w:tcBorders>
              <w:top w:val="nil"/>
              <w:left w:val="single" w:sz="4" w:space="0" w:color="auto"/>
              <w:bottom w:val="single" w:sz="4" w:space="0" w:color="auto"/>
              <w:right w:val="nil"/>
            </w:tcBorders>
            <w:shd w:val="clear" w:color="auto" w:fill="auto"/>
            <w:vAlign w:val="center"/>
            <w:hideMark/>
          </w:tcPr>
          <w:p w14:paraId="2E9DD8BD" w14:textId="6B0EC9E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53.7%</w:t>
            </w:r>
          </w:p>
        </w:tc>
        <w:tc>
          <w:tcPr>
            <w:tcW w:w="860" w:type="dxa"/>
            <w:tcBorders>
              <w:top w:val="nil"/>
              <w:left w:val="single" w:sz="4" w:space="0" w:color="auto"/>
              <w:bottom w:val="single" w:sz="4" w:space="0" w:color="auto"/>
              <w:right w:val="nil"/>
            </w:tcBorders>
            <w:shd w:val="clear" w:color="auto" w:fill="auto"/>
            <w:vAlign w:val="center"/>
            <w:hideMark/>
          </w:tcPr>
          <w:p w14:paraId="78909596" w14:textId="548BDDD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54.0%</w:t>
            </w:r>
          </w:p>
        </w:tc>
        <w:tc>
          <w:tcPr>
            <w:tcW w:w="900" w:type="dxa"/>
            <w:tcBorders>
              <w:top w:val="nil"/>
              <w:left w:val="single" w:sz="4" w:space="0" w:color="auto"/>
              <w:bottom w:val="single" w:sz="4" w:space="0" w:color="auto"/>
              <w:right w:val="double" w:sz="6" w:space="0" w:color="auto"/>
            </w:tcBorders>
            <w:shd w:val="clear" w:color="auto" w:fill="auto"/>
            <w:vAlign w:val="center"/>
            <w:hideMark/>
          </w:tcPr>
          <w:p w14:paraId="5DC78DE8" w14:textId="1CD9DBE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70.3%</w:t>
            </w:r>
          </w:p>
        </w:tc>
      </w:tr>
      <w:tr w:rsidR="008B6E07" w:rsidRPr="0049778F" w14:paraId="22E3BFBE" w14:textId="77777777" w:rsidTr="00273F52">
        <w:trPr>
          <w:trHeight w:val="520"/>
        </w:trPr>
        <w:tc>
          <w:tcPr>
            <w:tcW w:w="1237"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36B4F99F"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CDC</w:t>
            </w:r>
          </w:p>
        </w:tc>
        <w:tc>
          <w:tcPr>
            <w:tcW w:w="5546" w:type="dxa"/>
            <w:tcBorders>
              <w:top w:val="single" w:sz="12" w:space="0" w:color="auto"/>
              <w:left w:val="single" w:sz="12" w:space="0" w:color="auto"/>
              <w:bottom w:val="single" w:sz="4" w:space="0" w:color="auto"/>
              <w:right w:val="single" w:sz="4" w:space="0" w:color="auto"/>
            </w:tcBorders>
            <w:shd w:val="clear" w:color="auto" w:fill="F2F2F2" w:themeFill="background1" w:themeFillShade="F2"/>
            <w:hideMark/>
          </w:tcPr>
          <w:p w14:paraId="57D91AA8" w14:textId="27BC52DC" w:rsidR="008B6E07" w:rsidRPr="0049778F" w:rsidRDefault="008B6E07" w:rsidP="008B6E07">
            <w:pPr>
              <w:spacing w:after="0"/>
              <w:rPr>
                <w:rFonts w:eastAsia="Times New Roman" w:cs="Calibri"/>
                <w:sz w:val="18"/>
                <w:szCs w:val="18"/>
              </w:rPr>
            </w:pPr>
            <w:r w:rsidRPr="0049778F">
              <w:rPr>
                <w:rFonts w:eastAsia="Times New Roman" w:cs="Calibri"/>
                <w:sz w:val="18"/>
                <w:szCs w:val="18"/>
              </w:rPr>
              <w:t xml:space="preserve">Comprehensive Diabetes Care: </w:t>
            </w:r>
            <w:r w:rsidR="00142A4B">
              <w:rPr>
                <w:rFonts w:eastAsia="Times New Roman" w:cs="Calibri"/>
                <w:sz w:val="18"/>
                <w:szCs w:val="18"/>
              </w:rPr>
              <w:t>A1C</w:t>
            </w:r>
            <w:r w:rsidRPr="0049778F">
              <w:rPr>
                <w:rFonts w:eastAsia="Times New Roman" w:cs="Calibri"/>
                <w:sz w:val="18"/>
                <w:szCs w:val="18"/>
              </w:rPr>
              <w:t xml:space="preserve"> Poor Control (lower is better)</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08D53" w14:textId="4C88434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53.0%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79A9161" w14:textId="3F670CA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53.5%</w:t>
            </w:r>
          </w:p>
        </w:tc>
        <w:tc>
          <w:tcPr>
            <w:tcW w:w="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C8031E" w14:textId="603BA5B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48.5%</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2C5751" w14:textId="2A58E1B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B1E617E" w14:textId="1436F2A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78EF8E9" w14:textId="317BA62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2EFF030" w14:textId="3474239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9DE50B4" w14:textId="2A18034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0CAFF8D" w14:textId="68519B0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6BAAF4B" w14:textId="29944C7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8B6E07" w:rsidRPr="0049778F" w14:paraId="48D24CE3" w14:textId="77777777" w:rsidTr="00273F52">
        <w:trPr>
          <w:trHeight w:val="520"/>
        </w:trPr>
        <w:tc>
          <w:tcPr>
            <w:tcW w:w="1237" w:type="dxa"/>
            <w:tcBorders>
              <w:top w:val="single" w:sz="12" w:space="0" w:color="auto"/>
              <w:left w:val="double" w:sz="6" w:space="0" w:color="auto"/>
              <w:bottom w:val="single" w:sz="12" w:space="0" w:color="auto"/>
              <w:right w:val="single" w:sz="12" w:space="0" w:color="auto"/>
            </w:tcBorders>
            <w:shd w:val="clear" w:color="auto" w:fill="auto"/>
            <w:noWrap/>
            <w:hideMark/>
          </w:tcPr>
          <w:p w14:paraId="163F9A4B"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PCR-O/E</w:t>
            </w:r>
          </w:p>
        </w:tc>
        <w:tc>
          <w:tcPr>
            <w:tcW w:w="5546" w:type="dxa"/>
            <w:tcBorders>
              <w:top w:val="single" w:sz="4" w:space="0" w:color="auto"/>
              <w:left w:val="single" w:sz="12" w:space="0" w:color="auto"/>
              <w:bottom w:val="single" w:sz="4" w:space="0" w:color="auto"/>
              <w:right w:val="single" w:sz="4" w:space="0" w:color="auto"/>
            </w:tcBorders>
            <w:shd w:val="clear" w:color="auto" w:fill="auto"/>
            <w:hideMark/>
          </w:tcPr>
          <w:p w14:paraId="210EE08D"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Plan All-Cause Readmissions (observed to expected ratio)</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48A1" w14:textId="4F96EC7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1.0440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4264D" w14:textId="1A61BDE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1.0029</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1B55" w14:textId="65A9AE9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1.3639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7108" w14:textId="039FACE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1.1729</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14:paraId="45CC21FD" w14:textId="7732074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1.0711</w:t>
            </w:r>
          </w:p>
        </w:tc>
        <w:tc>
          <w:tcPr>
            <w:tcW w:w="1040" w:type="dxa"/>
            <w:tcBorders>
              <w:top w:val="single" w:sz="4" w:space="0" w:color="auto"/>
              <w:left w:val="nil"/>
              <w:bottom w:val="single" w:sz="4" w:space="0" w:color="auto"/>
              <w:right w:val="nil"/>
            </w:tcBorders>
            <w:shd w:val="clear" w:color="auto" w:fill="auto"/>
            <w:noWrap/>
            <w:vAlign w:val="center"/>
            <w:hideMark/>
          </w:tcPr>
          <w:p w14:paraId="4340B7D5" w14:textId="45A42C9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1.0143</w:t>
            </w:r>
          </w:p>
        </w:tc>
        <w:tc>
          <w:tcPr>
            <w:tcW w:w="830" w:type="dxa"/>
            <w:tcBorders>
              <w:top w:val="single" w:sz="4" w:space="0" w:color="auto"/>
              <w:left w:val="nil"/>
              <w:bottom w:val="single" w:sz="4" w:space="0" w:color="auto"/>
              <w:right w:val="nil"/>
            </w:tcBorders>
            <w:shd w:val="clear" w:color="auto" w:fill="auto"/>
            <w:noWrap/>
            <w:vAlign w:val="center"/>
            <w:hideMark/>
          </w:tcPr>
          <w:p w14:paraId="24D946D0" w14:textId="1962F15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1.1841</w:t>
            </w:r>
          </w:p>
        </w:tc>
        <w:tc>
          <w:tcPr>
            <w:tcW w:w="830" w:type="dxa"/>
            <w:tcBorders>
              <w:top w:val="single" w:sz="4" w:space="0" w:color="auto"/>
              <w:left w:val="nil"/>
              <w:bottom w:val="single" w:sz="4" w:space="0" w:color="auto"/>
              <w:right w:val="nil"/>
            </w:tcBorders>
            <w:shd w:val="clear" w:color="auto" w:fill="auto"/>
            <w:noWrap/>
            <w:vAlign w:val="center"/>
            <w:hideMark/>
          </w:tcPr>
          <w:p w14:paraId="3E7E6AA3" w14:textId="301F7CB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1.0924</w:t>
            </w:r>
          </w:p>
        </w:tc>
        <w:tc>
          <w:tcPr>
            <w:tcW w:w="860" w:type="dxa"/>
            <w:tcBorders>
              <w:top w:val="single" w:sz="4" w:space="0" w:color="auto"/>
              <w:left w:val="nil"/>
              <w:bottom w:val="single" w:sz="4" w:space="0" w:color="auto"/>
              <w:right w:val="nil"/>
            </w:tcBorders>
            <w:shd w:val="clear" w:color="auto" w:fill="auto"/>
            <w:noWrap/>
            <w:vAlign w:val="center"/>
            <w:hideMark/>
          </w:tcPr>
          <w:p w14:paraId="12CDB739" w14:textId="60C11AC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1.2503</w:t>
            </w:r>
          </w:p>
        </w:tc>
        <w:tc>
          <w:tcPr>
            <w:tcW w:w="900" w:type="dxa"/>
            <w:tcBorders>
              <w:top w:val="single" w:sz="4" w:space="0" w:color="auto"/>
              <w:left w:val="nil"/>
              <w:bottom w:val="single" w:sz="4" w:space="0" w:color="auto"/>
              <w:right w:val="double" w:sz="6" w:space="0" w:color="auto"/>
            </w:tcBorders>
            <w:shd w:val="clear" w:color="auto" w:fill="auto"/>
            <w:noWrap/>
            <w:vAlign w:val="center"/>
            <w:hideMark/>
          </w:tcPr>
          <w:p w14:paraId="78FACE89" w14:textId="1766201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1.2454</w:t>
            </w:r>
          </w:p>
        </w:tc>
      </w:tr>
      <w:tr w:rsidR="008B6E07" w:rsidRPr="0049778F" w14:paraId="3703D89D" w14:textId="77777777" w:rsidTr="00273F52">
        <w:trPr>
          <w:trHeight w:val="690"/>
        </w:trPr>
        <w:tc>
          <w:tcPr>
            <w:tcW w:w="1237" w:type="dxa"/>
            <w:tcBorders>
              <w:top w:val="single" w:sz="12" w:space="0" w:color="auto"/>
              <w:left w:val="double" w:sz="6" w:space="0" w:color="auto"/>
              <w:bottom w:val="single" w:sz="12" w:space="0" w:color="auto"/>
              <w:right w:val="single" w:sz="12" w:space="0" w:color="auto"/>
            </w:tcBorders>
            <w:shd w:val="clear" w:color="auto" w:fill="F2F2F2" w:themeFill="background1" w:themeFillShade="F2"/>
            <w:noWrap/>
            <w:hideMark/>
          </w:tcPr>
          <w:p w14:paraId="46DC88B1"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IET-I</w:t>
            </w:r>
          </w:p>
        </w:tc>
        <w:tc>
          <w:tcPr>
            <w:tcW w:w="5546" w:type="dxa"/>
            <w:tcBorders>
              <w:top w:val="single" w:sz="4" w:space="0" w:color="auto"/>
              <w:left w:val="single" w:sz="12" w:space="0" w:color="auto"/>
              <w:bottom w:val="single" w:sz="4" w:space="0" w:color="auto"/>
              <w:right w:val="nil"/>
            </w:tcBorders>
            <w:shd w:val="clear" w:color="auto" w:fill="F2F2F2" w:themeFill="background1" w:themeFillShade="F2"/>
            <w:hideMark/>
          </w:tcPr>
          <w:p w14:paraId="1574BB2E" w14:textId="4A0DF825" w:rsidR="008B6E07" w:rsidRPr="0049778F" w:rsidRDefault="008B6E07" w:rsidP="008B6E07">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(Initiation)</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A3D9520" w14:textId="10AF8CB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40.6%</w:t>
            </w:r>
          </w:p>
        </w:tc>
        <w:tc>
          <w:tcPr>
            <w:tcW w:w="8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8EB60D" w14:textId="7A12F44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40.6%</w:t>
            </w:r>
          </w:p>
        </w:tc>
        <w:tc>
          <w:tcPr>
            <w:tcW w:w="97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EB1139" w14:textId="40C29F1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41.0%</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D00A541" w14:textId="01CAC1C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CD07785" w14:textId="36D9B71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485F90B" w14:textId="5A8EBFF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2AFD8AA" w14:textId="4D39982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17B80A" w14:textId="2D25C6B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BFC4001" w14:textId="2DF6502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730679E" w14:textId="48B539C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8B6E07" w:rsidRPr="0049778F" w14:paraId="615B8F11" w14:textId="77777777" w:rsidTr="00273F52">
        <w:trPr>
          <w:trHeight w:val="564"/>
        </w:trPr>
        <w:tc>
          <w:tcPr>
            <w:tcW w:w="1237" w:type="dxa"/>
            <w:tcBorders>
              <w:top w:val="single" w:sz="12" w:space="0" w:color="auto"/>
              <w:left w:val="double" w:sz="6" w:space="0" w:color="auto"/>
              <w:bottom w:val="single" w:sz="12" w:space="0" w:color="auto"/>
              <w:right w:val="single" w:sz="12" w:space="0" w:color="auto"/>
            </w:tcBorders>
            <w:shd w:val="clear" w:color="auto" w:fill="auto"/>
            <w:noWrap/>
            <w:hideMark/>
          </w:tcPr>
          <w:p w14:paraId="2999CC10"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IET-E</w:t>
            </w:r>
          </w:p>
        </w:tc>
        <w:tc>
          <w:tcPr>
            <w:tcW w:w="5546" w:type="dxa"/>
            <w:tcBorders>
              <w:top w:val="single" w:sz="4" w:space="0" w:color="auto"/>
              <w:left w:val="single" w:sz="12" w:space="0" w:color="auto"/>
              <w:bottom w:val="single" w:sz="4" w:space="0" w:color="auto"/>
              <w:right w:val="nil"/>
            </w:tcBorders>
            <w:shd w:val="clear" w:color="auto" w:fill="auto"/>
            <w:hideMark/>
          </w:tcPr>
          <w:p w14:paraId="0C36512A" w14:textId="14F57A36" w:rsidR="008B6E07" w:rsidRPr="0049778F" w:rsidRDefault="008B6E07" w:rsidP="008B6E07">
            <w:pPr>
              <w:spacing w:after="0"/>
              <w:rPr>
                <w:rFonts w:eastAsia="Times New Roman" w:cs="Calibri"/>
                <w:sz w:val="18"/>
                <w:szCs w:val="18"/>
              </w:rPr>
            </w:pPr>
            <w:r w:rsidRPr="0049778F">
              <w:rPr>
                <w:rFonts w:eastAsia="Times New Roman" w:cs="Calibri"/>
                <w:sz w:val="18"/>
                <w:szCs w:val="18"/>
              </w:rPr>
              <w:t>Initiation and Engagement of Alcohol, Opioid, or Other Drug Abuse or Dependence Treatment (Engagement)</w:t>
            </w:r>
          </w:p>
        </w:tc>
        <w:tc>
          <w:tcPr>
            <w:tcW w:w="864" w:type="dxa"/>
            <w:tcBorders>
              <w:top w:val="single" w:sz="4" w:space="0" w:color="auto"/>
              <w:left w:val="single" w:sz="4" w:space="0" w:color="auto"/>
              <w:bottom w:val="single" w:sz="4" w:space="0" w:color="auto"/>
              <w:right w:val="nil"/>
            </w:tcBorders>
            <w:shd w:val="clear" w:color="auto" w:fill="auto"/>
            <w:noWrap/>
            <w:vAlign w:val="center"/>
            <w:hideMark/>
          </w:tcPr>
          <w:p w14:paraId="1AD47973" w14:textId="5482989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11.4%</w:t>
            </w:r>
          </w:p>
        </w:tc>
        <w:tc>
          <w:tcPr>
            <w:tcW w:w="864" w:type="dxa"/>
            <w:tcBorders>
              <w:top w:val="single" w:sz="4" w:space="0" w:color="auto"/>
              <w:left w:val="single" w:sz="4" w:space="0" w:color="auto"/>
              <w:bottom w:val="single" w:sz="4" w:space="0" w:color="auto"/>
              <w:right w:val="nil"/>
            </w:tcBorders>
            <w:shd w:val="clear" w:color="auto" w:fill="auto"/>
            <w:noWrap/>
            <w:vAlign w:val="center"/>
            <w:hideMark/>
          </w:tcPr>
          <w:p w14:paraId="6443E54D" w14:textId="6347DD9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11.5%</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0A17A" w14:textId="4964B58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10.4%</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7FF8B61" w14:textId="71F86E5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192DBB6" w14:textId="42DD77C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A0395EE" w14:textId="04D29B9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69BA9DF" w14:textId="45AFB5B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CD0A4C2" w14:textId="0676E94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B4D6AAA" w14:textId="41114AC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401BA79" w14:textId="7E5FCA3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8B6E07" w:rsidRPr="0049778F" w14:paraId="5ACF09F3" w14:textId="77777777" w:rsidTr="00273F52">
        <w:trPr>
          <w:trHeight w:val="520"/>
        </w:trPr>
        <w:tc>
          <w:tcPr>
            <w:tcW w:w="1237" w:type="dxa"/>
            <w:tcBorders>
              <w:top w:val="single" w:sz="12" w:space="0" w:color="auto"/>
              <w:left w:val="double" w:sz="6" w:space="0" w:color="auto"/>
              <w:bottom w:val="single" w:sz="4" w:space="0" w:color="auto"/>
              <w:right w:val="single" w:sz="4" w:space="0" w:color="auto"/>
            </w:tcBorders>
            <w:shd w:val="clear" w:color="auto" w:fill="F2F2F2" w:themeFill="background1" w:themeFillShade="F2"/>
            <w:noWrap/>
            <w:hideMark/>
          </w:tcPr>
          <w:p w14:paraId="108C7A96"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FUH-7</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47862F"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Follow-Up After Hospitalization for Mental Illness (7 days)</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F3B407" w14:textId="2D74165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50.0%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4E7398" w14:textId="2442895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50.6%</w:t>
            </w:r>
          </w:p>
        </w:tc>
        <w:tc>
          <w:tcPr>
            <w:tcW w:w="97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6B55C38" w14:textId="30DB034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44.1%</w:t>
            </w:r>
          </w:p>
        </w:tc>
        <w:tc>
          <w:tcPr>
            <w:tcW w:w="83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669FAD8D" w14:textId="142369C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37.3%</w:t>
            </w:r>
          </w:p>
        </w:tc>
        <w:tc>
          <w:tcPr>
            <w:tcW w:w="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D1F8EE" w14:textId="7AEDE1C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single" w:sz="4" w:space="0" w:color="auto"/>
              <w:left w:val="nil"/>
              <w:bottom w:val="single" w:sz="4" w:space="0" w:color="auto"/>
              <w:right w:val="nil"/>
            </w:tcBorders>
            <w:shd w:val="clear" w:color="auto" w:fill="F2F2F2" w:themeFill="background1" w:themeFillShade="F2"/>
            <w:noWrap/>
            <w:vAlign w:val="center"/>
            <w:hideMark/>
          </w:tcPr>
          <w:p w14:paraId="10477BDC" w14:textId="5980188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45.5%</w:t>
            </w:r>
          </w:p>
        </w:tc>
        <w:tc>
          <w:tcPr>
            <w:tcW w:w="83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21675FA5" w14:textId="7CAC70E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25.5%</w:t>
            </w:r>
          </w:p>
        </w:tc>
        <w:tc>
          <w:tcPr>
            <w:tcW w:w="83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5CD03AD" w14:textId="5BAA19E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40.0%</w:t>
            </w:r>
          </w:p>
        </w:tc>
        <w:tc>
          <w:tcPr>
            <w:tcW w:w="86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7512C94E" w14:textId="28FB10A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37.8%</w:t>
            </w:r>
          </w:p>
        </w:tc>
        <w:tc>
          <w:tcPr>
            <w:tcW w:w="900" w:type="dxa"/>
            <w:tcBorders>
              <w:top w:val="single" w:sz="4" w:space="0" w:color="auto"/>
              <w:left w:val="single" w:sz="4" w:space="0" w:color="auto"/>
              <w:bottom w:val="single" w:sz="4" w:space="0" w:color="auto"/>
              <w:right w:val="double" w:sz="6" w:space="0" w:color="auto"/>
            </w:tcBorders>
            <w:shd w:val="clear" w:color="auto" w:fill="F2F2F2" w:themeFill="background1" w:themeFillShade="F2"/>
            <w:noWrap/>
            <w:vAlign w:val="center"/>
            <w:hideMark/>
          </w:tcPr>
          <w:p w14:paraId="6CC19DC9" w14:textId="61F4848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36.4%</w:t>
            </w:r>
          </w:p>
        </w:tc>
      </w:tr>
      <w:tr w:rsidR="008B6E07" w:rsidRPr="0049778F" w14:paraId="2DB0B0A7" w14:textId="77777777" w:rsidTr="00273F52">
        <w:trPr>
          <w:trHeight w:val="431"/>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53BD98B3"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FUM-7</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2B97FAAC"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Follow-Up After Emergency Department Visit for Mental Illness (7 days)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864B1" w14:textId="4D1B6F6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79.6%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835D" w14:textId="632C770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79.5%</w:t>
            </w:r>
          </w:p>
        </w:tc>
        <w:tc>
          <w:tcPr>
            <w:tcW w:w="970" w:type="dxa"/>
            <w:tcBorders>
              <w:top w:val="single" w:sz="4" w:space="0" w:color="auto"/>
              <w:left w:val="single" w:sz="4" w:space="0" w:color="auto"/>
              <w:bottom w:val="single" w:sz="4" w:space="0" w:color="auto"/>
              <w:right w:val="nil"/>
            </w:tcBorders>
            <w:shd w:val="clear" w:color="auto" w:fill="auto"/>
            <w:noWrap/>
            <w:vAlign w:val="center"/>
            <w:hideMark/>
          </w:tcPr>
          <w:p w14:paraId="25AB4EF2" w14:textId="6D49517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80.5%</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80055D2" w14:textId="4626EBD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FE92872" w14:textId="51BED31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2EC1AD21" w14:textId="5C7D4D5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71B8D73" w14:textId="449B9CA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70E5309" w14:textId="4DAFB74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B946D70" w14:textId="197C62D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837547A" w14:textId="082028B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8B6E07" w:rsidRPr="0049778F" w14:paraId="54092040"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6E75B275"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FUH-30</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C30C2"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Follow-Up After Hospitalization for Mental Illness (30 days)</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F75EDC" w14:textId="4F12C66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70.8%</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FF1CB3" w14:textId="6DACDEC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71.2%</w:t>
            </w:r>
          </w:p>
        </w:tc>
        <w:tc>
          <w:tcPr>
            <w:tcW w:w="97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42FCE5C1" w14:textId="445ACF9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67.1%</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7B06F813" w14:textId="562E829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61.0%</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567DE5F" w14:textId="65D1259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nil"/>
            </w:tcBorders>
            <w:shd w:val="clear" w:color="auto" w:fill="F2F2F2" w:themeFill="background1" w:themeFillShade="F2"/>
            <w:noWrap/>
            <w:vAlign w:val="center"/>
            <w:hideMark/>
          </w:tcPr>
          <w:p w14:paraId="0CCACAE4" w14:textId="0F6E50C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69.7%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5AD64147" w14:textId="73EE1FB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53.2%</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8932053" w14:textId="7F89459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53.3%</w:t>
            </w:r>
          </w:p>
        </w:tc>
        <w:tc>
          <w:tcPr>
            <w:tcW w:w="860" w:type="dxa"/>
            <w:tcBorders>
              <w:top w:val="nil"/>
              <w:left w:val="single" w:sz="4" w:space="0" w:color="auto"/>
              <w:bottom w:val="single" w:sz="4" w:space="0" w:color="auto"/>
              <w:right w:val="nil"/>
            </w:tcBorders>
            <w:shd w:val="clear" w:color="auto" w:fill="F2F2F2" w:themeFill="background1" w:themeFillShade="F2"/>
            <w:noWrap/>
            <w:vAlign w:val="center"/>
            <w:hideMark/>
          </w:tcPr>
          <w:p w14:paraId="6F4C00B1" w14:textId="14E0DFE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67.6%</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51C37FC2" w14:textId="46A7D05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60.0%</w:t>
            </w:r>
          </w:p>
        </w:tc>
      </w:tr>
      <w:tr w:rsidR="008B6E07" w:rsidRPr="0049778F" w14:paraId="7E79C3A5" w14:textId="77777777" w:rsidTr="00273F52">
        <w:trPr>
          <w:trHeight w:val="31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7D270ADE"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COL</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5DD8DBC3"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Colorectal Cancer Screening</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3739E15" w14:textId="2EF1468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5846817" w14:textId="792B21C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39A19BE" w14:textId="06BB916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9DA4A43" w14:textId="783D12F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76.2%</w:t>
            </w:r>
          </w:p>
        </w:tc>
        <w:tc>
          <w:tcPr>
            <w:tcW w:w="830" w:type="dxa"/>
            <w:tcBorders>
              <w:top w:val="nil"/>
              <w:left w:val="nil"/>
              <w:bottom w:val="single" w:sz="4" w:space="0" w:color="auto"/>
              <w:right w:val="single" w:sz="4" w:space="0" w:color="auto"/>
            </w:tcBorders>
            <w:shd w:val="clear" w:color="auto" w:fill="auto"/>
            <w:noWrap/>
            <w:vAlign w:val="center"/>
            <w:hideMark/>
          </w:tcPr>
          <w:p w14:paraId="765FEE0A" w14:textId="574401F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69.4%</w:t>
            </w:r>
          </w:p>
        </w:tc>
        <w:tc>
          <w:tcPr>
            <w:tcW w:w="1040" w:type="dxa"/>
            <w:tcBorders>
              <w:top w:val="nil"/>
              <w:left w:val="nil"/>
              <w:bottom w:val="single" w:sz="4" w:space="0" w:color="auto"/>
              <w:right w:val="single" w:sz="4" w:space="0" w:color="auto"/>
            </w:tcBorders>
            <w:shd w:val="clear" w:color="auto" w:fill="auto"/>
            <w:noWrap/>
            <w:vAlign w:val="center"/>
            <w:hideMark/>
          </w:tcPr>
          <w:p w14:paraId="593BDF95" w14:textId="5A9D2B4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75.7%</w:t>
            </w:r>
          </w:p>
        </w:tc>
        <w:tc>
          <w:tcPr>
            <w:tcW w:w="830" w:type="dxa"/>
            <w:tcBorders>
              <w:top w:val="nil"/>
              <w:left w:val="nil"/>
              <w:bottom w:val="single" w:sz="4" w:space="0" w:color="auto"/>
              <w:right w:val="single" w:sz="4" w:space="0" w:color="auto"/>
            </w:tcBorders>
            <w:shd w:val="clear" w:color="auto" w:fill="auto"/>
            <w:noWrap/>
            <w:vAlign w:val="center"/>
            <w:hideMark/>
          </w:tcPr>
          <w:p w14:paraId="68FD2AF9" w14:textId="5D4E761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61.7%</w:t>
            </w:r>
          </w:p>
        </w:tc>
        <w:tc>
          <w:tcPr>
            <w:tcW w:w="830" w:type="dxa"/>
            <w:tcBorders>
              <w:top w:val="nil"/>
              <w:left w:val="nil"/>
              <w:bottom w:val="single" w:sz="4" w:space="0" w:color="auto"/>
              <w:right w:val="single" w:sz="4" w:space="0" w:color="auto"/>
            </w:tcBorders>
            <w:shd w:val="clear" w:color="auto" w:fill="auto"/>
            <w:noWrap/>
            <w:vAlign w:val="center"/>
            <w:hideMark/>
          </w:tcPr>
          <w:p w14:paraId="5366761C" w14:textId="338E11F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74.2%</w:t>
            </w:r>
          </w:p>
        </w:tc>
        <w:tc>
          <w:tcPr>
            <w:tcW w:w="860" w:type="dxa"/>
            <w:tcBorders>
              <w:top w:val="nil"/>
              <w:left w:val="nil"/>
              <w:bottom w:val="single" w:sz="4" w:space="0" w:color="auto"/>
              <w:right w:val="single" w:sz="4" w:space="0" w:color="auto"/>
            </w:tcBorders>
            <w:shd w:val="clear" w:color="auto" w:fill="auto"/>
            <w:noWrap/>
            <w:vAlign w:val="center"/>
            <w:hideMark/>
          </w:tcPr>
          <w:p w14:paraId="1CCE0058" w14:textId="4AE4964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63.9%</w:t>
            </w:r>
          </w:p>
        </w:tc>
        <w:tc>
          <w:tcPr>
            <w:tcW w:w="900" w:type="dxa"/>
            <w:tcBorders>
              <w:top w:val="nil"/>
              <w:left w:val="nil"/>
              <w:bottom w:val="single" w:sz="4" w:space="0" w:color="auto"/>
              <w:right w:val="double" w:sz="6" w:space="0" w:color="auto"/>
            </w:tcBorders>
            <w:shd w:val="clear" w:color="auto" w:fill="auto"/>
            <w:noWrap/>
            <w:vAlign w:val="center"/>
            <w:hideMark/>
          </w:tcPr>
          <w:p w14:paraId="25EFE039" w14:textId="10DCC19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86.1%</w:t>
            </w:r>
          </w:p>
        </w:tc>
      </w:tr>
      <w:tr w:rsidR="008B6E07" w:rsidRPr="0049778F" w14:paraId="28010720"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20538216"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PBH</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B24442"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Persistence of Beta-Blocker Treatment After Heart Attack</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7F16FA4" w14:textId="7FFB954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454D459" w14:textId="719B5D7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5633825" w14:textId="705DD54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A6DA6CD" w14:textId="5E788CF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90.9%</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BA4EBA1" w14:textId="5A5BDC8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0F03B35" w14:textId="37B93C6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2B1C312E" w14:textId="0BF5915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73976BC7" w14:textId="0E5FD62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130EA8BB" w14:textId="4EBF399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346BD617" w14:textId="552BA45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r>
      <w:tr w:rsidR="008B6E07" w:rsidRPr="0049778F" w14:paraId="26D4161F" w14:textId="77777777" w:rsidTr="00273F52">
        <w:trPr>
          <w:trHeight w:val="44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4A7B1723"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PCE-C</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6F33829D"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Pharmacotherapy Management of COPD Exacerbation Corticosteroids</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626A644" w14:textId="064D065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3C54177" w14:textId="53F8CB7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16D4600" w14:textId="0AA24CE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48234AB0" w14:textId="4035057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74.5%</w:t>
            </w:r>
          </w:p>
        </w:tc>
        <w:tc>
          <w:tcPr>
            <w:tcW w:w="830" w:type="dxa"/>
            <w:tcBorders>
              <w:top w:val="nil"/>
              <w:left w:val="nil"/>
              <w:bottom w:val="single" w:sz="4" w:space="0" w:color="auto"/>
              <w:right w:val="single" w:sz="4" w:space="0" w:color="auto"/>
            </w:tcBorders>
            <w:shd w:val="clear" w:color="auto" w:fill="auto"/>
            <w:noWrap/>
            <w:vAlign w:val="center"/>
            <w:hideMark/>
          </w:tcPr>
          <w:p w14:paraId="0CF50FDE" w14:textId="2C24B8E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single" w:sz="4" w:space="0" w:color="auto"/>
            </w:tcBorders>
            <w:shd w:val="clear" w:color="auto" w:fill="auto"/>
            <w:noWrap/>
            <w:vAlign w:val="center"/>
            <w:hideMark/>
          </w:tcPr>
          <w:p w14:paraId="306E6787" w14:textId="398FE39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73.8%</w:t>
            </w:r>
          </w:p>
        </w:tc>
        <w:tc>
          <w:tcPr>
            <w:tcW w:w="830" w:type="dxa"/>
            <w:tcBorders>
              <w:top w:val="nil"/>
              <w:left w:val="nil"/>
              <w:bottom w:val="single" w:sz="4" w:space="0" w:color="auto"/>
              <w:right w:val="single" w:sz="4" w:space="0" w:color="auto"/>
            </w:tcBorders>
            <w:shd w:val="clear" w:color="auto" w:fill="auto"/>
            <w:noWrap/>
            <w:vAlign w:val="center"/>
            <w:hideMark/>
          </w:tcPr>
          <w:p w14:paraId="16868282" w14:textId="7491854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78.2%</w:t>
            </w:r>
          </w:p>
        </w:tc>
        <w:tc>
          <w:tcPr>
            <w:tcW w:w="830" w:type="dxa"/>
            <w:tcBorders>
              <w:top w:val="nil"/>
              <w:left w:val="nil"/>
              <w:bottom w:val="single" w:sz="4" w:space="0" w:color="auto"/>
              <w:right w:val="single" w:sz="4" w:space="0" w:color="auto"/>
            </w:tcBorders>
            <w:shd w:val="clear" w:color="auto" w:fill="auto"/>
            <w:noWrap/>
            <w:vAlign w:val="center"/>
            <w:hideMark/>
          </w:tcPr>
          <w:p w14:paraId="41496E3F" w14:textId="4A92809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73.9%</w:t>
            </w:r>
          </w:p>
        </w:tc>
        <w:tc>
          <w:tcPr>
            <w:tcW w:w="860" w:type="dxa"/>
            <w:tcBorders>
              <w:top w:val="nil"/>
              <w:left w:val="nil"/>
              <w:bottom w:val="single" w:sz="4" w:space="0" w:color="auto"/>
              <w:right w:val="single" w:sz="4" w:space="0" w:color="auto"/>
            </w:tcBorders>
            <w:shd w:val="clear" w:color="auto" w:fill="auto"/>
            <w:noWrap/>
            <w:vAlign w:val="center"/>
            <w:hideMark/>
          </w:tcPr>
          <w:p w14:paraId="3917497E" w14:textId="58A3053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77.4%</w:t>
            </w:r>
          </w:p>
        </w:tc>
        <w:tc>
          <w:tcPr>
            <w:tcW w:w="900" w:type="dxa"/>
            <w:tcBorders>
              <w:top w:val="nil"/>
              <w:left w:val="nil"/>
              <w:bottom w:val="single" w:sz="4" w:space="0" w:color="auto"/>
              <w:right w:val="double" w:sz="6" w:space="0" w:color="auto"/>
            </w:tcBorders>
            <w:shd w:val="clear" w:color="auto" w:fill="auto"/>
            <w:noWrap/>
            <w:vAlign w:val="center"/>
            <w:hideMark/>
          </w:tcPr>
          <w:p w14:paraId="4D6B421C" w14:textId="4C524ED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70.9%</w:t>
            </w:r>
          </w:p>
        </w:tc>
      </w:tr>
      <w:tr w:rsidR="008B6E07" w:rsidRPr="0049778F" w14:paraId="3105C78E" w14:textId="77777777" w:rsidTr="00273F52">
        <w:trPr>
          <w:trHeight w:val="386"/>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316176F5"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PCE-B</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D6ABA"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Pharmacotherapy Management of COPD Exacerbation Bronchodilators</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A940D42" w14:textId="0CA6D0E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CCD4C7C" w14:textId="76A890C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FC01AC" w14:textId="3BC6BC8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0D8E80C" w14:textId="3D14302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90.8%</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3C4ACF8E" w14:textId="4DA8349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1D094119" w14:textId="25C28A3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91.4%</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7130CA4" w14:textId="7AC7454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94.3%</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0D897AB" w14:textId="0B32659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86.8%</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103F356B" w14:textId="1A65027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91.5%</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63F1097C" w14:textId="75D9B25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90.1%</w:t>
            </w:r>
          </w:p>
        </w:tc>
      </w:tr>
      <w:tr w:rsidR="008B6E07" w:rsidRPr="0049778F" w14:paraId="3B5A1B3D" w14:textId="77777777" w:rsidTr="00273F52">
        <w:trPr>
          <w:trHeight w:val="35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45C56B27"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SPR</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41AC8578"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Use of Spirometry Testing in the Assessment and Diagnosis of COPD</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2891F51" w14:textId="3B9B61E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1832E49" w14:textId="53080B6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093616B" w14:textId="76A932A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auto"/>
            <w:noWrap/>
            <w:vAlign w:val="center"/>
            <w:hideMark/>
          </w:tcPr>
          <w:p w14:paraId="010CF082" w14:textId="730B7DD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23.9%</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8736C43" w14:textId="5E254E5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nil"/>
            </w:tcBorders>
            <w:shd w:val="clear" w:color="auto" w:fill="auto"/>
            <w:noWrap/>
            <w:vAlign w:val="center"/>
            <w:hideMark/>
          </w:tcPr>
          <w:p w14:paraId="2F0D39A8" w14:textId="76C391C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19.9%</w:t>
            </w:r>
          </w:p>
        </w:tc>
        <w:tc>
          <w:tcPr>
            <w:tcW w:w="830" w:type="dxa"/>
            <w:tcBorders>
              <w:top w:val="nil"/>
              <w:left w:val="single" w:sz="4" w:space="0" w:color="auto"/>
              <w:bottom w:val="single" w:sz="4" w:space="0" w:color="auto"/>
              <w:right w:val="nil"/>
            </w:tcBorders>
            <w:shd w:val="clear" w:color="auto" w:fill="auto"/>
            <w:noWrap/>
            <w:vAlign w:val="center"/>
            <w:hideMark/>
          </w:tcPr>
          <w:p w14:paraId="2969B5E1" w14:textId="3BA6DD2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22.5%</w:t>
            </w:r>
          </w:p>
        </w:tc>
        <w:tc>
          <w:tcPr>
            <w:tcW w:w="830" w:type="dxa"/>
            <w:tcBorders>
              <w:top w:val="nil"/>
              <w:left w:val="single" w:sz="4" w:space="0" w:color="auto"/>
              <w:bottom w:val="single" w:sz="4" w:space="0" w:color="auto"/>
              <w:right w:val="nil"/>
            </w:tcBorders>
            <w:shd w:val="clear" w:color="auto" w:fill="auto"/>
            <w:noWrap/>
            <w:vAlign w:val="center"/>
            <w:hideMark/>
          </w:tcPr>
          <w:p w14:paraId="57733607" w14:textId="027B51F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24.7%</w:t>
            </w:r>
          </w:p>
        </w:tc>
        <w:tc>
          <w:tcPr>
            <w:tcW w:w="860" w:type="dxa"/>
            <w:tcBorders>
              <w:top w:val="nil"/>
              <w:left w:val="single" w:sz="4" w:space="0" w:color="auto"/>
              <w:bottom w:val="single" w:sz="4" w:space="0" w:color="auto"/>
              <w:right w:val="nil"/>
            </w:tcBorders>
            <w:shd w:val="clear" w:color="auto" w:fill="auto"/>
            <w:noWrap/>
            <w:vAlign w:val="center"/>
            <w:hideMark/>
          </w:tcPr>
          <w:p w14:paraId="79EC9AB5" w14:textId="398BF39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25.3%</w:t>
            </w:r>
          </w:p>
        </w:tc>
        <w:tc>
          <w:tcPr>
            <w:tcW w:w="900" w:type="dxa"/>
            <w:tcBorders>
              <w:top w:val="nil"/>
              <w:left w:val="single" w:sz="4" w:space="0" w:color="auto"/>
              <w:bottom w:val="single" w:sz="4" w:space="0" w:color="auto"/>
              <w:right w:val="double" w:sz="6" w:space="0" w:color="auto"/>
            </w:tcBorders>
            <w:shd w:val="clear" w:color="auto" w:fill="auto"/>
            <w:noWrap/>
            <w:vAlign w:val="center"/>
            <w:hideMark/>
          </w:tcPr>
          <w:p w14:paraId="04F80EBD" w14:textId="2DBFB91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26.6%</w:t>
            </w:r>
          </w:p>
        </w:tc>
      </w:tr>
      <w:tr w:rsidR="008B6E07" w:rsidRPr="0049778F" w14:paraId="02D1266B"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0AD3BDF1"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lastRenderedPageBreak/>
              <w:t>TRC</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2A84AA" w14:textId="191A32BC" w:rsidR="008B6E07" w:rsidRPr="0049778F" w:rsidRDefault="008B6E07" w:rsidP="008B6E07">
            <w:pPr>
              <w:spacing w:after="0"/>
              <w:rPr>
                <w:rFonts w:eastAsia="Times New Roman" w:cs="Calibri"/>
                <w:sz w:val="18"/>
                <w:szCs w:val="18"/>
              </w:rPr>
            </w:pPr>
            <w:r w:rsidRPr="0049778F">
              <w:rPr>
                <w:rFonts w:eastAsia="Times New Roman" w:cs="Calibri"/>
                <w:sz w:val="18"/>
                <w:szCs w:val="18"/>
              </w:rPr>
              <w:t>Transitions of Care: Medication Reconciliation Post Discharge</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2305DDB" w14:textId="2F2CBE0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48D43D8" w14:textId="628343D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A709288" w14:textId="60CDC65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BB235CF" w14:textId="0110062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54.3%</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2EC72E33" w14:textId="4CEFC38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72.9%</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2A4438DD" w14:textId="66CCE4E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49.6%</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16464410" w14:textId="37B0FE5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85.4%</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20ADE21F" w14:textId="4877917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43.6%</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9C87D9A" w14:textId="4BBE43C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43.1%</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2B875B95" w14:textId="4BA68C3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57.2%</w:t>
            </w:r>
          </w:p>
        </w:tc>
      </w:tr>
      <w:tr w:rsidR="008B6E07" w:rsidRPr="0049778F" w14:paraId="4C28BE9A"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2CBB8EB2"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OMW</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325E0282"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Osteoporosis Management in Women Who Had a Fracture</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B92F66A" w14:textId="4F5E5FB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0041B66" w14:textId="728AD6B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89BD832" w14:textId="535CA95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7DC1BC38" w14:textId="15202E5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25.5%</w:t>
            </w:r>
          </w:p>
        </w:tc>
        <w:tc>
          <w:tcPr>
            <w:tcW w:w="830" w:type="dxa"/>
            <w:tcBorders>
              <w:top w:val="nil"/>
              <w:left w:val="nil"/>
              <w:bottom w:val="single" w:sz="4" w:space="0" w:color="auto"/>
              <w:right w:val="single" w:sz="4" w:space="0" w:color="auto"/>
            </w:tcBorders>
            <w:shd w:val="clear" w:color="auto" w:fill="auto"/>
            <w:noWrap/>
            <w:vAlign w:val="center"/>
            <w:hideMark/>
          </w:tcPr>
          <w:p w14:paraId="0C5EAA2E" w14:textId="1E39A66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1040" w:type="dxa"/>
            <w:tcBorders>
              <w:top w:val="nil"/>
              <w:left w:val="nil"/>
              <w:bottom w:val="single" w:sz="4" w:space="0" w:color="auto"/>
              <w:right w:val="single" w:sz="4" w:space="0" w:color="auto"/>
            </w:tcBorders>
            <w:shd w:val="clear" w:color="auto" w:fill="auto"/>
            <w:noWrap/>
            <w:vAlign w:val="center"/>
            <w:hideMark/>
          </w:tcPr>
          <w:p w14:paraId="26B367AD" w14:textId="22CF2B4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16.3%</w:t>
            </w:r>
          </w:p>
        </w:tc>
        <w:tc>
          <w:tcPr>
            <w:tcW w:w="830" w:type="dxa"/>
            <w:tcBorders>
              <w:top w:val="nil"/>
              <w:left w:val="nil"/>
              <w:bottom w:val="single" w:sz="4" w:space="0" w:color="auto"/>
              <w:right w:val="single" w:sz="4" w:space="0" w:color="auto"/>
            </w:tcBorders>
            <w:shd w:val="clear" w:color="auto" w:fill="auto"/>
            <w:noWrap/>
            <w:vAlign w:val="center"/>
            <w:hideMark/>
          </w:tcPr>
          <w:p w14:paraId="4B9D1DD5" w14:textId="4730F7B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43.8%</w:t>
            </w:r>
          </w:p>
        </w:tc>
        <w:tc>
          <w:tcPr>
            <w:tcW w:w="830" w:type="dxa"/>
            <w:tcBorders>
              <w:top w:val="nil"/>
              <w:left w:val="nil"/>
              <w:bottom w:val="single" w:sz="4" w:space="0" w:color="auto"/>
              <w:right w:val="single" w:sz="4" w:space="0" w:color="auto"/>
            </w:tcBorders>
            <w:shd w:val="clear" w:color="auto" w:fill="auto"/>
            <w:noWrap/>
            <w:vAlign w:val="center"/>
            <w:hideMark/>
          </w:tcPr>
          <w:p w14:paraId="658E40E1" w14:textId="67B255E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860" w:type="dxa"/>
            <w:tcBorders>
              <w:top w:val="nil"/>
              <w:left w:val="nil"/>
              <w:bottom w:val="single" w:sz="4" w:space="0" w:color="auto"/>
              <w:right w:val="single" w:sz="4" w:space="0" w:color="auto"/>
            </w:tcBorders>
            <w:shd w:val="clear" w:color="auto" w:fill="auto"/>
            <w:noWrap/>
            <w:vAlign w:val="center"/>
            <w:hideMark/>
          </w:tcPr>
          <w:p w14:paraId="1D5BE30A" w14:textId="328B394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NA</w:t>
            </w:r>
          </w:p>
        </w:tc>
        <w:tc>
          <w:tcPr>
            <w:tcW w:w="900" w:type="dxa"/>
            <w:tcBorders>
              <w:top w:val="nil"/>
              <w:left w:val="nil"/>
              <w:bottom w:val="single" w:sz="4" w:space="0" w:color="auto"/>
              <w:right w:val="double" w:sz="6" w:space="0" w:color="auto"/>
            </w:tcBorders>
            <w:shd w:val="clear" w:color="auto" w:fill="auto"/>
            <w:noWrap/>
            <w:vAlign w:val="center"/>
            <w:hideMark/>
          </w:tcPr>
          <w:p w14:paraId="6921AE4D" w14:textId="1315BE9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22.6%</w:t>
            </w:r>
          </w:p>
        </w:tc>
      </w:tr>
      <w:tr w:rsidR="008B6E07" w:rsidRPr="0049778F" w14:paraId="776F0C63" w14:textId="77777777" w:rsidTr="00273F52">
        <w:trPr>
          <w:trHeight w:val="31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hideMark/>
          </w:tcPr>
          <w:p w14:paraId="5224F2BC"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FVO NQF0041</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0F980"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Influenza Immunization (age 65+)</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4F09038" w14:textId="443DFB0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BD9A3C2" w14:textId="18D50B2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76C4D80" w14:textId="40197A1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E60370" w14:textId="7C8FCF9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531EB4A8" w14:textId="223CF5E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5C056A1F" w14:textId="600D2A1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56C4FFFA" w14:textId="77E1A43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5E9CF60E" w14:textId="4E73914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469867EE" w14:textId="6838F44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5FD7DE11" w14:textId="6640807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r>
      <w:tr w:rsidR="009C199F" w:rsidRPr="0049778F" w14:paraId="657051CB" w14:textId="77777777" w:rsidTr="00273F52">
        <w:trPr>
          <w:trHeight w:val="31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7A3B267A"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CMS127v9</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4A40018B" w14:textId="77777777" w:rsidR="008B6E07" w:rsidRPr="0049778F" w:rsidRDefault="008B6E07" w:rsidP="008B6E07">
            <w:pPr>
              <w:spacing w:after="0"/>
              <w:rPr>
                <w:rFonts w:eastAsia="Times New Roman" w:cs="Calibri"/>
                <w:sz w:val="18"/>
                <w:szCs w:val="18"/>
              </w:rPr>
            </w:pPr>
            <w:r w:rsidRPr="0049778F">
              <w:rPr>
                <w:rFonts w:eastAsia="Times New Roman" w:cs="Calibri"/>
                <w:sz w:val="18"/>
                <w:szCs w:val="18"/>
              </w:rPr>
              <w:t>Pneumococcal Immunization</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48808A4" w14:textId="538DE63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1C03892" w14:textId="05C4DB2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6470D56" w14:textId="6C17B8C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6ED75CFA" w14:textId="0750143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5716E0A0" w14:textId="614FBA7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center"/>
            <w:hideMark/>
          </w:tcPr>
          <w:p w14:paraId="23B43311" w14:textId="3BB068A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5317DDF4" w14:textId="341F6A3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55AABE1E" w14:textId="5CD7A55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60" w:type="dxa"/>
            <w:tcBorders>
              <w:top w:val="nil"/>
              <w:left w:val="nil"/>
              <w:bottom w:val="single" w:sz="4" w:space="0" w:color="auto"/>
              <w:right w:val="single" w:sz="4" w:space="0" w:color="auto"/>
            </w:tcBorders>
            <w:shd w:val="clear" w:color="auto" w:fill="auto"/>
            <w:noWrap/>
            <w:vAlign w:val="center"/>
            <w:hideMark/>
          </w:tcPr>
          <w:p w14:paraId="124C74FF" w14:textId="20E8F40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nil"/>
              <w:left w:val="nil"/>
              <w:bottom w:val="single" w:sz="4" w:space="0" w:color="auto"/>
              <w:right w:val="double" w:sz="6" w:space="0" w:color="auto"/>
            </w:tcBorders>
            <w:shd w:val="clear" w:color="auto" w:fill="auto"/>
            <w:noWrap/>
            <w:vAlign w:val="center"/>
            <w:hideMark/>
          </w:tcPr>
          <w:p w14:paraId="1A3103ED" w14:textId="7242FDD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r>
      <w:tr w:rsidR="009C199F" w:rsidRPr="0049778F" w14:paraId="3704A303" w14:textId="77777777" w:rsidTr="00273F52">
        <w:trPr>
          <w:trHeight w:val="638"/>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20FEC984"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DDE</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58E97"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Potentially Harmful Drug Disease Interactions in the Elderly (total) (lower rate is better)</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3BC1531" w14:textId="0F1157D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185C694" w14:textId="2764474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41FE413" w14:textId="4D10072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767D6B3D" w14:textId="67C80E0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32.4%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4880828" w14:textId="1D032C5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30.7%</w:t>
            </w:r>
          </w:p>
        </w:tc>
        <w:tc>
          <w:tcPr>
            <w:tcW w:w="1040" w:type="dxa"/>
            <w:tcBorders>
              <w:top w:val="nil"/>
              <w:left w:val="single" w:sz="4" w:space="0" w:color="auto"/>
              <w:bottom w:val="single" w:sz="4" w:space="0" w:color="auto"/>
              <w:right w:val="nil"/>
            </w:tcBorders>
            <w:shd w:val="clear" w:color="auto" w:fill="F2F2F2" w:themeFill="background1" w:themeFillShade="F2"/>
            <w:noWrap/>
            <w:vAlign w:val="center"/>
            <w:hideMark/>
          </w:tcPr>
          <w:p w14:paraId="31ADD042" w14:textId="149F945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31.1%</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741B32C3" w14:textId="4A49586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35.7%</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52776B49" w14:textId="488AB51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31.2%</w:t>
            </w:r>
          </w:p>
        </w:tc>
        <w:tc>
          <w:tcPr>
            <w:tcW w:w="860" w:type="dxa"/>
            <w:tcBorders>
              <w:top w:val="nil"/>
              <w:left w:val="single" w:sz="4" w:space="0" w:color="auto"/>
              <w:bottom w:val="single" w:sz="4" w:space="0" w:color="auto"/>
              <w:right w:val="nil"/>
            </w:tcBorders>
            <w:shd w:val="clear" w:color="auto" w:fill="F2F2F2" w:themeFill="background1" w:themeFillShade="F2"/>
            <w:noWrap/>
            <w:vAlign w:val="center"/>
            <w:hideMark/>
          </w:tcPr>
          <w:p w14:paraId="4A5BA084" w14:textId="59FDFDE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32.5%</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3829CF5B" w14:textId="7D93301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32.9%</w:t>
            </w:r>
          </w:p>
        </w:tc>
      </w:tr>
      <w:tr w:rsidR="009C199F" w:rsidRPr="0049778F" w14:paraId="0B680884"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47EE7278"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DAE-1Rx</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21AA5145"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One RX</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DFC7838" w14:textId="12A89C2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99CC000" w14:textId="697A610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D7EC108" w14:textId="16E9F90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52BFFB4A" w14:textId="5C4BF51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2A18263E" w14:textId="406520B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1040" w:type="dxa"/>
            <w:tcBorders>
              <w:top w:val="nil"/>
              <w:left w:val="nil"/>
              <w:bottom w:val="single" w:sz="4" w:space="0" w:color="auto"/>
              <w:right w:val="single" w:sz="4" w:space="0" w:color="auto"/>
            </w:tcBorders>
            <w:shd w:val="clear" w:color="auto" w:fill="auto"/>
            <w:noWrap/>
            <w:vAlign w:val="center"/>
            <w:hideMark/>
          </w:tcPr>
          <w:p w14:paraId="7B7FE2A0" w14:textId="0759152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7426069D" w14:textId="0A29FDA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auto"/>
            <w:noWrap/>
            <w:vAlign w:val="center"/>
            <w:hideMark/>
          </w:tcPr>
          <w:p w14:paraId="71D8A3DA" w14:textId="608B0BA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60" w:type="dxa"/>
            <w:tcBorders>
              <w:top w:val="nil"/>
              <w:left w:val="nil"/>
              <w:bottom w:val="single" w:sz="4" w:space="0" w:color="auto"/>
              <w:right w:val="single" w:sz="4" w:space="0" w:color="auto"/>
            </w:tcBorders>
            <w:shd w:val="clear" w:color="auto" w:fill="auto"/>
            <w:noWrap/>
            <w:vAlign w:val="center"/>
            <w:hideMark/>
          </w:tcPr>
          <w:p w14:paraId="1F12D4EA" w14:textId="48F5ED9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nil"/>
              <w:left w:val="nil"/>
              <w:bottom w:val="single" w:sz="4" w:space="0" w:color="auto"/>
              <w:right w:val="double" w:sz="6" w:space="0" w:color="auto"/>
            </w:tcBorders>
            <w:shd w:val="clear" w:color="auto" w:fill="auto"/>
            <w:noWrap/>
            <w:vAlign w:val="center"/>
            <w:hideMark/>
          </w:tcPr>
          <w:p w14:paraId="307ECC15" w14:textId="05F5433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r>
      <w:tr w:rsidR="009C199F" w:rsidRPr="0049778F" w14:paraId="32CDD6A4"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311B5CFC"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DAE-2Rx</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CB0FC2"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Use of High-Risk Medications in the Elderly Two RX</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62841A4" w14:textId="2D21764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16B2B50" w14:textId="77C2F94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7697AC5" w14:textId="0DE0F15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97C830" w14:textId="00B61B6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6DE78D36" w14:textId="4D6DEA0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67213E29" w14:textId="07F5D6C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15A9A51" w14:textId="3BB8228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0BDECCBA" w14:textId="78044F38"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7D60B0FE" w14:textId="79CA63B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0172F92D" w14:textId="6C0EE14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r>
      <w:tr w:rsidR="00F2597C" w:rsidRPr="0049778F" w14:paraId="062BC399"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auto"/>
            <w:noWrap/>
          </w:tcPr>
          <w:p w14:paraId="75F140FF" w14:textId="6BE23C78" w:rsidR="00F2597C" w:rsidRPr="0049778F" w:rsidRDefault="00F2597C" w:rsidP="00F2597C">
            <w:pPr>
              <w:spacing w:after="0"/>
              <w:jc w:val="center"/>
              <w:rPr>
                <w:rFonts w:eastAsia="Times New Roman" w:cs="Calibri"/>
                <w:color w:val="000000"/>
                <w:sz w:val="18"/>
                <w:szCs w:val="18"/>
              </w:rPr>
            </w:pPr>
            <w:r>
              <w:rPr>
                <w:rFonts w:cs="Calibri"/>
                <w:sz w:val="20"/>
                <w:szCs w:val="20"/>
              </w:rPr>
              <w:t>DAE - Total</w:t>
            </w:r>
          </w:p>
        </w:tc>
        <w:tc>
          <w:tcPr>
            <w:tcW w:w="5546" w:type="dxa"/>
            <w:tcBorders>
              <w:top w:val="single" w:sz="4" w:space="0" w:color="auto"/>
              <w:left w:val="single" w:sz="4" w:space="0" w:color="auto"/>
              <w:bottom w:val="single" w:sz="4" w:space="0" w:color="auto"/>
              <w:right w:val="single" w:sz="4" w:space="0" w:color="auto"/>
            </w:tcBorders>
            <w:shd w:val="clear" w:color="auto" w:fill="auto"/>
          </w:tcPr>
          <w:p w14:paraId="43575F76" w14:textId="6136C76B" w:rsidR="00F2597C" w:rsidRPr="0049778F" w:rsidRDefault="00F2597C" w:rsidP="00F2597C">
            <w:pPr>
              <w:spacing w:after="0"/>
              <w:rPr>
                <w:rFonts w:eastAsia="Times New Roman" w:cs="Calibri"/>
                <w:color w:val="000000"/>
                <w:sz w:val="18"/>
                <w:szCs w:val="18"/>
              </w:rPr>
            </w:pPr>
            <w:r>
              <w:rPr>
                <w:rFonts w:cs="Calibri"/>
                <w:color w:val="000000"/>
                <w:sz w:val="20"/>
                <w:szCs w:val="20"/>
              </w:rPr>
              <w:t>Use of High-Risk Medications in the Elderly - Total (lower rate is better)</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9F61035" w14:textId="77777777" w:rsidR="00F2597C" w:rsidRPr="0049778F" w:rsidRDefault="00F2597C" w:rsidP="00F2597C">
            <w:pPr>
              <w:spacing w:after="0"/>
              <w:jc w:val="center"/>
              <w:rPr>
                <w:rFonts w:cs="Calibri"/>
                <w:color w:val="000000"/>
                <w:sz w:val="18"/>
                <w:szCs w:val="18"/>
              </w:rPr>
            </w:pP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FD868AB" w14:textId="77777777" w:rsidR="00F2597C" w:rsidRPr="0049778F" w:rsidRDefault="00F2597C" w:rsidP="00F2597C">
            <w:pPr>
              <w:spacing w:after="0"/>
              <w:jc w:val="center"/>
              <w:rPr>
                <w:rFonts w:cs="Calibri"/>
                <w:color w:val="000000"/>
                <w:sz w:val="18"/>
                <w:szCs w:val="18"/>
              </w:rPr>
            </w:pP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C34306D" w14:textId="77777777" w:rsidR="00F2597C" w:rsidRPr="0049778F" w:rsidRDefault="00F2597C" w:rsidP="00F2597C">
            <w:pPr>
              <w:spacing w:after="0"/>
              <w:jc w:val="center"/>
              <w:rPr>
                <w:rFonts w:cs="Calibri"/>
                <w:color w:val="000000"/>
                <w:sz w:val="18"/>
                <w:szCs w:val="18"/>
              </w:rPr>
            </w:pPr>
          </w:p>
        </w:tc>
        <w:tc>
          <w:tcPr>
            <w:tcW w:w="830" w:type="dxa"/>
            <w:tcBorders>
              <w:top w:val="nil"/>
              <w:left w:val="single" w:sz="4" w:space="0" w:color="auto"/>
              <w:bottom w:val="single" w:sz="4" w:space="0" w:color="auto"/>
              <w:right w:val="single" w:sz="4" w:space="0" w:color="auto"/>
            </w:tcBorders>
            <w:shd w:val="clear" w:color="auto" w:fill="auto"/>
            <w:noWrap/>
            <w:vAlign w:val="center"/>
          </w:tcPr>
          <w:p w14:paraId="2932AA4E" w14:textId="6B472445" w:rsidR="00F2597C" w:rsidRPr="00F2597C" w:rsidRDefault="00F2597C" w:rsidP="00F2597C">
            <w:pPr>
              <w:spacing w:after="0"/>
              <w:jc w:val="center"/>
              <w:rPr>
                <w:rFonts w:cs="Calibri"/>
                <w:color w:val="000000"/>
                <w:sz w:val="18"/>
                <w:szCs w:val="18"/>
              </w:rPr>
            </w:pPr>
            <w:r w:rsidRPr="00F2597C">
              <w:rPr>
                <w:rFonts w:cs="Calibri"/>
                <w:color w:val="000000"/>
                <w:sz w:val="18"/>
                <w:szCs w:val="18"/>
              </w:rPr>
              <w:t>21.6%</w:t>
            </w:r>
          </w:p>
        </w:tc>
        <w:tc>
          <w:tcPr>
            <w:tcW w:w="830" w:type="dxa"/>
            <w:tcBorders>
              <w:top w:val="nil"/>
              <w:left w:val="nil"/>
              <w:bottom w:val="single" w:sz="4" w:space="0" w:color="auto"/>
              <w:right w:val="single" w:sz="4" w:space="0" w:color="auto"/>
            </w:tcBorders>
            <w:shd w:val="clear" w:color="auto" w:fill="auto"/>
            <w:noWrap/>
            <w:vAlign w:val="center"/>
          </w:tcPr>
          <w:p w14:paraId="17BC2A9C" w14:textId="23475205" w:rsidR="00F2597C" w:rsidRPr="00F2597C" w:rsidRDefault="00F2597C" w:rsidP="00F2597C">
            <w:pPr>
              <w:spacing w:after="0"/>
              <w:jc w:val="center"/>
              <w:rPr>
                <w:rFonts w:cs="Calibri"/>
                <w:color w:val="000000"/>
                <w:sz w:val="18"/>
                <w:szCs w:val="18"/>
              </w:rPr>
            </w:pPr>
            <w:r w:rsidRPr="00F2597C">
              <w:rPr>
                <w:rFonts w:cs="Calibri"/>
                <w:color w:val="000000"/>
                <w:sz w:val="18"/>
                <w:szCs w:val="18"/>
              </w:rPr>
              <w:t>17.8%</w:t>
            </w:r>
          </w:p>
        </w:tc>
        <w:tc>
          <w:tcPr>
            <w:tcW w:w="1040" w:type="dxa"/>
            <w:tcBorders>
              <w:top w:val="nil"/>
              <w:left w:val="nil"/>
              <w:bottom w:val="single" w:sz="4" w:space="0" w:color="auto"/>
              <w:right w:val="single" w:sz="4" w:space="0" w:color="auto"/>
            </w:tcBorders>
            <w:shd w:val="clear" w:color="auto" w:fill="auto"/>
            <w:noWrap/>
            <w:vAlign w:val="center"/>
          </w:tcPr>
          <w:p w14:paraId="28BB65F6" w14:textId="0222537A" w:rsidR="00F2597C" w:rsidRPr="00F2597C" w:rsidRDefault="00F2597C" w:rsidP="00F2597C">
            <w:pPr>
              <w:spacing w:after="0"/>
              <w:jc w:val="center"/>
              <w:rPr>
                <w:rFonts w:cs="Calibri"/>
                <w:color w:val="000000"/>
                <w:sz w:val="18"/>
                <w:szCs w:val="18"/>
              </w:rPr>
            </w:pPr>
            <w:r w:rsidRPr="00F2597C">
              <w:rPr>
                <w:rFonts w:cs="Calibri"/>
                <w:color w:val="000000"/>
                <w:sz w:val="18"/>
                <w:szCs w:val="18"/>
              </w:rPr>
              <w:t>23.3%</w:t>
            </w:r>
          </w:p>
        </w:tc>
        <w:tc>
          <w:tcPr>
            <w:tcW w:w="830" w:type="dxa"/>
            <w:tcBorders>
              <w:top w:val="nil"/>
              <w:left w:val="nil"/>
              <w:bottom w:val="single" w:sz="4" w:space="0" w:color="auto"/>
              <w:right w:val="single" w:sz="4" w:space="0" w:color="auto"/>
            </w:tcBorders>
            <w:shd w:val="clear" w:color="auto" w:fill="auto"/>
            <w:noWrap/>
            <w:vAlign w:val="center"/>
          </w:tcPr>
          <w:p w14:paraId="38434631" w14:textId="79E911A2" w:rsidR="00F2597C" w:rsidRPr="00F2597C" w:rsidRDefault="00F2597C" w:rsidP="00F2597C">
            <w:pPr>
              <w:spacing w:after="0"/>
              <w:jc w:val="center"/>
              <w:rPr>
                <w:rFonts w:cs="Calibri"/>
                <w:color w:val="000000"/>
                <w:sz w:val="18"/>
                <w:szCs w:val="18"/>
              </w:rPr>
            </w:pPr>
            <w:r w:rsidRPr="00F2597C">
              <w:rPr>
                <w:rFonts w:cs="Calibri"/>
                <w:color w:val="000000"/>
                <w:sz w:val="18"/>
                <w:szCs w:val="18"/>
              </w:rPr>
              <w:t>25.0%</w:t>
            </w:r>
          </w:p>
        </w:tc>
        <w:tc>
          <w:tcPr>
            <w:tcW w:w="830" w:type="dxa"/>
            <w:tcBorders>
              <w:top w:val="nil"/>
              <w:left w:val="nil"/>
              <w:bottom w:val="single" w:sz="4" w:space="0" w:color="auto"/>
              <w:right w:val="single" w:sz="4" w:space="0" w:color="auto"/>
            </w:tcBorders>
            <w:shd w:val="clear" w:color="auto" w:fill="auto"/>
            <w:noWrap/>
            <w:vAlign w:val="center"/>
          </w:tcPr>
          <w:p w14:paraId="07E885A5" w14:textId="7D567B65" w:rsidR="00F2597C" w:rsidRPr="00F2597C" w:rsidRDefault="00F2597C" w:rsidP="00F2597C">
            <w:pPr>
              <w:spacing w:after="0"/>
              <w:jc w:val="center"/>
              <w:rPr>
                <w:rFonts w:cs="Calibri"/>
                <w:color w:val="000000"/>
                <w:sz w:val="18"/>
                <w:szCs w:val="18"/>
              </w:rPr>
            </w:pPr>
            <w:r w:rsidRPr="00F2597C">
              <w:rPr>
                <w:rFonts w:cs="Calibri"/>
                <w:color w:val="000000"/>
                <w:sz w:val="18"/>
                <w:szCs w:val="18"/>
              </w:rPr>
              <w:t>19.4%</w:t>
            </w:r>
          </w:p>
        </w:tc>
        <w:tc>
          <w:tcPr>
            <w:tcW w:w="860" w:type="dxa"/>
            <w:tcBorders>
              <w:top w:val="nil"/>
              <w:left w:val="nil"/>
              <w:bottom w:val="single" w:sz="4" w:space="0" w:color="auto"/>
              <w:right w:val="single" w:sz="4" w:space="0" w:color="auto"/>
            </w:tcBorders>
            <w:shd w:val="clear" w:color="auto" w:fill="auto"/>
            <w:noWrap/>
            <w:vAlign w:val="center"/>
          </w:tcPr>
          <w:p w14:paraId="7E5BB51F" w14:textId="79C8D915" w:rsidR="00F2597C" w:rsidRPr="00F2597C" w:rsidRDefault="00F2597C" w:rsidP="00F2597C">
            <w:pPr>
              <w:spacing w:after="0"/>
              <w:jc w:val="center"/>
              <w:rPr>
                <w:rFonts w:cs="Calibri"/>
                <w:color w:val="000000"/>
                <w:sz w:val="18"/>
                <w:szCs w:val="18"/>
              </w:rPr>
            </w:pPr>
            <w:r w:rsidRPr="00F2597C">
              <w:rPr>
                <w:rFonts w:cs="Calibri"/>
                <w:color w:val="000000"/>
                <w:sz w:val="18"/>
                <w:szCs w:val="18"/>
              </w:rPr>
              <w:t>18.3%</w:t>
            </w:r>
          </w:p>
        </w:tc>
        <w:tc>
          <w:tcPr>
            <w:tcW w:w="900" w:type="dxa"/>
            <w:tcBorders>
              <w:top w:val="nil"/>
              <w:left w:val="nil"/>
              <w:bottom w:val="single" w:sz="4" w:space="0" w:color="auto"/>
              <w:right w:val="double" w:sz="6" w:space="0" w:color="auto"/>
            </w:tcBorders>
            <w:shd w:val="clear" w:color="auto" w:fill="auto"/>
            <w:noWrap/>
            <w:vAlign w:val="center"/>
          </w:tcPr>
          <w:p w14:paraId="1F407095" w14:textId="293D0386" w:rsidR="00F2597C" w:rsidRPr="00F2597C" w:rsidRDefault="00F2597C" w:rsidP="00F2597C">
            <w:pPr>
              <w:spacing w:after="0"/>
              <w:jc w:val="center"/>
              <w:rPr>
                <w:rFonts w:cs="Calibri"/>
                <w:color w:val="000000"/>
                <w:sz w:val="18"/>
                <w:szCs w:val="18"/>
              </w:rPr>
            </w:pPr>
            <w:r w:rsidRPr="00F2597C">
              <w:rPr>
                <w:rFonts w:cs="Calibri"/>
                <w:color w:val="000000"/>
                <w:sz w:val="18"/>
                <w:szCs w:val="18"/>
              </w:rPr>
              <w:t>22.4%</w:t>
            </w:r>
          </w:p>
        </w:tc>
      </w:tr>
      <w:tr w:rsidR="00461943" w:rsidRPr="0049778F" w14:paraId="292EDA6A" w14:textId="77777777" w:rsidTr="00273F52">
        <w:trPr>
          <w:trHeight w:val="52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5AE46EC1" w14:textId="77777777" w:rsidR="004A16BC" w:rsidRPr="0049778F" w:rsidRDefault="004A16BC" w:rsidP="004A16BC">
            <w:pPr>
              <w:spacing w:after="0"/>
              <w:jc w:val="center"/>
              <w:rPr>
                <w:rFonts w:eastAsia="Times New Roman" w:cs="Calibri"/>
                <w:color w:val="000000"/>
                <w:sz w:val="18"/>
                <w:szCs w:val="18"/>
              </w:rPr>
            </w:pPr>
            <w:r w:rsidRPr="0049778F">
              <w:rPr>
                <w:rFonts w:eastAsia="Times New Roman" w:cs="Calibri"/>
                <w:color w:val="000000"/>
                <w:sz w:val="18"/>
                <w:szCs w:val="18"/>
              </w:rPr>
              <w:t>AMM-A</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79D4E8" w14:textId="77777777" w:rsidR="004A16BC" w:rsidRPr="0049778F" w:rsidRDefault="004A16BC" w:rsidP="004A16BC">
            <w:pPr>
              <w:spacing w:after="0"/>
              <w:rPr>
                <w:rFonts w:eastAsia="Times New Roman" w:cs="Calibri"/>
                <w:color w:val="000000"/>
                <w:sz w:val="18"/>
                <w:szCs w:val="18"/>
              </w:rPr>
            </w:pPr>
            <w:r w:rsidRPr="0049778F">
              <w:rPr>
                <w:rFonts w:eastAsia="Times New Roman" w:cs="Calibri"/>
                <w:color w:val="000000"/>
                <w:sz w:val="18"/>
                <w:szCs w:val="18"/>
              </w:rPr>
              <w:t>Antidepressant Medication Management Acute</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4E9863F" w14:textId="2B58FE0A"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DD0010B" w14:textId="10169D3A"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FC4DAE3" w14:textId="4E9A7A82"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E0E12C6" w14:textId="21A3E04E"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78.9%</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F32DBD" w14:textId="177457DC"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87.2%</w:t>
            </w:r>
          </w:p>
        </w:tc>
        <w:tc>
          <w:tcPr>
            <w:tcW w:w="1040" w:type="dxa"/>
            <w:tcBorders>
              <w:top w:val="nil"/>
              <w:left w:val="nil"/>
              <w:bottom w:val="single" w:sz="4" w:space="0" w:color="auto"/>
              <w:right w:val="single" w:sz="4" w:space="0" w:color="auto"/>
            </w:tcBorders>
            <w:shd w:val="clear" w:color="auto" w:fill="F2F2F2" w:themeFill="background1" w:themeFillShade="F2"/>
            <w:noWrap/>
            <w:vAlign w:val="center"/>
            <w:hideMark/>
          </w:tcPr>
          <w:p w14:paraId="182E9696" w14:textId="79A2C8FB"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78.2%</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4E53B3C3" w14:textId="676EAB42"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78.4%</w:t>
            </w:r>
          </w:p>
        </w:tc>
        <w:tc>
          <w:tcPr>
            <w:tcW w:w="830" w:type="dxa"/>
            <w:tcBorders>
              <w:top w:val="nil"/>
              <w:left w:val="nil"/>
              <w:bottom w:val="single" w:sz="4" w:space="0" w:color="auto"/>
              <w:right w:val="single" w:sz="4" w:space="0" w:color="auto"/>
            </w:tcBorders>
            <w:shd w:val="clear" w:color="auto" w:fill="F2F2F2" w:themeFill="background1" w:themeFillShade="F2"/>
            <w:noWrap/>
            <w:vAlign w:val="center"/>
            <w:hideMark/>
          </w:tcPr>
          <w:p w14:paraId="7C240D50" w14:textId="575FCD62"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83.4%</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hideMark/>
          </w:tcPr>
          <w:p w14:paraId="0E1FAF3A" w14:textId="51F43B7F"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71.7%</w:t>
            </w:r>
          </w:p>
        </w:tc>
        <w:tc>
          <w:tcPr>
            <w:tcW w:w="900" w:type="dxa"/>
            <w:tcBorders>
              <w:top w:val="nil"/>
              <w:left w:val="nil"/>
              <w:bottom w:val="single" w:sz="4" w:space="0" w:color="auto"/>
              <w:right w:val="double" w:sz="6" w:space="0" w:color="auto"/>
            </w:tcBorders>
            <w:shd w:val="clear" w:color="auto" w:fill="F2F2F2" w:themeFill="background1" w:themeFillShade="F2"/>
            <w:noWrap/>
            <w:vAlign w:val="center"/>
            <w:hideMark/>
          </w:tcPr>
          <w:p w14:paraId="7091EC9B" w14:textId="6221AE97"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78.1%</w:t>
            </w:r>
          </w:p>
        </w:tc>
      </w:tr>
      <w:tr w:rsidR="00461943" w:rsidRPr="0049778F" w14:paraId="5C82D4EC" w14:textId="77777777" w:rsidTr="00273F52">
        <w:trPr>
          <w:trHeight w:val="413"/>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057DE1C3" w14:textId="77777777" w:rsidR="004A16BC" w:rsidRPr="0049778F" w:rsidRDefault="004A16BC" w:rsidP="004A16BC">
            <w:pPr>
              <w:spacing w:after="0"/>
              <w:jc w:val="center"/>
              <w:rPr>
                <w:rFonts w:eastAsia="Times New Roman" w:cs="Calibri"/>
                <w:color w:val="000000"/>
                <w:sz w:val="18"/>
                <w:szCs w:val="18"/>
              </w:rPr>
            </w:pPr>
            <w:r w:rsidRPr="0049778F">
              <w:rPr>
                <w:rFonts w:eastAsia="Times New Roman" w:cs="Calibri"/>
                <w:color w:val="000000"/>
                <w:sz w:val="18"/>
                <w:szCs w:val="18"/>
              </w:rPr>
              <w:t>AMM-C</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494AB3BB" w14:textId="77777777" w:rsidR="004A16BC" w:rsidRPr="0049778F" w:rsidRDefault="004A16BC" w:rsidP="004A16BC">
            <w:pPr>
              <w:spacing w:after="0"/>
              <w:rPr>
                <w:rFonts w:eastAsia="Times New Roman" w:cs="Calibri"/>
                <w:color w:val="000000"/>
                <w:sz w:val="18"/>
                <w:szCs w:val="18"/>
              </w:rPr>
            </w:pPr>
            <w:r w:rsidRPr="0049778F">
              <w:rPr>
                <w:rFonts w:eastAsia="Times New Roman" w:cs="Calibri"/>
                <w:color w:val="000000"/>
                <w:sz w:val="18"/>
                <w:szCs w:val="18"/>
              </w:rPr>
              <w:t>Antidepressant Medication Management Continuation</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1DDE81F" w14:textId="1F4ABBB6"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91EC946" w14:textId="111001C6"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D1C5E5E" w14:textId="2E20B570"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single" w:sz="4" w:space="0" w:color="auto"/>
            </w:tcBorders>
            <w:shd w:val="clear" w:color="auto" w:fill="auto"/>
            <w:noWrap/>
            <w:vAlign w:val="center"/>
            <w:hideMark/>
          </w:tcPr>
          <w:p w14:paraId="045D111F" w14:textId="781CA22D"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65.1%</w:t>
            </w:r>
          </w:p>
        </w:tc>
        <w:tc>
          <w:tcPr>
            <w:tcW w:w="830" w:type="dxa"/>
            <w:tcBorders>
              <w:top w:val="nil"/>
              <w:left w:val="nil"/>
              <w:bottom w:val="single" w:sz="4" w:space="0" w:color="auto"/>
              <w:right w:val="single" w:sz="4" w:space="0" w:color="auto"/>
            </w:tcBorders>
            <w:shd w:val="clear" w:color="auto" w:fill="auto"/>
            <w:noWrap/>
            <w:vAlign w:val="center"/>
            <w:hideMark/>
          </w:tcPr>
          <w:p w14:paraId="016684FE" w14:textId="2EF63237"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76.9%</w:t>
            </w:r>
          </w:p>
        </w:tc>
        <w:tc>
          <w:tcPr>
            <w:tcW w:w="1040" w:type="dxa"/>
            <w:tcBorders>
              <w:top w:val="nil"/>
              <w:left w:val="nil"/>
              <w:bottom w:val="single" w:sz="4" w:space="0" w:color="auto"/>
              <w:right w:val="single" w:sz="4" w:space="0" w:color="auto"/>
            </w:tcBorders>
            <w:shd w:val="clear" w:color="auto" w:fill="auto"/>
            <w:noWrap/>
            <w:vAlign w:val="center"/>
            <w:hideMark/>
          </w:tcPr>
          <w:p w14:paraId="5508B6A0" w14:textId="7ECB1CC2"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64.6%</w:t>
            </w:r>
          </w:p>
        </w:tc>
        <w:tc>
          <w:tcPr>
            <w:tcW w:w="830" w:type="dxa"/>
            <w:tcBorders>
              <w:top w:val="nil"/>
              <w:left w:val="nil"/>
              <w:bottom w:val="single" w:sz="4" w:space="0" w:color="auto"/>
              <w:right w:val="single" w:sz="4" w:space="0" w:color="auto"/>
            </w:tcBorders>
            <w:shd w:val="clear" w:color="auto" w:fill="auto"/>
            <w:noWrap/>
            <w:vAlign w:val="center"/>
            <w:hideMark/>
          </w:tcPr>
          <w:p w14:paraId="4A52F45D" w14:textId="1B63406E"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64.5%</w:t>
            </w:r>
          </w:p>
        </w:tc>
        <w:tc>
          <w:tcPr>
            <w:tcW w:w="830" w:type="dxa"/>
            <w:tcBorders>
              <w:top w:val="nil"/>
              <w:left w:val="nil"/>
              <w:bottom w:val="single" w:sz="4" w:space="0" w:color="auto"/>
              <w:right w:val="single" w:sz="4" w:space="0" w:color="auto"/>
            </w:tcBorders>
            <w:shd w:val="clear" w:color="auto" w:fill="auto"/>
            <w:noWrap/>
            <w:vAlign w:val="center"/>
            <w:hideMark/>
          </w:tcPr>
          <w:p w14:paraId="6B7569BA" w14:textId="50E1CD3B"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74.1%</w:t>
            </w:r>
          </w:p>
        </w:tc>
        <w:tc>
          <w:tcPr>
            <w:tcW w:w="860" w:type="dxa"/>
            <w:tcBorders>
              <w:top w:val="nil"/>
              <w:left w:val="nil"/>
              <w:bottom w:val="single" w:sz="4" w:space="0" w:color="auto"/>
              <w:right w:val="single" w:sz="4" w:space="0" w:color="auto"/>
            </w:tcBorders>
            <w:shd w:val="clear" w:color="auto" w:fill="auto"/>
            <w:noWrap/>
            <w:vAlign w:val="center"/>
            <w:hideMark/>
          </w:tcPr>
          <w:p w14:paraId="1265EB86" w14:textId="523238FD"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54.6%</w:t>
            </w:r>
          </w:p>
        </w:tc>
        <w:tc>
          <w:tcPr>
            <w:tcW w:w="900" w:type="dxa"/>
            <w:tcBorders>
              <w:top w:val="nil"/>
              <w:left w:val="nil"/>
              <w:bottom w:val="single" w:sz="4" w:space="0" w:color="auto"/>
              <w:right w:val="double" w:sz="6" w:space="0" w:color="auto"/>
            </w:tcBorders>
            <w:shd w:val="clear" w:color="auto" w:fill="auto"/>
            <w:noWrap/>
            <w:vAlign w:val="center"/>
            <w:hideMark/>
          </w:tcPr>
          <w:p w14:paraId="6B093D55" w14:textId="6D6EAE0F"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62.0%</w:t>
            </w:r>
          </w:p>
        </w:tc>
      </w:tr>
      <w:tr w:rsidR="00461943" w:rsidRPr="0049778F" w14:paraId="714DFFFF" w14:textId="77777777" w:rsidTr="00273F52">
        <w:trPr>
          <w:trHeight w:val="197"/>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222F4312" w14:textId="77777777" w:rsidR="004A16BC" w:rsidRPr="0049778F" w:rsidRDefault="004A16BC" w:rsidP="004A16BC">
            <w:pPr>
              <w:spacing w:after="0"/>
              <w:jc w:val="center"/>
              <w:rPr>
                <w:rFonts w:eastAsia="Times New Roman" w:cs="Calibri"/>
                <w:color w:val="000000"/>
                <w:sz w:val="18"/>
                <w:szCs w:val="18"/>
              </w:rPr>
            </w:pPr>
            <w:r w:rsidRPr="0049778F">
              <w:rPr>
                <w:rFonts w:eastAsia="Times New Roman" w:cs="Calibri"/>
                <w:color w:val="000000"/>
                <w:sz w:val="18"/>
                <w:szCs w:val="18"/>
              </w:rPr>
              <w:t>COA</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2CBB25" w14:textId="77777777" w:rsidR="004A16BC" w:rsidRPr="0049778F" w:rsidRDefault="004A16BC" w:rsidP="004A16BC">
            <w:pPr>
              <w:spacing w:after="0"/>
              <w:rPr>
                <w:rFonts w:eastAsia="Times New Roman" w:cs="Calibri"/>
                <w:color w:val="000000"/>
                <w:sz w:val="18"/>
                <w:szCs w:val="18"/>
              </w:rPr>
            </w:pPr>
            <w:r w:rsidRPr="0049778F">
              <w:rPr>
                <w:rFonts w:eastAsia="Times New Roman" w:cs="Calibri"/>
                <w:color w:val="000000"/>
                <w:sz w:val="18"/>
                <w:szCs w:val="18"/>
              </w:rPr>
              <w:t>Care for Older Adults: Advance Care Plan</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114375B" w14:textId="45B7806D"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6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F9C91C0" w14:textId="2BC6AE77"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97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490379C" w14:textId="001FCF0B" w:rsidR="004A16BC" w:rsidRPr="0049778F" w:rsidRDefault="004A16BC" w:rsidP="004A16BC">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BB232BD" w14:textId="2788D7DD"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77.0%</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0E51590D" w14:textId="47112C30"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35.8%</w:t>
            </w:r>
          </w:p>
        </w:tc>
        <w:tc>
          <w:tcPr>
            <w:tcW w:w="1040" w:type="dxa"/>
            <w:tcBorders>
              <w:top w:val="nil"/>
              <w:left w:val="single" w:sz="4" w:space="0" w:color="auto"/>
              <w:bottom w:val="single" w:sz="4" w:space="0" w:color="auto"/>
              <w:right w:val="nil"/>
            </w:tcBorders>
            <w:shd w:val="clear" w:color="auto" w:fill="F2F2F2" w:themeFill="background1" w:themeFillShade="F2"/>
            <w:noWrap/>
            <w:vAlign w:val="center"/>
            <w:hideMark/>
          </w:tcPr>
          <w:p w14:paraId="61D1F9C6" w14:textId="36557EDB"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70.4%</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4F6807A8" w14:textId="0C941836"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70.6%</w:t>
            </w:r>
          </w:p>
        </w:tc>
        <w:tc>
          <w:tcPr>
            <w:tcW w:w="830" w:type="dxa"/>
            <w:tcBorders>
              <w:top w:val="nil"/>
              <w:left w:val="single" w:sz="4" w:space="0" w:color="auto"/>
              <w:bottom w:val="single" w:sz="4" w:space="0" w:color="auto"/>
              <w:right w:val="nil"/>
            </w:tcBorders>
            <w:shd w:val="clear" w:color="auto" w:fill="F2F2F2" w:themeFill="background1" w:themeFillShade="F2"/>
            <w:noWrap/>
            <w:vAlign w:val="center"/>
            <w:hideMark/>
          </w:tcPr>
          <w:p w14:paraId="64FA92FE" w14:textId="264EBAED"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97.4%</w:t>
            </w:r>
          </w:p>
        </w:tc>
        <w:tc>
          <w:tcPr>
            <w:tcW w:w="860" w:type="dxa"/>
            <w:tcBorders>
              <w:top w:val="nil"/>
              <w:left w:val="single" w:sz="4" w:space="0" w:color="auto"/>
              <w:bottom w:val="single" w:sz="4" w:space="0" w:color="auto"/>
              <w:right w:val="nil"/>
            </w:tcBorders>
            <w:shd w:val="clear" w:color="auto" w:fill="F2F2F2" w:themeFill="background1" w:themeFillShade="F2"/>
            <w:noWrap/>
            <w:vAlign w:val="center"/>
            <w:hideMark/>
          </w:tcPr>
          <w:p w14:paraId="7BE607BE" w14:textId="207F3536"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98.0%</w:t>
            </w:r>
          </w:p>
        </w:tc>
        <w:tc>
          <w:tcPr>
            <w:tcW w:w="900" w:type="dxa"/>
            <w:tcBorders>
              <w:top w:val="nil"/>
              <w:left w:val="single" w:sz="4" w:space="0" w:color="auto"/>
              <w:bottom w:val="single" w:sz="4" w:space="0" w:color="auto"/>
              <w:right w:val="double" w:sz="6" w:space="0" w:color="auto"/>
            </w:tcBorders>
            <w:shd w:val="clear" w:color="auto" w:fill="F2F2F2" w:themeFill="background1" w:themeFillShade="F2"/>
            <w:noWrap/>
            <w:vAlign w:val="center"/>
            <w:hideMark/>
          </w:tcPr>
          <w:p w14:paraId="42C3EC53" w14:textId="0101038D" w:rsidR="004A16BC" w:rsidRPr="004A16BC" w:rsidRDefault="004A16BC" w:rsidP="004A16BC">
            <w:pPr>
              <w:spacing w:after="0"/>
              <w:jc w:val="center"/>
              <w:rPr>
                <w:rFonts w:eastAsia="Times New Roman" w:cs="Calibri"/>
                <w:color w:val="000000"/>
                <w:sz w:val="18"/>
                <w:szCs w:val="18"/>
              </w:rPr>
            </w:pPr>
            <w:r w:rsidRPr="004A16BC">
              <w:rPr>
                <w:rFonts w:cs="Calibri"/>
                <w:color w:val="000000"/>
                <w:sz w:val="18"/>
                <w:szCs w:val="18"/>
              </w:rPr>
              <w:t>65.1%</w:t>
            </w:r>
          </w:p>
        </w:tc>
      </w:tr>
      <w:tr w:rsidR="009C199F" w:rsidRPr="0049778F" w14:paraId="29C18F77" w14:textId="77777777" w:rsidTr="00273F52">
        <w:trPr>
          <w:trHeight w:val="53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21968D4A"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AAP</w:t>
            </w:r>
          </w:p>
          <w:p w14:paraId="5862BD4A" w14:textId="4AF7F26B"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MA-5</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5F04B033"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Access to Preventive/Ambulatory Health Services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87915" w14:textId="6A6DD63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96.2%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9EB53" w14:textId="422A362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96.4%</w:t>
            </w:r>
          </w:p>
        </w:tc>
        <w:tc>
          <w:tcPr>
            <w:tcW w:w="970" w:type="dxa"/>
            <w:tcBorders>
              <w:top w:val="single" w:sz="4" w:space="0" w:color="auto"/>
              <w:left w:val="single" w:sz="4" w:space="0" w:color="auto"/>
              <w:bottom w:val="single" w:sz="4" w:space="0" w:color="auto"/>
              <w:right w:val="nil"/>
            </w:tcBorders>
            <w:shd w:val="clear" w:color="auto" w:fill="auto"/>
            <w:noWrap/>
            <w:vAlign w:val="center"/>
            <w:hideMark/>
          </w:tcPr>
          <w:p w14:paraId="0645C10C" w14:textId="48110D0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93.9%</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D0BA06F" w14:textId="512E657E"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2168936" w14:textId="7BF86E5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59A89A6" w14:textId="04ADB1B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49F8585" w14:textId="168840B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6D1EC1F" w14:textId="0427173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E5C52ED" w14:textId="6AB1E94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6E63D10" w14:textId="3E644E80"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461943" w:rsidRPr="0049778F" w14:paraId="7F9B913F" w14:textId="77777777" w:rsidTr="00273F52">
        <w:trPr>
          <w:trHeight w:val="90"/>
        </w:trPr>
        <w:tc>
          <w:tcPr>
            <w:tcW w:w="1237" w:type="dxa"/>
            <w:tcBorders>
              <w:top w:val="single" w:sz="4" w:space="0" w:color="auto"/>
              <w:left w:val="double" w:sz="6" w:space="0" w:color="auto"/>
              <w:bottom w:val="single" w:sz="4" w:space="0" w:color="auto"/>
              <w:right w:val="single" w:sz="4" w:space="0" w:color="auto"/>
            </w:tcBorders>
            <w:shd w:val="clear" w:color="auto" w:fill="F2F2F2" w:themeFill="background1" w:themeFillShade="F2"/>
            <w:noWrap/>
            <w:hideMark/>
          </w:tcPr>
          <w:p w14:paraId="4B0A6F08"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 xml:space="preserve">MMP </w:t>
            </w:r>
          </w:p>
          <w:p w14:paraId="01A99D5A" w14:textId="6437C842"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CW-12</w:t>
            </w:r>
          </w:p>
        </w:tc>
        <w:tc>
          <w:tcPr>
            <w:tcW w:w="5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06465B" w14:textId="1C66B681"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Medication Adherence for Diabetes Medications</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C607E6" w14:textId="71EDF0A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85.0%</w:t>
            </w:r>
          </w:p>
        </w:tc>
        <w:tc>
          <w:tcPr>
            <w:tcW w:w="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229C4A5" w14:textId="5AD2C35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85.0%</w:t>
            </w:r>
          </w:p>
        </w:tc>
        <w:tc>
          <w:tcPr>
            <w:tcW w:w="97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1769A95D" w14:textId="1474E97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83.0%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B9320D5" w14:textId="642D3CC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65F6B9B" w14:textId="3681106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5AFF3F8" w14:textId="1060350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A2F690D" w14:textId="55DE80E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7DE1096" w14:textId="54038BA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D2EFD84" w14:textId="2710B9C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EC0A58B" w14:textId="498E8DC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9C199F" w:rsidRPr="0049778F" w14:paraId="5DE869EA" w14:textId="77777777" w:rsidTr="00273F52">
        <w:trPr>
          <w:trHeight w:val="310"/>
        </w:trPr>
        <w:tc>
          <w:tcPr>
            <w:tcW w:w="1237" w:type="dxa"/>
            <w:tcBorders>
              <w:top w:val="single" w:sz="4" w:space="0" w:color="auto"/>
              <w:left w:val="double" w:sz="6" w:space="0" w:color="auto"/>
              <w:bottom w:val="single" w:sz="4" w:space="0" w:color="auto"/>
              <w:right w:val="single" w:sz="4" w:space="0" w:color="auto"/>
            </w:tcBorders>
            <w:shd w:val="clear" w:color="auto" w:fill="auto"/>
            <w:noWrap/>
            <w:hideMark/>
          </w:tcPr>
          <w:p w14:paraId="4E010541"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0E20103B" w14:textId="0039AD35"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CW13</w:t>
            </w:r>
          </w:p>
        </w:tc>
        <w:tc>
          <w:tcPr>
            <w:tcW w:w="5546" w:type="dxa"/>
            <w:tcBorders>
              <w:top w:val="single" w:sz="4" w:space="0" w:color="auto"/>
              <w:left w:val="single" w:sz="4" w:space="0" w:color="auto"/>
              <w:bottom w:val="single" w:sz="4" w:space="0" w:color="auto"/>
              <w:right w:val="single" w:sz="4" w:space="0" w:color="auto"/>
            </w:tcBorders>
            <w:shd w:val="clear" w:color="auto" w:fill="auto"/>
            <w:hideMark/>
          </w:tcPr>
          <w:p w14:paraId="7F1B6219"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Encounter Data Completeness</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F61E6" w14:textId="1E6BA99D"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A879" w14:textId="515F862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94.0%</w:t>
            </w:r>
          </w:p>
        </w:tc>
        <w:tc>
          <w:tcPr>
            <w:tcW w:w="970" w:type="dxa"/>
            <w:tcBorders>
              <w:top w:val="single" w:sz="4" w:space="0" w:color="auto"/>
              <w:left w:val="single" w:sz="4" w:space="0" w:color="auto"/>
              <w:bottom w:val="single" w:sz="4" w:space="0" w:color="auto"/>
              <w:right w:val="nil"/>
            </w:tcBorders>
            <w:shd w:val="clear" w:color="auto" w:fill="auto"/>
            <w:noWrap/>
            <w:vAlign w:val="center"/>
            <w:hideMark/>
          </w:tcPr>
          <w:p w14:paraId="476ADD5C" w14:textId="1B5A3C9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88.0%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9BADD20" w14:textId="6FD332E9"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0C1F223" w14:textId="14550E7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B72F690" w14:textId="1E1945A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3469E7F3" w14:textId="4A91B74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DF43602" w14:textId="53315E6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CC8D7AB" w14:textId="27FEC0E7"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006BF5F" w14:textId="3CB81A1F"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r w:rsidR="00461943" w:rsidRPr="0049778F" w14:paraId="248C974F" w14:textId="77777777" w:rsidTr="00273F52">
        <w:trPr>
          <w:trHeight w:val="320"/>
        </w:trPr>
        <w:tc>
          <w:tcPr>
            <w:tcW w:w="1237" w:type="dxa"/>
            <w:tcBorders>
              <w:top w:val="single" w:sz="4" w:space="0" w:color="auto"/>
              <w:left w:val="double" w:sz="6" w:space="0" w:color="auto"/>
              <w:bottom w:val="double" w:sz="6" w:space="0" w:color="auto"/>
              <w:right w:val="single" w:sz="4" w:space="0" w:color="auto"/>
            </w:tcBorders>
            <w:shd w:val="clear" w:color="auto" w:fill="F2F2F2" w:themeFill="background1" w:themeFillShade="F2"/>
            <w:noWrap/>
            <w:hideMark/>
          </w:tcPr>
          <w:p w14:paraId="1E6495B5" w14:textId="77777777"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MMP</w:t>
            </w:r>
          </w:p>
          <w:p w14:paraId="38341E02" w14:textId="097C6C2B" w:rsidR="008B6E07" w:rsidRPr="0049778F" w:rsidRDefault="008B6E07" w:rsidP="008B6E07">
            <w:pPr>
              <w:spacing w:after="0"/>
              <w:jc w:val="center"/>
              <w:rPr>
                <w:rFonts w:eastAsia="Times New Roman" w:cs="Calibri"/>
                <w:color w:val="000000"/>
                <w:sz w:val="18"/>
                <w:szCs w:val="18"/>
              </w:rPr>
            </w:pPr>
            <w:r w:rsidRPr="0049778F">
              <w:rPr>
                <w:rFonts w:eastAsia="Times New Roman" w:cs="Calibri"/>
                <w:color w:val="000000"/>
                <w:sz w:val="18"/>
                <w:szCs w:val="18"/>
              </w:rPr>
              <w:t>CW7</w:t>
            </w:r>
          </w:p>
        </w:tc>
        <w:tc>
          <w:tcPr>
            <w:tcW w:w="5546" w:type="dxa"/>
            <w:tcBorders>
              <w:top w:val="single" w:sz="4" w:space="0" w:color="auto"/>
              <w:left w:val="single" w:sz="4" w:space="0" w:color="auto"/>
              <w:bottom w:val="double" w:sz="6" w:space="0" w:color="auto"/>
              <w:right w:val="single" w:sz="4" w:space="0" w:color="auto"/>
            </w:tcBorders>
            <w:shd w:val="clear" w:color="auto" w:fill="F2F2F2" w:themeFill="background1" w:themeFillShade="F2"/>
            <w:hideMark/>
          </w:tcPr>
          <w:p w14:paraId="42701110" w14:textId="77777777" w:rsidR="008B6E07" w:rsidRPr="0049778F" w:rsidRDefault="008B6E07" w:rsidP="008B6E07">
            <w:pPr>
              <w:spacing w:after="0"/>
              <w:rPr>
                <w:rFonts w:eastAsia="Times New Roman" w:cs="Calibri"/>
                <w:color w:val="000000"/>
                <w:sz w:val="18"/>
                <w:szCs w:val="18"/>
              </w:rPr>
            </w:pPr>
            <w:r w:rsidRPr="0049778F">
              <w:rPr>
                <w:rFonts w:eastAsia="Times New Roman" w:cs="Calibri"/>
                <w:color w:val="000000"/>
                <w:sz w:val="18"/>
                <w:szCs w:val="18"/>
              </w:rPr>
              <w:t>Annual Flu Vaccination</w:t>
            </w:r>
          </w:p>
        </w:tc>
        <w:tc>
          <w:tcPr>
            <w:tcW w:w="864"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604B6096" w14:textId="06E1C5AC"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71.0%</w:t>
            </w:r>
          </w:p>
        </w:tc>
        <w:tc>
          <w:tcPr>
            <w:tcW w:w="864" w:type="dxa"/>
            <w:tcBorders>
              <w:top w:val="single" w:sz="4" w:space="0" w:color="auto"/>
              <w:left w:val="single" w:sz="4" w:space="0" w:color="auto"/>
              <w:bottom w:val="double" w:sz="6" w:space="0" w:color="auto"/>
              <w:right w:val="single" w:sz="4" w:space="0" w:color="auto"/>
            </w:tcBorders>
            <w:shd w:val="clear" w:color="auto" w:fill="F2F2F2" w:themeFill="background1" w:themeFillShade="F2"/>
            <w:noWrap/>
            <w:vAlign w:val="center"/>
            <w:hideMark/>
          </w:tcPr>
          <w:p w14:paraId="46C54929" w14:textId="40743E6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72.0%</w:t>
            </w:r>
          </w:p>
        </w:tc>
        <w:tc>
          <w:tcPr>
            <w:tcW w:w="970" w:type="dxa"/>
            <w:tcBorders>
              <w:top w:val="single" w:sz="4" w:space="0" w:color="auto"/>
              <w:left w:val="single" w:sz="4" w:space="0" w:color="auto"/>
              <w:bottom w:val="double" w:sz="6" w:space="0" w:color="auto"/>
              <w:right w:val="nil"/>
            </w:tcBorders>
            <w:shd w:val="clear" w:color="auto" w:fill="F2F2F2" w:themeFill="background1" w:themeFillShade="F2"/>
            <w:noWrap/>
            <w:vAlign w:val="center"/>
            <w:hideMark/>
          </w:tcPr>
          <w:p w14:paraId="19948E9A" w14:textId="6A79BF9A"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69.0%</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32F6237" w14:textId="5BB860AB"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BD7C1A0" w14:textId="4B616546"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104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1F2C1BD3" w14:textId="72771082"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A343B80" w14:textId="5CC14283"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3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0DB9323" w14:textId="7D217C05"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860" w:type="dxa"/>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2A88673" w14:textId="089FC341"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c>
          <w:tcPr>
            <w:tcW w:w="9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63AB05C" w14:textId="7F7DC854" w:rsidR="008B6E07" w:rsidRPr="0049778F" w:rsidRDefault="008B6E07" w:rsidP="008B6E07">
            <w:pPr>
              <w:spacing w:after="0"/>
              <w:jc w:val="center"/>
              <w:rPr>
                <w:rFonts w:eastAsia="Times New Roman" w:cs="Calibri"/>
                <w:color w:val="000000"/>
                <w:sz w:val="18"/>
                <w:szCs w:val="18"/>
              </w:rPr>
            </w:pPr>
            <w:r w:rsidRPr="0049778F">
              <w:rPr>
                <w:rFonts w:cs="Calibri"/>
                <w:color w:val="000000"/>
                <w:sz w:val="18"/>
                <w:szCs w:val="18"/>
              </w:rPr>
              <w:t> </w:t>
            </w:r>
          </w:p>
        </w:tc>
      </w:tr>
    </w:tbl>
    <w:p w14:paraId="7B62F09C" w14:textId="77777777" w:rsidR="00C25FFB" w:rsidRDefault="00C25FFB" w:rsidP="00E865D2">
      <w:pPr>
        <w:spacing w:after="160" w:line="259" w:lineRule="auto"/>
      </w:pPr>
    </w:p>
    <w:p w14:paraId="1B01C00D" w14:textId="77777777" w:rsidR="00D67E5A" w:rsidRDefault="00723C99" w:rsidP="00723C99">
      <w:pPr>
        <w:tabs>
          <w:tab w:val="left" w:pos="4156"/>
        </w:tabs>
        <w:sectPr w:rsidR="00D67E5A" w:rsidSect="00FD1091">
          <w:pgSz w:w="20160" w:h="12240" w:orient="landscape" w:code="5"/>
          <w:pgMar w:top="1440" w:right="1440" w:bottom="1440" w:left="1440" w:header="720" w:footer="720" w:gutter="0"/>
          <w:cols w:space="720"/>
          <w:docGrid w:linePitch="360"/>
        </w:sectPr>
      </w:pPr>
      <w:r>
        <w:tab/>
      </w:r>
    </w:p>
    <w:p w14:paraId="5BEA972A" w14:textId="77777777" w:rsidR="00D67E5A" w:rsidRDefault="00D67E5A" w:rsidP="00D67E5A">
      <w:pPr>
        <w:pStyle w:val="Heading3"/>
        <w:spacing w:after="120"/>
      </w:pPr>
      <w:bookmarkStart w:id="22" w:name="_Toc147244418"/>
      <w:r w:rsidRPr="00533AA7">
        <w:lastRenderedPageBreak/>
        <w:t xml:space="preserve">Appendix </w:t>
      </w:r>
      <w:r>
        <w:t>C</w:t>
      </w:r>
      <w:r w:rsidRPr="00533AA7">
        <w:t>:</w:t>
      </w:r>
      <w:r>
        <w:t xml:space="preserve"> CMS Adult and Child Core Measure Sets Performance</w:t>
      </w:r>
      <w:r w:rsidR="00891A40">
        <w:t xml:space="preserve"> (Calculated and Reported by MassHealth)</w:t>
      </w:r>
      <w:bookmarkEnd w:id="22"/>
    </w:p>
    <w:p w14:paraId="5A472A54" w14:textId="64D1A5DD" w:rsidR="00723C99" w:rsidRPr="001F7E22" w:rsidRDefault="001F7E22" w:rsidP="001F7E22">
      <w:pPr>
        <w:tabs>
          <w:tab w:val="left" w:pos="4156"/>
        </w:tabs>
        <w:rPr>
          <w:b/>
          <w:bCs/>
        </w:rPr>
      </w:pPr>
      <w:r w:rsidRPr="001F7E22">
        <w:rPr>
          <w:b/>
          <w:bCs/>
        </w:rPr>
        <w:t>Table C.1: Adult Core Measure Set Performance</w:t>
      </w:r>
    </w:p>
    <w:tbl>
      <w:tblPr>
        <w:tblW w:w="16665" w:type="dxa"/>
        <w:jc w:val="center"/>
        <w:tblLook w:val="04A0" w:firstRow="1" w:lastRow="0" w:firstColumn="1" w:lastColumn="0" w:noHBand="0" w:noVBand="1"/>
      </w:tblPr>
      <w:tblGrid>
        <w:gridCol w:w="1040"/>
        <w:gridCol w:w="9020"/>
        <w:gridCol w:w="1350"/>
        <w:gridCol w:w="1440"/>
        <w:gridCol w:w="1440"/>
        <w:gridCol w:w="1350"/>
        <w:gridCol w:w="1260"/>
      </w:tblGrid>
      <w:tr w:rsidR="00D67E5A" w:rsidRPr="00F26259" w14:paraId="33AED4D1" w14:textId="77777777" w:rsidTr="00E74138">
        <w:trPr>
          <w:trHeight w:val="290"/>
          <w:tblHeader/>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14:paraId="75F56FF1" w14:textId="77777777" w:rsidR="00D67E5A" w:rsidRPr="00F26259" w:rsidRDefault="00D67E5A" w:rsidP="00EE745E">
            <w:pPr>
              <w:spacing w:after="0"/>
              <w:rPr>
                <w:rFonts w:eastAsia="Times New Roman" w:cs="Calibri"/>
                <w:b/>
                <w:bCs/>
                <w:color w:val="000000"/>
              </w:rPr>
            </w:pPr>
            <w:r w:rsidRPr="00F26259">
              <w:rPr>
                <w:rFonts w:eastAsia="Times New Roman" w:cs="Calibri"/>
                <w:b/>
                <w:bCs/>
                <w:color w:val="000000"/>
              </w:rPr>
              <w:t>Acronym</w:t>
            </w:r>
          </w:p>
        </w:tc>
        <w:tc>
          <w:tcPr>
            <w:tcW w:w="9020" w:type="dxa"/>
            <w:tcBorders>
              <w:top w:val="single" w:sz="4" w:space="0" w:color="auto"/>
              <w:left w:val="single" w:sz="4" w:space="0" w:color="auto"/>
              <w:bottom w:val="single" w:sz="4" w:space="0" w:color="auto"/>
              <w:right w:val="single" w:sz="4" w:space="0" w:color="auto"/>
            </w:tcBorders>
            <w:shd w:val="clear" w:color="auto" w:fill="auto"/>
            <w:noWrap/>
            <w:hideMark/>
          </w:tcPr>
          <w:p w14:paraId="69609D90" w14:textId="77777777" w:rsidR="00D67E5A" w:rsidRPr="00F26259" w:rsidRDefault="00D67E5A" w:rsidP="00EE745E">
            <w:pPr>
              <w:spacing w:after="0"/>
              <w:jc w:val="center"/>
              <w:rPr>
                <w:rFonts w:eastAsia="Times New Roman" w:cs="Calibri"/>
                <w:b/>
                <w:bCs/>
                <w:color w:val="000000"/>
              </w:rPr>
            </w:pPr>
            <w:r w:rsidRPr="00F26259">
              <w:rPr>
                <w:rFonts w:eastAsia="Times New Roman" w:cs="Calibri"/>
                <w:b/>
                <w:bCs/>
                <w:color w:val="000000"/>
              </w:rPr>
              <w:t>Measure Description</w:t>
            </w:r>
          </w:p>
        </w:tc>
        <w:tc>
          <w:tcPr>
            <w:tcW w:w="1350" w:type="dxa"/>
            <w:tcBorders>
              <w:top w:val="single" w:sz="4" w:space="0" w:color="auto"/>
              <w:left w:val="single" w:sz="4" w:space="0" w:color="auto"/>
              <w:bottom w:val="single" w:sz="4" w:space="0" w:color="auto"/>
              <w:right w:val="single" w:sz="4" w:space="0" w:color="auto"/>
            </w:tcBorders>
            <w:shd w:val="clear" w:color="000000" w:fill="F2F2F2"/>
            <w:noWrap/>
            <w:hideMark/>
          </w:tcPr>
          <w:p w14:paraId="3A898F81" w14:textId="73BFA358" w:rsidR="00D67E5A" w:rsidRPr="00F26259" w:rsidRDefault="001F7E22" w:rsidP="00EE745E">
            <w:pPr>
              <w:spacing w:after="0"/>
              <w:jc w:val="center"/>
              <w:rPr>
                <w:rFonts w:eastAsia="Times New Roman" w:cs="Calibri"/>
                <w:b/>
                <w:bCs/>
                <w:color w:val="000000"/>
              </w:rPr>
            </w:pPr>
            <w:r>
              <w:rPr>
                <w:rFonts w:eastAsia="Times New Roman" w:cs="Calibri"/>
                <w:b/>
                <w:bCs/>
                <w:color w:val="000000"/>
              </w:rPr>
              <w:t>M</w:t>
            </w:r>
            <w:r w:rsidR="00D67E5A" w:rsidRPr="00F26259">
              <w:rPr>
                <w:rFonts w:eastAsia="Times New Roman" w:cs="Calibri"/>
                <w:b/>
                <w:bCs/>
                <w:color w:val="000000"/>
              </w:rPr>
              <w:t>Y2018</w:t>
            </w:r>
            <w:r w:rsidR="00D67E5A">
              <w:rPr>
                <w:rFonts w:eastAsia="Times New Roman" w:cs="Calibri"/>
                <w:b/>
                <w:bCs/>
                <w:color w:val="000000"/>
              </w:rPr>
              <w:t xml:space="preserve"> Rates</w:t>
            </w:r>
          </w:p>
        </w:tc>
        <w:tc>
          <w:tcPr>
            <w:tcW w:w="1440" w:type="dxa"/>
            <w:tcBorders>
              <w:top w:val="single" w:sz="4" w:space="0" w:color="auto"/>
              <w:left w:val="single" w:sz="4" w:space="0" w:color="auto"/>
              <w:bottom w:val="single" w:sz="4" w:space="0" w:color="auto"/>
              <w:right w:val="single" w:sz="4" w:space="0" w:color="auto"/>
            </w:tcBorders>
            <w:shd w:val="clear" w:color="000000" w:fill="F2F2F2"/>
            <w:noWrap/>
            <w:hideMark/>
          </w:tcPr>
          <w:p w14:paraId="4A531ACF" w14:textId="51598B29" w:rsidR="00D67E5A" w:rsidRPr="00F26259" w:rsidRDefault="001F7E22" w:rsidP="00EE745E">
            <w:pPr>
              <w:spacing w:after="0"/>
              <w:jc w:val="center"/>
              <w:rPr>
                <w:rFonts w:eastAsia="Times New Roman" w:cs="Calibri"/>
                <w:b/>
                <w:bCs/>
                <w:color w:val="000000"/>
              </w:rPr>
            </w:pPr>
            <w:r>
              <w:rPr>
                <w:rFonts w:eastAsia="Times New Roman" w:cs="Calibri"/>
                <w:b/>
                <w:bCs/>
                <w:color w:val="000000"/>
              </w:rPr>
              <w:t>M</w:t>
            </w:r>
            <w:r w:rsidR="00D67E5A" w:rsidRPr="00F26259">
              <w:rPr>
                <w:rFonts w:eastAsia="Times New Roman" w:cs="Calibri"/>
                <w:b/>
                <w:bCs/>
                <w:color w:val="000000"/>
              </w:rPr>
              <w:t>Y201</w:t>
            </w:r>
            <w:r w:rsidR="00D67E5A">
              <w:rPr>
                <w:rFonts w:eastAsia="Times New Roman" w:cs="Calibri"/>
                <w:b/>
                <w:bCs/>
                <w:color w:val="000000"/>
              </w:rPr>
              <w:t>9 Rates</w:t>
            </w:r>
          </w:p>
        </w:tc>
        <w:tc>
          <w:tcPr>
            <w:tcW w:w="1440" w:type="dxa"/>
            <w:tcBorders>
              <w:top w:val="single" w:sz="4" w:space="0" w:color="auto"/>
              <w:left w:val="single" w:sz="4" w:space="0" w:color="auto"/>
              <w:bottom w:val="single" w:sz="4" w:space="0" w:color="auto"/>
              <w:right w:val="single" w:sz="4" w:space="0" w:color="auto"/>
            </w:tcBorders>
            <w:shd w:val="clear" w:color="000000" w:fill="F2F2F2"/>
            <w:noWrap/>
            <w:hideMark/>
          </w:tcPr>
          <w:p w14:paraId="713853F5" w14:textId="3F3CD721" w:rsidR="00D67E5A" w:rsidRPr="00F26259" w:rsidRDefault="001F7E22" w:rsidP="00EE745E">
            <w:pPr>
              <w:spacing w:after="0"/>
              <w:jc w:val="center"/>
              <w:rPr>
                <w:rFonts w:eastAsia="Times New Roman" w:cs="Calibri"/>
                <w:b/>
                <w:bCs/>
                <w:color w:val="000000"/>
              </w:rPr>
            </w:pPr>
            <w:r>
              <w:rPr>
                <w:rFonts w:eastAsia="Times New Roman" w:cs="Calibri"/>
                <w:b/>
                <w:bCs/>
                <w:color w:val="000000"/>
              </w:rPr>
              <w:t>M</w:t>
            </w:r>
            <w:r w:rsidR="00D67E5A" w:rsidRPr="00F26259">
              <w:rPr>
                <w:rFonts w:eastAsia="Times New Roman" w:cs="Calibri"/>
                <w:b/>
                <w:bCs/>
                <w:color w:val="000000"/>
              </w:rPr>
              <w:t>Y2020</w:t>
            </w:r>
            <w:r w:rsidR="00D67E5A">
              <w:rPr>
                <w:rFonts w:eastAsia="Times New Roman" w:cs="Calibri"/>
                <w:b/>
                <w:bCs/>
                <w:color w:val="000000"/>
              </w:rPr>
              <w:t xml:space="preserv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4410B189" w14:textId="499ACD13" w:rsidR="001F7E22" w:rsidRPr="002B5108" w:rsidRDefault="00307FFE" w:rsidP="001F7E22">
            <w:pPr>
              <w:spacing w:after="0"/>
              <w:jc w:val="center"/>
              <w:rPr>
                <w:rFonts w:eastAsia="Times New Roman" w:cs="Calibri"/>
                <w:b/>
                <w:bCs/>
                <w:color w:val="000000"/>
              </w:rPr>
            </w:pPr>
            <w:r>
              <w:rPr>
                <w:rFonts w:eastAsia="Times New Roman" w:cs="Calibri"/>
                <w:b/>
                <w:bCs/>
                <w:color w:val="000000"/>
              </w:rPr>
              <w:t xml:space="preserve">National </w:t>
            </w:r>
            <w:r w:rsidR="001F7E22">
              <w:rPr>
                <w:rFonts w:eastAsia="Times New Roman" w:cs="Calibri"/>
                <w:b/>
                <w:bCs/>
                <w:color w:val="000000"/>
              </w:rPr>
              <w:t>75</w:t>
            </w:r>
            <w:r w:rsidR="001F7E22" w:rsidRPr="001F7E22">
              <w:rPr>
                <w:rFonts w:eastAsia="Times New Roman" w:cs="Calibri"/>
                <w:b/>
                <w:bCs/>
                <w:color w:val="000000"/>
                <w:vertAlign w:val="superscript"/>
              </w:rPr>
              <w:t>th</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3EF0B725" w14:textId="468C4FA1" w:rsidR="00D67E5A" w:rsidRPr="002B5108" w:rsidRDefault="00307FFE" w:rsidP="00EE745E">
            <w:pPr>
              <w:spacing w:after="0"/>
              <w:jc w:val="center"/>
              <w:rPr>
                <w:rFonts w:eastAsia="Times New Roman" w:cs="Calibri"/>
                <w:b/>
                <w:bCs/>
                <w:color w:val="000000"/>
              </w:rPr>
            </w:pPr>
            <w:r>
              <w:rPr>
                <w:rFonts w:eastAsia="Times New Roman" w:cs="Calibri"/>
                <w:b/>
                <w:bCs/>
                <w:color w:val="000000"/>
              </w:rPr>
              <w:t xml:space="preserve">National </w:t>
            </w:r>
            <w:r w:rsidR="001F7E22">
              <w:rPr>
                <w:rFonts w:eastAsia="Times New Roman" w:cs="Calibri"/>
                <w:b/>
                <w:bCs/>
                <w:color w:val="000000"/>
              </w:rPr>
              <w:t>90</w:t>
            </w:r>
            <w:r w:rsidR="001F7E22" w:rsidRPr="001F7E22">
              <w:rPr>
                <w:rFonts w:eastAsia="Times New Roman" w:cs="Calibri"/>
                <w:b/>
                <w:bCs/>
                <w:color w:val="000000"/>
                <w:vertAlign w:val="superscript"/>
              </w:rPr>
              <w:t>th</w:t>
            </w:r>
          </w:p>
        </w:tc>
      </w:tr>
      <w:tr w:rsidR="00D67E5A" w:rsidRPr="00F26259" w14:paraId="1DC53AA4"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55272F9D" w14:textId="72475584" w:rsidR="00D67E5A" w:rsidRPr="00F26259" w:rsidRDefault="00365C3B"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9020" w:type="dxa"/>
            <w:tcBorders>
              <w:top w:val="single" w:sz="4" w:space="0" w:color="auto"/>
              <w:left w:val="nil"/>
              <w:bottom w:val="single" w:sz="4" w:space="0" w:color="auto"/>
              <w:right w:val="single" w:sz="4" w:space="0" w:color="auto"/>
            </w:tcBorders>
            <w:shd w:val="clear" w:color="auto" w:fill="auto"/>
          </w:tcPr>
          <w:p w14:paraId="5B5A8422" w14:textId="1F1AA5FB" w:rsidR="00D67E5A" w:rsidRPr="00B03E9B" w:rsidRDefault="00365C3B"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Antidepressant Medication Management </w:t>
            </w:r>
            <w:r w:rsidR="00331F97">
              <w:rPr>
                <w:rFonts w:asciiTheme="minorHAnsi" w:eastAsia="Times New Roman" w:hAnsiTheme="minorHAnsi" w:cstheme="minorHAnsi"/>
                <w:sz w:val="20"/>
                <w:szCs w:val="20"/>
              </w:rPr>
              <w:t>–</w:t>
            </w:r>
            <w:r w:rsidRPr="00B03E9B">
              <w:rPr>
                <w:rFonts w:asciiTheme="minorHAnsi" w:eastAsia="Times New Roman" w:hAnsiTheme="minorHAnsi" w:cstheme="minorHAnsi"/>
                <w:sz w:val="20"/>
                <w:szCs w:val="20"/>
              </w:rPr>
              <w:t xml:space="preserve"> Acute</w:t>
            </w:r>
            <w:r w:rsidR="00331F97">
              <w:rPr>
                <w:rFonts w:asciiTheme="minorHAnsi" w:eastAsia="Times New Roman" w:hAnsiTheme="minorHAnsi" w:cstheme="minorHAnsi"/>
                <w:sz w:val="20"/>
                <w:szCs w:val="20"/>
              </w:rPr>
              <w:t xml:space="preserve"> (18-65)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A8BEDFC" w14:textId="6D614F91" w:rsidR="00D67E5A" w:rsidRPr="00962971" w:rsidRDefault="00365C3B" w:rsidP="00365C3B">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53.3%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35AA06" w14:textId="1E98DAEA" w:rsidR="00D67E5A" w:rsidRPr="00962971" w:rsidRDefault="00365C3B" w:rsidP="00EE745E">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56.0%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C87AFA" w14:textId="385D04BD" w:rsidR="00D67E5A" w:rsidRPr="00962971" w:rsidRDefault="00365C3B" w:rsidP="00EE745E">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54.8%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42297A6" w14:textId="0EA6F673" w:rsidR="00D67E5A" w:rsidRPr="00962971" w:rsidRDefault="00365C3B" w:rsidP="00EE745E">
            <w:pPr>
              <w:spacing w:after="0"/>
              <w:jc w:val="center"/>
              <w:rPr>
                <w:rFonts w:asciiTheme="minorHAnsi" w:eastAsia="Times New Roman" w:hAnsiTheme="minorHAnsi" w:cstheme="minorHAnsi"/>
                <w:color w:val="000000"/>
                <w:sz w:val="20"/>
                <w:szCs w:val="20"/>
              </w:rPr>
            </w:pPr>
            <w:r w:rsidRPr="00962971">
              <w:rPr>
                <w:rFonts w:asciiTheme="minorHAnsi" w:eastAsia="Times New Roman" w:hAnsiTheme="minorHAnsi" w:cstheme="minorHAnsi"/>
                <w:color w:val="000000"/>
                <w:sz w:val="20"/>
                <w:szCs w:val="20"/>
              </w:rPr>
              <w:t>61.8%</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5E207213" w14:textId="7AB697F7" w:rsidR="00D67E5A" w:rsidRPr="00962971" w:rsidRDefault="00365C3B" w:rsidP="00EE745E">
            <w:pPr>
              <w:spacing w:after="0"/>
              <w:jc w:val="center"/>
              <w:rPr>
                <w:rFonts w:asciiTheme="minorHAnsi" w:eastAsia="Times New Roman" w:hAnsiTheme="minorHAnsi" w:cstheme="minorHAnsi"/>
                <w:color w:val="000000"/>
                <w:sz w:val="20"/>
                <w:szCs w:val="20"/>
              </w:rPr>
            </w:pPr>
            <w:r w:rsidRPr="00962971">
              <w:rPr>
                <w:rFonts w:asciiTheme="minorHAnsi" w:eastAsia="Times New Roman" w:hAnsiTheme="minorHAnsi" w:cstheme="minorHAnsi"/>
                <w:color w:val="000000"/>
                <w:sz w:val="20"/>
                <w:szCs w:val="20"/>
              </w:rPr>
              <w:t>67.7%</w:t>
            </w:r>
          </w:p>
        </w:tc>
      </w:tr>
      <w:tr w:rsidR="007513A5" w:rsidRPr="00F26259" w14:paraId="2014965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E8F48D0" w14:textId="23E35212" w:rsidR="007513A5"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9020" w:type="dxa"/>
            <w:tcBorders>
              <w:top w:val="single" w:sz="4" w:space="0" w:color="auto"/>
              <w:left w:val="nil"/>
              <w:bottom w:val="single" w:sz="4" w:space="0" w:color="auto"/>
              <w:right w:val="single" w:sz="4" w:space="0" w:color="auto"/>
            </w:tcBorders>
            <w:shd w:val="clear" w:color="auto" w:fill="auto"/>
          </w:tcPr>
          <w:p w14:paraId="49E92529" w14:textId="1A9D0DFA" w:rsidR="007513A5" w:rsidRPr="00B03E9B" w:rsidRDefault="007513A5"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Antidepressant Medication Management – Acute: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0436852" w14:textId="77A87451" w:rsidR="007513A5" w:rsidRPr="00962971" w:rsidRDefault="007513A5" w:rsidP="00365C3B">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70.5%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05BDC7" w14:textId="09ADB0B1" w:rsidR="007513A5" w:rsidRPr="00962971" w:rsidRDefault="007513A5" w:rsidP="00EE745E">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4E204F" w14:textId="403F7FA5" w:rsidR="007513A5" w:rsidRPr="00962971" w:rsidRDefault="007513A5" w:rsidP="00EE745E">
            <w:pPr>
              <w:spacing w:after="0"/>
              <w:jc w:val="center"/>
              <w:rPr>
                <w:rFonts w:asciiTheme="minorHAnsi" w:eastAsia="Times New Roman" w:hAnsiTheme="minorHAnsi" w:cstheme="minorHAnsi"/>
                <w:sz w:val="20"/>
                <w:szCs w:val="20"/>
              </w:rPr>
            </w:pPr>
            <w:r w:rsidRPr="00962971">
              <w:rPr>
                <w:rFonts w:asciiTheme="minorHAnsi" w:eastAsia="Times New Roman" w:hAnsiTheme="minorHAnsi" w:cstheme="minorHAnsi"/>
                <w:sz w:val="20"/>
                <w:szCs w:val="20"/>
              </w:rPr>
              <w:t>78.9%</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83A4632" w14:textId="2D8C59B7" w:rsidR="007513A5" w:rsidRPr="00962971" w:rsidRDefault="007513A5" w:rsidP="00EE745E">
            <w:pPr>
              <w:spacing w:after="0"/>
              <w:jc w:val="center"/>
              <w:rPr>
                <w:rFonts w:asciiTheme="minorHAnsi" w:eastAsia="Times New Roman" w:hAnsiTheme="minorHAnsi" w:cstheme="minorHAnsi"/>
                <w:color w:val="000000"/>
                <w:sz w:val="20"/>
                <w:szCs w:val="20"/>
              </w:rPr>
            </w:pPr>
            <w:r w:rsidRPr="00962971">
              <w:rPr>
                <w:rFonts w:asciiTheme="minorHAnsi" w:eastAsia="Times New Roman" w:hAnsiTheme="minorHAnsi" w:cstheme="minorHAnsi"/>
                <w:color w:val="000000"/>
                <w:sz w:val="20"/>
                <w:szCs w:val="20"/>
              </w:rPr>
              <w:t>82.9%</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6EA3E1A6" w14:textId="78836F41" w:rsidR="007513A5" w:rsidRPr="00962971" w:rsidRDefault="007513A5" w:rsidP="00EE745E">
            <w:pPr>
              <w:spacing w:after="0"/>
              <w:jc w:val="center"/>
              <w:rPr>
                <w:rFonts w:asciiTheme="minorHAnsi" w:eastAsia="Times New Roman" w:hAnsiTheme="minorHAnsi" w:cstheme="minorHAnsi"/>
                <w:color w:val="000000"/>
                <w:sz w:val="20"/>
                <w:szCs w:val="20"/>
              </w:rPr>
            </w:pPr>
            <w:r w:rsidRPr="00962971">
              <w:rPr>
                <w:rFonts w:asciiTheme="minorHAnsi" w:eastAsia="Times New Roman" w:hAnsiTheme="minorHAnsi" w:cstheme="minorHAnsi"/>
                <w:color w:val="000000"/>
                <w:sz w:val="20"/>
                <w:szCs w:val="20"/>
              </w:rPr>
              <w:t>86.4%</w:t>
            </w:r>
          </w:p>
        </w:tc>
      </w:tr>
      <w:tr w:rsidR="00365C3B" w:rsidRPr="00F26259" w14:paraId="46EF37C0"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3BB4D04A" w14:textId="02BA3AC3" w:rsidR="00365C3B"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9020" w:type="dxa"/>
            <w:tcBorders>
              <w:top w:val="single" w:sz="4" w:space="0" w:color="auto"/>
              <w:left w:val="nil"/>
              <w:bottom w:val="single" w:sz="4" w:space="0" w:color="auto"/>
              <w:right w:val="single" w:sz="4" w:space="0" w:color="auto"/>
            </w:tcBorders>
            <w:shd w:val="clear" w:color="auto" w:fill="auto"/>
          </w:tcPr>
          <w:p w14:paraId="22A7873E" w14:textId="03A35D8B" w:rsidR="00365C3B" w:rsidRPr="00B03E9B" w:rsidRDefault="00365C3B"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Antidepressant Medication Management - Continuation</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FFC1FA1" w14:textId="5D14A450" w:rsidR="00365C3B"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39.3%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562F9D" w14:textId="71490E87" w:rsidR="00365C3B"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42.2%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6D88DB" w14:textId="0B874A0B" w:rsidR="00365C3B"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40.7%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C2805D6" w14:textId="22B8333B" w:rsidR="00365C3B"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45.6%</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0674B923" w14:textId="49A37194" w:rsidR="00365C3B"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52.5%</w:t>
            </w:r>
          </w:p>
        </w:tc>
      </w:tr>
      <w:tr w:rsidR="007513A5" w:rsidRPr="00F26259" w14:paraId="770E0DA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EF3DAE2" w14:textId="226CA248" w:rsidR="007513A5"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AMM</w:t>
            </w:r>
          </w:p>
        </w:tc>
        <w:tc>
          <w:tcPr>
            <w:tcW w:w="9020" w:type="dxa"/>
            <w:tcBorders>
              <w:top w:val="single" w:sz="4" w:space="0" w:color="auto"/>
              <w:left w:val="nil"/>
              <w:bottom w:val="single" w:sz="4" w:space="0" w:color="auto"/>
              <w:right w:val="single" w:sz="4" w:space="0" w:color="auto"/>
            </w:tcBorders>
            <w:shd w:val="clear" w:color="auto" w:fill="auto"/>
          </w:tcPr>
          <w:p w14:paraId="5C20E837" w14:textId="214F8D31" w:rsidR="007513A5" w:rsidRPr="00B03E9B" w:rsidRDefault="007513A5"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Antidepressant Medication Management – Continuation: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5797732" w14:textId="491A2C84" w:rsidR="007513A5"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57.9%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DEA49C" w14:textId="7401977A" w:rsidR="007513A5"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5DE0CC" w14:textId="30E91C71" w:rsidR="007513A5"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65.1%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B85A9B5" w14:textId="08BBDCA0" w:rsidR="007513A5"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68.8%</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61CC560D" w14:textId="2A8BFCD5" w:rsidR="007513A5" w:rsidRPr="00962971" w:rsidRDefault="007513A5"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74.5%</w:t>
            </w:r>
          </w:p>
        </w:tc>
      </w:tr>
      <w:tr w:rsidR="007513A5" w:rsidRPr="00F26259" w14:paraId="15C489AD"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10C878D7" w14:textId="79D4BD7A" w:rsidR="007513A5" w:rsidRDefault="007513A5"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AMR</w:t>
            </w:r>
          </w:p>
        </w:tc>
        <w:tc>
          <w:tcPr>
            <w:tcW w:w="9020" w:type="dxa"/>
            <w:tcBorders>
              <w:top w:val="single" w:sz="4" w:space="0" w:color="auto"/>
              <w:left w:val="nil"/>
              <w:bottom w:val="single" w:sz="4" w:space="0" w:color="auto"/>
              <w:right w:val="single" w:sz="4" w:space="0" w:color="auto"/>
            </w:tcBorders>
            <w:shd w:val="clear" w:color="auto" w:fill="auto"/>
          </w:tcPr>
          <w:p w14:paraId="75D0787D" w14:textId="7F8C7E64" w:rsidR="007513A5" w:rsidRPr="00B03E9B" w:rsidRDefault="00FF1CD3"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Asthma Medication Ratio:  Ages 19-50</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9AB4FF1" w14:textId="391ED610"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50.1%</w:t>
            </w:r>
            <w:r w:rsidR="00B17C63" w:rsidRPr="00962971">
              <w:rPr>
                <w:rFonts w:asciiTheme="minorHAnsi" w:hAnsiTheme="minorHAnsi" w:cstheme="minorHAnsi"/>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26A632" w14:textId="3FB21156"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46.6%</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2973F" w14:textId="4EEFCA68" w:rsidR="007513A5" w:rsidRPr="00962971" w:rsidRDefault="00A9231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47.4%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130FF82" w14:textId="7071302A"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60.0%</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7FC72432" w14:textId="673F4E4E"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64.1%</w:t>
            </w:r>
            <w:r w:rsidR="00FE628F" w:rsidRPr="00962971">
              <w:rPr>
                <w:rFonts w:asciiTheme="minorHAnsi" w:hAnsiTheme="minorHAnsi" w:cstheme="minorHAnsi"/>
                <w:sz w:val="20"/>
                <w:szCs w:val="20"/>
              </w:rPr>
              <w:t xml:space="preserve"> </w:t>
            </w:r>
          </w:p>
        </w:tc>
      </w:tr>
      <w:tr w:rsidR="007513A5" w:rsidRPr="00F26259" w14:paraId="4E1260D0"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FD56DBB" w14:textId="13F656DE" w:rsidR="007513A5"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AMR</w:t>
            </w:r>
          </w:p>
        </w:tc>
        <w:tc>
          <w:tcPr>
            <w:tcW w:w="9020" w:type="dxa"/>
            <w:tcBorders>
              <w:top w:val="single" w:sz="4" w:space="0" w:color="auto"/>
              <w:left w:val="nil"/>
              <w:bottom w:val="single" w:sz="4" w:space="0" w:color="auto"/>
              <w:right w:val="single" w:sz="4" w:space="0" w:color="auto"/>
            </w:tcBorders>
            <w:shd w:val="clear" w:color="auto" w:fill="auto"/>
          </w:tcPr>
          <w:p w14:paraId="39DF8EE1" w14:textId="0167B1E4" w:rsidR="007513A5" w:rsidRPr="00B03E9B" w:rsidRDefault="00FF1CD3"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Asthma Medication Ratio:  Ages 51-64</w:t>
            </w:r>
            <w:r w:rsidR="008C4A04">
              <w:rPr>
                <w:rFonts w:asciiTheme="minorHAnsi" w:eastAsia="Times New Roman" w:hAnsiTheme="minorHAnsi" w:cstheme="minorHAnsi"/>
                <w:sz w:val="20"/>
                <w:szCs w:val="20"/>
              </w:rPr>
              <w:t xml:space="preserve"> </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0791AFD" w14:textId="13C1BBE2"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59.0%</w:t>
            </w:r>
            <w:r w:rsidR="00331F97" w:rsidRPr="00962971">
              <w:rPr>
                <w:rFonts w:asciiTheme="minorHAnsi" w:hAnsiTheme="minorHAnsi" w:cstheme="minorHAnsi"/>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0D402A" w14:textId="2D4EB7B5" w:rsidR="007513A5" w:rsidRPr="00962971" w:rsidRDefault="00691DA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57.2%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636673" w14:textId="3BAD45BC"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54.4%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45DFF6C" w14:textId="741DE2A9"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61.2%</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551CD489" w14:textId="25F3A599"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66.7%</w:t>
            </w:r>
          </w:p>
        </w:tc>
      </w:tr>
      <w:tr w:rsidR="007513A5" w:rsidRPr="00F26259" w14:paraId="75363A58"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C8F67E7" w14:textId="4ED6CCE1" w:rsidR="007513A5" w:rsidRDefault="00600579"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BCS</w:t>
            </w:r>
          </w:p>
        </w:tc>
        <w:tc>
          <w:tcPr>
            <w:tcW w:w="9020" w:type="dxa"/>
            <w:tcBorders>
              <w:top w:val="single" w:sz="4" w:space="0" w:color="auto"/>
              <w:left w:val="nil"/>
              <w:bottom w:val="single" w:sz="4" w:space="0" w:color="auto"/>
              <w:right w:val="single" w:sz="4" w:space="0" w:color="auto"/>
            </w:tcBorders>
            <w:shd w:val="clear" w:color="auto" w:fill="auto"/>
          </w:tcPr>
          <w:p w14:paraId="1491D99E" w14:textId="4F6CFC6D" w:rsidR="007513A5" w:rsidRPr="00B03E9B" w:rsidRDefault="00600579"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Breast Cancer Screening</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A564DED" w14:textId="1B470787"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74.3%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F85A89" w14:textId="0CC0FFA8"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69.4%</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B600A7" w14:textId="70D83B61"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63.2%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E43DA10" w14:textId="6F22787C"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58.7%</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6C117805" w14:textId="022B4F2C" w:rsidR="007513A5" w:rsidRPr="00962971" w:rsidRDefault="00600579"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63.8%</w:t>
            </w:r>
          </w:p>
        </w:tc>
      </w:tr>
      <w:tr w:rsidR="007513A5" w:rsidRPr="00F26259" w14:paraId="5F2D7374"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4AAD2C94" w14:textId="0BB06176" w:rsidR="007513A5"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BCS</w:t>
            </w:r>
          </w:p>
        </w:tc>
        <w:tc>
          <w:tcPr>
            <w:tcW w:w="9020" w:type="dxa"/>
            <w:tcBorders>
              <w:top w:val="single" w:sz="4" w:space="0" w:color="auto"/>
              <w:left w:val="nil"/>
              <w:bottom w:val="single" w:sz="4" w:space="0" w:color="auto"/>
              <w:right w:val="single" w:sz="4" w:space="0" w:color="auto"/>
            </w:tcBorders>
            <w:shd w:val="clear" w:color="auto" w:fill="auto"/>
          </w:tcPr>
          <w:p w14:paraId="7093F777" w14:textId="7EA95A7A" w:rsidR="007513A5" w:rsidRPr="00B03E9B" w:rsidRDefault="009A70BD"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Breast Cancer Screening: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78977EE" w14:textId="541540BB" w:rsidR="007513A5" w:rsidRPr="00962971" w:rsidRDefault="009A70BD"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CACE48" w14:textId="7DA850A2" w:rsidR="007513A5" w:rsidRPr="00962971" w:rsidRDefault="009A70BD"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58A4DA" w14:textId="47AF07D4" w:rsidR="007513A5" w:rsidRPr="00962971" w:rsidRDefault="009A70BD"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75.6%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DB93369" w14:textId="2D3183BE" w:rsidR="007513A5" w:rsidRPr="00962971" w:rsidRDefault="009A70BD"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77.1%</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4F6126B" w14:textId="5DD27C02" w:rsidR="007513A5" w:rsidRPr="00962971" w:rsidRDefault="009A70BD"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80.1%</w:t>
            </w:r>
          </w:p>
        </w:tc>
      </w:tr>
      <w:tr w:rsidR="00EB3A2E" w:rsidRPr="00F26259" w14:paraId="6A1BD2CF"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B645CED" w14:textId="7DBE1C98" w:rsidR="00EB3A2E" w:rsidRDefault="00EB3A2E"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COB</w:t>
            </w:r>
          </w:p>
        </w:tc>
        <w:tc>
          <w:tcPr>
            <w:tcW w:w="9020" w:type="dxa"/>
            <w:tcBorders>
              <w:top w:val="single" w:sz="4" w:space="0" w:color="auto"/>
              <w:left w:val="nil"/>
              <w:bottom w:val="single" w:sz="4" w:space="0" w:color="auto"/>
              <w:right w:val="single" w:sz="4" w:space="0" w:color="auto"/>
            </w:tcBorders>
            <w:shd w:val="clear" w:color="auto" w:fill="auto"/>
          </w:tcPr>
          <w:p w14:paraId="444DB3AF" w14:textId="0A539F8D" w:rsidR="00EB3A2E" w:rsidRPr="00B03E9B" w:rsidRDefault="00EB3A2E"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Concurrent Use of Opioids and Benzodiazepines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3F31444" w14:textId="0219DD5D" w:rsidR="00EB3A2E" w:rsidRPr="00962971" w:rsidRDefault="00EB3A2E"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17.2%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5D70C9" w14:textId="3BA91289" w:rsidR="00EB3A2E" w:rsidRPr="00962971" w:rsidRDefault="00EB3A2E"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BCA111" w14:textId="71308ACA" w:rsidR="00EB3A2E" w:rsidRPr="00962971" w:rsidRDefault="00EB3A2E"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57BDF0B" w14:textId="0F6B6A96" w:rsidR="00EB3A2E" w:rsidRPr="00962971" w:rsidRDefault="00EB3A2E"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6C2888FA" w14:textId="305076F9" w:rsidR="00EB3A2E" w:rsidRPr="00962971" w:rsidRDefault="00EB3A2E"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EB3A2E" w:rsidRPr="00F26259" w14:paraId="0ECAC274" w14:textId="77777777" w:rsidTr="00E74138">
        <w:trPr>
          <w:trHeight w:val="29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1FA153E0" w14:textId="1392A75F" w:rsidR="00EB3A2E" w:rsidRPr="00F26259" w:rsidRDefault="00EB3A2E" w:rsidP="00EE745E">
            <w:pPr>
              <w:spacing w:after="0"/>
              <w:jc w:val="center"/>
              <w:rPr>
                <w:rFonts w:asciiTheme="minorHAnsi" w:eastAsia="Times New Roman" w:hAnsiTheme="minorHAnsi" w:cstheme="minorHAnsi"/>
                <w:color w:val="000000"/>
                <w:sz w:val="20"/>
                <w:szCs w:val="20"/>
              </w:rPr>
            </w:pPr>
            <w:r>
              <w:rPr>
                <w:rFonts w:cs="Calibri"/>
                <w:color w:val="000000"/>
                <w:sz w:val="20"/>
                <w:szCs w:val="20"/>
              </w:rPr>
              <w:t>CBP</w:t>
            </w:r>
          </w:p>
        </w:tc>
        <w:tc>
          <w:tcPr>
            <w:tcW w:w="9020" w:type="dxa"/>
            <w:tcBorders>
              <w:top w:val="nil"/>
              <w:left w:val="nil"/>
              <w:bottom w:val="single" w:sz="4" w:space="0" w:color="auto"/>
              <w:right w:val="single" w:sz="4" w:space="0" w:color="auto"/>
            </w:tcBorders>
            <w:shd w:val="clear" w:color="auto" w:fill="auto"/>
          </w:tcPr>
          <w:p w14:paraId="0B1B748C" w14:textId="45BB1C04" w:rsidR="00EB3A2E" w:rsidRPr="00077932" w:rsidRDefault="00EB3A2E" w:rsidP="00EE745E">
            <w:pPr>
              <w:spacing w:after="0"/>
              <w:rPr>
                <w:rFonts w:asciiTheme="minorHAnsi" w:eastAsia="Times New Roman" w:hAnsiTheme="minorHAnsi" w:cstheme="minorHAnsi"/>
                <w:sz w:val="20"/>
                <w:szCs w:val="20"/>
              </w:rPr>
            </w:pPr>
            <w:r w:rsidRPr="00077932">
              <w:rPr>
                <w:rFonts w:cs="Calibri"/>
                <w:sz w:val="20"/>
                <w:szCs w:val="20"/>
              </w:rPr>
              <w:t>Controlling High Blood Pressure</w:t>
            </w:r>
            <w:r w:rsidR="00331F97" w:rsidRPr="00077932">
              <w:rPr>
                <w:rFonts w:cs="Calibri"/>
                <w:sz w:val="20"/>
                <w:szCs w:val="20"/>
              </w:rPr>
              <w:t>: 18-65</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52CCDE" w14:textId="398D2EFD" w:rsidR="00EB3A2E" w:rsidRPr="00962971" w:rsidRDefault="00B17C63" w:rsidP="00EE745E">
            <w:pPr>
              <w:spacing w:after="0"/>
              <w:jc w:val="center"/>
              <w:rPr>
                <w:rFonts w:asciiTheme="minorHAnsi" w:eastAsia="Times New Roman" w:hAnsiTheme="minorHAnsi" w:cstheme="minorHAnsi"/>
                <w:sz w:val="20"/>
                <w:szCs w:val="20"/>
              </w:rPr>
            </w:pPr>
            <w:r w:rsidRPr="00962971">
              <w:rPr>
                <w:rFonts w:asciiTheme="minorHAnsi" w:hAnsiTheme="minorHAnsi" w:cstheme="minorHAnsi"/>
                <w:color w:val="000000" w:themeColor="text1"/>
                <w:sz w:val="20"/>
                <w:szCs w:val="20"/>
              </w:rPr>
              <w:t>67.9</w:t>
            </w:r>
            <w:r w:rsidR="00331F97" w:rsidRPr="00962971">
              <w:rPr>
                <w:rFonts w:asciiTheme="minorHAnsi" w:hAnsiTheme="minorHAnsi" w:cstheme="minorHAnsi"/>
                <w:color w:val="000000" w:themeColor="text1"/>
                <w:sz w:val="20"/>
                <w:szCs w:val="20"/>
              </w:rPr>
              <w:t xml:space="preserve">% </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E8A285A" w14:textId="0681FA57" w:rsidR="00B362E5" w:rsidRPr="00962971" w:rsidRDefault="00B362E5" w:rsidP="002C0152">
            <w:pPr>
              <w:spacing w:after="0"/>
              <w:jc w:val="center"/>
              <w:rPr>
                <w:rFonts w:asciiTheme="minorHAnsi" w:hAnsiTheme="minorHAnsi" w:cstheme="minorHAnsi"/>
                <w:color w:val="FF0000"/>
                <w:sz w:val="20"/>
                <w:szCs w:val="20"/>
              </w:rPr>
            </w:pPr>
            <w:r w:rsidRPr="00962971">
              <w:rPr>
                <w:rFonts w:asciiTheme="minorHAnsi" w:hAnsiTheme="minorHAnsi" w:cstheme="minorHAnsi"/>
                <w:sz w:val="20"/>
                <w:szCs w:val="20"/>
              </w:rPr>
              <w:t>68.4%</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3AFE62" w14:textId="77777777" w:rsidR="00EB3A2E" w:rsidRPr="00962971" w:rsidRDefault="00EB3A2E" w:rsidP="00EE745E">
            <w:pPr>
              <w:spacing w:after="0"/>
              <w:jc w:val="center"/>
              <w:rPr>
                <w:rFonts w:asciiTheme="minorHAnsi" w:eastAsia="Times New Roman" w:hAnsiTheme="minorHAnsi" w:cstheme="minorHAnsi"/>
                <w:sz w:val="20"/>
                <w:szCs w:val="20"/>
              </w:rPr>
            </w:pPr>
            <w:r w:rsidRPr="00962971">
              <w:rPr>
                <w:rFonts w:asciiTheme="minorHAnsi" w:hAnsiTheme="minorHAnsi" w:cstheme="minorHAnsi"/>
                <w:color w:val="000000"/>
                <w:sz w:val="20"/>
                <w:szCs w:val="20"/>
              </w:rPr>
              <w:t>56.8%</w:t>
            </w:r>
          </w:p>
        </w:tc>
        <w:tc>
          <w:tcPr>
            <w:tcW w:w="1350" w:type="dxa"/>
            <w:tcBorders>
              <w:top w:val="nil"/>
              <w:left w:val="nil"/>
              <w:bottom w:val="single" w:sz="4" w:space="0" w:color="000000"/>
              <w:right w:val="single" w:sz="4" w:space="0" w:color="000000"/>
            </w:tcBorders>
            <w:shd w:val="clear" w:color="auto" w:fill="auto"/>
            <w:noWrap/>
            <w:vAlign w:val="center"/>
          </w:tcPr>
          <w:p w14:paraId="133DA87B" w14:textId="5C149F66" w:rsidR="00EB3A2E" w:rsidRPr="00962971" w:rsidRDefault="00EB3A2E" w:rsidP="00EE745E">
            <w:pPr>
              <w:spacing w:after="0"/>
              <w:jc w:val="center"/>
              <w:rPr>
                <w:rFonts w:asciiTheme="minorHAnsi" w:eastAsia="Times New Roman" w:hAnsiTheme="minorHAnsi" w:cstheme="minorHAnsi"/>
                <w:color w:val="000000"/>
                <w:sz w:val="20"/>
                <w:szCs w:val="20"/>
              </w:rPr>
            </w:pPr>
            <w:r w:rsidRPr="00962971">
              <w:rPr>
                <w:rFonts w:asciiTheme="minorHAnsi" w:hAnsiTheme="minorHAnsi" w:cstheme="minorHAnsi"/>
                <w:sz w:val="20"/>
                <w:szCs w:val="20"/>
              </w:rPr>
              <w:t>62.5%</w:t>
            </w:r>
          </w:p>
        </w:tc>
        <w:tc>
          <w:tcPr>
            <w:tcW w:w="1260" w:type="dxa"/>
            <w:tcBorders>
              <w:top w:val="nil"/>
              <w:left w:val="nil"/>
              <w:bottom w:val="single" w:sz="4" w:space="0" w:color="000000"/>
              <w:right w:val="single" w:sz="4" w:space="0" w:color="000000"/>
            </w:tcBorders>
            <w:shd w:val="clear" w:color="auto" w:fill="auto"/>
            <w:noWrap/>
            <w:vAlign w:val="center"/>
          </w:tcPr>
          <w:p w14:paraId="3F7536F9" w14:textId="1E34000C" w:rsidR="00EB3A2E" w:rsidRPr="00962971" w:rsidRDefault="00EB3A2E" w:rsidP="00EE745E">
            <w:pPr>
              <w:spacing w:after="0"/>
              <w:jc w:val="center"/>
              <w:rPr>
                <w:rFonts w:asciiTheme="minorHAnsi" w:eastAsia="Times New Roman" w:hAnsiTheme="minorHAnsi" w:cstheme="minorHAnsi"/>
                <w:color w:val="000000"/>
                <w:sz w:val="20"/>
                <w:szCs w:val="20"/>
              </w:rPr>
            </w:pPr>
            <w:r w:rsidRPr="00962971">
              <w:rPr>
                <w:rFonts w:asciiTheme="minorHAnsi" w:hAnsiTheme="minorHAnsi" w:cstheme="minorHAnsi"/>
                <w:sz w:val="20"/>
                <w:szCs w:val="20"/>
              </w:rPr>
              <w:t>66.4%</w:t>
            </w:r>
          </w:p>
        </w:tc>
      </w:tr>
      <w:tr w:rsidR="00EB3A2E" w:rsidRPr="00F26259" w14:paraId="7F206476"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463B443" w14:textId="0E508129" w:rsidR="00EB3A2E" w:rsidRDefault="00DE58BD" w:rsidP="00365C3B">
            <w:pPr>
              <w:spacing w:after="0"/>
              <w:jc w:val="center"/>
              <w:rPr>
                <w:rFonts w:asciiTheme="minorHAnsi" w:eastAsia="Times New Roman" w:hAnsiTheme="minorHAnsi" w:cstheme="minorHAnsi"/>
                <w:color w:val="000000"/>
                <w:sz w:val="20"/>
                <w:szCs w:val="20"/>
              </w:rPr>
            </w:pPr>
            <w:r>
              <w:rPr>
                <w:rFonts w:cs="Calibri"/>
                <w:color w:val="000000"/>
                <w:sz w:val="20"/>
                <w:szCs w:val="20"/>
              </w:rPr>
              <w:t>CBP</w:t>
            </w:r>
          </w:p>
        </w:tc>
        <w:tc>
          <w:tcPr>
            <w:tcW w:w="9020" w:type="dxa"/>
            <w:tcBorders>
              <w:top w:val="single" w:sz="4" w:space="0" w:color="auto"/>
              <w:left w:val="nil"/>
              <w:bottom w:val="single" w:sz="4" w:space="0" w:color="auto"/>
              <w:right w:val="single" w:sz="4" w:space="0" w:color="auto"/>
            </w:tcBorders>
            <w:shd w:val="clear" w:color="auto" w:fill="auto"/>
          </w:tcPr>
          <w:p w14:paraId="30075F55" w14:textId="1FC4D8C2" w:rsidR="00EB3A2E" w:rsidRPr="00B03E9B" w:rsidRDefault="00F65AB3"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Controlling High Blood Pressure: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5E1166C" w14:textId="099C5E27" w:rsidR="00EB3A2E" w:rsidRPr="00962971" w:rsidRDefault="0065206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74.3%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25FF35" w14:textId="7E08574F" w:rsidR="00EB3A2E" w:rsidRPr="00962971" w:rsidRDefault="00F65AB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BC6328" w14:textId="21B79DBB" w:rsidR="00EB3A2E" w:rsidRPr="00962971" w:rsidRDefault="0065206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61.2%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134B346" w14:textId="0492976D" w:rsidR="00EB3A2E" w:rsidRPr="00962971" w:rsidRDefault="0065206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77.1%</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4DCE51AE" w14:textId="0E3EF6DA" w:rsidR="00EB3A2E" w:rsidRPr="00962971" w:rsidRDefault="0065206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77.4%</w:t>
            </w:r>
          </w:p>
        </w:tc>
      </w:tr>
      <w:tr w:rsidR="007626CF" w:rsidRPr="00F26259" w14:paraId="7C14E10C"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4ED3C004" w14:textId="6A8A149B" w:rsidR="007626CF" w:rsidRDefault="007626CF"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CCS</w:t>
            </w:r>
          </w:p>
        </w:tc>
        <w:tc>
          <w:tcPr>
            <w:tcW w:w="9020" w:type="dxa"/>
            <w:tcBorders>
              <w:top w:val="single" w:sz="4" w:space="0" w:color="auto"/>
              <w:left w:val="nil"/>
              <w:bottom w:val="single" w:sz="4" w:space="0" w:color="auto"/>
              <w:right w:val="single" w:sz="4" w:space="0" w:color="auto"/>
            </w:tcBorders>
            <w:shd w:val="clear" w:color="auto" w:fill="auto"/>
          </w:tcPr>
          <w:p w14:paraId="2C7A49B2" w14:textId="372C145A" w:rsidR="007626CF" w:rsidRPr="00B03E9B" w:rsidRDefault="007626CF"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Cervical Cancer Screening</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A6A0F3F" w14:textId="00E81CEB" w:rsidR="007626CF" w:rsidRPr="00962971" w:rsidRDefault="007626C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70.8%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D7DF13" w14:textId="5F71DA6A" w:rsidR="007626CF" w:rsidRPr="00962971" w:rsidRDefault="007626C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70.1%</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580B1" w14:textId="3668FA26" w:rsidR="007626CF" w:rsidRPr="00962971" w:rsidRDefault="007626C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64.4%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76E742" w14:textId="0525D3D7" w:rsidR="007626CF" w:rsidRPr="00962971" w:rsidRDefault="007626C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63.9%</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F92C178" w14:textId="0D5032E3" w:rsidR="007626CF" w:rsidRPr="00962971" w:rsidRDefault="007626C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68%</w:t>
            </w:r>
          </w:p>
        </w:tc>
      </w:tr>
      <w:tr w:rsidR="007626CF" w:rsidRPr="00F26259" w14:paraId="3E6B9EBE"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3F580351" w14:textId="0348E138" w:rsidR="007626CF" w:rsidRDefault="007626CF"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CDC</w:t>
            </w:r>
          </w:p>
        </w:tc>
        <w:tc>
          <w:tcPr>
            <w:tcW w:w="9020" w:type="dxa"/>
            <w:tcBorders>
              <w:top w:val="single" w:sz="4" w:space="0" w:color="auto"/>
              <w:left w:val="nil"/>
              <w:bottom w:val="single" w:sz="4" w:space="0" w:color="auto"/>
              <w:right w:val="single" w:sz="4" w:space="0" w:color="auto"/>
            </w:tcBorders>
            <w:shd w:val="clear" w:color="auto" w:fill="auto"/>
          </w:tcPr>
          <w:p w14:paraId="2E841251" w14:textId="58DE32CE" w:rsidR="007626CF" w:rsidRPr="00B03E9B" w:rsidRDefault="007626CF" w:rsidP="00EE745E">
            <w:pPr>
              <w:spacing w:after="0"/>
              <w:rPr>
                <w:rFonts w:asciiTheme="minorHAnsi" w:eastAsia="Times New Roman" w:hAnsiTheme="minorHAnsi" w:cstheme="minorHAnsi"/>
                <w:sz w:val="20"/>
                <w:szCs w:val="20"/>
              </w:rPr>
            </w:pPr>
            <w:r w:rsidRPr="00077932">
              <w:rPr>
                <w:rFonts w:asciiTheme="minorHAnsi" w:eastAsia="Times New Roman" w:hAnsiTheme="minorHAnsi" w:cstheme="minorHAnsi"/>
                <w:sz w:val="20"/>
                <w:szCs w:val="20"/>
              </w:rPr>
              <w:t xml:space="preserve">Comprehensive Diabetes Care – </w:t>
            </w:r>
            <w:r w:rsidR="00142A4B">
              <w:rPr>
                <w:rFonts w:asciiTheme="minorHAnsi" w:eastAsia="Times New Roman" w:hAnsiTheme="minorHAnsi" w:cstheme="minorHAnsi"/>
                <w:sz w:val="20"/>
                <w:szCs w:val="20"/>
              </w:rPr>
              <w:t>A1C</w:t>
            </w:r>
            <w:r w:rsidRPr="00077932">
              <w:rPr>
                <w:rFonts w:asciiTheme="minorHAnsi" w:eastAsia="Times New Roman" w:hAnsiTheme="minorHAnsi" w:cstheme="minorHAnsi"/>
                <w:sz w:val="20"/>
                <w:szCs w:val="20"/>
              </w:rPr>
              <w:t xml:space="preserve"> Poor Control</w:t>
            </w:r>
            <w:r w:rsidR="00F96BF1" w:rsidRPr="00077932">
              <w:rPr>
                <w:rFonts w:asciiTheme="minorHAnsi" w:eastAsia="Times New Roman" w:hAnsiTheme="minorHAnsi" w:cstheme="minorHAnsi"/>
                <w:sz w:val="20"/>
                <w:szCs w:val="20"/>
              </w:rPr>
              <w:t xml:space="preserve"> (lower rate is better)</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BBF89BD" w14:textId="7236B7B0"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33.5%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13E91C" w14:textId="2A1473F9"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35.8%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E29BA7" w14:textId="4FC9B63F" w:rsidR="008C4A04" w:rsidRPr="00962971" w:rsidRDefault="008C4A04" w:rsidP="002C0152">
            <w:pPr>
              <w:spacing w:after="0"/>
              <w:jc w:val="center"/>
              <w:rPr>
                <w:rFonts w:asciiTheme="minorHAnsi" w:hAnsiTheme="minorHAnsi" w:cstheme="minorHAnsi"/>
                <w:sz w:val="20"/>
                <w:szCs w:val="20"/>
              </w:rPr>
            </w:pPr>
            <w:r w:rsidRPr="00962971">
              <w:rPr>
                <w:rFonts w:asciiTheme="minorHAnsi" w:hAnsiTheme="minorHAnsi" w:cstheme="minorHAnsi"/>
                <w:sz w:val="20"/>
                <w:szCs w:val="20"/>
              </w:rPr>
              <w:t>43.3%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C7A569F" w14:textId="4330116B"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38.4%</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1C59DC78" w14:textId="207AA592"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34.1%</w:t>
            </w:r>
          </w:p>
        </w:tc>
      </w:tr>
      <w:tr w:rsidR="007626CF" w:rsidRPr="00F26259" w14:paraId="0A54D6C4"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423959B5" w14:textId="068B5AD5" w:rsidR="007626CF"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CDC</w:t>
            </w:r>
          </w:p>
        </w:tc>
        <w:tc>
          <w:tcPr>
            <w:tcW w:w="9020" w:type="dxa"/>
            <w:tcBorders>
              <w:top w:val="single" w:sz="4" w:space="0" w:color="auto"/>
              <w:left w:val="nil"/>
              <w:bottom w:val="single" w:sz="4" w:space="0" w:color="auto"/>
              <w:right w:val="single" w:sz="4" w:space="0" w:color="auto"/>
            </w:tcBorders>
            <w:shd w:val="clear" w:color="auto" w:fill="auto"/>
          </w:tcPr>
          <w:p w14:paraId="2D335EEE" w14:textId="1C74CC87" w:rsidR="007626CF" w:rsidRPr="00B03E9B" w:rsidRDefault="00F96BF1"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Comprehensive Diabetes Care – </w:t>
            </w:r>
            <w:r w:rsidR="00142A4B">
              <w:rPr>
                <w:rFonts w:asciiTheme="minorHAnsi" w:eastAsia="Times New Roman" w:hAnsiTheme="minorHAnsi" w:cstheme="minorHAnsi"/>
                <w:sz w:val="20"/>
                <w:szCs w:val="20"/>
              </w:rPr>
              <w:t>A1C</w:t>
            </w:r>
            <w:r w:rsidRPr="00B03E9B">
              <w:rPr>
                <w:rFonts w:asciiTheme="minorHAnsi" w:eastAsia="Times New Roman" w:hAnsiTheme="minorHAnsi" w:cstheme="minorHAnsi"/>
                <w:sz w:val="20"/>
                <w:szCs w:val="20"/>
              </w:rPr>
              <w:t xml:space="preserve"> Poor Control:  Over 65 (lower rate is better)</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6CD92B3" w14:textId="74C599E7"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81A662" w14:textId="44ACC0DB"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D8D0C7" w14:textId="211DB586"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28.9%</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FCE073C" w14:textId="5221F02A"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17.3%</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0DF85155" w14:textId="246891A3" w:rsidR="007626CF" w:rsidRPr="00962971" w:rsidRDefault="00F96BF1"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13.9%</w:t>
            </w:r>
          </w:p>
        </w:tc>
      </w:tr>
      <w:tr w:rsidR="00F96BF1" w:rsidRPr="00F26259" w14:paraId="54EABD8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59635362" w14:textId="767CD555" w:rsidR="00F96BF1" w:rsidRDefault="00B43433"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CDF</w:t>
            </w:r>
          </w:p>
        </w:tc>
        <w:tc>
          <w:tcPr>
            <w:tcW w:w="9020" w:type="dxa"/>
            <w:tcBorders>
              <w:top w:val="single" w:sz="4" w:space="0" w:color="auto"/>
              <w:left w:val="nil"/>
              <w:bottom w:val="single" w:sz="4" w:space="0" w:color="auto"/>
              <w:right w:val="single" w:sz="4" w:space="0" w:color="auto"/>
            </w:tcBorders>
            <w:shd w:val="clear" w:color="auto" w:fill="auto"/>
          </w:tcPr>
          <w:p w14:paraId="5282C917" w14:textId="52C74829" w:rsidR="00F96BF1" w:rsidRPr="00B03E9B" w:rsidRDefault="00B43433"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Screening for Depression and Follow-up Plan – Ages 18 and Older</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E69662C" w14:textId="6BC79A70" w:rsidR="00F96BF1" w:rsidRPr="00962971" w:rsidRDefault="00B4343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8198A0" w14:textId="08488F47" w:rsidR="00F96BF1" w:rsidRPr="00962971" w:rsidRDefault="00B4343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42.9%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C908AC" w14:textId="11568EE6" w:rsidR="00F96BF1" w:rsidRPr="00962971" w:rsidRDefault="00B4343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36.4%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55E5A17" w14:textId="1D11A18D" w:rsidR="00F96BF1" w:rsidRPr="00962971" w:rsidRDefault="00B4343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FB3199F" w14:textId="75F39FC7" w:rsidR="00F96BF1" w:rsidRPr="00962971" w:rsidRDefault="00B43433"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F96BF1" w:rsidRPr="00F26259" w14:paraId="63F341D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3EBE0D06" w14:textId="5B1AD646" w:rsidR="00F96BF1" w:rsidRDefault="00E7324B"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CHL</w:t>
            </w:r>
          </w:p>
        </w:tc>
        <w:tc>
          <w:tcPr>
            <w:tcW w:w="9020" w:type="dxa"/>
            <w:tcBorders>
              <w:top w:val="single" w:sz="4" w:space="0" w:color="auto"/>
              <w:left w:val="nil"/>
              <w:bottom w:val="single" w:sz="4" w:space="0" w:color="auto"/>
              <w:right w:val="single" w:sz="4" w:space="0" w:color="auto"/>
            </w:tcBorders>
            <w:shd w:val="clear" w:color="auto" w:fill="auto"/>
          </w:tcPr>
          <w:p w14:paraId="1C06798C" w14:textId="177B1FC2" w:rsidR="00F96BF1" w:rsidRPr="00B03E9B" w:rsidRDefault="00E7324B"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Chlamydia Screening in Women Ages 21-24</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F71A595" w14:textId="08D72761" w:rsidR="00F96BF1" w:rsidRPr="00962971" w:rsidRDefault="00E7324B"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72.3%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EA280A" w14:textId="1DEB3FE4" w:rsidR="00F96BF1" w:rsidRPr="00962971" w:rsidRDefault="00E7324B"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71.6%</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0EB21F" w14:textId="1924B6B8" w:rsidR="00F96BF1" w:rsidRPr="00962971" w:rsidRDefault="00E7324B"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65.8%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5D4025C" w14:textId="7DE5379B" w:rsidR="00F96BF1" w:rsidRPr="00962971" w:rsidRDefault="00E7324B"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65.5%</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116B7EFC" w14:textId="50761898" w:rsidR="00F96BF1" w:rsidRPr="00962971" w:rsidRDefault="00E7324B"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70.7%</w:t>
            </w:r>
          </w:p>
        </w:tc>
      </w:tr>
      <w:tr w:rsidR="00E7324B" w:rsidRPr="00F26259" w14:paraId="457F782A"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7AA78F4" w14:textId="20372FB9" w:rsidR="00E7324B"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9020" w:type="dxa"/>
            <w:tcBorders>
              <w:top w:val="single" w:sz="4" w:space="0" w:color="auto"/>
              <w:left w:val="nil"/>
              <w:bottom w:val="single" w:sz="4" w:space="0" w:color="auto"/>
              <w:right w:val="single" w:sz="4" w:space="0" w:color="auto"/>
            </w:tcBorders>
            <w:shd w:val="clear" w:color="auto" w:fill="auto"/>
          </w:tcPr>
          <w:p w14:paraId="31EEE45C" w14:textId="54B47556" w:rsidR="00365BA7" w:rsidRPr="00B03E9B" w:rsidRDefault="00357DE4"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Contraceptive Care Postpartum</w:t>
            </w:r>
            <w:r>
              <w:rPr>
                <w:rFonts w:asciiTheme="minorHAnsi" w:eastAsia="Times New Roman" w:hAnsiTheme="minorHAnsi" w:cstheme="minorHAnsi"/>
                <w:sz w:val="20"/>
                <w:szCs w:val="20"/>
              </w:rPr>
              <w:t xml:space="preserve"> </w:t>
            </w:r>
            <w:r w:rsidR="007053B9">
              <w:rPr>
                <w:rFonts w:asciiTheme="minorHAnsi" w:eastAsia="Times New Roman" w:hAnsiTheme="minorHAnsi" w:cstheme="minorHAnsi"/>
                <w:sz w:val="20"/>
                <w:szCs w:val="20"/>
              </w:rPr>
              <w:t xml:space="preserve">Women </w:t>
            </w:r>
            <w:r w:rsidR="00E74138">
              <w:rPr>
                <w:rFonts w:asciiTheme="minorHAnsi" w:eastAsia="Times New Roman" w:hAnsiTheme="minorHAnsi" w:cstheme="minorHAnsi"/>
                <w:sz w:val="20"/>
                <w:szCs w:val="20"/>
              </w:rPr>
              <w:t xml:space="preserve">Ages 21-44: </w:t>
            </w:r>
            <w:r w:rsidR="00365BA7" w:rsidRPr="00B03E9B">
              <w:rPr>
                <w:rFonts w:asciiTheme="minorHAnsi" w:eastAsia="Times New Roman" w:hAnsiTheme="minorHAnsi" w:cstheme="minorHAnsi"/>
                <w:sz w:val="20"/>
                <w:szCs w:val="20"/>
              </w:rPr>
              <w:t>Most/Moderate – 3 days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4BB6E58" w14:textId="33DFD334"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5850668" w14:textId="26C81994"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12.8%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536E7E" w14:textId="233E538C"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15.5%</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AC29FC8" w14:textId="61E8B340"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5778847C" w14:textId="015FCA71"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E7324B" w:rsidRPr="00F26259" w14:paraId="7D0D7113"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3944BA5" w14:textId="6BF6B782" w:rsidR="00E7324B"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9020" w:type="dxa"/>
            <w:tcBorders>
              <w:top w:val="single" w:sz="4" w:space="0" w:color="auto"/>
              <w:left w:val="nil"/>
              <w:bottom w:val="single" w:sz="4" w:space="0" w:color="auto"/>
              <w:right w:val="single" w:sz="4" w:space="0" w:color="auto"/>
            </w:tcBorders>
            <w:shd w:val="clear" w:color="auto" w:fill="auto"/>
          </w:tcPr>
          <w:p w14:paraId="6B26A66C" w14:textId="6A67776F" w:rsidR="00E7324B" w:rsidRPr="00B03E9B" w:rsidRDefault="00357DE4"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sidR="00E74138">
              <w:rPr>
                <w:rFonts w:asciiTheme="minorHAnsi" w:eastAsia="Times New Roman" w:hAnsiTheme="minorHAnsi" w:cstheme="minorHAnsi"/>
                <w:sz w:val="20"/>
                <w:szCs w:val="20"/>
              </w:rPr>
              <w:t>Women Ages 21-44</w:t>
            </w:r>
            <w:r w:rsidR="007053B9">
              <w:rPr>
                <w:rFonts w:asciiTheme="minorHAnsi" w:eastAsia="Times New Roman" w:hAnsiTheme="minorHAnsi" w:cstheme="minorHAnsi"/>
                <w:sz w:val="20"/>
                <w:szCs w:val="20"/>
              </w:rPr>
              <w:t xml:space="preserve">- </w:t>
            </w:r>
            <w:r w:rsidR="00365BA7" w:rsidRPr="00B03E9B">
              <w:rPr>
                <w:rFonts w:asciiTheme="minorHAnsi" w:eastAsia="Times New Roman" w:hAnsiTheme="minorHAnsi" w:cstheme="minorHAnsi"/>
                <w:sz w:val="20"/>
                <w:szCs w:val="20"/>
              </w:rPr>
              <w:t>Most/Moderate – 60 days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4CB60E4" w14:textId="5AB69248"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46.8%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0D4C8" w14:textId="4E8A787B"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48.9%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FFE136" w14:textId="7D253059"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46.9%</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F6FA551" w14:textId="5F7627A0"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925DFF4" w14:textId="39065DCA"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E7324B" w:rsidRPr="00F26259" w14:paraId="507EE62E"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6433FD62" w14:textId="7BE8FCC6" w:rsidR="00E7324B"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9020" w:type="dxa"/>
            <w:tcBorders>
              <w:top w:val="single" w:sz="4" w:space="0" w:color="auto"/>
              <w:left w:val="nil"/>
              <w:bottom w:val="single" w:sz="4" w:space="0" w:color="auto"/>
              <w:right w:val="single" w:sz="4" w:space="0" w:color="auto"/>
            </w:tcBorders>
            <w:shd w:val="clear" w:color="auto" w:fill="auto"/>
          </w:tcPr>
          <w:p w14:paraId="398C8267" w14:textId="0B3DEFDC" w:rsidR="00E7324B" w:rsidRPr="00B03E9B" w:rsidRDefault="007053B9"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sidR="00E74138">
              <w:rPr>
                <w:rFonts w:asciiTheme="minorHAnsi" w:eastAsia="Times New Roman" w:hAnsiTheme="minorHAnsi" w:cstheme="minorHAnsi"/>
                <w:sz w:val="20"/>
                <w:szCs w:val="20"/>
              </w:rPr>
              <w:t>Women Ages 21-44</w:t>
            </w:r>
            <w:r>
              <w:rPr>
                <w:rFonts w:asciiTheme="minorHAnsi" w:eastAsia="Times New Roman" w:hAnsiTheme="minorHAnsi" w:cstheme="minorHAnsi"/>
                <w:sz w:val="20"/>
                <w:szCs w:val="20"/>
              </w:rPr>
              <w:t xml:space="preserve">- </w:t>
            </w:r>
            <w:r w:rsidR="00365BA7" w:rsidRPr="00B03E9B">
              <w:rPr>
                <w:rFonts w:asciiTheme="minorHAnsi" w:eastAsia="Times New Roman" w:hAnsiTheme="minorHAnsi" w:cstheme="minorHAnsi"/>
                <w:sz w:val="20"/>
                <w:szCs w:val="20"/>
              </w:rPr>
              <w:t>LARC – 3 days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E736F2D" w14:textId="7B8731D0"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2.6%</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CEF50" w14:textId="4CEC7A32"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2.7%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F57B00" w14:textId="454A3154"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5.2%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07C658C" w14:textId="387DECDC"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7F508EB0" w14:textId="2BB33D40"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E7324B" w:rsidRPr="00F26259" w14:paraId="3C460A0A"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6CEA17F9" w14:textId="0DCD9C6E" w:rsidR="00E7324B" w:rsidRDefault="00DE58BD"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CCP</w:t>
            </w:r>
          </w:p>
        </w:tc>
        <w:tc>
          <w:tcPr>
            <w:tcW w:w="9020" w:type="dxa"/>
            <w:tcBorders>
              <w:top w:val="single" w:sz="4" w:space="0" w:color="auto"/>
              <w:left w:val="nil"/>
              <w:bottom w:val="single" w:sz="4" w:space="0" w:color="auto"/>
              <w:right w:val="single" w:sz="4" w:space="0" w:color="auto"/>
            </w:tcBorders>
            <w:shd w:val="clear" w:color="auto" w:fill="auto"/>
          </w:tcPr>
          <w:p w14:paraId="6BA68E96" w14:textId="1506EEDD" w:rsidR="00E7324B" w:rsidRPr="00B03E9B" w:rsidRDefault="007053B9"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Postpartum </w:t>
            </w:r>
            <w:r w:rsidR="00E74138">
              <w:rPr>
                <w:rFonts w:asciiTheme="minorHAnsi" w:eastAsia="Times New Roman" w:hAnsiTheme="minorHAnsi" w:cstheme="minorHAnsi"/>
                <w:sz w:val="20"/>
                <w:szCs w:val="20"/>
              </w:rPr>
              <w:t>Women Ages 21-44</w:t>
            </w:r>
            <w:r>
              <w:rPr>
                <w:rFonts w:asciiTheme="minorHAnsi" w:eastAsia="Times New Roman" w:hAnsiTheme="minorHAnsi" w:cstheme="minorHAnsi"/>
                <w:sz w:val="20"/>
                <w:szCs w:val="20"/>
              </w:rPr>
              <w:t xml:space="preserve"> </w:t>
            </w:r>
            <w:r w:rsidR="00365BA7" w:rsidRPr="00B03E9B">
              <w:rPr>
                <w:rFonts w:asciiTheme="minorHAnsi" w:eastAsia="Times New Roman" w:hAnsiTheme="minorHAnsi" w:cstheme="minorHAnsi"/>
                <w:sz w:val="20"/>
                <w:szCs w:val="20"/>
              </w:rPr>
              <w:t>LARC – 60 days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FB8F651" w14:textId="0AD33759"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16.3%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CE7BEF" w14:textId="5C76AC95"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17.7%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75590F" w14:textId="3681D36C"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16.2%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9E6A178" w14:textId="6A1B000E"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FCD2660" w14:textId="6AEA6426" w:rsidR="00E7324B" w:rsidRPr="00962971" w:rsidRDefault="004007D0"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F96BF1" w:rsidRPr="00F26259" w14:paraId="7C662E42"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A39E529" w14:textId="3762189B" w:rsidR="00F96BF1" w:rsidRDefault="004007D0"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CCW</w:t>
            </w:r>
          </w:p>
        </w:tc>
        <w:tc>
          <w:tcPr>
            <w:tcW w:w="9020" w:type="dxa"/>
            <w:tcBorders>
              <w:top w:val="single" w:sz="4" w:space="0" w:color="auto"/>
              <w:left w:val="nil"/>
              <w:bottom w:val="single" w:sz="4" w:space="0" w:color="auto"/>
              <w:right w:val="single" w:sz="4" w:space="0" w:color="auto"/>
            </w:tcBorders>
            <w:shd w:val="clear" w:color="auto" w:fill="auto"/>
          </w:tcPr>
          <w:p w14:paraId="6A190F10" w14:textId="7362065F" w:rsidR="00F96BF1" w:rsidRPr="00B03E9B" w:rsidRDefault="004007D0" w:rsidP="00EE745E">
            <w:pPr>
              <w:spacing w:after="0"/>
              <w:rPr>
                <w:rFonts w:asciiTheme="minorHAnsi" w:eastAsia="Times New Roman" w:hAnsiTheme="minorHAnsi" w:cstheme="minorHAnsi"/>
                <w:sz w:val="20"/>
                <w:szCs w:val="20"/>
              </w:rPr>
            </w:pPr>
            <w:r w:rsidRPr="00B03E9B">
              <w:rPr>
                <w:rFonts w:asciiTheme="minorHAnsi" w:eastAsia="Times New Roman" w:hAnsiTheme="minorHAnsi" w:cstheme="minorHAnsi"/>
                <w:sz w:val="20"/>
                <w:szCs w:val="20"/>
              </w:rPr>
              <w:t xml:space="preserve">Contraceptive Care All Women </w:t>
            </w:r>
            <w:r w:rsidR="0035439F" w:rsidRPr="00B03E9B">
              <w:rPr>
                <w:rFonts w:asciiTheme="minorHAnsi" w:eastAsia="Times New Roman" w:hAnsiTheme="minorHAnsi" w:cstheme="minorHAnsi"/>
                <w:sz w:val="20"/>
                <w:szCs w:val="20"/>
              </w:rPr>
              <w:t>Ages 21-44:  Most/Moderately Effective</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E63C95A" w14:textId="68DF602C" w:rsidR="00F96BF1" w:rsidRPr="00962971" w:rsidRDefault="0035439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29.9%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307B28" w14:textId="560180D0" w:rsidR="00F96BF1" w:rsidRPr="00962971" w:rsidRDefault="0035439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23.7%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F171DE" w14:textId="45B96538" w:rsidR="00F96BF1" w:rsidRPr="00962971" w:rsidRDefault="0035439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19.7%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CAA1E4E" w14:textId="13EF7AED" w:rsidR="00F96BF1" w:rsidRPr="00962971" w:rsidRDefault="0035439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755942D7" w14:textId="21E8F009" w:rsidR="00F96BF1" w:rsidRPr="00962971" w:rsidRDefault="0035439F" w:rsidP="00EE745E">
            <w:pPr>
              <w:spacing w:after="0"/>
              <w:jc w:val="center"/>
              <w:rPr>
                <w:rFonts w:asciiTheme="minorHAnsi" w:hAnsiTheme="minorHAnsi" w:cstheme="minorHAnsi"/>
                <w:sz w:val="20"/>
                <w:szCs w:val="20"/>
              </w:rPr>
            </w:pPr>
            <w:r w:rsidRPr="00962971">
              <w:rPr>
                <w:rFonts w:asciiTheme="minorHAnsi" w:hAnsiTheme="minorHAnsi" w:cstheme="minorHAnsi"/>
                <w:sz w:val="20"/>
                <w:szCs w:val="20"/>
              </w:rPr>
              <w:t>NA</w:t>
            </w:r>
          </w:p>
        </w:tc>
      </w:tr>
      <w:tr w:rsidR="00E42071" w:rsidRPr="00F26259" w14:paraId="2C14B3E6"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1740857" w14:textId="2DED35E7" w:rsidR="00E42071" w:rsidRDefault="00E42071" w:rsidP="00365C3B">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9020" w:type="dxa"/>
            <w:tcBorders>
              <w:top w:val="single" w:sz="4" w:space="0" w:color="auto"/>
              <w:left w:val="nil"/>
              <w:bottom w:val="single" w:sz="4" w:space="0" w:color="auto"/>
              <w:right w:val="single" w:sz="4" w:space="0" w:color="auto"/>
            </w:tcBorders>
            <w:shd w:val="clear" w:color="auto" w:fill="auto"/>
          </w:tcPr>
          <w:p w14:paraId="7B70A36E" w14:textId="5079E624" w:rsidR="00E42071" w:rsidRPr="00B03E9B" w:rsidRDefault="00E42071" w:rsidP="00E42071">
            <w:pPr>
              <w:rPr>
                <w:rFonts w:eastAsia="Times New Roman" w:cs="Calibri"/>
                <w:color w:val="000000"/>
                <w:sz w:val="20"/>
                <w:szCs w:val="20"/>
              </w:rPr>
            </w:pPr>
            <w:r w:rsidRPr="00B03E9B">
              <w:rPr>
                <w:rFonts w:cs="Calibri"/>
                <w:color w:val="000000"/>
                <w:sz w:val="20"/>
                <w:szCs w:val="20"/>
              </w:rPr>
              <w:t>Follow-up After Emergency Department Visit for Alcohol and Other Drug Abuse or Dependence – 7 day</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B3AAB26" w14:textId="6C688A5C" w:rsidR="00E42071" w:rsidRPr="004A1A02" w:rsidRDefault="00EF015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22.5%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C491C5" w14:textId="09A3B7B7" w:rsidR="00E42071" w:rsidRPr="004A1A02" w:rsidRDefault="00EF015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23.9%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18F88E" w14:textId="30B1339A" w:rsidR="00E42071" w:rsidRPr="004A1A02" w:rsidRDefault="00EF015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22.9%</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D0405B9" w14:textId="477C40BF" w:rsidR="00E42071" w:rsidRPr="004A1A02" w:rsidRDefault="00EF015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18.3%</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E5C7581" w14:textId="263116B3" w:rsidR="00E42071" w:rsidRPr="004A1A02" w:rsidRDefault="00EF015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23.1%</w:t>
            </w:r>
          </w:p>
        </w:tc>
      </w:tr>
      <w:tr w:rsidR="00E42071" w:rsidRPr="00F26259" w14:paraId="157BCA8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5133694E" w14:textId="622541EA" w:rsidR="00E42071" w:rsidRDefault="00DE58BD" w:rsidP="00E4207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9020" w:type="dxa"/>
            <w:tcBorders>
              <w:top w:val="single" w:sz="4" w:space="0" w:color="auto"/>
              <w:left w:val="nil"/>
              <w:bottom w:val="single" w:sz="4" w:space="0" w:color="auto"/>
              <w:right w:val="single" w:sz="4" w:space="0" w:color="auto"/>
            </w:tcBorders>
            <w:shd w:val="clear" w:color="auto" w:fill="auto"/>
          </w:tcPr>
          <w:p w14:paraId="3C5BBA44" w14:textId="282FE599" w:rsidR="00E42071" w:rsidRPr="00B03E9B" w:rsidRDefault="00E42071" w:rsidP="00E42071">
            <w:pPr>
              <w:spacing w:after="0"/>
              <w:rPr>
                <w:rFonts w:asciiTheme="minorHAnsi" w:eastAsia="Times New Roman" w:hAnsiTheme="minorHAnsi" w:cstheme="minorHAnsi"/>
                <w:sz w:val="20"/>
                <w:szCs w:val="20"/>
              </w:rPr>
            </w:pPr>
            <w:r w:rsidRPr="00B03E9B">
              <w:rPr>
                <w:rFonts w:cs="Calibri"/>
                <w:color w:val="000000"/>
                <w:sz w:val="20"/>
                <w:szCs w:val="20"/>
              </w:rPr>
              <w:t>Follow-up After Emergency Department Visit for Alcohol and Other Drug Abuse or Dependence – 7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6058FE2" w14:textId="1A05D6A9"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6D8806" w14:textId="1C69B580"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082D7E" w14:textId="1F3B4E39"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14.2%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3C5F00C" w14:textId="4D629C4D"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13.9%</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6B96DBD1" w14:textId="6FB99D22"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18.2%</w:t>
            </w:r>
          </w:p>
        </w:tc>
      </w:tr>
      <w:tr w:rsidR="00E42071" w:rsidRPr="00F26259" w14:paraId="21CFEB7C"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1DA5A42" w14:textId="7BFF4AAC" w:rsidR="00E42071" w:rsidRDefault="00DE58BD" w:rsidP="00E4207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9020" w:type="dxa"/>
            <w:tcBorders>
              <w:top w:val="single" w:sz="4" w:space="0" w:color="auto"/>
              <w:left w:val="nil"/>
              <w:bottom w:val="single" w:sz="4" w:space="0" w:color="auto"/>
              <w:right w:val="single" w:sz="4" w:space="0" w:color="auto"/>
            </w:tcBorders>
            <w:shd w:val="clear" w:color="auto" w:fill="auto"/>
          </w:tcPr>
          <w:p w14:paraId="50C5640D" w14:textId="0456BCCA" w:rsidR="00E42071" w:rsidRPr="00B03E9B" w:rsidRDefault="00E42071" w:rsidP="00E42071">
            <w:pPr>
              <w:spacing w:after="0"/>
              <w:rPr>
                <w:rFonts w:cs="Calibri"/>
                <w:color w:val="000000"/>
                <w:sz w:val="20"/>
                <w:szCs w:val="20"/>
              </w:rPr>
            </w:pPr>
            <w:r w:rsidRPr="00B03E9B">
              <w:rPr>
                <w:rFonts w:cs="Calibri"/>
                <w:color w:val="000000"/>
                <w:sz w:val="20"/>
                <w:szCs w:val="20"/>
              </w:rPr>
              <w:t>Follow-up After Emergency Department Visit for Alcohol and Other Drug Abuse or Dependence – 30 day</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F9C2AE7" w14:textId="4D896DA0" w:rsidR="00E42071" w:rsidRPr="004A1A02" w:rsidRDefault="00FD615E"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32.8%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26B423" w14:textId="2FCF0501" w:rsidR="00E42071" w:rsidRPr="004A1A02" w:rsidRDefault="00FD615E"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34.7%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D982DA" w14:textId="6A3166A8" w:rsidR="00E42071" w:rsidRPr="004A1A02" w:rsidRDefault="00FD615E"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33.1%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B7D9A64" w14:textId="0BE6C1FA" w:rsidR="00E42071" w:rsidRPr="004A1A02" w:rsidRDefault="00FD615E"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26.7%</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4C98ED2E" w14:textId="59F17238" w:rsidR="00E42071" w:rsidRPr="004A1A02" w:rsidRDefault="00FD615E"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33.1%</w:t>
            </w:r>
          </w:p>
        </w:tc>
      </w:tr>
      <w:tr w:rsidR="00E42071" w:rsidRPr="00F26259" w14:paraId="0E8B6BBC" w14:textId="77777777" w:rsidTr="00E74138">
        <w:trPr>
          <w:trHeight w:val="422"/>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06DC10F" w14:textId="0C44C0FE" w:rsidR="00E42071" w:rsidRDefault="00DE58BD" w:rsidP="00E42071">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FUA</w:t>
            </w:r>
          </w:p>
        </w:tc>
        <w:tc>
          <w:tcPr>
            <w:tcW w:w="9020" w:type="dxa"/>
            <w:tcBorders>
              <w:top w:val="single" w:sz="4" w:space="0" w:color="auto"/>
              <w:left w:val="nil"/>
              <w:bottom w:val="single" w:sz="4" w:space="0" w:color="auto"/>
              <w:right w:val="single" w:sz="4" w:space="0" w:color="auto"/>
            </w:tcBorders>
            <w:shd w:val="clear" w:color="auto" w:fill="auto"/>
          </w:tcPr>
          <w:p w14:paraId="3D9448CC" w14:textId="65AB3F15" w:rsidR="00E42071" w:rsidRPr="00B03E9B" w:rsidRDefault="00E42071" w:rsidP="00E42071">
            <w:pPr>
              <w:spacing w:after="0"/>
              <w:rPr>
                <w:rFonts w:cs="Calibri"/>
                <w:color w:val="000000"/>
                <w:sz w:val="20"/>
                <w:szCs w:val="20"/>
              </w:rPr>
            </w:pPr>
            <w:r w:rsidRPr="00B03E9B">
              <w:rPr>
                <w:rFonts w:cs="Calibri"/>
                <w:color w:val="000000"/>
                <w:sz w:val="20"/>
                <w:szCs w:val="20"/>
              </w:rPr>
              <w:t>Follow-up After Emergency Department Visit for Alcohol and Other Drug Abuse or Dependence – 30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CB986C2" w14:textId="7FA77879"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73B9B5" w14:textId="72F3DA0F"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A85110" w14:textId="3DE9CF85"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22.6%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23A937A" w14:textId="7121A7E4"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20.2%</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C387FCB" w14:textId="37DDBB20" w:rsidR="00E42071" w:rsidRPr="004A1A02" w:rsidRDefault="00EF015A" w:rsidP="00E42071">
            <w:pPr>
              <w:spacing w:after="0"/>
              <w:jc w:val="center"/>
              <w:rPr>
                <w:rFonts w:asciiTheme="minorHAnsi" w:hAnsiTheme="minorHAnsi" w:cstheme="minorHAnsi"/>
                <w:sz w:val="20"/>
                <w:szCs w:val="20"/>
              </w:rPr>
            </w:pPr>
            <w:r w:rsidRPr="004A1A02">
              <w:rPr>
                <w:rFonts w:asciiTheme="minorHAnsi" w:hAnsiTheme="minorHAnsi" w:cstheme="minorHAnsi"/>
                <w:sz w:val="20"/>
                <w:szCs w:val="20"/>
              </w:rPr>
              <w:t>25%</w:t>
            </w:r>
          </w:p>
        </w:tc>
      </w:tr>
      <w:tr w:rsidR="007F2D7A" w:rsidRPr="00F26259" w14:paraId="3737B600"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3DD0434" w14:textId="00F4E21F" w:rsidR="007F2D7A" w:rsidRDefault="007F2D7A" w:rsidP="007F2D7A">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9020" w:type="dxa"/>
            <w:tcBorders>
              <w:top w:val="single" w:sz="4" w:space="0" w:color="auto"/>
              <w:left w:val="nil"/>
              <w:bottom w:val="single" w:sz="4" w:space="0" w:color="auto"/>
              <w:right w:val="single" w:sz="4" w:space="0" w:color="auto"/>
            </w:tcBorders>
            <w:shd w:val="clear" w:color="auto" w:fill="auto"/>
          </w:tcPr>
          <w:p w14:paraId="50F6E40E" w14:textId="7C5712D7" w:rsidR="007F2D7A" w:rsidRPr="00B03E9B" w:rsidRDefault="007F2D7A" w:rsidP="007F2D7A">
            <w:pPr>
              <w:spacing w:after="0"/>
              <w:rPr>
                <w:rFonts w:cs="Calibri"/>
                <w:color w:val="000000"/>
                <w:sz w:val="20"/>
                <w:szCs w:val="20"/>
              </w:rPr>
            </w:pPr>
            <w:r w:rsidRPr="00B03E9B">
              <w:rPr>
                <w:rFonts w:cs="Calibri"/>
                <w:sz w:val="20"/>
                <w:szCs w:val="20"/>
              </w:rPr>
              <w:t xml:space="preserve">Follow-Up After Hospitalization for Mental Illness </w:t>
            </w:r>
            <w:r w:rsidR="00CE1886" w:rsidRPr="00B03E9B">
              <w:rPr>
                <w:rFonts w:cs="Calibri"/>
                <w:sz w:val="20"/>
                <w:szCs w:val="20"/>
              </w:rPr>
              <w:t>-</w:t>
            </w:r>
            <w:r w:rsidRPr="00B03E9B">
              <w:rPr>
                <w:rFonts w:cs="Calibri"/>
                <w:sz w:val="20"/>
                <w:szCs w:val="20"/>
              </w:rPr>
              <w:t>7 day</w:t>
            </w:r>
            <w:r w:rsidR="000A2F9E">
              <w:rPr>
                <w:rFonts w:cs="Calibri"/>
                <w:sz w:val="20"/>
                <w:szCs w:val="20"/>
              </w:rPr>
              <w:t>: 18-65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A97CA86" w14:textId="1F83CD6C" w:rsidR="007F2D7A" w:rsidRPr="004A1A02" w:rsidRDefault="007F2D7A" w:rsidP="007F2D7A">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46.7%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413D90" w14:textId="1E6C5DF6" w:rsidR="007F2D7A" w:rsidRPr="004A1A02" w:rsidRDefault="007F2D7A" w:rsidP="007F2D7A">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42.7%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E390B6" w14:textId="3E5D62E9" w:rsidR="007F2D7A" w:rsidRPr="004A1A02" w:rsidRDefault="007F2D7A" w:rsidP="007F2D7A">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45.8%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E334FF6" w14:textId="4CCDC84B" w:rsidR="007F2D7A" w:rsidRPr="004A1A02" w:rsidRDefault="00130873" w:rsidP="007F2D7A">
            <w:pPr>
              <w:spacing w:after="0"/>
              <w:jc w:val="center"/>
              <w:rPr>
                <w:rFonts w:asciiTheme="minorHAnsi" w:hAnsiTheme="minorHAnsi" w:cstheme="minorHAnsi"/>
                <w:sz w:val="20"/>
                <w:szCs w:val="20"/>
              </w:rPr>
            </w:pPr>
            <w:r w:rsidRPr="004A1A02">
              <w:rPr>
                <w:rFonts w:asciiTheme="minorHAnsi" w:hAnsiTheme="minorHAnsi" w:cstheme="minorHAnsi"/>
                <w:sz w:val="20"/>
                <w:szCs w:val="20"/>
              </w:rPr>
              <w:t>43.8%</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418F72E6" w14:textId="1BFEDCE9" w:rsidR="007F2D7A" w:rsidRPr="004A1A02" w:rsidRDefault="00130873" w:rsidP="007F2D7A">
            <w:pPr>
              <w:spacing w:after="0"/>
              <w:jc w:val="center"/>
              <w:rPr>
                <w:rFonts w:asciiTheme="minorHAnsi" w:hAnsiTheme="minorHAnsi" w:cstheme="minorHAnsi"/>
                <w:sz w:val="20"/>
                <w:szCs w:val="20"/>
              </w:rPr>
            </w:pPr>
            <w:r w:rsidRPr="004A1A02">
              <w:rPr>
                <w:rFonts w:asciiTheme="minorHAnsi" w:hAnsiTheme="minorHAnsi" w:cstheme="minorHAnsi"/>
                <w:sz w:val="20"/>
                <w:szCs w:val="20"/>
              </w:rPr>
              <w:t>53.7%</w:t>
            </w:r>
          </w:p>
        </w:tc>
      </w:tr>
      <w:tr w:rsidR="00CE1886" w:rsidRPr="00F26259" w14:paraId="4A0C0C12"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D9D3825" w14:textId="6436455A" w:rsidR="00CE1886" w:rsidRDefault="00DE58BD"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9020" w:type="dxa"/>
            <w:tcBorders>
              <w:top w:val="single" w:sz="4" w:space="0" w:color="auto"/>
              <w:left w:val="nil"/>
              <w:bottom w:val="single" w:sz="4" w:space="0" w:color="auto"/>
              <w:right w:val="single" w:sz="4" w:space="0" w:color="auto"/>
            </w:tcBorders>
            <w:shd w:val="clear" w:color="auto" w:fill="auto"/>
          </w:tcPr>
          <w:p w14:paraId="137FDEB4" w14:textId="4328071C" w:rsidR="00CE1886" w:rsidRPr="00B03E9B" w:rsidRDefault="00CE1886" w:rsidP="00CE1886">
            <w:pPr>
              <w:spacing w:after="0"/>
              <w:rPr>
                <w:rFonts w:cs="Calibri"/>
                <w:color w:val="000000"/>
                <w:sz w:val="20"/>
                <w:szCs w:val="20"/>
              </w:rPr>
            </w:pPr>
            <w:r w:rsidRPr="00B03E9B">
              <w:rPr>
                <w:rFonts w:cs="Calibri"/>
                <w:sz w:val="20"/>
                <w:szCs w:val="20"/>
              </w:rPr>
              <w:t>Follow-Up After Hospitalization for Mental Illness -7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B8F4B3A" w14:textId="41C49303"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36.7%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45AD83" w14:textId="594B21B5"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1E5255" w14:textId="2C509CE2"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33.2%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D495542" w14:textId="285DAF5A"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36.3%</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5158784D" w14:textId="62044727"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50.0%</w:t>
            </w:r>
          </w:p>
        </w:tc>
      </w:tr>
      <w:tr w:rsidR="00CE1886" w:rsidRPr="00F26259" w14:paraId="45EC06CF"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E1A6C5D" w14:textId="548408A1" w:rsidR="00CE1886" w:rsidRDefault="00DE58BD"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9020" w:type="dxa"/>
            <w:tcBorders>
              <w:top w:val="single" w:sz="4" w:space="0" w:color="auto"/>
              <w:left w:val="nil"/>
              <w:bottom w:val="single" w:sz="4" w:space="0" w:color="auto"/>
              <w:right w:val="single" w:sz="4" w:space="0" w:color="auto"/>
            </w:tcBorders>
            <w:shd w:val="clear" w:color="auto" w:fill="auto"/>
          </w:tcPr>
          <w:p w14:paraId="56BC1C67" w14:textId="7B7C8BB7" w:rsidR="00CE1886" w:rsidRPr="00B03E9B" w:rsidRDefault="00CE1886" w:rsidP="00CE1886">
            <w:pPr>
              <w:spacing w:after="0"/>
              <w:rPr>
                <w:rFonts w:cs="Calibri"/>
                <w:color w:val="000000"/>
                <w:sz w:val="20"/>
                <w:szCs w:val="20"/>
              </w:rPr>
            </w:pPr>
            <w:r w:rsidRPr="00B03E9B">
              <w:rPr>
                <w:rFonts w:cs="Calibri"/>
                <w:sz w:val="20"/>
                <w:szCs w:val="20"/>
              </w:rPr>
              <w:t>Follow-Up After Hospitalization for Mental Illness - 30 day</w:t>
            </w:r>
            <w:r w:rsidR="000A2F9E">
              <w:rPr>
                <w:rFonts w:cs="Calibri"/>
                <w:sz w:val="20"/>
                <w:szCs w:val="20"/>
              </w:rPr>
              <w:t>: 18-65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99A758F" w14:textId="5AEE967C" w:rsidR="00CE1886" w:rsidRPr="004A1A02" w:rsidRDefault="00CE1886" w:rsidP="00CE1886">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69.1%</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9CB623" w14:textId="0E0FEA57" w:rsidR="00CE1886" w:rsidRPr="004A1A02" w:rsidRDefault="00CE1886" w:rsidP="00CE1886">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65.5%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03FF41" w14:textId="1A0C8E08"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66.7%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C6456B2" w14:textId="7886972A"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63.4%</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305EF50F" w14:textId="29662CBB"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70.4%</w:t>
            </w:r>
          </w:p>
        </w:tc>
      </w:tr>
      <w:tr w:rsidR="00CE1886" w:rsidRPr="00F26259" w14:paraId="342E244C"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7DE7539" w14:textId="707FFEF0" w:rsidR="00CE1886" w:rsidRDefault="00DE58BD" w:rsidP="00CE1886">
            <w:pPr>
              <w:spacing w:after="0"/>
              <w:jc w:val="center"/>
              <w:rPr>
                <w:rFonts w:cs="Calibri"/>
                <w:color w:val="000000"/>
                <w:sz w:val="20"/>
                <w:szCs w:val="20"/>
              </w:rPr>
            </w:pPr>
            <w:r>
              <w:rPr>
                <w:rFonts w:cs="Calibri"/>
                <w:color w:val="000000"/>
                <w:sz w:val="20"/>
                <w:szCs w:val="20"/>
              </w:rPr>
              <w:lastRenderedPageBreak/>
              <w:t>FUH</w:t>
            </w:r>
          </w:p>
        </w:tc>
        <w:tc>
          <w:tcPr>
            <w:tcW w:w="9020" w:type="dxa"/>
            <w:tcBorders>
              <w:top w:val="single" w:sz="4" w:space="0" w:color="auto"/>
              <w:left w:val="nil"/>
              <w:bottom w:val="single" w:sz="4" w:space="0" w:color="auto"/>
              <w:right w:val="single" w:sz="4" w:space="0" w:color="auto"/>
            </w:tcBorders>
            <w:shd w:val="clear" w:color="auto" w:fill="auto"/>
          </w:tcPr>
          <w:p w14:paraId="1C43DE95" w14:textId="796E1672" w:rsidR="00CE1886" w:rsidRPr="00B03E9B" w:rsidRDefault="00CE1886" w:rsidP="00CE1886">
            <w:pPr>
              <w:spacing w:after="0"/>
              <w:rPr>
                <w:rFonts w:cs="Calibri"/>
                <w:sz w:val="20"/>
                <w:szCs w:val="20"/>
              </w:rPr>
            </w:pPr>
            <w:r w:rsidRPr="00B03E9B">
              <w:rPr>
                <w:rFonts w:cs="Calibri"/>
                <w:sz w:val="20"/>
                <w:szCs w:val="20"/>
              </w:rPr>
              <w:t>Follow-Up After Hospitalization for Mental Illness - 30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2BEA98E" w14:textId="21B9BBFF" w:rsidR="00CE1886" w:rsidRPr="004A1A02" w:rsidRDefault="00130873" w:rsidP="00CE1886">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65.1%</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7BABF8" w14:textId="1E9C217B" w:rsidR="00CE1886" w:rsidRPr="004A1A02" w:rsidRDefault="00130873" w:rsidP="00CE1886">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80F479" w14:textId="184AEEC9"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61.0%</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42FCCAE" w14:textId="6A1697A0"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58.6%</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8CBF977" w14:textId="4A7474A3" w:rsidR="00CE1886" w:rsidRPr="004A1A02" w:rsidRDefault="0013087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69.7%</w:t>
            </w:r>
          </w:p>
        </w:tc>
      </w:tr>
      <w:tr w:rsidR="00CE1886" w:rsidRPr="00F26259" w14:paraId="14612795"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C62A9CD" w14:textId="17E7B52E" w:rsidR="00CE1886" w:rsidRDefault="00CE1886"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9020" w:type="dxa"/>
            <w:tcBorders>
              <w:top w:val="single" w:sz="4" w:space="0" w:color="auto"/>
              <w:left w:val="nil"/>
              <w:bottom w:val="single" w:sz="4" w:space="0" w:color="auto"/>
              <w:right w:val="single" w:sz="4" w:space="0" w:color="auto"/>
            </w:tcBorders>
            <w:shd w:val="clear" w:color="auto" w:fill="auto"/>
          </w:tcPr>
          <w:p w14:paraId="70192670" w14:textId="4D2CA588" w:rsidR="00CE1886" w:rsidRPr="001447FD" w:rsidRDefault="00CE1886" w:rsidP="00CE1886">
            <w:pPr>
              <w:spacing w:after="0"/>
              <w:rPr>
                <w:rFonts w:cs="Calibri"/>
                <w:color w:val="000000"/>
                <w:sz w:val="20"/>
                <w:szCs w:val="20"/>
              </w:rPr>
            </w:pPr>
            <w:r w:rsidRPr="001447FD">
              <w:rPr>
                <w:rFonts w:cs="Calibri"/>
                <w:sz w:val="20"/>
                <w:szCs w:val="20"/>
              </w:rPr>
              <w:t xml:space="preserve">Follow-Up After Emergency Department Visit for Mental Illness </w:t>
            </w:r>
            <w:r w:rsidR="00AD04F9" w:rsidRPr="001447FD">
              <w:rPr>
                <w:rFonts w:cs="Calibri"/>
                <w:sz w:val="20"/>
                <w:szCs w:val="20"/>
              </w:rPr>
              <w:t>–</w:t>
            </w:r>
            <w:r w:rsidRPr="001447FD">
              <w:rPr>
                <w:rFonts w:cs="Calibri"/>
                <w:sz w:val="20"/>
                <w:szCs w:val="20"/>
              </w:rPr>
              <w:t xml:space="preserve"> 7 day</w:t>
            </w:r>
            <w:r w:rsidR="000A2F9E" w:rsidRPr="001447FD">
              <w:rPr>
                <w:rFonts w:cs="Calibri"/>
                <w:sz w:val="20"/>
                <w:szCs w:val="20"/>
              </w:rPr>
              <w:t>: 18-65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FE49864" w14:textId="10A72E53" w:rsidR="00331F97" w:rsidRPr="004A1A02" w:rsidRDefault="00331F97" w:rsidP="002C0152">
            <w:pPr>
              <w:spacing w:after="0"/>
              <w:jc w:val="center"/>
              <w:rPr>
                <w:rFonts w:asciiTheme="minorHAnsi" w:hAnsiTheme="minorHAnsi" w:cstheme="minorHAnsi"/>
                <w:color w:val="FF0000"/>
                <w:sz w:val="20"/>
                <w:szCs w:val="20"/>
              </w:rPr>
            </w:pPr>
            <w:r w:rsidRPr="004A1A02">
              <w:rPr>
                <w:rFonts w:asciiTheme="minorHAnsi" w:hAnsiTheme="minorHAnsi" w:cstheme="minorHAnsi"/>
                <w:sz w:val="20"/>
                <w:szCs w:val="20"/>
              </w:rPr>
              <w:t xml:space="preserve">73.0% </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B6F7FD" w14:textId="3B08DE12" w:rsidR="00CE1886" w:rsidRPr="004A1A02" w:rsidRDefault="00CE1886" w:rsidP="00CE1886">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72.8%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547F93" w14:textId="55BF489D" w:rsidR="008C4A04" w:rsidRPr="004A1A02" w:rsidRDefault="008C4A04" w:rsidP="00071D5C">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73.5%</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9AEFBFF" w14:textId="12F49BDB"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49.5%</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49065E6C" w14:textId="725619A4"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61.4%</w:t>
            </w:r>
          </w:p>
        </w:tc>
      </w:tr>
      <w:tr w:rsidR="00CE1886" w:rsidRPr="00F26259" w14:paraId="44C6CCF1"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D449C76" w14:textId="45F5D569" w:rsidR="00CE1886" w:rsidRDefault="00DE58BD"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9020" w:type="dxa"/>
            <w:tcBorders>
              <w:top w:val="single" w:sz="4" w:space="0" w:color="auto"/>
              <w:left w:val="nil"/>
              <w:bottom w:val="single" w:sz="4" w:space="0" w:color="auto"/>
              <w:right w:val="single" w:sz="4" w:space="0" w:color="auto"/>
            </w:tcBorders>
            <w:shd w:val="clear" w:color="auto" w:fill="auto"/>
          </w:tcPr>
          <w:p w14:paraId="1C331517" w14:textId="7558D512" w:rsidR="00CE1886" w:rsidRPr="00B03E9B" w:rsidRDefault="00CE1886" w:rsidP="00CE1886">
            <w:pPr>
              <w:spacing w:after="0"/>
              <w:rPr>
                <w:rFonts w:cs="Calibri"/>
                <w:color w:val="000000"/>
                <w:sz w:val="20"/>
                <w:szCs w:val="20"/>
              </w:rPr>
            </w:pPr>
            <w:r w:rsidRPr="00B03E9B">
              <w:rPr>
                <w:rFonts w:cs="Calibri"/>
                <w:sz w:val="20"/>
                <w:szCs w:val="20"/>
              </w:rPr>
              <w:t>Follow-Up After Emergency Department Visit for Mental Illness - 7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EBCCC00" w14:textId="774E8079"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EB0220" w14:textId="320199B7"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BD75A4" w14:textId="7D86B519"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63.8%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C57039F" w14:textId="0F413DD0"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36.8%</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7132CBF1" w14:textId="029910FE"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51.4%</w:t>
            </w:r>
          </w:p>
        </w:tc>
      </w:tr>
      <w:tr w:rsidR="00CE1886" w:rsidRPr="00F26259" w14:paraId="6D7B80AE" w14:textId="77777777" w:rsidTr="00E74138">
        <w:trPr>
          <w:trHeight w:val="449"/>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15256FE5" w14:textId="58B24DE8" w:rsidR="00CE1886" w:rsidRPr="00F26259" w:rsidRDefault="00DE58BD"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9020" w:type="dxa"/>
            <w:tcBorders>
              <w:top w:val="nil"/>
              <w:left w:val="nil"/>
              <w:bottom w:val="single" w:sz="4" w:space="0" w:color="auto"/>
              <w:right w:val="single" w:sz="4" w:space="0" w:color="auto"/>
            </w:tcBorders>
            <w:shd w:val="clear" w:color="auto" w:fill="auto"/>
          </w:tcPr>
          <w:p w14:paraId="58425412" w14:textId="44D72474" w:rsidR="00CE1886" w:rsidRPr="001447FD" w:rsidRDefault="00CE1886" w:rsidP="00CE1886">
            <w:pPr>
              <w:spacing w:after="0"/>
              <w:rPr>
                <w:rFonts w:asciiTheme="minorHAnsi" w:eastAsia="Times New Roman" w:hAnsiTheme="minorHAnsi" w:cstheme="minorHAnsi"/>
                <w:sz w:val="20"/>
                <w:szCs w:val="20"/>
              </w:rPr>
            </w:pPr>
            <w:r w:rsidRPr="001447FD">
              <w:rPr>
                <w:rFonts w:cs="Calibri"/>
                <w:sz w:val="20"/>
                <w:szCs w:val="20"/>
              </w:rPr>
              <w:t>Follow-Up After Emergency Department Visit for Mental Illness - 30 day</w:t>
            </w:r>
            <w:r w:rsidR="000A2F9E" w:rsidRPr="001447FD">
              <w:rPr>
                <w:rFonts w:cs="Calibri"/>
                <w:sz w:val="20"/>
                <w:szCs w:val="20"/>
              </w:rPr>
              <w:t>: 18-65</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03A01301" w14:textId="40A76EBC" w:rsidR="00331F97" w:rsidRPr="004A1A02" w:rsidRDefault="00331F97" w:rsidP="00CE1886">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80.2%</w:t>
            </w:r>
          </w:p>
        </w:tc>
        <w:tc>
          <w:tcPr>
            <w:tcW w:w="1440" w:type="dxa"/>
            <w:tcBorders>
              <w:top w:val="nil"/>
              <w:left w:val="nil"/>
              <w:bottom w:val="single" w:sz="4" w:space="0" w:color="auto"/>
              <w:right w:val="single" w:sz="4" w:space="0" w:color="auto"/>
            </w:tcBorders>
            <w:shd w:val="clear" w:color="auto" w:fill="F2F2F2" w:themeFill="background1" w:themeFillShade="F2"/>
            <w:noWrap/>
            <w:vAlign w:val="center"/>
          </w:tcPr>
          <w:p w14:paraId="2F05C663" w14:textId="77777777" w:rsidR="00CE1886" w:rsidRPr="004A1A02" w:rsidRDefault="00CE1886" w:rsidP="00CE1886">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80.0%</w:t>
            </w:r>
          </w:p>
        </w:tc>
        <w:tc>
          <w:tcPr>
            <w:tcW w:w="144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B988036" w14:textId="32244C1E" w:rsidR="000A2F9E" w:rsidRPr="004A1A02" w:rsidRDefault="000A2F9E" w:rsidP="00CE1886">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80.5%</w:t>
            </w:r>
          </w:p>
        </w:tc>
        <w:tc>
          <w:tcPr>
            <w:tcW w:w="1350" w:type="dxa"/>
            <w:tcBorders>
              <w:top w:val="nil"/>
              <w:left w:val="nil"/>
              <w:bottom w:val="single" w:sz="4" w:space="0" w:color="000000"/>
              <w:right w:val="single" w:sz="4" w:space="0" w:color="000000"/>
            </w:tcBorders>
            <w:shd w:val="clear" w:color="auto" w:fill="auto"/>
            <w:noWrap/>
            <w:vAlign w:val="center"/>
          </w:tcPr>
          <w:p w14:paraId="747B4C97" w14:textId="508A7FD0" w:rsidR="00CE1886" w:rsidRPr="004A1A02" w:rsidRDefault="00CE1886" w:rsidP="00CE1886">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64.6%</w:t>
            </w:r>
          </w:p>
        </w:tc>
        <w:tc>
          <w:tcPr>
            <w:tcW w:w="1260" w:type="dxa"/>
            <w:tcBorders>
              <w:top w:val="nil"/>
              <w:left w:val="nil"/>
              <w:bottom w:val="single" w:sz="4" w:space="0" w:color="000000"/>
              <w:right w:val="single" w:sz="4" w:space="0" w:color="000000"/>
            </w:tcBorders>
            <w:shd w:val="clear" w:color="auto" w:fill="auto"/>
            <w:noWrap/>
            <w:vAlign w:val="center"/>
          </w:tcPr>
          <w:p w14:paraId="393626CE" w14:textId="52CB9D95" w:rsidR="00CE1886" w:rsidRPr="004A1A02" w:rsidRDefault="00CE1886" w:rsidP="00CE1886">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73.</w:t>
            </w:r>
            <w:r w:rsidR="00952565" w:rsidRPr="004A1A02">
              <w:rPr>
                <w:rFonts w:asciiTheme="minorHAnsi" w:hAnsiTheme="minorHAnsi" w:cstheme="minorHAnsi"/>
                <w:sz w:val="20"/>
                <w:szCs w:val="20"/>
              </w:rPr>
              <w:t>6</w:t>
            </w:r>
            <w:r w:rsidRPr="004A1A02">
              <w:rPr>
                <w:rFonts w:asciiTheme="minorHAnsi" w:hAnsiTheme="minorHAnsi" w:cstheme="minorHAnsi"/>
                <w:sz w:val="20"/>
                <w:szCs w:val="20"/>
              </w:rPr>
              <w:t>%</w:t>
            </w:r>
          </w:p>
        </w:tc>
      </w:tr>
      <w:tr w:rsidR="00CE1886" w:rsidRPr="00F26259" w14:paraId="50193576"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02EBCA35" w14:textId="35146ED3" w:rsidR="00CE1886" w:rsidRDefault="00DE58BD"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FUM</w:t>
            </w:r>
          </w:p>
        </w:tc>
        <w:tc>
          <w:tcPr>
            <w:tcW w:w="9020" w:type="dxa"/>
            <w:tcBorders>
              <w:top w:val="single" w:sz="4" w:space="0" w:color="auto"/>
              <w:left w:val="nil"/>
              <w:bottom w:val="single" w:sz="4" w:space="0" w:color="auto"/>
              <w:right w:val="single" w:sz="4" w:space="0" w:color="auto"/>
            </w:tcBorders>
            <w:shd w:val="clear" w:color="auto" w:fill="auto"/>
          </w:tcPr>
          <w:p w14:paraId="2AB90DD9" w14:textId="673AD27D" w:rsidR="00CE1886" w:rsidRPr="001447FD" w:rsidRDefault="00CE1886" w:rsidP="00CE1886">
            <w:pPr>
              <w:spacing w:after="0"/>
              <w:rPr>
                <w:rFonts w:cs="Calibri"/>
                <w:color w:val="000000"/>
                <w:sz w:val="20"/>
                <w:szCs w:val="20"/>
              </w:rPr>
            </w:pPr>
            <w:r w:rsidRPr="001447FD">
              <w:rPr>
                <w:rFonts w:cs="Calibri"/>
                <w:sz w:val="20"/>
                <w:szCs w:val="20"/>
              </w:rPr>
              <w:t>Follow-Up After Emergency Department Visit for Mental Illness - 30 day: Over 65</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8551953" w14:textId="07E7F1E9"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B94751" w14:textId="4C6E1D5A"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F1B0D0" w14:textId="5E8B40C5"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72.4%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418F2DA" w14:textId="172FC1BF"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50.8%</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C29867D" w14:textId="52932F1F" w:rsidR="00CE1886" w:rsidRPr="004A1A02" w:rsidRDefault="00952565"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62.3%</w:t>
            </w:r>
          </w:p>
        </w:tc>
      </w:tr>
      <w:tr w:rsidR="00CE1886" w:rsidRPr="00F26259" w14:paraId="5846F0C6"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4E01828F" w14:textId="22874420" w:rsidR="00CE1886" w:rsidRDefault="00CE1886" w:rsidP="00CE188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FVA</w:t>
            </w:r>
          </w:p>
        </w:tc>
        <w:tc>
          <w:tcPr>
            <w:tcW w:w="9020" w:type="dxa"/>
            <w:tcBorders>
              <w:top w:val="single" w:sz="4" w:space="0" w:color="auto"/>
              <w:left w:val="nil"/>
              <w:bottom w:val="single" w:sz="4" w:space="0" w:color="auto"/>
              <w:right w:val="single" w:sz="4" w:space="0" w:color="auto"/>
            </w:tcBorders>
            <w:shd w:val="clear" w:color="auto" w:fill="auto"/>
          </w:tcPr>
          <w:p w14:paraId="2AFA8F47" w14:textId="493D460F" w:rsidR="00CE1886" w:rsidRPr="00B03E9B" w:rsidRDefault="00A818E5" w:rsidP="00A818E5">
            <w:pPr>
              <w:rPr>
                <w:rFonts w:eastAsia="Times New Roman" w:cs="Calibri"/>
                <w:color w:val="000000"/>
                <w:sz w:val="20"/>
                <w:szCs w:val="20"/>
              </w:rPr>
            </w:pPr>
            <w:r w:rsidRPr="00B03E9B">
              <w:rPr>
                <w:rFonts w:cs="Calibri"/>
                <w:color w:val="000000"/>
                <w:sz w:val="20"/>
                <w:szCs w:val="20"/>
              </w:rPr>
              <w:t xml:space="preserve">Flu Vaccinations for Adults Ages 18-64 </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9575CC6" w14:textId="5D9F8C8B" w:rsidR="00CE1886" w:rsidRPr="004A1A02" w:rsidRDefault="00FF4A1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46.9%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8F0ACB" w14:textId="6E71C138" w:rsidR="00CE1886" w:rsidRPr="004A1A02" w:rsidRDefault="00FF4A1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48.1%</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9DF90C" w14:textId="17DEA119" w:rsidR="00CE1886" w:rsidRPr="004A1A02" w:rsidRDefault="00FF4A1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46.6%</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67F908" w14:textId="71022625" w:rsidR="00CE1886" w:rsidRPr="004A1A02" w:rsidRDefault="00FF4A1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44.3%</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07C9802D" w14:textId="4A0D0172" w:rsidR="00CE1886" w:rsidRPr="004A1A02" w:rsidRDefault="00FF4A13"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50.6%</w:t>
            </w:r>
          </w:p>
        </w:tc>
      </w:tr>
      <w:tr w:rsidR="00CE1886" w:rsidRPr="00F26259" w14:paraId="4F30F9B5"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74E6D8E0" w14:textId="36870229" w:rsidR="00CE1886" w:rsidRDefault="00CE1886" w:rsidP="00CE1886">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MSC</w:t>
            </w:r>
          </w:p>
        </w:tc>
        <w:tc>
          <w:tcPr>
            <w:tcW w:w="9020" w:type="dxa"/>
            <w:tcBorders>
              <w:top w:val="single" w:sz="4" w:space="0" w:color="auto"/>
              <w:left w:val="nil"/>
              <w:bottom w:val="single" w:sz="4" w:space="0" w:color="auto"/>
              <w:right w:val="single" w:sz="4" w:space="0" w:color="auto"/>
            </w:tcBorders>
            <w:shd w:val="clear" w:color="auto" w:fill="auto"/>
          </w:tcPr>
          <w:p w14:paraId="571B0A8D" w14:textId="6E78B74B" w:rsidR="00CE1886" w:rsidRPr="00B03E9B" w:rsidRDefault="0093400A" w:rsidP="0093400A">
            <w:pPr>
              <w:rPr>
                <w:rFonts w:eastAsia="Times New Roman" w:cs="Calibri"/>
                <w:color w:val="000000"/>
                <w:sz w:val="20"/>
                <w:szCs w:val="20"/>
              </w:rPr>
            </w:pPr>
            <w:r w:rsidRPr="00B03E9B">
              <w:rPr>
                <w:rFonts w:cs="Calibri"/>
                <w:color w:val="000000"/>
                <w:sz w:val="20"/>
                <w:szCs w:val="20"/>
              </w:rPr>
              <w:t>Medical Assistance with Smoking and Tobacco Use Cessation - Advising Smokers to Quit</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370A2C2" w14:textId="63D9D8D9" w:rsidR="00CE1886" w:rsidRPr="004A1A02" w:rsidRDefault="0093400A"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77.6%</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20B6A8" w14:textId="26D6D611" w:rsidR="00CE1886" w:rsidRPr="004A1A02" w:rsidRDefault="0093400A"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80.1%</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C1E21" w14:textId="655DDA55" w:rsidR="00CE1886" w:rsidRPr="004A1A02" w:rsidRDefault="0093400A"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80.3%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0EC9C52" w14:textId="3A41455E" w:rsidR="00CE1886" w:rsidRPr="004A1A02" w:rsidRDefault="0093400A"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79.3%</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035E8CE" w14:textId="1FA2F02F" w:rsidR="00CE1886" w:rsidRPr="004A1A02" w:rsidRDefault="0093400A" w:rsidP="00CE1886">
            <w:pPr>
              <w:spacing w:after="0"/>
              <w:jc w:val="center"/>
              <w:rPr>
                <w:rFonts w:asciiTheme="minorHAnsi" w:hAnsiTheme="minorHAnsi" w:cstheme="minorHAnsi"/>
                <w:sz w:val="20"/>
                <w:szCs w:val="20"/>
              </w:rPr>
            </w:pPr>
            <w:r w:rsidRPr="004A1A02">
              <w:rPr>
                <w:rFonts w:asciiTheme="minorHAnsi" w:hAnsiTheme="minorHAnsi" w:cstheme="minorHAnsi"/>
                <w:sz w:val="20"/>
                <w:szCs w:val="20"/>
              </w:rPr>
              <w:t>82.1%</w:t>
            </w:r>
          </w:p>
        </w:tc>
      </w:tr>
      <w:tr w:rsidR="00CE1886" w:rsidRPr="00F26259" w14:paraId="30E1505C" w14:textId="77777777" w:rsidTr="00E74138">
        <w:trPr>
          <w:trHeight w:val="476"/>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3881D889" w14:textId="7FA5C76D" w:rsidR="00CE1886" w:rsidRPr="00F26259" w:rsidRDefault="00CE1886" w:rsidP="00CE1886">
            <w:pPr>
              <w:spacing w:after="0"/>
              <w:jc w:val="center"/>
              <w:rPr>
                <w:rFonts w:asciiTheme="minorHAnsi" w:eastAsia="Times New Roman" w:hAnsiTheme="minorHAnsi" w:cstheme="minorHAnsi"/>
                <w:color w:val="000000"/>
                <w:sz w:val="20"/>
                <w:szCs w:val="20"/>
              </w:rPr>
            </w:pPr>
            <w:r>
              <w:rPr>
                <w:rFonts w:cs="Calibri"/>
                <w:color w:val="000000"/>
                <w:sz w:val="20"/>
                <w:szCs w:val="20"/>
              </w:rPr>
              <w:t>IET</w:t>
            </w:r>
          </w:p>
        </w:tc>
        <w:tc>
          <w:tcPr>
            <w:tcW w:w="9020" w:type="dxa"/>
            <w:tcBorders>
              <w:top w:val="nil"/>
              <w:left w:val="nil"/>
              <w:bottom w:val="single" w:sz="4" w:space="0" w:color="auto"/>
              <w:right w:val="single" w:sz="4" w:space="0" w:color="auto"/>
            </w:tcBorders>
            <w:shd w:val="clear" w:color="auto" w:fill="auto"/>
          </w:tcPr>
          <w:p w14:paraId="685CDD6E" w14:textId="7C0CE3DE" w:rsidR="00CE1886" w:rsidRPr="00B03E9B" w:rsidRDefault="00CE1886" w:rsidP="00CE1886">
            <w:pPr>
              <w:spacing w:after="0"/>
              <w:rPr>
                <w:rFonts w:asciiTheme="minorHAnsi" w:eastAsia="Times New Roman" w:hAnsiTheme="minorHAnsi" w:cstheme="minorHAnsi"/>
                <w:sz w:val="20"/>
                <w:szCs w:val="20"/>
              </w:rPr>
            </w:pPr>
            <w:r w:rsidRPr="001D2192">
              <w:rPr>
                <w:rFonts w:cs="Calibri"/>
                <w:sz w:val="20"/>
                <w:szCs w:val="20"/>
              </w:rPr>
              <w:t>Initiation and Engagement of Alcohol, Opioid, or Other Drug Abuse or Dependence Treatment </w:t>
            </w:r>
            <w:r w:rsidR="00952565" w:rsidRPr="001D2192">
              <w:rPr>
                <w:rFonts w:cs="Calibri"/>
                <w:sz w:val="20"/>
                <w:szCs w:val="20"/>
              </w:rPr>
              <w:t>-</w:t>
            </w:r>
            <w:r w:rsidRPr="001D2192">
              <w:rPr>
                <w:rFonts w:cs="Calibri"/>
                <w:sz w:val="20"/>
                <w:szCs w:val="20"/>
              </w:rPr>
              <w:t>Initiation</w:t>
            </w:r>
            <w:r w:rsidR="00331F97" w:rsidRPr="001D2192">
              <w:rPr>
                <w:rFonts w:cs="Calibri"/>
                <w:sz w:val="20"/>
                <w:szCs w:val="20"/>
              </w:rPr>
              <w:t xml:space="preserve"> (18-6</w:t>
            </w:r>
            <w:r w:rsidR="000A2F9E" w:rsidRPr="001D2192">
              <w:rPr>
                <w:rFonts w:cs="Calibri"/>
                <w:sz w:val="20"/>
                <w:szCs w:val="20"/>
              </w:rPr>
              <w:t>4</w:t>
            </w:r>
            <w:r w:rsidR="00331F97" w:rsidRPr="001D2192">
              <w:rPr>
                <w:rFonts w:cs="Calibri"/>
                <w:sz w:val="20"/>
                <w:szCs w:val="20"/>
              </w:rPr>
              <w:t>)</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4DA7A0BF" w14:textId="1CCB3DAD" w:rsidR="00B362E5" w:rsidRPr="004A1A02" w:rsidRDefault="00B362E5" w:rsidP="00CE1886">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47.2%</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2CEACC8" w14:textId="77777777" w:rsidR="00CE1886" w:rsidRPr="004A1A02" w:rsidRDefault="00CE1886" w:rsidP="00CE1886">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48.7%</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DC755FD" w14:textId="460FBA0B" w:rsidR="000A2F9E" w:rsidRPr="004A1A02" w:rsidRDefault="000A2F9E" w:rsidP="00CE1886">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48.1%</w:t>
            </w:r>
          </w:p>
        </w:tc>
        <w:tc>
          <w:tcPr>
            <w:tcW w:w="1350" w:type="dxa"/>
            <w:tcBorders>
              <w:top w:val="nil"/>
              <w:left w:val="nil"/>
              <w:bottom w:val="single" w:sz="4" w:space="0" w:color="000000"/>
              <w:right w:val="single" w:sz="4" w:space="0" w:color="000000"/>
            </w:tcBorders>
            <w:shd w:val="clear" w:color="auto" w:fill="auto"/>
            <w:noWrap/>
            <w:vAlign w:val="center"/>
          </w:tcPr>
          <w:p w14:paraId="233AA2E1" w14:textId="5FB339E9" w:rsidR="00FE628F" w:rsidRPr="004A1A02" w:rsidRDefault="00FE628F" w:rsidP="00CE1886">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color w:val="000000"/>
                <w:sz w:val="20"/>
                <w:szCs w:val="20"/>
              </w:rPr>
              <w:t>49.0%</w:t>
            </w:r>
          </w:p>
        </w:tc>
        <w:tc>
          <w:tcPr>
            <w:tcW w:w="1260" w:type="dxa"/>
            <w:tcBorders>
              <w:top w:val="nil"/>
              <w:left w:val="nil"/>
              <w:bottom w:val="single" w:sz="4" w:space="0" w:color="000000"/>
              <w:right w:val="single" w:sz="4" w:space="0" w:color="000000"/>
            </w:tcBorders>
            <w:shd w:val="clear" w:color="auto" w:fill="auto"/>
            <w:noWrap/>
            <w:vAlign w:val="center"/>
          </w:tcPr>
          <w:p w14:paraId="1B874EA8" w14:textId="1661886E" w:rsidR="00FE628F" w:rsidRPr="004A1A02" w:rsidRDefault="00FE628F" w:rsidP="00CE1886">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54.2%</w:t>
            </w:r>
          </w:p>
        </w:tc>
      </w:tr>
      <w:tr w:rsidR="00C069A7" w:rsidRPr="00F26259" w14:paraId="6CEF1E42"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9CC840E" w14:textId="16DAF532" w:rsidR="00C069A7" w:rsidRDefault="00DE58BD" w:rsidP="00C069A7">
            <w:pPr>
              <w:spacing w:after="0"/>
              <w:jc w:val="center"/>
              <w:rPr>
                <w:rFonts w:asciiTheme="minorHAnsi" w:eastAsia="Times New Roman" w:hAnsiTheme="minorHAnsi" w:cstheme="minorHAnsi"/>
                <w:color w:val="000000"/>
                <w:sz w:val="20"/>
                <w:szCs w:val="20"/>
              </w:rPr>
            </w:pPr>
            <w:r>
              <w:rPr>
                <w:rFonts w:cs="Calibri"/>
                <w:color w:val="000000"/>
                <w:sz w:val="20"/>
                <w:szCs w:val="20"/>
              </w:rPr>
              <w:t>IET</w:t>
            </w:r>
          </w:p>
        </w:tc>
        <w:tc>
          <w:tcPr>
            <w:tcW w:w="9020" w:type="dxa"/>
            <w:tcBorders>
              <w:top w:val="single" w:sz="4" w:space="0" w:color="auto"/>
              <w:left w:val="nil"/>
              <w:bottom w:val="single" w:sz="4" w:space="0" w:color="auto"/>
              <w:right w:val="single" w:sz="4" w:space="0" w:color="auto"/>
            </w:tcBorders>
            <w:shd w:val="clear" w:color="auto" w:fill="auto"/>
          </w:tcPr>
          <w:p w14:paraId="25F2C463" w14:textId="4FBB7CEB" w:rsidR="00C069A7" w:rsidRPr="00B03E9B" w:rsidRDefault="00C069A7" w:rsidP="00C069A7">
            <w:pPr>
              <w:spacing w:after="0"/>
              <w:rPr>
                <w:rFonts w:cs="Calibri"/>
                <w:color w:val="000000"/>
                <w:sz w:val="20"/>
                <w:szCs w:val="20"/>
              </w:rPr>
            </w:pPr>
            <w:r w:rsidRPr="00B03E9B">
              <w:rPr>
                <w:rFonts w:cs="Calibri"/>
                <w:sz w:val="20"/>
                <w:szCs w:val="20"/>
              </w:rPr>
              <w:t>Initiation and Engagement of Alcohol, Opioid, or Other Drug Abuse or Dependence Treatment </w:t>
            </w:r>
            <w:r w:rsidR="000A2F9E">
              <w:rPr>
                <w:rFonts w:cs="Calibri"/>
                <w:sz w:val="20"/>
                <w:szCs w:val="20"/>
              </w:rPr>
              <w:t>-</w:t>
            </w:r>
            <w:r w:rsidRPr="00B03E9B">
              <w:rPr>
                <w:rFonts w:cs="Calibri"/>
                <w:sz w:val="20"/>
                <w:szCs w:val="20"/>
              </w:rPr>
              <w:t>Initiation:  65</w:t>
            </w:r>
            <w:r w:rsidR="000A2F9E">
              <w:rPr>
                <w:rFonts w:cs="Calibri"/>
                <w:sz w:val="20"/>
                <w:szCs w:val="20"/>
              </w:rPr>
              <w:t>+</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D64BF63" w14:textId="6F9629DD"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0F265C" w14:textId="5FE20DCC"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3F78C1" w14:textId="241813ED"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38.9%</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3085C14" w14:textId="11881E8E"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40.9%</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2C14E8C" w14:textId="0254C64C"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46.2%</w:t>
            </w:r>
          </w:p>
        </w:tc>
      </w:tr>
      <w:tr w:rsidR="00C069A7" w:rsidRPr="00F26259" w14:paraId="34592448"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535244BC" w14:textId="3C3FA495" w:rsidR="00C069A7" w:rsidRDefault="00DE58BD" w:rsidP="00C069A7">
            <w:pPr>
              <w:spacing w:after="0"/>
              <w:jc w:val="center"/>
              <w:rPr>
                <w:rFonts w:asciiTheme="minorHAnsi" w:eastAsia="Times New Roman" w:hAnsiTheme="minorHAnsi" w:cstheme="minorHAnsi"/>
                <w:color w:val="000000"/>
                <w:sz w:val="20"/>
                <w:szCs w:val="20"/>
              </w:rPr>
            </w:pPr>
            <w:r>
              <w:rPr>
                <w:rFonts w:cs="Calibri"/>
                <w:color w:val="000000"/>
                <w:sz w:val="20"/>
                <w:szCs w:val="20"/>
              </w:rPr>
              <w:t>IET</w:t>
            </w:r>
          </w:p>
        </w:tc>
        <w:tc>
          <w:tcPr>
            <w:tcW w:w="9020" w:type="dxa"/>
            <w:tcBorders>
              <w:top w:val="single" w:sz="4" w:space="0" w:color="auto"/>
              <w:left w:val="nil"/>
              <w:bottom w:val="single" w:sz="4" w:space="0" w:color="auto"/>
              <w:right w:val="single" w:sz="4" w:space="0" w:color="auto"/>
            </w:tcBorders>
            <w:shd w:val="clear" w:color="auto" w:fill="auto"/>
          </w:tcPr>
          <w:p w14:paraId="1623D09E" w14:textId="6DD1096D" w:rsidR="00C069A7" w:rsidRPr="00B03E9B" w:rsidRDefault="00C069A7" w:rsidP="00C069A7">
            <w:pPr>
              <w:spacing w:after="0"/>
              <w:rPr>
                <w:rFonts w:cs="Calibri"/>
                <w:color w:val="000000"/>
                <w:sz w:val="20"/>
                <w:szCs w:val="20"/>
              </w:rPr>
            </w:pPr>
            <w:r w:rsidRPr="001D2192">
              <w:rPr>
                <w:rFonts w:cs="Calibri"/>
                <w:sz w:val="20"/>
                <w:szCs w:val="20"/>
              </w:rPr>
              <w:t>Initiation and Engagement of Alcohol, Opioid, or Other Drug Abuse or Dependence Treatmen</w:t>
            </w:r>
            <w:r w:rsidR="000A2F9E" w:rsidRPr="001D2192">
              <w:rPr>
                <w:rFonts w:cs="Calibri"/>
                <w:sz w:val="20"/>
                <w:szCs w:val="20"/>
              </w:rPr>
              <w:t>t -</w:t>
            </w:r>
            <w:r w:rsidRPr="001D2192">
              <w:rPr>
                <w:rFonts w:cs="Calibri"/>
                <w:sz w:val="20"/>
                <w:szCs w:val="20"/>
              </w:rPr>
              <w:t>Engagement</w:t>
            </w:r>
            <w:r w:rsidR="000A2F9E" w:rsidRPr="001D2192">
              <w:rPr>
                <w:rFonts w:cs="Calibri"/>
                <w:sz w:val="20"/>
                <w:szCs w:val="20"/>
              </w:rPr>
              <w:t xml:space="preserve"> (18-64)</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706FB96" w14:textId="15A975AB" w:rsidR="00B362E5" w:rsidRPr="004A1A02" w:rsidRDefault="00B362E5"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18.5%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EEA08D" w14:textId="04B0E5C9" w:rsidR="00C069A7" w:rsidRPr="004A1A02" w:rsidRDefault="00C069A7" w:rsidP="00C069A7">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18.5%</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923331" w14:textId="7D74C9CA" w:rsidR="00C069A7" w:rsidRPr="004A1A02" w:rsidRDefault="00C069A7" w:rsidP="00C069A7">
            <w:pPr>
              <w:spacing w:after="0"/>
              <w:jc w:val="center"/>
              <w:rPr>
                <w:rFonts w:asciiTheme="minorHAnsi" w:hAnsiTheme="minorHAnsi" w:cstheme="minorHAnsi"/>
                <w:sz w:val="20"/>
                <w:szCs w:val="20"/>
              </w:rPr>
            </w:pPr>
            <w:r w:rsidRPr="004A1A02">
              <w:rPr>
                <w:rFonts w:asciiTheme="minorHAnsi" w:hAnsiTheme="minorHAnsi" w:cstheme="minorHAnsi"/>
                <w:color w:val="000000"/>
                <w:sz w:val="20"/>
                <w:szCs w:val="20"/>
              </w:rPr>
              <w:t>17.</w:t>
            </w:r>
            <w:r w:rsidR="002561B7" w:rsidRPr="004A1A02">
              <w:rPr>
                <w:rFonts w:asciiTheme="minorHAnsi" w:hAnsiTheme="minorHAnsi" w:cstheme="minorHAnsi"/>
                <w:color w:val="000000"/>
                <w:sz w:val="20"/>
                <w:szCs w:val="20"/>
              </w:rPr>
              <w:t>3</w:t>
            </w:r>
            <w:r w:rsidRPr="004A1A02">
              <w:rPr>
                <w:rFonts w:asciiTheme="minorHAnsi" w:hAnsiTheme="minorHAnsi" w:cstheme="minorHAnsi"/>
                <w:color w:val="000000"/>
                <w:sz w:val="20"/>
                <w:szCs w:val="20"/>
              </w:rPr>
              <w:t>%</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5C29CD7" w14:textId="5E01EE4E"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18.4%</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4607CD3B" w14:textId="1EAD4964"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23.2%</w:t>
            </w:r>
          </w:p>
        </w:tc>
      </w:tr>
      <w:tr w:rsidR="00C069A7" w:rsidRPr="00F26259" w14:paraId="091E9F1E" w14:textId="77777777" w:rsidTr="00E74138">
        <w:trPr>
          <w:trHeight w:val="215"/>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12DDD01E" w14:textId="514AF4C1" w:rsidR="00C069A7" w:rsidRDefault="00DE58BD" w:rsidP="00C069A7">
            <w:pPr>
              <w:spacing w:after="0"/>
              <w:jc w:val="center"/>
              <w:rPr>
                <w:rFonts w:cs="Calibri"/>
                <w:color w:val="000000"/>
                <w:sz w:val="20"/>
                <w:szCs w:val="20"/>
              </w:rPr>
            </w:pPr>
            <w:r>
              <w:rPr>
                <w:rFonts w:cs="Calibri"/>
                <w:color w:val="000000"/>
                <w:sz w:val="20"/>
                <w:szCs w:val="20"/>
              </w:rPr>
              <w:t>IET</w:t>
            </w:r>
          </w:p>
        </w:tc>
        <w:tc>
          <w:tcPr>
            <w:tcW w:w="9020" w:type="dxa"/>
            <w:tcBorders>
              <w:top w:val="single" w:sz="4" w:space="0" w:color="auto"/>
              <w:left w:val="nil"/>
              <w:bottom w:val="single" w:sz="4" w:space="0" w:color="auto"/>
              <w:right w:val="single" w:sz="4" w:space="0" w:color="auto"/>
            </w:tcBorders>
            <w:shd w:val="clear" w:color="auto" w:fill="auto"/>
          </w:tcPr>
          <w:p w14:paraId="6285CFB6" w14:textId="5CE6F8C0" w:rsidR="00C069A7" w:rsidRPr="00B03E9B" w:rsidRDefault="00C069A7" w:rsidP="00C069A7">
            <w:pPr>
              <w:spacing w:after="0"/>
              <w:rPr>
                <w:rFonts w:cs="Calibri"/>
                <w:sz w:val="20"/>
                <w:szCs w:val="20"/>
              </w:rPr>
            </w:pPr>
            <w:r w:rsidRPr="00B03E9B">
              <w:rPr>
                <w:rFonts w:cs="Calibri"/>
                <w:sz w:val="20"/>
                <w:szCs w:val="20"/>
              </w:rPr>
              <w:t>Initiation and Engagement of Alcohol, Opioid, or Other Drug Abuse or Dependence Treatment (Engagement): 65</w:t>
            </w:r>
            <w:r w:rsidR="000A2F9E">
              <w:rPr>
                <w:rFonts w:cs="Calibri"/>
                <w:sz w:val="20"/>
                <w:szCs w:val="20"/>
              </w:rPr>
              <w:t>+</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27E5787" w14:textId="590DE175" w:rsidR="00C069A7" w:rsidRPr="004A1A02" w:rsidRDefault="002561B7" w:rsidP="00C069A7">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F0AACA" w14:textId="7D268CC0" w:rsidR="00C069A7" w:rsidRPr="004A1A02" w:rsidRDefault="002561B7" w:rsidP="00C069A7">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NR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D4CB91" w14:textId="32DFE6FB" w:rsidR="00C069A7" w:rsidRPr="004A1A02" w:rsidRDefault="002561B7" w:rsidP="00C069A7">
            <w:pPr>
              <w:spacing w:after="0"/>
              <w:jc w:val="center"/>
              <w:rPr>
                <w:rFonts w:asciiTheme="minorHAnsi" w:hAnsiTheme="minorHAnsi" w:cstheme="minorHAnsi"/>
                <w:color w:val="000000"/>
                <w:sz w:val="20"/>
                <w:szCs w:val="20"/>
              </w:rPr>
            </w:pPr>
            <w:r w:rsidRPr="004A1A02">
              <w:rPr>
                <w:rFonts w:asciiTheme="minorHAnsi" w:hAnsiTheme="minorHAnsi" w:cstheme="minorHAnsi"/>
                <w:color w:val="000000"/>
                <w:sz w:val="20"/>
                <w:szCs w:val="20"/>
              </w:rPr>
              <w:t>6.7%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8925EC0" w14:textId="4615E55F"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6.4%</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2249ED3A" w14:textId="4B4E50B6" w:rsidR="00C069A7" w:rsidRPr="004A1A02" w:rsidRDefault="002561B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9.2%</w:t>
            </w:r>
          </w:p>
        </w:tc>
      </w:tr>
      <w:tr w:rsidR="00C069A7" w:rsidRPr="00F26259" w14:paraId="224B7459" w14:textId="77777777" w:rsidTr="00F311B2">
        <w:trPr>
          <w:trHeight w:val="251"/>
          <w:jc w:val="center"/>
        </w:trPr>
        <w:tc>
          <w:tcPr>
            <w:tcW w:w="805" w:type="dxa"/>
            <w:tcBorders>
              <w:top w:val="single" w:sz="4" w:space="0" w:color="auto"/>
              <w:left w:val="single" w:sz="4" w:space="0" w:color="000000"/>
              <w:bottom w:val="single" w:sz="4" w:space="0" w:color="000000"/>
              <w:right w:val="single" w:sz="4" w:space="0" w:color="000000"/>
            </w:tcBorders>
            <w:shd w:val="clear" w:color="auto" w:fill="auto"/>
            <w:noWrap/>
          </w:tcPr>
          <w:p w14:paraId="25179AA0" w14:textId="2D058BA9" w:rsidR="00C069A7"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OHD</w:t>
            </w:r>
          </w:p>
        </w:tc>
        <w:tc>
          <w:tcPr>
            <w:tcW w:w="9020" w:type="dxa"/>
            <w:tcBorders>
              <w:top w:val="single" w:sz="4" w:space="0" w:color="auto"/>
              <w:left w:val="nil"/>
              <w:bottom w:val="single" w:sz="4" w:space="0" w:color="auto"/>
              <w:right w:val="single" w:sz="4" w:space="0" w:color="auto"/>
            </w:tcBorders>
            <w:shd w:val="clear" w:color="auto" w:fill="auto"/>
          </w:tcPr>
          <w:p w14:paraId="1593B9D4" w14:textId="07951295" w:rsidR="00C069A7" w:rsidRPr="00B03E9B" w:rsidRDefault="00744367" w:rsidP="00744367">
            <w:pPr>
              <w:rPr>
                <w:rFonts w:eastAsia="Times New Roman" w:cs="Calibri"/>
                <w:color w:val="000000"/>
                <w:sz w:val="20"/>
                <w:szCs w:val="20"/>
              </w:rPr>
            </w:pPr>
            <w:r w:rsidRPr="00B03E9B">
              <w:rPr>
                <w:rFonts w:cs="Calibri"/>
                <w:color w:val="000000"/>
                <w:sz w:val="20"/>
                <w:szCs w:val="20"/>
              </w:rPr>
              <w:t>Use of Opioids at High Dosage in Persons Without Cancer</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F4CBB5A" w14:textId="0AA51BF5" w:rsidR="00C069A7" w:rsidRPr="004A1A02" w:rsidRDefault="0074436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10.7%</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BC5486" w14:textId="354C2D48" w:rsidR="00C069A7" w:rsidRPr="004A1A02" w:rsidRDefault="0074436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8%</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035093" w14:textId="575D7663" w:rsidR="00C069A7" w:rsidRPr="004A1A02" w:rsidRDefault="0074436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7.2%</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370492" w14:textId="330A25A1" w:rsidR="00C069A7" w:rsidRPr="004A1A02" w:rsidRDefault="0074436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260" w:type="dxa"/>
            <w:tcBorders>
              <w:top w:val="single" w:sz="4" w:space="0" w:color="auto"/>
              <w:left w:val="nil"/>
              <w:bottom w:val="single" w:sz="4" w:space="0" w:color="000000"/>
              <w:right w:val="single" w:sz="4" w:space="0" w:color="000000"/>
            </w:tcBorders>
            <w:shd w:val="clear" w:color="auto" w:fill="auto"/>
            <w:noWrap/>
            <w:vAlign w:val="center"/>
          </w:tcPr>
          <w:p w14:paraId="50B747D4" w14:textId="1E9356B5" w:rsidR="00C069A7" w:rsidRPr="004A1A02" w:rsidRDefault="00744367" w:rsidP="00C069A7">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C069A7" w:rsidRPr="00F26259" w14:paraId="718138A0"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5F6482FB" w14:textId="77777777" w:rsidR="00C069A7" w:rsidRPr="00F26259" w:rsidRDefault="00C069A7" w:rsidP="00C069A7">
            <w:pPr>
              <w:spacing w:after="0"/>
              <w:jc w:val="center"/>
              <w:rPr>
                <w:rFonts w:asciiTheme="minorHAnsi" w:eastAsia="Times New Roman" w:hAnsiTheme="minorHAnsi" w:cstheme="minorHAnsi"/>
                <w:color w:val="000000"/>
                <w:sz w:val="20"/>
                <w:szCs w:val="20"/>
              </w:rPr>
            </w:pPr>
            <w:r>
              <w:rPr>
                <w:rFonts w:cs="Calibri"/>
                <w:color w:val="000000"/>
                <w:sz w:val="20"/>
                <w:szCs w:val="20"/>
              </w:rPr>
              <w:t>PCR-O/E</w:t>
            </w:r>
          </w:p>
        </w:tc>
        <w:tc>
          <w:tcPr>
            <w:tcW w:w="9020" w:type="dxa"/>
            <w:tcBorders>
              <w:top w:val="nil"/>
              <w:left w:val="nil"/>
              <w:bottom w:val="single" w:sz="4" w:space="0" w:color="auto"/>
              <w:right w:val="single" w:sz="4" w:space="0" w:color="auto"/>
            </w:tcBorders>
            <w:shd w:val="clear" w:color="000000" w:fill="FFFFFF"/>
          </w:tcPr>
          <w:p w14:paraId="2E01B452" w14:textId="77777777" w:rsidR="00C069A7" w:rsidRPr="00B03E9B" w:rsidRDefault="00C069A7" w:rsidP="00C069A7">
            <w:pPr>
              <w:spacing w:after="0"/>
              <w:rPr>
                <w:rFonts w:asciiTheme="minorHAnsi" w:eastAsia="Times New Roman" w:hAnsiTheme="minorHAnsi" w:cstheme="minorHAnsi"/>
                <w:color w:val="000000"/>
                <w:sz w:val="20"/>
                <w:szCs w:val="20"/>
              </w:rPr>
            </w:pPr>
            <w:r w:rsidRPr="00077932">
              <w:rPr>
                <w:rFonts w:cs="Calibri"/>
                <w:sz w:val="20"/>
                <w:szCs w:val="20"/>
              </w:rPr>
              <w:t>Plan All-Cause Readmissions (observed to expected ratio)</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126F7F2A" w14:textId="77777777" w:rsidR="00C069A7" w:rsidRPr="004A1A02" w:rsidRDefault="00C069A7" w:rsidP="00C069A7">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0.9929</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A6E2BC6" w14:textId="77777777" w:rsidR="00C069A7" w:rsidRPr="004A1A02" w:rsidRDefault="00C069A7" w:rsidP="00C069A7">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1.2086</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F9229A3" w14:textId="77777777" w:rsidR="00C069A7" w:rsidRPr="004A1A02" w:rsidRDefault="00C069A7" w:rsidP="00C069A7">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1.1461</w:t>
            </w:r>
          </w:p>
        </w:tc>
        <w:tc>
          <w:tcPr>
            <w:tcW w:w="1350" w:type="dxa"/>
            <w:tcBorders>
              <w:top w:val="nil"/>
              <w:left w:val="nil"/>
              <w:bottom w:val="single" w:sz="4" w:space="0" w:color="000000"/>
              <w:right w:val="single" w:sz="4" w:space="0" w:color="000000"/>
            </w:tcBorders>
            <w:shd w:val="clear" w:color="auto" w:fill="auto"/>
            <w:noWrap/>
            <w:vAlign w:val="center"/>
          </w:tcPr>
          <w:p w14:paraId="355442D5" w14:textId="77777777" w:rsidR="00C069A7" w:rsidRPr="004A1A02" w:rsidRDefault="00C069A7" w:rsidP="00C069A7">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0.9163</w:t>
            </w:r>
          </w:p>
        </w:tc>
        <w:tc>
          <w:tcPr>
            <w:tcW w:w="1260" w:type="dxa"/>
            <w:tcBorders>
              <w:top w:val="nil"/>
              <w:left w:val="nil"/>
              <w:bottom w:val="single" w:sz="4" w:space="0" w:color="000000"/>
              <w:right w:val="single" w:sz="4" w:space="0" w:color="000000"/>
            </w:tcBorders>
            <w:shd w:val="clear" w:color="auto" w:fill="auto"/>
            <w:noWrap/>
            <w:vAlign w:val="center"/>
          </w:tcPr>
          <w:p w14:paraId="7C94BF70" w14:textId="77777777" w:rsidR="00C069A7" w:rsidRPr="004A1A02" w:rsidRDefault="00C069A7" w:rsidP="00C069A7">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0.8349</w:t>
            </w:r>
          </w:p>
        </w:tc>
      </w:tr>
      <w:tr w:rsidR="00C069A7" w:rsidRPr="00F26259" w14:paraId="701A513F" w14:textId="77777777" w:rsidTr="00E74138">
        <w:trPr>
          <w:trHeight w:val="29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32676318" w14:textId="631C2BEE" w:rsidR="00C069A7" w:rsidRPr="00F26259" w:rsidRDefault="00C069A7" w:rsidP="00C069A7">
            <w:pPr>
              <w:spacing w:after="0"/>
              <w:jc w:val="center"/>
              <w:rPr>
                <w:rFonts w:asciiTheme="minorHAnsi" w:eastAsia="Times New Roman" w:hAnsiTheme="minorHAnsi" w:cstheme="minorHAnsi"/>
                <w:color w:val="000000"/>
                <w:sz w:val="20"/>
                <w:szCs w:val="20"/>
              </w:rPr>
            </w:pPr>
            <w:r>
              <w:rPr>
                <w:rFonts w:cs="Calibri"/>
                <w:color w:val="000000"/>
                <w:sz w:val="20"/>
                <w:szCs w:val="20"/>
              </w:rPr>
              <w:t>PPC</w:t>
            </w:r>
          </w:p>
        </w:tc>
        <w:tc>
          <w:tcPr>
            <w:tcW w:w="9020" w:type="dxa"/>
            <w:tcBorders>
              <w:top w:val="nil"/>
              <w:left w:val="nil"/>
              <w:bottom w:val="single" w:sz="4" w:space="0" w:color="auto"/>
              <w:right w:val="single" w:sz="4" w:space="0" w:color="auto"/>
            </w:tcBorders>
            <w:shd w:val="clear" w:color="auto" w:fill="auto"/>
          </w:tcPr>
          <w:p w14:paraId="43516E6E" w14:textId="0BDC3257" w:rsidR="00C069A7" w:rsidRPr="00B03E9B" w:rsidRDefault="0000782E" w:rsidP="00C069A7">
            <w:pPr>
              <w:spacing w:after="0"/>
              <w:rPr>
                <w:rFonts w:asciiTheme="minorHAnsi" w:eastAsia="Times New Roman" w:hAnsiTheme="minorHAnsi" w:cstheme="minorHAnsi"/>
                <w:sz w:val="20"/>
                <w:szCs w:val="20"/>
              </w:rPr>
            </w:pPr>
            <w:r w:rsidRPr="00B03E9B">
              <w:rPr>
                <w:rFonts w:cs="Calibri"/>
                <w:sz w:val="20"/>
                <w:szCs w:val="20"/>
              </w:rPr>
              <w:t>Prenatal and Postpartum Care – Postpartum Care</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6063C37" w14:textId="05B4622E" w:rsidR="00C069A7" w:rsidRPr="004A1A02" w:rsidRDefault="0000782E"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67.6%</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840E40B" w14:textId="3C3E0AF1" w:rsidR="00C069A7" w:rsidRPr="004A1A02" w:rsidRDefault="0000782E"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77.0%</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C796093" w14:textId="57057850" w:rsidR="00C069A7" w:rsidRPr="004A1A02" w:rsidRDefault="0000782E"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79.7%</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677AB46D" w14:textId="72A5585F" w:rsidR="00C069A7" w:rsidRPr="004A1A02" w:rsidRDefault="0000782E"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79.6%</w:t>
            </w:r>
          </w:p>
        </w:tc>
        <w:tc>
          <w:tcPr>
            <w:tcW w:w="1260" w:type="dxa"/>
            <w:tcBorders>
              <w:top w:val="nil"/>
              <w:left w:val="nil"/>
              <w:bottom w:val="single" w:sz="4" w:space="0" w:color="000000"/>
              <w:right w:val="single" w:sz="4" w:space="0" w:color="000000"/>
            </w:tcBorders>
            <w:shd w:val="clear" w:color="auto" w:fill="auto"/>
            <w:noWrap/>
            <w:vAlign w:val="center"/>
          </w:tcPr>
          <w:p w14:paraId="6968AF4F" w14:textId="3F6AFF1C" w:rsidR="00C069A7" w:rsidRPr="004A1A02" w:rsidRDefault="0000782E"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83.7%</w:t>
            </w:r>
          </w:p>
        </w:tc>
      </w:tr>
      <w:tr w:rsidR="00C069A7" w:rsidRPr="00F26259" w14:paraId="2E02B35F" w14:textId="77777777" w:rsidTr="00E74138">
        <w:trPr>
          <w:trHeight w:val="29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3CABDF23" w14:textId="74BEAFE4" w:rsidR="00C069A7" w:rsidRPr="00F26259"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PQI01</w:t>
            </w:r>
          </w:p>
        </w:tc>
        <w:tc>
          <w:tcPr>
            <w:tcW w:w="9020" w:type="dxa"/>
            <w:tcBorders>
              <w:top w:val="nil"/>
              <w:left w:val="nil"/>
              <w:bottom w:val="single" w:sz="4" w:space="0" w:color="auto"/>
              <w:right w:val="single" w:sz="4" w:space="0" w:color="auto"/>
            </w:tcBorders>
            <w:shd w:val="clear" w:color="auto" w:fill="auto"/>
          </w:tcPr>
          <w:p w14:paraId="289C284B" w14:textId="24A13F2B" w:rsidR="00C069A7" w:rsidRPr="0062122F" w:rsidRDefault="0062122F" w:rsidP="0062122F">
            <w:pPr>
              <w:rPr>
                <w:rFonts w:eastAsia="Times New Roman" w:cs="Calibri"/>
                <w:color w:val="000000"/>
                <w:sz w:val="20"/>
                <w:szCs w:val="20"/>
              </w:rPr>
            </w:pPr>
            <w:r w:rsidRPr="0062122F">
              <w:rPr>
                <w:rFonts w:cs="Calibri"/>
                <w:color w:val="000000"/>
                <w:sz w:val="20"/>
                <w:szCs w:val="20"/>
              </w:rPr>
              <w:t>Diabetes Short-Term Complications Admission Rate (per 100000 member months)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9C29247" w14:textId="5E16B6A0"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13.1</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87256C8" w14:textId="4453CE1B"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13.9</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577F7D9" w14:textId="286909A5"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14.1</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66BF45C" w14:textId="3EE50451"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c>
          <w:tcPr>
            <w:tcW w:w="1260" w:type="dxa"/>
            <w:tcBorders>
              <w:top w:val="nil"/>
              <w:left w:val="nil"/>
              <w:bottom w:val="single" w:sz="4" w:space="0" w:color="000000"/>
              <w:right w:val="single" w:sz="4" w:space="0" w:color="000000"/>
            </w:tcBorders>
            <w:shd w:val="clear" w:color="auto" w:fill="auto"/>
            <w:noWrap/>
            <w:vAlign w:val="center"/>
          </w:tcPr>
          <w:p w14:paraId="768A2D8F" w14:textId="1721960C"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r>
      <w:tr w:rsidR="00C069A7" w:rsidRPr="00F26259" w14:paraId="56A49E3F" w14:textId="77777777" w:rsidTr="00E74138">
        <w:trPr>
          <w:trHeight w:val="29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38A8170F" w14:textId="223E369F" w:rsidR="00C069A7" w:rsidRPr="00F26259"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PQI05</w:t>
            </w:r>
          </w:p>
        </w:tc>
        <w:tc>
          <w:tcPr>
            <w:tcW w:w="9020" w:type="dxa"/>
            <w:tcBorders>
              <w:top w:val="nil"/>
              <w:left w:val="nil"/>
              <w:bottom w:val="single" w:sz="4" w:space="0" w:color="auto"/>
              <w:right w:val="single" w:sz="4" w:space="0" w:color="auto"/>
            </w:tcBorders>
            <w:shd w:val="clear" w:color="auto" w:fill="auto"/>
          </w:tcPr>
          <w:p w14:paraId="2389623C" w14:textId="767B1C11" w:rsidR="00C069A7" w:rsidRPr="0062122F" w:rsidRDefault="0062122F" w:rsidP="0062122F">
            <w:pPr>
              <w:rPr>
                <w:rFonts w:eastAsia="Times New Roman" w:cs="Calibri"/>
                <w:color w:val="000000"/>
                <w:sz w:val="20"/>
                <w:szCs w:val="20"/>
              </w:rPr>
            </w:pPr>
            <w:r w:rsidRPr="0062122F">
              <w:rPr>
                <w:rFonts w:cs="Calibri"/>
                <w:color w:val="000000"/>
                <w:sz w:val="20"/>
                <w:szCs w:val="20"/>
              </w:rPr>
              <w:t xml:space="preserve">Chronic Obstructive Pulmonary Disease (COPD) or Asthma in Older Adults Admission </w:t>
            </w:r>
            <w:r w:rsidR="00C001E7" w:rsidRPr="0062122F">
              <w:rPr>
                <w:rFonts w:cs="Calibri"/>
                <w:color w:val="000000"/>
                <w:sz w:val="20"/>
                <w:szCs w:val="20"/>
              </w:rPr>
              <w:t>Rate (</w:t>
            </w:r>
            <w:r w:rsidRPr="0062122F">
              <w:rPr>
                <w:rFonts w:cs="Calibri"/>
                <w:color w:val="000000"/>
                <w:sz w:val="20"/>
                <w:szCs w:val="20"/>
              </w:rPr>
              <w:t>per 100,000 member months)</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8A4BB8" w14:textId="60A3B989"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59.5</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87CD54" w14:textId="6351F11B"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56.4</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0DCD02E" w14:textId="5A348882"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38.3</w:t>
            </w:r>
          </w:p>
        </w:tc>
        <w:tc>
          <w:tcPr>
            <w:tcW w:w="1350" w:type="dxa"/>
            <w:tcBorders>
              <w:top w:val="nil"/>
              <w:left w:val="nil"/>
              <w:bottom w:val="single" w:sz="4" w:space="0" w:color="000000"/>
              <w:right w:val="single" w:sz="4" w:space="0" w:color="000000"/>
            </w:tcBorders>
            <w:shd w:val="clear" w:color="auto" w:fill="auto"/>
            <w:noWrap/>
            <w:vAlign w:val="center"/>
          </w:tcPr>
          <w:p w14:paraId="522B452F" w14:textId="5ABED10C"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c>
          <w:tcPr>
            <w:tcW w:w="1260" w:type="dxa"/>
            <w:tcBorders>
              <w:top w:val="nil"/>
              <w:left w:val="nil"/>
              <w:bottom w:val="single" w:sz="4" w:space="0" w:color="000000"/>
              <w:right w:val="single" w:sz="4" w:space="0" w:color="000000"/>
            </w:tcBorders>
            <w:shd w:val="clear" w:color="auto" w:fill="auto"/>
            <w:noWrap/>
            <w:vAlign w:val="center"/>
          </w:tcPr>
          <w:p w14:paraId="6109F90F" w14:textId="2CE48949"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r>
      <w:tr w:rsidR="00C069A7" w:rsidRPr="00F26259" w14:paraId="64E24DCA" w14:textId="77777777" w:rsidTr="00E74138">
        <w:trPr>
          <w:trHeight w:val="29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0457C303" w14:textId="063E64FE" w:rsidR="00C069A7" w:rsidRPr="00F26259"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PQI08</w:t>
            </w:r>
          </w:p>
        </w:tc>
        <w:tc>
          <w:tcPr>
            <w:tcW w:w="9020" w:type="dxa"/>
            <w:tcBorders>
              <w:top w:val="nil"/>
              <w:left w:val="nil"/>
              <w:bottom w:val="single" w:sz="4" w:space="0" w:color="auto"/>
              <w:right w:val="single" w:sz="4" w:space="0" w:color="auto"/>
            </w:tcBorders>
            <w:shd w:val="clear" w:color="auto" w:fill="auto"/>
          </w:tcPr>
          <w:p w14:paraId="35E101B0" w14:textId="1206D531" w:rsidR="00C069A7" w:rsidRPr="0062122F" w:rsidRDefault="0062122F" w:rsidP="0062122F">
            <w:pPr>
              <w:rPr>
                <w:rFonts w:eastAsia="Times New Roman" w:cs="Calibri"/>
                <w:color w:val="000000"/>
                <w:sz w:val="20"/>
                <w:szCs w:val="20"/>
              </w:rPr>
            </w:pPr>
            <w:r w:rsidRPr="0062122F">
              <w:rPr>
                <w:rFonts w:cs="Calibri"/>
                <w:color w:val="000000"/>
                <w:sz w:val="20"/>
                <w:szCs w:val="20"/>
              </w:rPr>
              <w:t>Heart Failure Admission Rate (per 100,000 member months)</w:t>
            </w:r>
          </w:p>
        </w:tc>
        <w:tc>
          <w:tcPr>
            <w:tcW w:w="135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40A8E3D" w14:textId="2907698C"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17.3</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FF70B5" w14:textId="1F859617"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18.9</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993B296" w14:textId="12525124"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16.5</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2236EE73" w14:textId="271F32D3"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c>
          <w:tcPr>
            <w:tcW w:w="1260" w:type="dxa"/>
            <w:tcBorders>
              <w:top w:val="nil"/>
              <w:left w:val="nil"/>
              <w:bottom w:val="single" w:sz="4" w:space="0" w:color="000000"/>
              <w:right w:val="single" w:sz="4" w:space="0" w:color="000000"/>
            </w:tcBorders>
            <w:shd w:val="clear" w:color="auto" w:fill="auto"/>
            <w:noWrap/>
            <w:vAlign w:val="center"/>
          </w:tcPr>
          <w:p w14:paraId="30666FF8" w14:textId="1E99EED0"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r>
      <w:tr w:rsidR="00C069A7" w:rsidRPr="00F26259" w14:paraId="6ADAE599" w14:textId="77777777" w:rsidTr="00E74138">
        <w:trPr>
          <w:trHeight w:val="278"/>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58CF3046" w14:textId="77C43B7B" w:rsidR="00C069A7" w:rsidRPr="00F26259"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PQI15</w:t>
            </w:r>
          </w:p>
        </w:tc>
        <w:tc>
          <w:tcPr>
            <w:tcW w:w="9020" w:type="dxa"/>
            <w:tcBorders>
              <w:top w:val="nil"/>
              <w:left w:val="nil"/>
              <w:bottom w:val="single" w:sz="4" w:space="0" w:color="auto"/>
              <w:right w:val="single" w:sz="4" w:space="0" w:color="auto"/>
            </w:tcBorders>
            <w:shd w:val="clear" w:color="auto" w:fill="auto"/>
          </w:tcPr>
          <w:p w14:paraId="1F7BCADE" w14:textId="4E01BDAC" w:rsidR="00C069A7" w:rsidRPr="0062122F" w:rsidRDefault="0062122F" w:rsidP="0062122F">
            <w:pPr>
              <w:rPr>
                <w:rFonts w:eastAsia="Times New Roman" w:cs="Calibri"/>
                <w:color w:val="000000"/>
                <w:sz w:val="20"/>
                <w:szCs w:val="20"/>
              </w:rPr>
            </w:pPr>
            <w:r w:rsidRPr="0062122F">
              <w:rPr>
                <w:rFonts w:cs="Calibri"/>
                <w:color w:val="000000"/>
                <w:sz w:val="20"/>
                <w:szCs w:val="20"/>
              </w:rPr>
              <w:t>Asthma in Younger Adults Admission Rate (per 100,000 member months)</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226D87" w14:textId="1DFCF868"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9.3</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D0CDCE" w14:textId="7D490B3D"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6.6</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F7411C2" w14:textId="47FCC288" w:rsidR="00C069A7" w:rsidRPr="004A1A02" w:rsidRDefault="00820F3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5.3</w:t>
            </w:r>
          </w:p>
        </w:tc>
        <w:tc>
          <w:tcPr>
            <w:tcW w:w="1350" w:type="dxa"/>
            <w:tcBorders>
              <w:top w:val="nil"/>
              <w:left w:val="nil"/>
              <w:bottom w:val="single" w:sz="4" w:space="0" w:color="000000"/>
              <w:right w:val="single" w:sz="4" w:space="0" w:color="000000"/>
            </w:tcBorders>
            <w:shd w:val="clear" w:color="auto" w:fill="auto"/>
            <w:noWrap/>
            <w:vAlign w:val="center"/>
          </w:tcPr>
          <w:p w14:paraId="62DA029C" w14:textId="3EB503BF"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c>
          <w:tcPr>
            <w:tcW w:w="1260" w:type="dxa"/>
            <w:tcBorders>
              <w:top w:val="nil"/>
              <w:left w:val="nil"/>
              <w:bottom w:val="single" w:sz="4" w:space="0" w:color="000000"/>
              <w:right w:val="single" w:sz="4" w:space="0" w:color="000000"/>
            </w:tcBorders>
            <w:shd w:val="clear" w:color="auto" w:fill="auto"/>
            <w:noWrap/>
            <w:vAlign w:val="center"/>
          </w:tcPr>
          <w:p w14:paraId="60A31148" w14:textId="3F447DCB" w:rsidR="00C069A7" w:rsidRPr="004A1A02" w:rsidRDefault="00820F3A"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r>
      <w:tr w:rsidR="00C069A7" w:rsidRPr="00F26259" w14:paraId="4F12CB49"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6AA714BE" w14:textId="4A7B031A" w:rsidR="00C069A7" w:rsidRPr="00F26259" w:rsidRDefault="00C069A7"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SSA</w:t>
            </w:r>
          </w:p>
        </w:tc>
        <w:tc>
          <w:tcPr>
            <w:tcW w:w="9020" w:type="dxa"/>
            <w:tcBorders>
              <w:top w:val="nil"/>
              <w:left w:val="nil"/>
              <w:bottom w:val="single" w:sz="4" w:space="0" w:color="auto"/>
              <w:right w:val="single" w:sz="4" w:space="0" w:color="auto"/>
            </w:tcBorders>
            <w:shd w:val="clear" w:color="000000" w:fill="FFFFFF"/>
          </w:tcPr>
          <w:p w14:paraId="26D3A819" w14:textId="49EFF695" w:rsidR="00C069A7" w:rsidRPr="0062122F" w:rsidRDefault="0062122F" w:rsidP="0062122F">
            <w:pPr>
              <w:rPr>
                <w:rFonts w:eastAsia="Times New Roman" w:cs="Calibri"/>
                <w:color w:val="000000"/>
                <w:sz w:val="20"/>
                <w:szCs w:val="20"/>
              </w:rPr>
            </w:pPr>
            <w:r w:rsidRPr="0062122F">
              <w:rPr>
                <w:rFonts w:cs="Calibri"/>
                <w:color w:val="000000"/>
                <w:sz w:val="20"/>
                <w:szCs w:val="20"/>
              </w:rPr>
              <w:t xml:space="preserve">Adherence to Antipsychotic Medications for Individuals with Schizophrenia </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20E49037" w14:textId="3BC0BE78" w:rsidR="00C069A7" w:rsidRPr="004A1A02" w:rsidRDefault="007B3C6C"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70.8%</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B7D4C3E" w14:textId="15A41D0F" w:rsidR="00C069A7" w:rsidRPr="004A1A02" w:rsidRDefault="007B3C6C"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69.0%</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0E2E48E" w14:textId="394BF7DB" w:rsidR="00C069A7" w:rsidRPr="004A1A02" w:rsidRDefault="007B3C6C"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69.2%</w:t>
            </w:r>
          </w:p>
        </w:tc>
        <w:tc>
          <w:tcPr>
            <w:tcW w:w="1350" w:type="dxa"/>
            <w:tcBorders>
              <w:top w:val="nil"/>
              <w:left w:val="nil"/>
              <w:bottom w:val="single" w:sz="4" w:space="0" w:color="000000"/>
              <w:right w:val="single" w:sz="4" w:space="0" w:color="000000"/>
            </w:tcBorders>
            <w:shd w:val="clear" w:color="auto" w:fill="auto"/>
            <w:noWrap/>
            <w:vAlign w:val="center"/>
          </w:tcPr>
          <w:p w14:paraId="6B66E324" w14:textId="0A3A0EA3" w:rsidR="00C069A7" w:rsidRPr="004A1A02" w:rsidRDefault="007B3C6C"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68.9%</w:t>
            </w:r>
          </w:p>
        </w:tc>
        <w:tc>
          <w:tcPr>
            <w:tcW w:w="1260" w:type="dxa"/>
            <w:tcBorders>
              <w:top w:val="nil"/>
              <w:left w:val="nil"/>
              <w:bottom w:val="single" w:sz="4" w:space="0" w:color="000000"/>
              <w:right w:val="single" w:sz="4" w:space="0" w:color="000000"/>
            </w:tcBorders>
            <w:shd w:val="clear" w:color="auto" w:fill="auto"/>
            <w:noWrap/>
            <w:vAlign w:val="center"/>
          </w:tcPr>
          <w:p w14:paraId="6524C7D3" w14:textId="5530B92D" w:rsidR="00C069A7" w:rsidRPr="004A1A02" w:rsidRDefault="00480A2F"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73.1%</w:t>
            </w:r>
          </w:p>
        </w:tc>
      </w:tr>
      <w:tr w:rsidR="00855AFF" w:rsidRPr="00820F3A" w14:paraId="42210A77"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1758FA93" w14:textId="77777777" w:rsidR="00855AFF" w:rsidRDefault="00855AF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SSD</w:t>
            </w:r>
          </w:p>
        </w:tc>
        <w:tc>
          <w:tcPr>
            <w:tcW w:w="9020" w:type="dxa"/>
            <w:tcBorders>
              <w:top w:val="nil"/>
              <w:left w:val="nil"/>
              <w:bottom w:val="single" w:sz="4" w:space="0" w:color="auto"/>
              <w:right w:val="single" w:sz="4" w:space="0" w:color="auto"/>
            </w:tcBorders>
            <w:shd w:val="clear" w:color="000000" w:fill="FFFFFF"/>
          </w:tcPr>
          <w:p w14:paraId="4B91853C" w14:textId="6BF0AA4A" w:rsidR="00855AFF" w:rsidRPr="0062122F" w:rsidRDefault="00855AFF" w:rsidP="00EE745E">
            <w:pPr>
              <w:rPr>
                <w:rFonts w:eastAsia="Times New Roman" w:cs="Calibri"/>
                <w:color w:val="000000"/>
                <w:sz w:val="20"/>
                <w:szCs w:val="20"/>
              </w:rPr>
            </w:pPr>
            <w:r w:rsidRPr="0062122F">
              <w:rPr>
                <w:rFonts w:cs="Calibri"/>
                <w:color w:val="000000"/>
                <w:sz w:val="20"/>
                <w:szCs w:val="20"/>
              </w:rPr>
              <w:t xml:space="preserve">Diabetes Screening for People </w:t>
            </w:r>
            <w:r w:rsidR="00C001E7" w:rsidRPr="0062122F">
              <w:rPr>
                <w:rFonts w:cs="Calibri"/>
                <w:color w:val="000000"/>
                <w:sz w:val="20"/>
                <w:szCs w:val="20"/>
              </w:rPr>
              <w:t>with</w:t>
            </w:r>
            <w:r w:rsidRPr="0062122F">
              <w:rPr>
                <w:rFonts w:cs="Calibri"/>
                <w:color w:val="000000"/>
                <w:sz w:val="20"/>
                <w:szCs w:val="20"/>
              </w:rPr>
              <w:t xml:space="preserve"> Schizophrenia or Bipolar Disorder Who are Using Antipsychotic Medications</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28B1329A" w14:textId="77777777"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79.2%</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0EF15B0" w14:textId="77777777"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81.4%</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1FCF50" w14:textId="77777777"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73.2%</w:t>
            </w:r>
          </w:p>
        </w:tc>
        <w:tc>
          <w:tcPr>
            <w:tcW w:w="1350" w:type="dxa"/>
            <w:tcBorders>
              <w:top w:val="nil"/>
              <w:left w:val="nil"/>
              <w:bottom w:val="single" w:sz="4" w:space="0" w:color="000000"/>
              <w:right w:val="single" w:sz="4" w:space="0" w:color="000000"/>
            </w:tcBorders>
            <w:shd w:val="clear" w:color="auto" w:fill="auto"/>
            <w:noWrap/>
            <w:vAlign w:val="center"/>
          </w:tcPr>
          <w:p w14:paraId="626109C0" w14:textId="77777777" w:rsidR="00855AFF" w:rsidRPr="004A1A02" w:rsidRDefault="00855AFF"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79.7%</w:t>
            </w:r>
          </w:p>
        </w:tc>
        <w:tc>
          <w:tcPr>
            <w:tcW w:w="1260" w:type="dxa"/>
            <w:tcBorders>
              <w:top w:val="nil"/>
              <w:left w:val="nil"/>
              <w:bottom w:val="single" w:sz="4" w:space="0" w:color="000000"/>
              <w:right w:val="single" w:sz="4" w:space="0" w:color="000000"/>
            </w:tcBorders>
            <w:shd w:val="clear" w:color="auto" w:fill="auto"/>
            <w:noWrap/>
            <w:vAlign w:val="center"/>
          </w:tcPr>
          <w:p w14:paraId="3FBFF4D9" w14:textId="77777777" w:rsidR="00855AFF" w:rsidRPr="004A1A02" w:rsidRDefault="00855AFF"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82.5%</w:t>
            </w:r>
          </w:p>
        </w:tc>
      </w:tr>
      <w:tr w:rsidR="00855AFF" w:rsidRPr="00820F3A" w14:paraId="55510AC1"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161AC04C" w14:textId="02EE2619" w:rsidR="00855AFF" w:rsidRDefault="00855AF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CAHPS </w:t>
            </w:r>
          </w:p>
        </w:tc>
        <w:tc>
          <w:tcPr>
            <w:tcW w:w="9020" w:type="dxa"/>
            <w:tcBorders>
              <w:top w:val="nil"/>
              <w:left w:val="nil"/>
              <w:bottom w:val="single" w:sz="4" w:space="0" w:color="auto"/>
              <w:right w:val="single" w:sz="4" w:space="0" w:color="auto"/>
            </w:tcBorders>
            <w:shd w:val="clear" w:color="000000" w:fill="FFFFFF"/>
          </w:tcPr>
          <w:p w14:paraId="1B4FE746" w14:textId="53291141" w:rsidR="00855AFF" w:rsidRPr="0062122F" w:rsidRDefault="00855AFF" w:rsidP="00EE745E">
            <w:pPr>
              <w:rPr>
                <w:rFonts w:cs="Calibri"/>
                <w:color w:val="000000"/>
                <w:sz w:val="20"/>
                <w:szCs w:val="20"/>
              </w:rPr>
            </w:pPr>
            <w:r>
              <w:rPr>
                <w:rFonts w:cs="Calibri"/>
                <w:color w:val="000000"/>
                <w:sz w:val="20"/>
                <w:szCs w:val="20"/>
              </w:rPr>
              <w:t>Getting Needed Care</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63681CBA" w14:textId="31FE8744"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85.2%</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C230388" w14:textId="69A2EE98"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80.2%</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64B4AD4" w14:textId="2E61CA38"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85.9%</w:t>
            </w:r>
          </w:p>
        </w:tc>
        <w:tc>
          <w:tcPr>
            <w:tcW w:w="1350" w:type="dxa"/>
            <w:tcBorders>
              <w:top w:val="nil"/>
              <w:left w:val="nil"/>
              <w:bottom w:val="single" w:sz="4" w:space="0" w:color="000000"/>
              <w:right w:val="single" w:sz="4" w:space="0" w:color="000000"/>
            </w:tcBorders>
            <w:shd w:val="clear" w:color="auto" w:fill="auto"/>
            <w:noWrap/>
            <w:vAlign w:val="center"/>
          </w:tcPr>
          <w:p w14:paraId="2182795D" w14:textId="53F23407"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86.5%</w:t>
            </w:r>
          </w:p>
        </w:tc>
        <w:tc>
          <w:tcPr>
            <w:tcW w:w="1260" w:type="dxa"/>
            <w:tcBorders>
              <w:top w:val="nil"/>
              <w:left w:val="nil"/>
              <w:bottom w:val="single" w:sz="4" w:space="0" w:color="000000"/>
              <w:right w:val="single" w:sz="4" w:space="0" w:color="000000"/>
            </w:tcBorders>
            <w:shd w:val="clear" w:color="auto" w:fill="auto"/>
            <w:noWrap/>
            <w:vAlign w:val="center"/>
          </w:tcPr>
          <w:p w14:paraId="2576B02A" w14:textId="785AA96E"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88.6%</w:t>
            </w:r>
          </w:p>
        </w:tc>
      </w:tr>
      <w:tr w:rsidR="00855AFF" w:rsidRPr="00820F3A" w14:paraId="04F3A525"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47B4EFC9" w14:textId="4B455F65" w:rsidR="00855AFF" w:rsidRDefault="00DE58BD"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CAHPS</w:t>
            </w:r>
          </w:p>
        </w:tc>
        <w:tc>
          <w:tcPr>
            <w:tcW w:w="9020" w:type="dxa"/>
            <w:tcBorders>
              <w:top w:val="nil"/>
              <w:left w:val="nil"/>
              <w:bottom w:val="single" w:sz="4" w:space="0" w:color="auto"/>
              <w:right w:val="single" w:sz="4" w:space="0" w:color="auto"/>
            </w:tcBorders>
            <w:shd w:val="clear" w:color="000000" w:fill="FFFFFF"/>
          </w:tcPr>
          <w:p w14:paraId="035FC62B" w14:textId="7188B9CC" w:rsidR="00855AFF" w:rsidRPr="0062122F" w:rsidRDefault="00855AFF" w:rsidP="00EE745E">
            <w:pPr>
              <w:rPr>
                <w:rFonts w:cs="Calibri"/>
                <w:color w:val="000000"/>
                <w:sz w:val="20"/>
                <w:szCs w:val="20"/>
              </w:rPr>
            </w:pPr>
            <w:r>
              <w:rPr>
                <w:rFonts w:cs="Calibri"/>
                <w:color w:val="000000"/>
                <w:sz w:val="20"/>
                <w:szCs w:val="20"/>
              </w:rPr>
              <w:t>Getting Care Quickly</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0C42126D" w14:textId="2C94B812"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81.8%</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C998EB" w14:textId="4C5B37F2"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83.0%</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FC477D" w14:textId="16855C72"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83.1%</w:t>
            </w:r>
          </w:p>
        </w:tc>
        <w:tc>
          <w:tcPr>
            <w:tcW w:w="1350" w:type="dxa"/>
            <w:tcBorders>
              <w:top w:val="nil"/>
              <w:left w:val="nil"/>
              <w:bottom w:val="single" w:sz="4" w:space="0" w:color="000000"/>
              <w:right w:val="single" w:sz="4" w:space="0" w:color="000000"/>
            </w:tcBorders>
            <w:shd w:val="clear" w:color="auto" w:fill="auto"/>
            <w:noWrap/>
            <w:vAlign w:val="center"/>
          </w:tcPr>
          <w:p w14:paraId="7E4F5143" w14:textId="0B10C164"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84.7%</w:t>
            </w:r>
          </w:p>
        </w:tc>
        <w:tc>
          <w:tcPr>
            <w:tcW w:w="1260" w:type="dxa"/>
            <w:tcBorders>
              <w:top w:val="nil"/>
              <w:left w:val="nil"/>
              <w:bottom w:val="single" w:sz="4" w:space="0" w:color="000000"/>
              <w:right w:val="single" w:sz="4" w:space="0" w:color="000000"/>
            </w:tcBorders>
            <w:shd w:val="clear" w:color="auto" w:fill="auto"/>
            <w:noWrap/>
            <w:vAlign w:val="center"/>
          </w:tcPr>
          <w:p w14:paraId="43ED62CA" w14:textId="132B8BED"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87.2%</w:t>
            </w:r>
          </w:p>
        </w:tc>
      </w:tr>
      <w:tr w:rsidR="00855AFF" w:rsidRPr="00820F3A" w14:paraId="5531078F" w14:textId="77777777" w:rsidTr="00E74138">
        <w:trPr>
          <w:trHeight w:val="2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7A2ADE87" w14:textId="65B32A9C" w:rsidR="00855AFF" w:rsidRDefault="00DE58BD"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lastRenderedPageBreak/>
              <w:t>CAHPS</w:t>
            </w:r>
          </w:p>
        </w:tc>
        <w:tc>
          <w:tcPr>
            <w:tcW w:w="9020" w:type="dxa"/>
            <w:tcBorders>
              <w:top w:val="nil"/>
              <w:left w:val="nil"/>
              <w:bottom w:val="single" w:sz="4" w:space="0" w:color="auto"/>
              <w:right w:val="single" w:sz="4" w:space="0" w:color="auto"/>
            </w:tcBorders>
            <w:shd w:val="clear" w:color="000000" w:fill="FFFFFF"/>
          </w:tcPr>
          <w:p w14:paraId="59A7E644" w14:textId="7A4625AB" w:rsidR="00855AFF" w:rsidRPr="0062122F" w:rsidRDefault="00855AFF" w:rsidP="00EE745E">
            <w:pPr>
              <w:rPr>
                <w:rFonts w:cs="Calibri"/>
                <w:color w:val="000000"/>
                <w:sz w:val="20"/>
                <w:szCs w:val="20"/>
              </w:rPr>
            </w:pPr>
            <w:r>
              <w:rPr>
                <w:rFonts w:cs="Calibri"/>
                <w:color w:val="000000"/>
                <w:sz w:val="20"/>
                <w:szCs w:val="20"/>
              </w:rPr>
              <w:t>How Well Doctors Communicate</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1939970C" w14:textId="73EA1529"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92.9%</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16460C1" w14:textId="33D22D06"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91.1%</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2E0AB33" w14:textId="112E0811" w:rsidR="00855AFF" w:rsidRPr="004A1A02" w:rsidRDefault="00855AFF"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91.1%</w:t>
            </w:r>
          </w:p>
        </w:tc>
        <w:tc>
          <w:tcPr>
            <w:tcW w:w="1350" w:type="dxa"/>
            <w:tcBorders>
              <w:top w:val="nil"/>
              <w:left w:val="nil"/>
              <w:bottom w:val="single" w:sz="4" w:space="0" w:color="000000"/>
              <w:right w:val="single" w:sz="4" w:space="0" w:color="000000"/>
            </w:tcBorders>
            <w:shd w:val="clear" w:color="auto" w:fill="auto"/>
            <w:noWrap/>
            <w:vAlign w:val="center"/>
          </w:tcPr>
          <w:p w14:paraId="50148A42" w14:textId="7CB199CA"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93.9%</w:t>
            </w:r>
          </w:p>
        </w:tc>
        <w:tc>
          <w:tcPr>
            <w:tcW w:w="1260" w:type="dxa"/>
            <w:tcBorders>
              <w:top w:val="nil"/>
              <w:left w:val="nil"/>
              <w:bottom w:val="single" w:sz="4" w:space="0" w:color="000000"/>
              <w:right w:val="single" w:sz="4" w:space="0" w:color="000000"/>
            </w:tcBorders>
            <w:shd w:val="clear" w:color="auto" w:fill="auto"/>
            <w:noWrap/>
            <w:vAlign w:val="center"/>
          </w:tcPr>
          <w:p w14:paraId="3F08F1CC" w14:textId="3B8ADA7A" w:rsidR="00855AFF" w:rsidRPr="004A1A02" w:rsidRDefault="00E37CB6"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95.2%</w:t>
            </w:r>
          </w:p>
        </w:tc>
      </w:tr>
      <w:tr w:rsidR="00855AFF" w:rsidRPr="00F26259" w14:paraId="4ACAC9C2" w14:textId="77777777" w:rsidTr="00E74138">
        <w:trPr>
          <w:trHeight w:val="60"/>
          <w:jc w:val="center"/>
        </w:trPr>
        <w:tc>
          <w:tcPr>
            <w:tcW w:w="805" w:type="dxa"/>
            <w:tcBorders>
              <w:top w:val="nil"/>
              <w:left w:val="single" w:sz="4" w:space="0" w:color="000000"/>
              <w:bottom w:val="single" w:sz="4" w:space="0" w:color="000000"/>
              <w:right w:val="single" w:sz="4" w:space="0" w:color="000000"/>
            </w:tcBorders>
            <w:shd w:val="clear" w:color="auto" w:fill="auto"/>
            <w:noWrap/>
          </w:tcPr>
          <w:p w14:paraId="0697ED93" w14:textId="496B8351" w:rsidR="00855AFF" w:rsidRDefault="00DE58BD" w:rsidP="00C069A7">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CAHPS</w:t>
            </w:r>
          </w:p>
        </w:tc>
        <w:tc>
          <w:tcPr>
            <w:tcW w:w="9020" w:type="dxa"/>
            <w:tcBorders>
              <w:top w:val="nil"/>
              <w:left w:val="nil"/>
              <w:bottom w:val="single" w:sz="4" w:space="0" w:color="auto"/>
              <w:right w:val="single" w:sz="4" w:space="0" w:color="auto"/>
            </w:tcBorders>
            <w:shd w:val="clear" w:color="000000" w:fill="FFFFFF"/>
          </w:tcPr>
          <w:p w14:paraId="0D81D41B" w14:textId="421A2BAC" w:rsidR="00855AFF" w:rsidRPr="0062122F" w:rsidRDefault="00855AFF" w:rsidP="00A347DA">
            <w:pPr>
              <w:rPr>
                <w:rFonts w:eastAsia="Times New Roman" w:cs="Calibri"/>
                <w:color w:val="000000"/>
                <w:sz w:val="20"/>
                <w:szCs w:val="20"/>
              </w:rPr>
            </w:pPr>
            <w:r>
              <w:rPr>
                <w:rFonts w:eastAsia="Times New Roman" w:cs="Calibri"/>
                <w:color w:val="000000"/>
                <w:sz w:val="20"/>
                <w:szCs w:val="20"/>
              </w:rPr>
              <w:t>Customer Service</w:t>
            </w:r>
          </w:p>
        </w:tc>
        <w:tc>
          <w:tcPr>
            <w:tcW w:w="1350" w:type="dxa"/>
            <w:tcBorders>
              <w:top w:val="nil"/>
              <w:left w:val="nil"/>
              <w:bottom w:val="single" w:sz="4" w:space="0" w:color="auto"/>
              <w:right w:val="single" w:sz="4" w:space="0" w:color="auto"/>
            </w:tcBorders>
            <w:shd w:val="clear" w:color="auto" w:fill="F2F2F2" w:themeFill="background1" w:themeFillShade="F2"/>
            <w:noWrap/>
            <w:vAlign w:val="center"/>
          </w:tcPr>
          <w:p w14:paraId="48B2D006" w14:textId="75C873C2" w:rsidR="00855AFF" w:rsidRPr="004A1A02" w:rsidRDefault="00A347D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88.0%</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EE34336" w14:textId="4009C163" w:rsidR="00855AFF" w:rsidRPr="004A1A02" w:rsidRDefault="00A347D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86.8%</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F96179A" w14:textId="36BD997A" w:rsidR="00855AFF" w:rsidRPr="004A1A02" w:rsidRDefault="00A347DA" w:rsidP="0000782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86.8%</w:t>
            </w:r>
          </w:p>
        </w:tc>
        <w:tc>
          <w:tcPr>
            <w:tcW w:w="1350" w:type="dxa"/>
            <w:tcBorders>
              <w:top w:val="nil"/>
              <w:left w:val="nil"/>
              <w:bottom w:val="single" w:sz="4" w:space="0" w:color="000000"/>
              <w:right w:val="single" w:sz="4" w:space="0" w:color="000000"/>
            </w:tcBorders>
            <w:shd w:val="clear" w:color="auto" w:fill="auto"/>
            <w:noWrap/>
            <w:vAlign w:val="center"/>
          </w:tcPr>
          <w:p w14:paraId="7C14567E" w14:textId="175D3E5F" w:rsidR="00855AFF" w:rsidRPr="004A1A02" w:rsidRDefault="00E37CB6"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91.1%</w:t>
            </w:r>
          </w:p>
        </w:tc>
        <w:tc>
          <w:tcPr>
            <w:tcW w:w="1260" w:type="dxa"/>
            <w:tcBorders>
              <w:top w:val="nil"/>
              <w:left w:val="nil"/>
              <w:bottom w:val="single" w:sz="4" w:space="0" w:color="000000"/>
              <w:right w:val="single" w:sz="4" w:space="0" w:color="000000"/>
            </w:tcBorders>
            <w:shd w:val="clear" w:color="auto" w:fill="auto"/>
            <w:noWrap/>
            <w:vAlign w:val="center"/>
          </w:tcPr>
          <w:p w14:paraId="33472107" w14:textId="3AF47A73" w:rsidR="00855AFF" w:rsidRPr="004A1A02" w:rsidRDefault="00E37CB6" w:rsidP="0000782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92.2%</w:t>
            </w:r>
          </w:p>
        </w:tc>
      </w:tr>
    </w:tbl>
    <w:p w14:paraId="53172D10" w14:textId="1F651FF1" w:rsidR="00575EDC" w:rsidRDefault="00575EDC" w:rsidP="00723C99">
      <w:pPr>
        <w:tabs>
          <w:tab w:val="left" w:pos="4156"/>
        </w:tabs>
      </w:pPr>
    </w:p>
    <w:p w14:paraId="05872783" w14:textId="77777777" w:rsidR="00575EDC" w:rsidRDefault="00575EDC">
      <w:r>
        <w:br w:type="page"/>
      </w:r>
    </w:p>
    <w:p w14:paraId="7D181185" w14:textId="77777777" w:rsidR="007B3C6C" w:rsidRDefault="007B3C6C" w:rsidP="00723C99">
      <w:pPr>
        <w:tabs>
          <w:tab w:val="left" w:pos="4156"/>
        </w:tabs>
      </w:pPr>
    </w:p>
    <w:p w14:paraId="264EB0B3" w14:textId="22EF3B81" w:rsidR="008164F7" w:rsidRPr="008164F7" w:rsidRDefault="008164F7" w:rsidP="00723C99">
      <w:pPr>
        <w:tabs>
          <w:tab w:val="left" w:pos="4156"/>
        </w:tabs>
        <w:rPr>
          <w:b/>
          <w:bCs/>
        </w:rPr>
      </w:pPr>
      <w:r w:rsidRPr="008164F7">
        <w:rPr>
          <w:b/>
          <w:bCs/>
        </w:rPr>
        <w:t>Table C.2: Child Core Set Performance</w:t>
      </w:r>
    </w:p>
    <w:tbl>
      <w:tblPr>
        <w:tblW w:w="14014" w:type="dxa"/>
        <w:tblInd w:w="-5" w:type="dxa"/>
        <w:tblLook w:val="04A0" w:firstRow="1" w:lastRow="0" w:firstColumn="1" w:lastColumn="0" w:noHBand="0" w:noVBand="1"/>
      </w:tblPr>
      <w:tblGrid>
        <w:gridCol w:w="1170"/>
        <w:gridCol w:w="6930"/>
        <w:gridCol w:w="1080"/>
        <w:gridCol w:w="1170"/>
        <w:gridCol w:w="1170"/>
        <w:gridCol w:w="1350"/>
        <w:gridCol w:w="1144"/>
      </w:tblGrid>
      <w:tr w:rsidR="008164F7" w:rsidRPr="00F26259" w14:paraId="53F7673C" w14:textId="77777777" w:rsidTr="002A456F">
        <w:trPr>
          <w:trHeight w:val="290"/>
          <w:tblHeader/>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2294353" w14:textId="77777777" w:rsidR="008164F7" w:rsidRDefault="008164F7" w:rsidP="00575EDC">
            <w:pPr>
              <w:spacing w:after="0"/>
              <w:ind w:left="195" w:hanging="2070"/>
              <w:rPr>
                <w:rFonts w:eastAsia="Times New Roman" w:cs="Calibri"/>
                <w:b/>
                <w:bCs/>
                <w:color w:val="000000"/>
              </w:rPr>
            </w:pPr>
          </w:p>
          <w:p w14:paraId="3408C7E1" w14:textId="77777777" w:rsidR="008164F7" w:rsidRPr="00F26259" w:rsidRDefault="008164F7" w:rsidP="00F36CF3">
            <w:pPr>
              <w:spacing w:after="0"/>
              <w:ind w:hanging="30"/>
              <w:rPr>
                <w:rFonts w:eastAsia="Times New Roman" w:cs="Calibri"/>
                <w:b/>
                <w:bCs/>
                <w:color w:val="000000"/>
              </w:rPr>
            </w:pPr>
            <w:r w:rsidRPr="00F26259">
              <w:rPr>
                <w:rFonts w:eastAsia="Times New Roman" w:cs="Calibri"/>
                <w:b/>
                <w:bCs/>
                <w:color w:val="000000"/>
              </w:rPr>
              <w:t>Acronym</w:t>
            </w:r>
          </w:p>
        </w:tc>
        <w:tc>
          <w:tcPr>
            <w:tcW w:w="6930" w:type="dxa"/>
            <w:tcBorders>
              <w:top w:val="single" w:sz="4" w:space="0" w:color="auto"/>
              <w:left w:val="single" w:sz="4" w:space="0" w:color="auto"/>
              <w:bottom w:val="single" w:sz="4" w:space="0" w:color="auto"/>
              <w:right w:val="single" w:sz="4" w:space="0" w:color="auto"/>
            </w:tcBorders>
            <w:shd w:val="clear" w:color="auto" w:fill="auto"/>
            <w:noWrap/>
            <w:hideMark/>
          </w:tcPr>
          <w:p w14:paraId="4FE8DEF9" w14:textId="77777777" w:rsidR="008164F7" w:rsidRDefault="008164F7" w:rsidP="00EE745E">
            <w:pPr>
              <w:spacing w:after="0"/>
              <w:jc w:val="center"/>
              <w:rPr>
                <w:rFonts w:eastAsia="Times New Roman" w:cs="Calibri"/>
                <w:b/>
                <w:bCs/>
                <w:color w:val="000000"/>
              </w:rPr>
            </w:pPr>
          </w:p>
          <w:p w14:paraId="33BEE74D" w14:textId="77777777" w:rsidR="008164F7" w:rsidRPr="00F26259" w:rsidRDefault="008164F7" w:rsidP="00EE745E">
            <w:pPr>
              <w:spacing w:after="0"/>
              <w:jc w:val="center"/>
              <w:rPr>
                <w:rFonts w:eastAsia="Times New Roman" w:cs="Calibri"/>
                <w:b/>
                <w:bCs/>
                <w:color w:val="000000"/>
              </w:rPr>
            </w:pPr>
            <w:r w:rsidRPr="00F26259">
              <w:rPr>
                <w:rFonts w:eastAsia="Times New Roman" w:cs="Calibri"/>
                <w:b/>
                <w:bCs/>
                <w:color w:val="000000"/>
              </w:rPr>
              <w:t>Measure Description</w:t>
            </w:r>
          </w:p>
        </w:tc>
        <w:tc>
          <w:tcPr>
            <w:tcW w:w="1080" w:type="dxa"/>
            <w:tcBorders>
              <w:top w:val="single" w:sz="4" w:space="0" w:color="auto"/>
              <w:left w:val="single" w:sz="4" w:space="0" w:color="auto"/>
              <w:bottom w:val="single" w:sz="4" w:space="0" w:color="auto"/>
              <w:right w:val="single" w:sz="4" w:space="0" w:color="auto"/>
            </w:tcBorders>
            <w:shd w:val="clear" w:color="000000" w:fill="F2F2F2"/>
            <w:noWrap/>
            <w:hideMark/>
          </w:tcPr>
          <w:p w14:paraId="3DBC3D94" w14:textId="77777777" w:rsidR="008164F7" w:rsidRPr="00F26259" w:rsidRDefault="008164F7" w:rsidP="00EE745E">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Y2018</w:t>
            </w:r>
            <w:r>
              <w:rPr>
                <w:rFonts w:eastAsia="Times New Roman" w:cs="Calibri"/>
                <w:b/>
                <w:bCs/>
                <w:color w:val="000000"/>
              </w:rPr>
              <w:t xml:space="preserve"> Rates</w:t>
            </w:r>
          </w:p>
        </w:tc>
        <w:tc>
          <w:tcPr>
            <w:tcW w:w="1170" w:type="dxa"/>
            <w:tcBorders>
              <w:top w:val="single" w:sz="4" w:space="0" w:color="auto"/>
              <w:left w:val="single" w:sz="4" w:space="0" w:color="auto"/>
              <w:bottom w:val="single" w:sz="4" w:space="0" w:color="auto"/>
              <w:right w:val="single" w:sz="4" w:space="0" w:color="auto"/>
            </w:tcBorders>
            <w:shd w:val="clear" w:color="000000" w:fill="F2F2F2"/>
            <w:noWrap/>
            <w:hideMark/>
          </w:tcPr>
          <w:p w14:paraId="799330FA" w14:textId="77777777" w:rsidR="008164F7" w:rsidRPr="00F26259" w:rsidRDefault="008164F7" w:rsidP="00EE745E">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Y201</w:t>
            </w:r>
            <w:r>
              <w:rPr>
                <w:rFonts w:eastAsia="Times New Roman" w:cs="Calibri"/>
                <w:b/>
                <w:bCs/>
                <w:color w:val="000000"/>
              </w:rPr>
              <w:t>9 Rates</w:t>
            </w:r>
          </w:p>
        </w:tc>
        <w:tc>
          <w:tcPr>
            <w:tcW w:w="1170" w:type="dxa"/>
            <w:tcBorders>
              <w:top w:val="single" w:sz="4" w:space="0" w:color="auto"/>
              <w:left w:val="single" w:sz="4" w:space="0" w:color="auto"/>
              <w:bottom w:val="single" w:sz="4" w:space="0" w:color="auto"/>
              <w:right w:val="single" w:sz="4" w:space="0" w:color="auto"/>
            </w:tcBorders>
            <w:shd w:val="clear" w:color="000000" w:fill="F2F2F2"/>
            <w:noWrap/>
            <w:hideMark/>
          </w:tcPr>
          <w:p w14:paraId="1ECADB56" w14:textId="77777777" w:rsidR="008164F7" w:rsidRPr="00F26259" w:rsidRDefault="008164F7" w:rsidP="00EE745E">
            <w:pPr>
              <w:spacing w:after="0"/>
              <w:jc w:val="center"/>
              <w:rPr>
                <w:rFonts w:eastAsia="Times New Roman" w:cs="Calibri"/>
                <w:b/>
                <w:bCs/>
                <w:color w:val="000000"/>
              </w:rPr>
            </w:pPr>
            <w:r>
              <w:rPr>
                <w:rFonts w:eastAsia="Times New Roman" w:cs="Calibri"/>
                <w:b/>
                <w:bCs/>
                <w:color w:val="000000"/>
              </w:rPr>
              <w:t>M</w:t>
            </w:r>
            <w:r w:rsidRPr="00F26259">
              <w:rPr>
                <w:rFonts w:eastAsia="Times New Roman" w:cs="Calibri"/>
                <w:b/>
                <w:bCs/>
                <w:color w:val="000000"/>
              </w:rPr>
              <w:t>Y2020</w:t>
            </w:r>
            <w:r>
              <w:rPr>
                <w:rFonts w:eastAsia="Times New Roman" w:cs="Calibri"/>
                <w:b/>
                <w:bCs/>
                <w:color w:val="000000"/>
              </w:rPr>
              <w:t xml:space="preserv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74D3719" w14:textId="2B72EABE" w:rsidR="008164F7" w:rsidRPr="002B5108" w:rsidRDefault="00307FFE" w:rsidP="00EE745E">
            <w:pPr>
              <w:spacing w:after="0"/>
              <w:jc w:val="center"/>
              <w:rPr>
                <w:rFonts w:eastAsia="Times New Roman" w:cs="Calibri"/>
                <w:b/>
                <w:bCs/>
                <w:color w:val="000000"/>
              </w:rPr>
            </w:pPr>
            <w:r>
              <w:rPr>
                <w:rFonts w:eastAsia="Times New Roman" w:cs="Calibri"/>
                <w:b/>
                <w:bCs/>
                <w:color w:val="000000"/>
              </w:rPr>
              <w:t>National</w:t>
            </w:r>
            <w:r w:rsidR="008164F7">
              <w:rPr>
                <w:rFonts w:eastAsia="Times New Roman" w:cs="Calibri"/>
                <w:b/>
                <w:bCs/>
                <w:color w:val="000000"/>
              </w:rPr>
              <w:t xml:space="preserve"> 75</w:t>
            </w:r>
            <w:r w:rsidR="008164F7" w:rsidRPr="001F7E22">
              <w:rPr>
                <w:rFonts w:eastAsia="Times New Roman" w:cs="Calibri"/>
                <w:b/>
                <w:bCs/>
                <w:color w:val="000000"/>
                <w:vertAlign w:val="superscript"/>
              </w:rPr>
              <w:t>th</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1847B784" w14:textId="043DADD3" w:rsidR="008164F7" w:rsidRDefault="00307FFE" w:rsidP="00EE745E">
            <w:pPr>
              <w:spacing w:after="0"/>
              <w:jc w:val="center"/>
              <w:rPr>
                <w:rFonts w:eastAsia="Times New Roman" w:cs="Calibri"/>
                <w:b/>
                <w:bCs/>
                <w:color w:val="000000"/>
              </w:rPr>
            </w:pPr>
            <w:r>
              <w:rPr>
                <w:rFonts w:eastAsia="Times New Roman" w:cs="Calibri"/>
                <w:b/>
                <w:bCs/>
                <w:color w:val="000000"/>
              </w:rPr>
              <w:t>National</w:t>
            </w:r>
          </w:p>
          <w:p w14:paraId="1257F8FB" w14:textId="60DB966F" w:rsidR="008164F7" w:rsidRPr="002B5108" w:rsidRDefault="008164F7" w:rsidP="00EE745E">
            <w:pPr>
              <w:spacing w:after="0"/>
              <w:jc w:val="center"/>
              <w:rPr>
                <w:rFonts w:eastAsia="Times New Roman" w:cs="Calibri"/>
                <w:b/>
                <w:bCs/>
                <w:color w:val="000000"/>
              </w:rPr>
            </w:pPr>
            <w:r>
              <w:rPr>
                <w:rFonts w:eastAsia="Times New Roman" w:cs="Calibri"/>
                <w:b/>
                <w:bCs/>
                <w:color w:val="000000"/>
              </w:rPr>
              <w:t>90</w:t>
            </w:r>
            <w:r w:rsidRPr="001F7E22">
              <w:rPr>
                <w:rFonts w:eastAsia="Times New Roman" w:cs="Calibri"/>
                <w:b/>
                <w:bCs/>
                <w:color w:val="000000"/>
                <w:vertAlign w:val="superscript"/>
              </w:rPr>
              <w:t>th</w:t>
            </w:r>
          </w:p>
        </w:tc>
      </w:tr>
      <w:tr w:rsidR="002D1D2C" w:rsidRPr="00F26259" w14:paraId="5E1539DF"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428508D4" w14:textId="02A7192A" w:rsidR="002D1D2C" w:rsidRDefault="00AE3A7F" w:rsidP="00EE745E">
            <w:pPr>
              <w:spacing w:after="0"/>
              <w:jc w:val="center"/>
              <w:rPr>
                <w:rFonts w:cs="Calibri"/>
                <w:sz w:val="20"/>
                <w:szCs w:val="20"/>
              </w:rPr>
            </w:pPr>
            <w:r>
              <w:rPr>
                <w:rFonts w:cs="Calibri"/>
                <w:sz w:val="20"/>
                <w:szCs w:val="20"/>
              </w:rPr>
              <w:t>ADD</w:t>
            </w:r>
          </w:p>
        </w:tc>
        <w:tc>
          <w:tcPr>
            <w:tcW w:w="6930" w:type="dxa"/>
            <w:tcBorders>
              <w:top w:val="single" w:sz="4" w:space="0" w:color="auto"/>
              <w:left w:val="nil"/>
              <w:bottom w:val="single" w:sz="4" w:space="0" w:color="auto"/>
              <w:right w:val="single" w:sz="4" w:space="0" w:color="auto"/>
            </w:tcBorders>
            <w:shd w:val="clear" w:color="auto" w:fill="auto"/>
          </w:tcPr>
          <w:p w14:paraId="04B091A6" w14:textId="6A583732" w:rsidR="002D1D2C" w:rsidRPr="00737DF8" w:rsidRDefault="00737DF8" w:rsidP="00737DF8">
            <w:pPr>
              <w:rPr>
                <w:rFonts w:eastAsia="Times New Roman" w:cs="Calibri"/>
                <w:color w:val="000000"/>
                <w:sz w:val="20"/>
                <w:szCs w:val="20"/>
              </w:rPr>
            </w:pPr>
            <w:r w:rsidRPr="00737DF8">
              <w:rPr>
                <w:rFonts w:cs="Calibri"/>
                <w:color w:val="000000"/>
                <w:sz w:val="20"/>
                <w:szCs w:val="20"/>
              </w:rPr>
              <w:t>Follow-up Care for Children Prescribed Attention-Deficit/Hyperactivity Disorder (ADHD) Medication - Initiation</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4D03E9D" w14:textId="38561EE6" w:rsidR="002D1D2C"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49.3%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3FEAE14" w14:textId="3B305845" w:rsidR="002D1D2C"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53.0%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691314" w14:textId="17730363" w:rsidR="002D1D2C"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45.7%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60DA9A1" w14:textId="6129722B" w:rsidR="002D1D2C"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49.1%</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5314447" w14:textId="243DE475" w:rsidR="002D1D2C"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56%</w:t>
            </w:r>
          </w:p>
        </w:tc>
      </w:tr>
      <w:tr w:rsidR="00737DF8" w:rsidRPr="00F26259" w14:paraId="6A4B555C"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79F85B86" w14:textId="6F2CA84D" w:rsidR="00737DF8" w:rsidRDefault="00122C23" w:rsidP="00EE745E">
            <w:pPr>
              <w:spacing w:after="0"/>
              <w:jc w:val="center"/>
              <w:rPr>
                <w:rFonts w:cs="Calibri"/>
                <w:sz w:val="20"/>
                <w:szCs w:val="20"/>
              </w:rPr>
            </w:pPr>
            <w:r>
              <w:rPr>
                <w:rFonts w:cs="Calibri"/>
                <w:sz w:val="20"/>
                <w:szCs w:val="20"/>
              </w:rPr>
              <w:t>ADD</w:t>
            </w:r>
          </w:p>
        </w:tc>
        <w:tc>
          <w:tcPr>
            <w:tcW w:w="6930" w:type="dxa"/>
            <w:tcBorders>
              <w:top w:val="single" w:sz="4" w:space="0" w:color="auto"/>
              <w:left w:val="nil"/>
              <w:bottom w:val="single" w:sz="4" w:space="0" w:color="auto"/>
              <w:right w:val="single" w:sz="4" w:space="0" w:color="auto"/>
            </w:tcBorders>
            <w:shd w:val="clear" w:color="auto" w:fill="auto"/>
          </w:tcPr>
          <w:p w14:paraId="47DC18CB" w14:textId="554A77DE" w:rsidR="00737DF8" w:rsidRPr="00737DF8" w:rsidRDefault="00737DF8" w:rsidP="00737DF8">
            <w:pPr>
              <w:rPr>
                <w:rFonts w:eastAsia="Times New Roman" w:cs="Calibri"/>
                <w:color w:val="000000"/>
                <w:sz w:val="20"/>
                <w:szCs w:val="20"/>
              </w:rPr>
            </w:pPr>
            <w:r w:rsidRPr="00737DF8">
              <w:rPr>
                <w:rFonts w:cs="Calibri"/>
                <w:color w:val="000000"/>
                <w:sz w:val="20"/>
                <w:szCs w:val="20"/>
              </w:rPr>
              <w:t xml:space="preserve">Follow-up Care for Children Prescribed Attention-Deficit/Hyperactivity Disorder (ADHD) Medication </w:t>
            </w:r>
            <w:r>
              <w:rPr>
                <w:rFonts w:cs="Calibri"/>
                <w:color w:val="000000"/>
                <w:sz w:val="20"/>
                <w:szCs w:val="20"/>
              </w:rPr>
              <w:t>- Continuation</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1AFF9FD" w14:textId="5B730FB8"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62.3%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163B5F" w14:textId="59C3D100"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64.0%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F08AE5" w14:textId="46E44F17"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54.8%</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90D55CC" w14:textId="6585E0EF"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62.4%</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7FA14E72" w14:textId="579608C3"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67.6%</w:t>
            </w:r>
          </w:p>
        </w:tc>
      </w:tr>
      <w:tr w:rsidR="00AE3A7F" w:rsidRPr="00F26259" w14:paraId="1DE74373"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7EB9537" w14:textId="12EA9675" w:rsidR="00AE3A7F" w:rsidRDefault="00062291" w:rsidP="00EE745E">
            <w:pPr>
              <w:spacing w:after="0"/>
              <w:jc w:val="center"/>
              <w:rPr>
                <w:rFonts w:cs="Calibri"/>
                <w:sz w:val="20"/>
                <w:szCs w:val="20"/>
              </w:rPr>
            </w:pPr>
            <w:r>
              <w:rPr>
                <w:rFonts w:cs="Calibri"/>
                <w:sz w:val="20"/>
                <w:szCs w:val="20"/>
              </w:rPr>
              <w:t>AMB-ED</w:t>
            </w:r>
          </w:p>
        </w:tc>
        <w:tc>
          <w:tcPr>
            <w:tcW w:w="6930" w:type="dxa"/>
            <w:tcBorders>
              <w:top w:val="single" w:sz="4" w:space="0" w:color="auto"/>
              <w:left w:val="nil"/>
              <w:bottom w:val="single" w:sz="4" w:space="0" w:color="auto"/>
              <w:right w:val="single" w:sz="4" w:space="0" w:color="auto"/>
            </w:tcBorders>
            <w:shd w:val="clear" w:color="auto" w:fill="auto"/>
          </w:tcPr>
          <w:p w14:paraId="53C85EF5" w14:textId="653C585C" w:rsidR="00AE3A7F" w:rsidRDefault="00E20D79" w:rsidP="00EE745E">
            <w:pPr>
              <w:spacing w:after="0"/>
              <w:rPr>
                <w:rFonts w:cs="Calibri"/>
                <w:sz w:val="20"/>
                <w:szCs w:val="20"/>
              </w:rPr>
            </w:pPr>
            <w:r>
              <w:rPr>
                <w:rFonts w:cs="Calibri"/>
                <w:sz w:val="20"/>
                <w:szCs w:val="20"/>
              </w:rPr>
              <w:t>Ambulatory Care</w:t>
            </w:r>
            <w:r w:rsidR="002A456F">
              <w:rPr>
                <w:rFonts w:cs="Calibri"/>
                <w:sz w:val="20"/>
                <w:szCs w:val="20"/>
              </w:rPr>
              <w:t xml:space="preserve"> - </w:t>
            </w:r>
            <w:r>
              <w:rPr>
                <w:rFonts w:cs="Calibri"/>
                <w:sz w:val="20"/>
                <w:szCs w:val="20"/>
              </w:rPr>
              <w:t xml:space="preserve"> </w:t>
            </w:r>
            <w:r w:rsidR="00244EB8">
              <w:rPr>
                <w:rFonts w:cs="Calibri"/>
                <w:sz w:val="20"/>
                <w:szCs w:val="20"/>
              </w:rPr>
              <w:t>Emergency Department Visits</w:t>
            </w:r>
            <w:r w:rsidR="002A456F">
              <w:rPr>
                <w:rFonts w:cs="Calibri"/>
                <w:sz w:val="20"/>
                <w:szCs w:val="20"/>
              </w:rPr>
              <w:t xml:space="preserve">: </w:t>
            </w:r>
            <w:r>
              <w:rPr>
                <w:rFonts w:cs="Calibri"/>
                <w:sz w:val="20"/>
                <w:szCs w:val="20"/>
              </w:rPr>
              <w:t xml:space="preserve"> </w:t>
            </w:r>
            <w:r w:rsidR="007E7771">
              <w:rPr>
                <w:rFonts w:cs="Calibri"/>
                <w:sz w:val="20"/>
                <w:szCs w:val="20"/>
              </w:rPr>
              <w:t>&lt;1 year</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8EFC022" w14:textId="3193257D" w:rsidR="00AE3A7F"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89/1000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AABE1B" w14:textId="70AB0927" w:rsidR="00AE3A7F"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90.6/1000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4BDEE9" w14:textId="2526C98D" w:rsidR="00AE3A7F"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49.8/1000</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6B366F5" w14:textId="40D0D90E" w:rsidR="00AE3A7F"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B81CECC" w14:textId="1F91E51D" w:rsidR="00AE3A7F"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737DF8" w:rsidRPr="00F26259" w14:paraId="412BFDF0"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D2CA5E7" w14:textId="7AE8FBFF" w:rsidR="00737DF8" w:rsidRDefault="00062291" w:rsidP="00EE745E">
            <w:pPr>
              <w:spacing w:after="0"/>
              <w:jc w:val="center"/>
              <w:rPr>
                <w:rFonts w:cs="Calibri"/>
                <w:sz w:val="20"/>
                <w:szCs w:val="20"/>
              </w:rPr>
            </w:pPr>
            <w:r>
              <w:rPr>
                <w:rFonts w:cs="Calibri"/>
                <w:sz w:val="20"/>
                <w:szCs w:val="20"/>
              </w:rPr>
              <w:t>AMB-ED</w:t>
            </w:r>
          </w:p>
        </w:tc>
        <w:tc>
          <w:tcPr>
            <w:tcW w:w="6930" w:type="dxa"/>
            <w:tcBorders>
              <w:top w:val="single" w:sz="4" w:space="0" w:color="auto"/>
              <w:left w:val="nil"/>
              <w:bottom w:val="single" w:sz="4" w:space="0" w:color="auto"/>
              <w:right w:val="single" w:sz="4" w:space="0" w:color="auto"/>
            </w:tcBorders>
            <w:shd w:val="clear" w:color="auto" w:fill="auto"/>
          </w:tcPr>
          <w:p w14:paraId="04E546F8" w14:textId="2355C39A" w:rsidR="00737DF8" w:rsidRDefault="00244EB8" w:rsidP="00EE745E">
            <w:pPr>
              <w:spacing w:after="0"/>
              <w:rPr>
                <w:rFonts w:cs="Calibri"/>
                <w:sz w:val="20"/>
                <w:szCs w:val="20"/>
              </w:rPr>
            </w:pPr>
            <w:r>
              <w:rPr>
                <w:rFonts w:cs="Calibri"/>
                <w:sz w:val="20"/>
                <w:szCs w:val="20"/>
              </w:rPr>
              <w:t>Ambulatory Care</w:t>
            </w:r>
            <w:r w:rsidR="002A456F">
              <w:rPr>
                <w:rFonts w:cs="Calibri"/>
                <w:sz w:val="20"/>
                <w:szCs w:val="20"/>
              </w:rPr>
              <w:t xml:space="preserve"> -</w:t>
            </w:r>
            <w:r>
              <w:rPr>
                <w:rFonts w:cs="Calibri"/>
                <w:sz w:val="20"/>
                <w:szCs w:val="20"/>
              </w:rPr>
              <w:t xml:space="preserve"> Emergency Department Visits</w:t>
            </w:r>
            <w:r w:rsidR="00122C23">
              <w:rPr>
                <w:rFonts w:cs="Calibri"/>
                <w:sz w:val="20"/>
                <w:szCs w:val="20"/>
              </w:rPr>
              <w:t xml:space="preserve">: </w:t>
            </w:r>
            <w:r w:rsidR="007E7771">
              <w:rPr>
                <w:rFonts w:cs="Calibri"/>
                <w:sz w:val="20"/>
                <w:szCs w:val="20"/>
              </w:rPr>
              <w:t>1-9 years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AE04679" w14:textId="4D1381C1"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44.8/1000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FC7A81" w14:textId="30BE09A3"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43.8/1000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F48C17" w14:textId="0BA1A563"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23.4/1000</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8AF3767" w14:textId="53A44240"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24ED5D96" w14:textId="7824A6B4"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737DF8" w:rsidRPr="00F26259" w14:paraId="76593229"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4109D197" w14:textId="51558C53" w:rsidR="00737DF8" w:rsidRDefault="00062291" w:rsidP="00EE745E">
            <w:pPr>
              <w:spacing w:after="0"/>
              <w:jc w:val="center"/>
              <w:rPr>
                <w:rFonts w:cs="Calibri"/>
                <w:sz w:val="20"/>
                <w:szCs w:val="20"/>
              </w:rPr>
            </w:pPr>
            <w:r>
              <w:rPr>
                <w:rFonts w:cs="Calibri"/>
                <w:sz w:val="20"/>
                <w:szCs w:val="20"/>
              </w:rPr>
              <w:t>AMB-ED</w:t>
            </w:r>
          </w:p>
        </w:tc>
        <w:tc>
          <w:tcPr>
            <w:tcW w:w="6930" w:type="dxa"/>
            <w:tcBorders>
              <w:top w:val="single" w:sz="4" w:space="0" w:color="auto"/>
              <w:left w:val="nil"/>
              <w:bottom w:val="single" w:sz="4" w:space="0" w:color="auto"/>
              <w:right w:val="single" w:sz="4" w:space="0" w:color="auto"/>
            </w:tcBorders>
            <w:shd w:val="clear" w:color="auto" w:fill="auto"/>
          </w:tcPr>
          <w:p w14:paraId="30BA73FC" w14:textId="28F757CF" w:rsidR="00737DF8" w:rsidRDefault="006A4822" w:rsidP="00EE745E">
            <w:pPr>
              <w:spacing w:after="0"/>
              <w:rPr>
                <w:rFonts w:cs="Calibri"/>
                <w:sz w:val="20"/>
                <w:szCs w:val="20"/>
              </w:rPr>
            </w:pPr>
            <w:r>
              <w:rPr>
                <w:rFonts w:cs="Calibri"/>
                <w:sz w:val="20"/>
                <w:szCs w:val="20"/>
              </w:rPr>
              <w:t>Ambulatory</w:t>
            </w:r>
            <w:r w:rsidR="00244EB8">
              <w:rPr>
                <w:rFonts w:cs="Calibri"/>
                <w:sz w:val="20"/>
                <w:szCs w:val="20"/>
              </w:rPr>
              <w:t xml:space="preserve"> Care</w:t>
            </w:r>
            <w:r w:rsidR="002A456F">
              <w:rPr>
                <w:rFonts w:cs="Calibri"/>
                <w:sz w:val="20"/>
                <w:szCs w:val="20"/>
              </w:rPr>
              <w:t>:</w:t>
            </w:r>
            <w:r w:rsidR="00244EB8">
              <w:rPr>
                <w:rFonts w:cs="Calibri"/>
                <w:sz w:val="20"/>
                <w:szCs w:val="20"/>
              </w:rPr>
              <w:t xml:space="preserve"> Emergency Department Visits</w:t>
            </w:r>
            <w:r w:rsidR="00122C23">
              <w:rPr>
                <w:rFonts w:cs="Calibri"/>
                <w:sz w:val="20"/>
                <w:szCs w:val="20"/>
              </w:rPr>
              <w:t xml:space="preserve">: </w:t>
            </w:r>
            <w:r w:rsidR="007E7771">
              <w:rPr>
                <w:rFonts w:cs="Calibri"/>
                <w:sz w:val="20"/>
                <w:szCs w:val="20"/>
              </w:rPr>
              <w:t>10-19 years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C005420" w14:textId="42EC5318"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34.1/1000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A837B4" w14:textId="6792DCB2"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33.5/1000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6DB367" w14:textId="7A4832BB"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20.7/1000</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6886D68" w14:textId="21DCE775"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AD9F357" w14:textId="7AF739CE" w:rsidR="00737DF8" w:rsidRPr="004A1A02" w:rsidRDefault="00CA62DC"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AE3A7F" w:rsidRPr="00F26259" w14:paraId="476608CF" w14:textId="77777777" w:rsidTr="002A456F">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4B866DF8" w14:textId="77777777" w:rsidR="00AE3A7F" w:rsidRPr="00F26259" w:rsidRDefault="00AE3A7F" w:rsidP="00EE745E">
            <w:pPr>
              <w:spacing w:after="0"/>
              <w:jc w:val="center"/>
              <w:rPr>
                <w:rFonts w:asciiTheme="minorHAnsi" w:eastAsia="Times New Roman" w:hAnsiTheme="minorHAnsi" w:cstheme="minorHAnsi"/>
                <w:color w:val="000000"/>
                <w:sz w:val="20"/>
                <w:szCs w:val="20"/>
              </w:rPr>
            </w:pPr>
            <w:r>
              <w:rPr>
                <w:rFonts w:cs="Calibri"/>
                <w:color w:val="000000"/>
                <w:sz w:val="20"/>
                <w:szCs w:val="20"/>
              </w:rPr>
              <w:t>AMR</w:t>
            </w:r>
          </w:p>
        </w:tc>
        <w:tc>
          <w:tcPr>
            <w:tcW w:w="6930" w:type="dxa"/>
            <w:tcBorders>
              <w:top w:val="nil"/>
              <w:left w:val="nil"/>
              <w:bottom w:val="single" w:sz="4" w:space="0" w:color="auto"/>
              <w:right w:val="single" w:sz="4" w:space="0" w:color="auto"/>
            </w:tcBorders>
            <w:shd w:val="clear" w:color="auto" w:fill="auto"/>
          </w:tcPr>
          <w:p w14:paraId="7F35A5B2" w14:textId="1212CA4C" w:rsidR="00AE3A7F" w:rsidRPr="00F26259" w:rsidRDefault="00AE3A7F" w:rsidP="00EE745E">
            <w:pPr>
              <w:spacing w:after="0"/>
              <w:rPr>
                <w:rFonts w:asciiTheme="minorHAnsi" w:eastAsia="Times New Roman" w:hAnsiTheme="minorHAnsi" w:cstheme="minorHAnsi"/>
                <w:sz w:val="20"/>
                <w:szCs w:val="20"/>
              </w:rPr>
            </w:pPr>
            <w:r>
              <w:rPr>
                <w:rFonts w:cs="Calibri"/>
                <w:sz w:val="20"/>
                <w:szCs w:val="20"/>
              </w:rPr>
              <w:t>Asthma Medication Ratio</w:t>
            </w:r>
            <w:r w:rsidR="007E7771">
              <w:rPr>
                <w:rFonts w:cs="Calibri"/>
                <w:sz w:val="20"/>
                <w:szCs w:val="20"/>
              </w:rPr>
              <w:t xml:space="preserve">: Ages 5 </w:t>
            </w:r>
            <w:r w:rsidR="00546475">
              <w:rPr>
                <w:rFonts w:cs="Calibri"/>
                <w:sz w:val="20"/>
                <w:szCs w:val="20"/>
              </w:rPr>
              <w:t>-11</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8229F5D" w14:textId="4ACB0259" w:rsidR="00AE3A7F" w:rsidRPr="004A1A02" w:rsidRDefault="008272DA" w:rsidP="008272DA">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67.1%</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3489CCE" w14:textId="71188E57" w:rsidR="00AE3A7F" w:rsidRPr="004A1A02" w:rsidRDefault="008272DA" w:rsidP="008272DA">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64.7%</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48BDD" w14:textId="4C6E0801" w:rsidR="00AE3A7F" w:rsidRPr="004A1A02" w:rsidRDefault="008272DA" w:rsidP="008272DA">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73.8%</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0666F09" w14:textId="0DD72EB2" w:rsidR="00AE3A7F" w:rsidRPr="004A1A02" w:rsidRDefault="008272DA" w:rsidP="008272DA">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82.5%</w:t>
            </w:r>
          </w:p>
        </w:tc>
        <w:tc>
          <w:tcPr>
            <w:tcW w:w="1144" w:type="dxa"/>
            <w:tcBorders>
              <w:top w:val="nil"/>
              <w:left w:val="nil"/>
              <w:bottom w:val="single" w:sz="4" w:space="0" w:color="000000"/>
              <w:right w:val="single" w:sz="4" w:space="0" w:color="000000"/>
            </w:tcBorders>
            <w:shd w:val="clear" w:color="auto" w:fill="auto"/>
            <w:noWrap/>
            <w:vAlign w:val="center"/>
          </w:tcPr>
          <w:p w14:paraId="74BE6643" w14:textId="1210DDD8" w:rsidR="00AE3A7F" w:rsidRPr="004A1A02" w:rsidRDefault="008272DA" w:rsidP="008272DA">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85.1%</w:t>
            </w:r>
          </w:p>
        </w:tc>
      </w:tr>
      <w:tr w:rsidR="007E7771" w:rsidRPr="00F26259" w14:paraId="06D73DC2"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1D2BC0C5" w14:textId="65781590" w:rsidR="007E7771" w:rsidRDefault="00062291" w:rsidP="00EE745E">
            <w:pPr>
              <w:spacing w:after="0"/>
              <w:jc w:val="center"/>
              <w:rPr>
                <w:rFonts w:cs="Calibri"/>
                <w:sz w:val="20"/>
                <w:szCs w:val="20"/>
              </w:rPr>
            </w:pPr>
            <w:r>
              <w:rPr>
                <w:rFonts w:cs="Calibri"/>
                <w:color w:val="000000"/>
                <w:sz w:val="20"/>
                <w:szCs w:val="20"/>
              </w:rPr>
              <w:t>AMR</w:t>
            </w:r>
          </w:p>
        </w:tc>
        <w:tc>
          <w:tcPr>
            <w:tcW w:w="6930" w:type="dxa"/>
            <w:tcBorders>
              <w:top w:val="single" w:sz="4" w:space="0" w:color="auto"/>
              <w:left w:val="nil"/>
              <w:bottom w:val="single" w:sz="4" w:space="0" w:color="auto"/>
              <w:right w:val="single" w:sz="4" w:space="0" w:color="auto"/>
            </w:tcBorders>
            <w:shd w:val="clear" w:color="auto" w:fill="auto"/>
          </w:tcPr>
          <w:p w14:paraId="328F11FF" w14:textId="0CBF25E2" w:rsidR="007E7771" w:rsidRDefault="00546475" w:rsidP="00EE745E">
            <w:pPr>
              <w:spacing w:after="0"/>
              <w:rPr>
                <w:rFonts w:cs="Calibri"/>
                <w:sz w:val="20"/>
                <w:szCs w:val="20"/>
              </w:rPr>
            </w:pPr>
            <w:r>
              <w:rPr>
                <w:rFonts w:cs="Calibri"/>
                <w:sz w:val="20"/>
                <w:szCs w:val="20"/>
              </w:rPr>
              <w:t xml:space="preserve">Asthma Medication Ratio: </w:t>
            </w:r>
            <w:r w:rsidR="007E7771">
              <w:rPr>
                <w:rFonts w:cs="Calibri"/>
                <w:sz w:val="20"/>
                <w:szCs w:val="20"/>
              </w:rPr>
              <w:t>Ages 12-18</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5B2219A" w14:textId="7CCE324D" w:rsidR="007E7771" w:rsidRPr="004A1A02" w:rsidRDefault="008272DA" w:rsidP="008272DA">
            <w:pPr>
              <w:spacing w:after="0"/>
              <w:jc w:val="center"/>
              <w:rPr>
                <w:rFonts w:asciiTheme="minorHAnsi" w:hAnsiTheme="minorHAnsi" w:cstheme="minorHAnsi"/>
                <w:sz w:val="20"/>
                <w:szCs w:val="20"/>
              </w:rPr>
            </w:pPr>
            <w:r w:rsidRPr="004A1A02">
              <w:rPr>
                <w:rFonts w:asciiTheme="minorHAnsi" w:hAnsiTheme="minorHAnsi" w:cstheme="minorHAnsi"/>
                <w:sz w:val="20"/>
                <w:szCs w:val="20"/>
              </w:rPr>
              <w:t>63.6%</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BFF31B" w14:textId="2976F13F" w:rsidR="007E7771" w:rsidRPr="004A1A02" w:rsidRDefault="008272DA" w:rsidP="008272DA">
            <w:pPr>
              <w:spacing w:after="0"/>
              <w:jc w:val="center"/>
              <w:rPr>
                <w:rFonts w:asciiTheme="minorHAnsi" w:hAnsiTheme="minorHAnsi" w:cstheme="minorHAnsi"/>
                <w:sz w:val="20"/>
                <w:szCs w:val="20"/>
              </w:rPr>
            </w:pPr>
            <w:r w:rsidRPr="004A1A02">
              <w:rPr>
                <w:rFonts w:asciiTheme="minorHAnsi" w:hAnsiTheme="minorHAnsi" w:cstheme="minorHAnsi"/>
                <w:sz w:val="20"/>
                <w:szCs w:val="20"/>
              </w:rPr>
              <w:t>58.3%</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DE0457" w14:textId="06B790DB" w:rsidR="007E7771" w:rsidRPr="004A1A02" w:rsidRDefault="008272DA" w:rsidP="008272DA">
            <w:pPr>
              <w:spacing w:after="0"/>
              <w:jc w:val="center"/>
              <w:rPr>
                <w:rFonts w:asciiTheme="minorHAnsi" w:hAnsiTheme="minorHAnsi" w:cstheme="minorHAnsi"/>
                <w:sz w:val="20"/>
                <w:szCs w:val="20"/>
              </w:rPr>
            </w:pPr>
            <w:r w:rsidRPr="004A1A02">
              <w:rPr>
                <w:rFonts w:asciiTheme="minorHAnsi" w:hAnsiTheme="minorHAnsi" w:cstheme="minorHAnsi"/>
                <w:sz w:val="20"/>
                <w:szCs w:val="20"/>
              </w:rPr>
              <w:t>65.1%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B59338E" w14:textId="35AF384B" w:rsidR="007E7771" w:rsidRPr="004A1A02" w:rsidRDefault="008272DA" w:rsidP="008272DA">
            <w:pPr>
              <w:spacing w:after="0"/>
              <w:jc w:val="center"/>
              <w:rPr>
                <w:rFonts w:asciiTheme="minorHAnsi" w:hAnsiTheme="minorHAnsi" w:cstheme="minorHAnsi"/>
                <w:sz w:val="20"/>
                <w:szCs w:val="20"/>
              </w:rPr>
            </w:pPr>
            <w:r w:rsidRPr="004A1A02">
              <w:rPr>
                <w:rFonts w:asciiTheme="minorHAnsi" w:hAnsiTheme="minorHAnsi" w:cstheme="minorHAnsi"/>
                <w:sz w:val="20"/>
                <w:szCs w:val="20"/>
              </w:rPr>
              <w:t>73.8%</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81BA008" w14:textId="462A8584" w:rsidR="007E7771" w:rsidRPr="004A1A02" w:rsidRDefault="008272DA" w:rsidP="008272DA">
            <w:pPr>
              <w:spacing w:after="0"/>
              <w:jc w:val="center"/>
              <w:rPr>
                <w:rFonts w:asciiTheme="minorHAnsi" w:hAnsiTheme="minorHAnsi" w:cstheme="minorHAnsi"/>
                <w:sz w:val="20"/>
                <w:szCs w:val="20"/>
              </w:rPr>
            </w:pPr>
            <w:r w:rsidRPr="004A1A02">
              <w:rPr>
                <w:rFonts w:asciiTheme="minorHAnsi" w:hAnsiTheme="minorHAnsi" w:cstheme="minorHAnsi"/>
                <w:sz w:val="20"/>
                <w:szCs w:val="20"/>
              </w:rPr>
              <w:t>78%</w:t>
            </w:r>
          </w:p>
        </w:tc>
      </w:tr>
      <w:tr w:rsidR="00AE3A7F" w:rsidRPr="008272DA" w14:paraId="51C496CC" w14:textId="77777777" w:rsidTr="002A456F">
        <w:trPr>
          <w:trHeight w:val="476"/>
        </w:trPr>
        <w:tc>
          <w:tcPr>
            <w:tcW w:w="1170" w:type="dxa"/>
            <w:tcBorders>
              <w:top w:val="nil"/>
              <w:left w:val="single" w:sz="4" w:space="0" w:color="000000"/>
              <w:bottom w:val="single" w:sz="4" w:space="0" w:color="000000"/>
              <w:right w:val="single" w:sz="4" w:space="0" w:color="000000"/>
            </w:tcBorders>
            <w:shd w:val="clear" w:color="auto" w:fill="auto"/>
            <w:noWrap/>
          </w:tcPr>
          <w:p w14:paraId="3E527F1A" w14:textId="77777777" w:rsidR="00AE3A7F" w:rsidRPr="00F26259" w:rsidRDefault="00AE3A7F" w:rsidP="00EE745E">
            <w:pPr>
              <w:spacing w:after="0"/>
              <w:jc w:val="center"/>
              <w:rPr>
                <w:rFonts w:asciiTheme="minorHAnsi" w:eastAsia="Times New Roman" w:hAnsiTheme="minorHAnsi" w:cstheme="minorHAnsi"/>
                <w:color w:val="000000"/>
                <w:sz w:val="20"/>
                <w:szCs w:val="20"/>
              </w:rPr>
            </w:pPr>
            <w:r>
              <w:rPr>
                <w:rFonts w:cs="Calibri"/>
                <w:color w:val="000000"/>
                <w:sz w:val="20"/>
                <w:szCs w:val="20"/>
              </w:rPr>
              <w:t>APM</w:t>
            </w:r>
          </w:p>
        </w:tc>
        <w:tc>
          <w:tcPr>
            <w:tcW w:w="6930" w:type="dxa"/>
            <w:tcBorders>
              <w:top w:val="nil"/>
              <w:left w:val="nil"/>
              <w:bottom w:val="single" w:sz="4" w:space="0" w:color="auto"/>
              <w:right w:val="single" w:sz="4" w:space="0" w:color="auto"/>
            </w:tcBorders>
            <w:shd w:val="clear" w:color="auto" w:fill="auto"/>
          </w:tcPr>
          <w:p w14:paraId="7DE2E919" w14:textId="77777777" w:rsidR="00AE3A7F" w:rsidRPr="00F26259" w:rsidRDefault="00AE3A7F" w:rsidP="00EE745E">
            <w:pPr>
              <w:spacing w:after="0"/>
              <w:rPr>
                <w:rFonts w:asciiTheme="minorHAnsi" w:eastAsia="Times New Roman" w:hAnsiTheme="minorHAnsi" w:cstheme="minorHAnsi"/>
                <w:sz w:val="20"/>
                <w:szCs w:val="20"/>
              </w:rPr>
            </w:pPr>
            <w:r>
              <w:rPr>
                <w:rFonts w:cs="Calibri"/>
                <w:sz w:val="20"/>
                <w:szCs w:val="20"/>
              </w:rPr>
              <w:t>Metabolic Monitoring for Children and Adolescents on Antipsychotics </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0515706D" w14:textId="57AFFE6E" w:rsidR="00AE3A7F" w:rsidRPr="004A1A02" w:rsidRDefault="008272DA"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37.9%</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2286C151" w14:textId="77777777" w:rsidR="00AE3A7F" w:rsidRPr="004A1A02" w:rsidRDefault="00AE3A7F"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47.6%</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26B3115A" w14:textId="77777777" w:rsidR="00AE3A7F" w:rsidRPr="004A1A02" w:rsidRDefault="00AE3A7F"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36.5%</w:t>
            </w:r>
          </w:p>
        </w:tc>
        <w:tc>
          <w:tcPr>
            <w:tcW w:w="1350" w:type="dxa"/>
            <w:tcBorders>
              <w:top w:val="nil"/>
              <w:left w:val="nil"/>
              <w:bottom w:val="single" w:sz="4" w:space="0" w:color="000000"/>
              <w:right w:val="single" w:sz="4" w:space="0" w:color="000000"/>
            </w:tcBorders>
            <w:shd w:val="clear" w:color="auto" w:fill="auto"/>
            <w:noWrap/>
          </w:tcPr>
          <w:p w14:paraId="3EAD63C4" w14:textId="07CBD1F4" w:rsidR="00FE628F" w:rsidRPr="004A1A02" w:rsidRDefault="00FE628F" w:rsidP="00022925">
            <w:pPr>
              <w:spacing w:after="0"/>
              <w:jc w:val="center"/>
              <w:rPr>
                <w:rFonts w:asciiTheme="minorHAnsi" w:hAnsiTheme="minorHAnsi" w:cstheme="minorHAnsi"/>
                <w:sz w:val="20"/>
                <w:szCs w:val="20"/>
              </w:rPr>
            </w:pPr>
            <w:r w:rsidRPr="004A1A02">
              <w:rPr>
                <w:rFonts w:asciiTheme="minorHAnsi" w:hAnsiTheme="minorHAnsi" w:cstheme="minorHAnsi"/>
                <w:sz w:val="20"/>
                <w:szCs w:val="20"/>
              </w:rPr>
              <w:t>36.8%</w:t>
            </w:r>
          </w:p>
        </w:tc>
        <w:tc>
          <w:tcPr>
            <w:tcW w:w="1144" w:type="dxa"/>
            <w:tcBorders>
              <w:top w:val="nil"/>
              <w:left w:val="nil"/>
              <w:bottom w:val="single" w:sz="4" w:space="0" w:color="000000"/>
              <w:right w:val="single" w:sz="4" w:space="0" w:color="000000"/>
            </w:tcBorders>
            <w:shd w:val="clear" w:color="auto" w:fill="auto"/>
            <w:noWrap/>
          </w:tcPr>
          <w:p w14:paraId="1CD92747" w14:textId="7FDACBDD" w:rsidR="00FE628F" w:rsidRPr="004A1A02" w:rsidRDefault="00FE628F" w:rsidP="00022925">
            <w:pPr>
              <w:spacing w:after="0"/>
              <w:jc w:val="center"/>
              <w:rPr>
                <w:rFonts w:asciiTheme="minorHAnsi" w:hAnsiTheme="minorHAnsi" w:cstheme="minorHAnsi"/>
                <w:color w:val="FF0000"/>
                <w:sz w:val="20"/>
                <w:szCs w:val="20"/>
                <w:highlight w:val="cyan"/>
              </w:rPr>
            </w:pPr>
            <w:r w:rsidRPr="004A1A02">
              <w:rPr>
                <w:rFonts w:asciiTheme="minorHAnsi" w:hAnsiTheme="minorHAnsi" w:cstheme="minorHAnsi"/>
                <w:sz w:val="20"/>
                <w:szCs w:val="20"/>
              </w:rPr>
              <w:t>44.6%</w:t>
            </w:r>
          </w:p>
        </w:tc>
      </w:tr>
      <w:tr w:rsidR="00AE3A7F" w:rsidRPr="00F26259" w14:paraId="5F31FDEC"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32C98B1" w14:textId="17568695" w:rsidR="00AE3A7F" w:rsidRDefault="00AE3A7F" w:rsidP="00EE745E">
            <w:pPr>
              <w:spacing w:after="0"/>
              <w:jc w:val="center"/>
              <w:rPr>
                <w:rFonts w:cs="Calibri"/>
                <w:sz w:val="20"/>
                <w:szCs w:val="20"/>
              </w:rPr>
            </w:pPr>
            <w:r>
              <w:rPr>
                <w:rFonts w:cs="Calibri"/>
                <w:sz w:val="20"/>
                <w:szCs w:val="20"/>
              </w:rPr>
              <w:t>APP</w:t>
            </w:r>
          </w:p>
        </w:tc>
        <w:tc>
          <w:tcPr>
            <w:tcW w:w="6930" w:type="dxa"/>
            <w:tcBorders>
              <w:top w:val="single" w:sz="4" w:space="0" w:color="auto"/>
              <w:left w:val="nil"/>
              <w:bottom w:val="single" w:sz="4" w:space="0" w:color="auto"/>
              <w:right w:val="single" w:sz="4" w:space="0" w:color="auto"/>
            </w:tcBorders>
            <w:shd w:val="clear" w:color="auto" w:fill="auto"/>
          </w:tcPr>
          <w:p w14:paraId="60EA63B0" w14:textId="38AEEB6D" w:rsidR="00AE3A7F" w:rsidRPr="007E7771" w:rsidRDefault="007E7771" w:rsidP="007E7771">
            <w:pPr>
              <w:rPr>
                <w:rFonts w:eastAsia="Times New Roman" w:cs="Calibri"/>
                <w:color w:val="000000"/>
                <w:sz w:val="20"/>
                <w:szCs w:val="20"/>
              </w:rPr>
            </w:pPr>
            <w:r w:rsidRPr="007E7771">
              <w:rPr>
                <w:rFonts w:cs="Calibri"/>
                <w:color w:val="000000"/>
                <w:sz w:val="20"/>
                <w:szCs w:val="20"/>
              </w:rPr>
              <w:t>Use of First-Line Psychosocial Care for Children and Adolescents on Antipsychotics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AFF4948" w14:textId="1DA7DDAE" w:rsidR="00AE3A7F" w:rsidRPr="004A1A02" w:rsidRDefault="00C42A7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76.7%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AB20AD" w14:textId="68ACC481" w:rsidR="00AE3A7F" w:rsidRPr="004A1A02" w:rsidRDefault="00C42A7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80.1%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117EAB" w14:textId="3CFAF823" w:rsidR="00AE3A7F" w:rsidRPr="004A1A02" w:rsidRDefault="00C42A7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76.3%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35163A" w14:textId="55A20F9C" w:rsidR="00AE3A7F" w:rsidRPr="004A1A02" w:rsidRDefault="00C42A7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69.4%</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7A27A12" w14:textId="54D542B2" w:rsidR="00AE3A7F" w:rsidRPr="004A1A02" w:rsidRDefault="00C42A7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76.3%</w:t>
            </w:r>
          </w:p>
        </w:tc>
      </w:tr>
      <w:tr w:rsidR="00546475" w:rsidRPr="00F26259" w14:paraId="1927F68A" w14:textId="77777777" w:rsidTr="002A456F">
        <w:trPr>
          <w:trHeight w:val="269"/>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EC7770C" w14:textId="72DCE9E7" w:rsidR="00546475" w:rsidRDefault="00A60DE4" w:rsidP="00EE745E">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752EEB76" w14:textId="5671D219" w:rsidR="00546475" w:rsidRPr="00546475" w:rsidRDefault="00A60DE4" w:rsidP="00546475">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00546475" w:rsidRPr="00546475">
              <w:rPr>
                <w:rFonts w:cs="Calibri"/>
                <w:color w:val="000000"/>
                <w:sz w:val="20"/>
                <w:szCs w:val="20"/>
              </w:rPr>
              <w:t>Most/Moderate - 3 days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240C017C" w14:textId="23E70860"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7.8%</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A1B002" w14:textId="4E22C7B5"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11.0%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EA4540" w14:textId="18E46697"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14.1%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A6F59EE" w14:textId="7DCEFD18"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0CD9C359" w14:textId="4179D377"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546475" w:rsidRPr="00F26259" w14:paraId="21FFA4A7"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38011FFB" w14:textId="3FB0548D" w:rsidR="00546475" w:rsidRDefault="00A60DE4" w:rsidP="00EE745E">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1E34A39F" w14:textId="5FEAD486" w:rsidR="00546475" w:rsidRPr="00546475" w:rsidRDefault="00F311B2" w:rsidP="00546475">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00546475" w:rsidRPr="00546475">
              <w:rPr>
                <w:rFonts w:cs="Calibri"/>
                <w:color w:val="000000"/>
                <w:sz w:val="20"/>
                <w:szCs w:val="20"/>
              </w:rPr>
              <w:t>Most/Moderate - 60 days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475D085" w14:textId="4FC5112C"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49.2%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CD5C48" w14:textId="2D628DD6"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50.0%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9E117" w14:textId="335B9045"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49.7%</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61D0C45" w14:textId="4971A427"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736C6F88" w14:textId="214726C8"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546475" w:rsidRPr="00F26259" w14:paraId="616EFEDD"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F4F2172" w14:textId="7D2CA2BF" w:rsidR="00546475" w:rsidRDefault="00A60DE4" w:rsidP="00EE745E">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69C2CF2E" w14:textId="5FEFC0F2" w:rsidR="00546475" w:rsidRPr="00546475" w:rsidRDefault="00F311B2" w:rsidP="00546475">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00546475" w:rsidRPr="00546475">
              <w:rPr>
                <w:rFonts w:cs="Calibri"/>
                <w:color w:val="000000"/>
                <w:sz w:val="20"/>
                <w:szCs w:val="20"/>
              </w:rPr>
              <w:t>LARC - 3 days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7192FD76" w14:textId="4BC85162"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5.2%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128B55" w14:textId="341A4EE8"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7.2%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5781245" w14:textId="0778BA4A"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10.1%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A61CB78" w14:textId="56354046"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34C76B60" w14:textId="2B9BEBF2"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546475" w:rsidRPr="00F26259" w14:paraId="53FCFB4A"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044C4BA0" w14:textId="7A4EEDF3" w:rsidR="00546475" w:rsidRDefault="00A60DE4" w:rsidP="00EE745E">
            <w:pPr>
              <w:spacing w:after="0"/>
              <w:jc w:val="center"/>
              <w:rPr>
                <w:rFonts w:cs="Calibri"/>
                <w:sz w:val="20"/>
                <w:szCs w:val="20"/>
              </w:rPr>
            </w:pPr>
            <w:r>
              <w:rPr>
                <w:rFonts w:cs="Calibri"/>
                <w:sz w:val="20"/>
                <w:szCs w:val="20"/>
              </w:rPr>
              <w:t>CCP</w:t>
            </w:r>
          </w:p>
        </w:tc>
        <w:tc>
          <w:tcPr>
            <w:tcW w:w="6930" w:type="dxa"/>
            <w:tcBorders>
              <w:top w:val="single" w:sz="4" w:space="0" w:color="auto"/>
              <w:left w:val="nil"/>
              <w:bottom w:val="single" w:sz="4" w:space="0" w:color="auto"/>
              <w:right w:val="single" w:sz="4" w:space="0" w:color="auto"/>
            </w:tcBorders>
            <w:shd w:val="clear" w:color="auto" w:fill="auto"/>
          </w:tcPr>
          <w:p w14:paraId="7DFDF118" w14:textId="4A37AE01" w:rsidR="00546475" w:rsidRPr="00546475" w:rsidRDefault="00F311B2" w:rsidP="00546475">
            <w:pPr>
              <w:rPr>
                <w:rFonts w:eastAsia="Times New Roman" w:cs="Calibri"/>
                <w:color w:val="000000"/>
                <w:sz w:val="20"/>
                <w:szCs w:val="20"/>
              </w:rPr>
            </w:pPr>
            <w:r w:rsidRPr="00546475">
              <w:rPr>
                <w:rFonts w:cs="Calibri"/>
                <w:color w:val="000000"/>
                <w:sz w:val="20"/>
                <w:szCs w:val="20"/>
              </w:rPr>
              <w:t>Contraceptive Care Postpartum Women Ages 15 to 20</w:t>
            </w:r>
            <w:r>
              <w:rPr>
                <w:rFonts w:cs="Calibri"/>
                <w:color w:val="000000"/>
                <w:sz w:val="20"/>
                <w:szCs w:val="20"/>
              </w:rPr>
              <w:t xml:space="preserve">: </w:t>
            </w:r>
            <w:r w:rsidR="00546475" w:rsidRPr="00546475">
              <w:rPr>
                <w:rFonts w:cs="Calibri"/>
                <w:color w:val="000000"/>
                <w:sz w:val="20"/>
                <w:szCs w:val="20"/>
              </w:rPr>
              <w:t>LARC - 60 days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21719DC" w14:textId="5275F71F"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23.1%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47D561" w14:textId="1BC255D0"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24.8%</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D1B684" w14:textId="1ECF4AB8"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25.3%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153BC58" w14:textId="70C1BD41"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46D665D" w14:textId="64A7C2BE" w:rsidR="00546475"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AE3A7F" w:rsidRPr="00F26259" w14:paraId="67D45A7D"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266ACD93" w14:textId="3AC29E62" w:rsidR="00AE3A7F" w:rsidRDefault="00AE3A7F" w:rsidP="00EE745E">
            <w:pPr>
              <w:spacing w:after="0"/>
              <w:jc w:val="center"/>
              <w:rPr>
                <w:rFonts w:cs="Calibri"/>
                <w:sz w:val="20"/>
                <w:szCs w:val="20"/>
              </w:rPr>
            </w:pPr>
            <w:r>
              <w:rPr>
                <w:rFonts w:cs="Calibri"/>
                <w:sz w:val="20"/>
                <w:szCs w:val="20"/>
              </w:rPr>
              <w:t>CCW</w:t>
            </w:r>
          </w:p>
        </w:tc>
        <w:tc>
          <w:tcPr>
            <w:tcW w:w="6930" w:type="dxa"/>
            <w:tcBorders>
              <w:top w:val="single" w:sz="4" w:space="0" w:color="auto"/>
              <w:left w:val="nil"/>
              <w:bottom w:val="single" w:sz="4" w:space="0" w:color="auto"/>
              <w:right w:val="single" w:sz="4" w:space="0" w:color="auto"/>
            </w:tcBorders>
            <w:shd w:val="clear" w:color="auto" w:fill="auto"/>
          </w:tcPr>
          <w:p w14:paraId="74274AA3" w14:textId="77777777" w:rsidR="00546475" w:rsidRPr="00546475" w:rsidRDefault="00546475" w:rsidP="00546475">
            <w:pPr>
              <w:rPr>
                <w:rFonts w:eastAsia="Times New Roman" w:cs="Calibri"/>
                <w:color w:val="000000"/>
                <w:sz w:val="20"/>
                <w:szCs w:val="20"/>
              </w:rPr>
            </w:pPr>
            <w:r w:rsidRPr="00546475">
              <w:rPr>
                <w:rFonts w:cs="Calibri"/>
                <w:color w:val="000000"/>
                <w:sz w:val="20"/>
                <w:szCs w:val="20"/>
              </w:rPr>
              <w:t xml:space="preserve">Contraceptive Care - All Women Ages 15 to 20  </w:t>
            </w:r>
          </w:p>
          <w:p w14:paraId="6A5D4BC7" w14:textId="68D6A05E" w:rsidR="00AE3A7F" w:rsidRPr="00546475" w:rsidRDefault="00546475" w:rsidP="00EE745E">
            <w:pPr>
              <w:spacing w:after="0"/>
              <w:rPr>
                <w:rFonts w:cs="Calibri"/>
                <w:sz w:val="20"/>
                <w:szCs w:val="20"/>
              </w:rPr>
            </w:pPr>
            <w:r w:rsidRPr="00546475">
              <w:rPr>
                <w:rFonts w:cs="Calibri"/>
                <w:sz w:val="20"/>
                <w:szCs w:val="20"/>
              </w:rPr>
              <w:t>Most/Moderate</w:t>
            </w:r>
            <w:r>
              <w:rPr>
                <w:rFonts w:cs="Calibri"/>
                <w:sz w:val="20"/>
                <w:szCs w:val="20"/>
              </w:rPr>
              <w:t xml:space="preserve"> Effective Methods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8310728" w14:textId="7EED482E" w:rsidR="00AE3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32.0%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BEC58A8" w14:textId="4A1B95C9" w:rsidR="00AE3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19.8%</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11F7AE" w14:textId="3C584C4A" w:rsidR="00AE3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13.3%</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D578F19" w14:textId="649B56C9" w:rsidR="00AE3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3199775" w14:textId="33B4C913" w:rsidR="00AE3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C42A7F" w:rsidRPr="00F26259" w14:paraId="448ADA10"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3F8C3A0C" w14:textId="2E55CABA" w:rsidR="00C42A7F" w:rsidRDefault="00C42A7F" w:rsidP="00EE745E">
            <w:pPr>
              <w:spacing w:after="0"/>
              <w:jc w:val="center"/>
              <w:rPr>
                <w:rFonts w:cs="Calibri"/>
                <w:sz w:val="20"/>
                <w:szCs w:val="20"/>
              </w:rPr>
            </w:pPr>
            <w:r>
              <w:rPr>
                <w:rFonts w:cs="Calibri"/>
                <w:sz w:val="20"/>
                <w:szCs w:val="20"/>
              </w:rPr>
              <w:t>CDF</w:t>
            </w:r>
          </w:p>
        </w:tc>
        <w:tc>
          <w:tcPr>
            <w:tcW w:w="6930" w:type="dxa"/>
            <w:tcBorders>
              <w:top w:val="single" w:sz="4" w:space="0" w:color="auto"/>
              <w:left w:val="nil"/>
              <w:bottom w:val="single" w:sz="4" w:space="0" w:color="auto"/>
              <w:right w:val="single" w:sz="4" w:space="0" w:color="auto"/>
            </w:tcBorders>
            <w:shd w:val="clear" w:color="auto" w:fill="auto"/>
          </w:tcPr>
          <w:p w14:paraId="019BA997" w14:textId="55A1959A" w:rsidR="00C42A7F" w:rsidRPr="00C42A7F" w:rsidRDefault="00C42A7F" w:rsidP="00546475">
            <w:pPr>
              <w:rPr>
                <w:rFonts w:eastAsia="Times New Roman" w:cs="Calibri"/>
                <w:color w:val="000000"/>
                <w:sz w:val="20"/>
                <w:szCs w:val="20"/>
              </w:rPr>
            </w:pPr>
            <w:r w:rsidRPr="00C42A7F">
              <w:rPr>
                <w:rFonts w:cs="Calibri"/>
                <w:color w:val="000000"/>
                <w:sz w:val="20"/>
                <w:szCs w:val="20"/>
              </w:rPr>
              <w:t>Screening for Depression and Follow-up Plan:  Ages 12-17</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4BC5C76B" w14:textId="5D7891AA" w:rsidR="00C42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NR</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802B3C" w14:textId="52F1B08D" w:rsidR="00C42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51.1%</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07A086" w14:textId="06820579" w:rsidR="00C42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41.1%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4A5F4BE" w14:textId="5F706E14" w:rsidR="00C42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1DAB027B" w14:textId="4F1472FE" w:rsidR="00C42A7F" w:rsidRPr="004A1A02" w:rsidRDefault="00C42A7F" w:rsidP="00C42A7F">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AE3A7F" w:rsidRPr="00F26259" w14:paraId="332FF85D"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55A182CA" w14:textId="4B839965" w:rsidR="00AE3A7F" w:rsidRDefault="00AE3A7F" w:rsidP="00EE745E">
            <w:pPr>
              <w:spacing w:after="0"/>
              <w:jc w:val="center"/>
              <w:rPr>
                <w:rFonts w:cs="Calibri"/>
                <w:sz w:val="20"/>
                <w:szCs w:val="20"/>
              </w:rPr>
            </w:pPr>
            <w:r>
              <w:rPr>
                <w:rFonts w:cs="Calibri"/>
                <w:sz w:val="20"/>
                <w:szCs w:val="20"/>
              </w:rPr>
              <w:t>CHL</w:t>
            </w:r>
          </w:p>
        </w:tc>
        <w:tc>
          <w:tcPr>
            <w:tcW w:w="6930" w:type="dxa"/>
            <w:tcBorders>
              <w:top w:val="single" w:sz="4" w:space="0" w:color="auto"/>
              <w:left w:val="nil"/>
              <w:bottom w:val="single" w:sz="4" w:space="0" w:color="auto"/>
              <w:right w:val="single" w:sz="4" w:space="0" w:color="auto"/>
            </w:tcBorders>
            <w:shd w:val="clear" w:color="auto" w:fill="auto"/>
          </w:tcPr>
          <w:p w14:paraId="30236D61" w14:textId="61A1DA48" w:rsidR="00AE3A7F" w:rsidRPr="00546475" w:rsidRDefault="00546475" w:rsidP="00546475">
            <w:pPr>
              <w:rPr>
                <w:rFonts w:eastAsia="Times New Roman" w:cs="Calibri"/>
                <w:color w:val="000000"/>
                <w:sz w:val="20"/>
                <w:szCs w:val="20"/>
              </w:rPr>
            </w:pPr>
            <w:r w:rsidRPr="00546475">
              <w:rPr>
                <w:rFonts w:cs="Calibri"/>
                <w:color w:val="000000"/>
                <w:sz w:val="20"/>
                <w:szCs w:val="20"/>
              </w:rPr>
              <w:t xml:space="preserve">Chlamydia Screening in Women Ages 16 to 20 </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A27EE97" w14:textId="693EEEE8" w:rsidR="00AE3A7F" w:rsidRPr="004A1A02" w:rsidRDefault="00284CD8"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71.9%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F8F437" w14:textId="274ED7C7" w:rsidR="00AE3A7F" w:rsidRPr="004A1A02" w:rsidRDefault="00284CD8"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71.9%</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BDC843" w14:textId="7E37AFDC" w:rsidR="00AE3A7F" w:rsidRPr="004A1A02" w:rsidRDefault="00284CD8"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63.4%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8B8637E" w14:textId="5236FBEA" w:rsidR="00AE3A7F" w:rsidRPr="004A1A02" w:rsidRDefault="00284CD8"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58.8%</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14CDB89C" w14:textId="38EC1ECB" w:rsidR="00AE3A7F" w:rsidRPr="004A1A02" w:rsidRDefault="00284CD8"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65.3%</w:t>
            </w:r>
          </w:p>
        </w:tc>
      </w:tr>
      <w:tr w:rsidR="008164F7" w:rsidRPr="00F26259" w14:paraId="76176A4F"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55404F86" w14:textId="34E5678F" w:rsidR="008164F7" w:rsidRPr="00A9231F" w:rsidRDefault="008164F7" w:rsidP="00EE745E">
            <w:pPr>
              <w:spacing w:after="0"/>
              <w:jc w:val="center"/>
              <w:rPr>
                <w:rFonts w:asciiTheme="minorHAnsi" w:eastAsia="Times New Roman" w:hAnsiTheme="minorHAnsi" w:cstheme="minorHAnsi"/>
                <w:color w:val="000000"/>
                <w:sz w:val="20"/>
                <w:szCs w:val="20"/>
              </w:rPr>
            </w:pPr>
            <w:r w:rsidRPr="00A9231F">
              <w:rPr>
                <w:rFonts w:cs="Calibri"/>
                <w:sz w:val="20"/>
                <w:szCs w:val="20"/>
              </w:rPr>
              <w:t>CIS</w:t>
            </w:r>
          </w:p>
        </w:tc>
        <w:tc>
          <w:tcPr>
            <w:tcW w:w="6930" w:type="dxa"/>
            <w:tcBorders>
              <w:top w:val="single" w:sz="4" w:space="0" w:color="auto"/>
              <w:left w:val="nil"/>
              <w:bottom w:val="single" w:sz="4" w:space="0" w:color="auto"/>
              <w:right w:val="single" w:sz="4" w:space="0" w:color="auto"/>
            </w:tcBorders>
            <w:shd w:val="clear" w:color="auto" w:fill="auto"/>
          </w:tcPr>
          <w:p w14:paraId="1F37A2A5" w14:textId="77777777" w:rsidR="008164F7" w:rsidRPr="00A9231F" w:rsidRDefault="008164F7" w:rsidP="00EE745E">
            <w:pPr>
              <w:spacing w:after="0"/>
              <w:rPr>
                <w:rFonts w:asciiTheme="minorHAnsi" w:eastAsia="Times New Roman" w:hAnsiTheme="minorHAnsi" w:cstheme="minorHAnsi"/>
                <w:sz w:val="20"/>
                <w:szCs w:val="20"/>
              </w:rPr>
            </w:pPr>
            <w:r w:rsidRPr="00A9231F">
              <w:rPr>
                <w:rFonts w:cs="Calibri"/>
                <w:sz w:val="20"/>
                <w:szCs w:val="20"/>
              </w:rPr>
              <w:t>Childhood Immunization Status (combo 10)</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34675B0D"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50.6%</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1CC3A8"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49.2%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8AFE3C"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52.1%</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D484DE4" w14:textId="5F7C65F4" w:rsidR="008164F7" w:rsidRPr="004A1A02" w:rsidRDefault="008164F7"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45.5%</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69E0F4AC" w14:textId="42601C9B" w:rsidR="008164F7" w:rsidRPr="004A1A02" w:rsidRDefault="008164F7"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53.6%</w:t>
            </w:r>
          </w:p>
        </w:tc>
      </w:tr>
      <w:tr w:rsidR="00AE3A7F" w:rsidRPr="00F26259" w14:paraId="52D463F5" w14:textId="77777777" w:rsidTr="002A456F">
        <w:trPr>
          <w:trHeight w:val="215"/>
        </w:trPr>
        <w:tc>
          <w:tcPr>
            <w:tcW w:w="1170" w:type="dxa"/>
            <w:tcBorders>
              <w:top w:val="single" w:sz="4" w:space="0" w:color="auto"/>
              <w:left w:val="single" w:sz="4" w:space="0" w:color="000000"/>
              <w:bottom w:val="single" w:sz="4" w:space="0" w:color="000000"/>
              <w:right w:val="single" w:sz="4" w:space="0" w:color="000000"/>
            </w:tcBorders>
            <w:shd w:val="clear" w:color="auto" w:fill="auto"/>
            <w:noWrap/>
          </w:tcPr>
          <w:p w14:paraId="6FF83DC2" w14:textId="32B31AC3" w:rsidR="00AE3A7F" w:rsidRDefault="00AE3A7F" w:rsidP="00EE745E">
            <w:pPr>
              <w:spacing w:after="0"/>
              <w:jc w:val="center"/>
              <w:rPr>
                <w:rFonts w:cs="Calibri"/>
                <w:sz w:val="20"/>
                <w:szCs w:val="20"/>
              </w:rPr>
            </w:pPr>
            <w:r>
              <w:rPr>
                <w:rFonts w:cs="Calibri"/>
                <w:sz w:val="20"/>
                <w:szCs w:val="20"/>
              </w:rPr>
              <w:t>DEV</w:t>
            </w:r>
          </w:p>
        </w:tc>
        <w:tc>
          <w:tcPr>
            <w:tcW w:w="6930" w:type="dxa"/>
            <w:tcBorders>
              <w:top w:val="single" w:sz="4" w:space="0" w:color="auto"/>
              <w:left w:val="nil"/>
              <w:bottom w:val="single" w:sz="4" w:space="0" w:color="auto"/>
              <w:right w:val="single" w:sz="4" w:space="0" w:color="auto"/>
            </w:tcBorders>
            <w:shd w:val="clear" w:color="auto" w:fill="auto"/>
          </w:tcPr>
          <w:p w14:paraId="21662E7E" w14:textId="3E944A93" w:rsidR="00AE3A7F" w:rsidRPr="00546475" w:rsidRDefault="00546475" w:rsidP="00546475">
            <w:pPr>
              <w:rPr>
                <w:rFonts w:eastAsia="Times New Roman" w:cs="Calibri"/>
                <w:color w:val="000000"/>
                <w:sz w:val="20"/>
                <w:szCs w:val="20"/>
              </w:rPr>
            </w:pPr>
            <w:r w:rsidRPr="00546475">
              <w:rPr>
                <w:rFonts w:cs="Calibri"/>
                <w:color w:val="000000"/>
                <w:sz w:val="20"/>
                <w:szCs w:val="20"/>
              </w:rPr>
              <w:t>Developmental Screening in the First Three Years of Life</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8126AB8" w14:textId="7093EE2F" w:rsidR="00AE3A7F" w:rsidRPr="004A1A02" w:rsidRDefault="0043717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78.0%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94F19B" w14:textId="5DBA0CFB" w:rsidR="00AE3A7F" w:rsidRPr="004A1A02" w:rsidRDefault="0043717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059C33" w14:textId="7304773D" w:rsidR="00AE3A7F" w:rsidRPr="004A1A02" w:rsidRDefault="0043717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71.4%</w:t>
            </w:r>
          </w:p>
        </w:tc>
        <w:tc>
          <w:tcPr>
            <w:tcW w:w="1350"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18464904" w14:textId="1C286393" w:rsidR="00AE3A7F" w:rsidRPr="004A1A02" w:rsidRDefault="0043717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c>
          <w:tcPr>
            <w:tcW w:w="1144" w:type="dxa"/>
            <w:tcBorders>
              <w:top w:val="single" w:sz="4" w:space="0" w:color="auto"/>
              <w:left w:val="nil"/>
              <w:bottom w:val="single" w:sz="4" w:space="0" w:color="000000"/>
              <w:right w:val="single" w:sz="4" w:space="0" w:color="000000"/>
            </w:tcBorders>
            <w:shd w:val="clear" w:color="auto" w:fill="auto"/>
            <w:noWrap/>
            <w:vAlign w:val="center"/>
          </w:tcPr>
          <w:p w14:paraId="5B6BD4ED" w14:textId="67ECF9A4" w:rsidR="00AE3A7F" w:rsidRPr="004A1A02" w:rsidRDefault="0043717A"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NA</w:t>
            </w:r>
          </w:p>
        </w:tc>
      </w:tr>
      <w:tr w:rsidR="00AE3A7F" w:rsidRPr="00E868BD" w14:paraId="2F006112" w14:textId="77777777" w:rsidTr="002A456F">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13A9D47B" w14:textId="149DD536" w:rsidR="00AE3A7F" w:rsidRPr="00F26259" w:rsidRDefault="00AE3A7F" w:rsidP="00EE745E">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6930" w:type="dxa"/>
            <w:tcBorders>
              <w:top w:val="nil"/>
              <w:left w:val="nil"/>
              <w:bottom w:val="single" w:sz="4" w:space="0" w:color="auto"/>
              <w:right w:val="single" w:sz="4" w:space="0" w:color="auto"/>
            </w:tcBorders>
            <w:shd w:val="clear" w:color="auto" w:fill="auto"/>
          </w:tcPr>
          <w:p w14:paraId="7549410E" w14:textId="71FACDFB" w:rsidR="00AE3A7F" w:rsidRPr="00F26259" w:rsidRDefault="00AE3A7F" w:rsidP="00EE745E">
            <w:pPr>
              <w:spacing w:after="0"/>
              <w:rPr>
                <w:rFonts w:asciiTheme="minorHAnsi" w:eastAsia="Times New Roman" w:hAnsiTheme="minorHAnsi" w:cstheme="minorHAnsi"/>
                <w:sz w:val="20"/>
                <w:szCs w:val="20"/>
              </w:rPr>
            </w:pPr>
            <w:r>
              <w:rPr>
                <w:rFonts w:cs="Calibri"/>
                <w:sz w:val="20"/>
                <w:szCs w:val="20"/>
              </w:rPr>
              <w:t>Follow-Up After Hospitalization for Mental Illness</w:t>
            </w:r>
            <w:r w:rsidR="00546475">
              <w:rPr>
                <w:rFonts w:cs="Calibri"/>
                <w:sz w:val="20"/>
                <w:szCs w:val="20"/>
              </w:rPr>
              <w:t xml:space="preserve"> – </w:t>
            </w:r>
            <w:r w:rsidR="006420AC">
              <w:rPr>
                <w:rFonts w:cs="Calibri"/>
                <w:sz w:val="20"/>
                <w:szCs w:val="20"/>
              </w:rPr>
              <w:t>7 days</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1651B624" w14:textId="50FC7F40"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60.2%</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7C546E3" w14:textId="4FBE82CE"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55.7%</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63D5B11" w14:textId="69FB0F06"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59.6%</w:t>
            </w:r>
          </w:p>
        </w:tc>
        <w:tc>
          <w:tcPr>
            <w:tcW w:w="1350" w:type="dxa"/>
            <w:tcBorders>
              <w:top w:val="nil"/>
              <w:left w:val="nil"/>
              <w:bottom w:val="single" w:sz="4" w:space="0" w:color="000000"/>
              <w:right w:val="single" w:sz="4" w:space="0" w:color="000000"/>
            </w:tcBorders>
            <w:shd w:val="clear" w:color="auto" w:fill="auto"/>
            <w:noWrap/>
            <w:vAlign w:val="center"/>
          </w:tcPr>
          <w:p w14:paraId="3ADB6488" w14:textId="38CCA803" w:rsidR="00AE3A7F" w:rsidRPr="004A1A02" w:rsidRDefault="00E11113" w:rsidP="00E11113">
            <w:pPr>
              <w:spacing w:after="0"/>
              <w:jc w:val="center"/>
              <w:rPr>
                <w:rFonts w:asciiTheme="minorHAnsi" w:hAnsiTheme="minorHAnsi" w:cstheme="minorHAnsi"/>
                <w:sz w:val="20"/>
                <w:szCs w:val="20"/>
              </w:rPr>
            </w:pPr>
            <w:r w:rsidRPr="004A1A02">
              <w:rPr>
                <w:rFonts w:asciiTheme="minorHAnsi" w:hAnsiTheme="minorHAnsi" w:cstheme="minorHAnsi"/>
                <w:sz w:val="20"/>
                <w:szCs w:val="20"/>
              </w:rPr>
              <w:t>58.3%</w:t>
            </w:r>
          </w:p>
        </w:tc>
        <w:tc>
          <w:tcPr>
            <w:tcW w:w="1144" w:type="dxa"/>
            <w:tcBorders>
              <w:top w:val="nil"/>
              <w:left w:val="nil"/>
              <w:bottom w:val="single" w:sz="4" w:space="0" w:color="000000"/>
              <w:right w:val="single" w:sz="4" w:space="0" w:color="000000"/>
            </w:tcBorders>
            <w:shd w:val="clear" w:color="auto" w:fill="auto"/>
            <w:noWrap/>
            <w:vAlign w:val="center"/>
          </w:tcPr>
          <w:p w14:paraId="0DAC8894" w14:textId="0BEB72F9" w:rsidR="00AE3A7F" w:rsidRPr="004A1A02" w:rsidRDefault="00E11113" w:rsidP="00E11113">
            <w:pPr>
              <w:spacing w:after="0"/>
              <w:jc w:val="center"/>
              <w:rPr>
                <w:rFonts w:asciiTheme="minorHAnsi" w:hAnsiTheme="minorHAnsi" w:cstheme="minorHAnsi"/>
                <w:sz w:val="20"/>
                <w:szCs w:val="20"/>
              </w:rPr>
            </w:pPr>
            <w:r w:rsidRPr="004A1A02">
              <w:rPr>
                <w:rFonts w:asciiTheme="minorHAnsi" w:hAnsiTheme="minorHAnsi" w:cstheme="minorHAnsi"/>
                <w:sz w:val="20"/>
                <w:szCs w:val="20"/>
              </w:rPr>
              <w:t>68.0%</w:t>
            </w:r>
          </w:p>
        </w:tc>
      </w:tr>
      <w:tr w:rsidR="00AE3A7F" w:rsidRPr="00F26259" w14:paraId="1FB3C91E" w14:textId="77777777" w:rsidTr="002A456F">
        <w:trPr>
          <w:trHeight w:val="606"/>
        </w:trPr>
        <w:tc>
          <w:tcPr>
            <w:tcW w:w="1170" w:type="dxa"/>
            <w:tcBorders>
              <w:top w:val="nil"/>
              <w:left w:val="single" w:sz="4" w:space="0" w:color="000000"/>
              <w:bottom w:val="single" w:sz="4" w:space="0" w:color="000000"/>
              <w:right w:val="single" w:sz="4" w:space="0" w:color="000000"/>
            </w:tcBorders>
            <w:shd w:val="clear" w:color="auto" w:fill="auto"/>
            <w:noWrap/>
          </w:tcPr>
          <w:p w14:paraId="5FA05AC1" w14:textId="1E1C0C4A" w:rsidR="00AE3A7F" w:rsidRPr="00F26259" w:rsidRDefault="00F311B2" w:rsidP="00F311B2">
            <w:pPr>
              <w:spacing w:after="0"/>
              <w:jc w:val="center"/>
              <w:rPr>
                <w:rFonts w:asciiTheme="minorHAnsi" w:eastAsia="Times New Roman" w:hAnsiTheme="minorHAnsi" w:cstheme="minorHAnsi"/>
                <w:color w:val="000000"/>
                <w:sz w:val="20"/>
                <w:szCs w:val="20"/>
              </w:rPr>
            </w:pPr>
            <w:r>
              <w:rPr>
                <w:rFonts w:cs="Calibri"/>
                <w:color w:val="000000"/>
                <w:sz w:val="20"/>
                <w:szCs w:val="20"/>
              </w:rPr>
              <w:t>FUH</w:t>
            </w:r>
          </w:p>
        </w:tc>
        <w:tc>
          <w:tcPr>
            <w:tcW w:w="6930" w:type="dxa"/>
            <w:tcBorders>
              <w:top w:val="nil"/>
              <w:left w:val="nil"/>
              <w:bottom w:val="single" w:sz="4" w:space="0" w:color="auto"/>
              <w:right w:val="single" w:sz="4" w:space="0" w:color="auto"/>
            </w:tcBorders>
            <w:shd w:val="clear" w:color="auto" w:fill="auto"/>
          </w:tcPr>
          <w:p w14:paraId="25C67CD3" w14:textId="3F5576B7" w:rsidR="00AE3A7F" w:rsidRPr="00F26259" w:rsidRDefault="00AE3A7F" w:rsidP="00EE745E">
            <w:pPr>
              <w:spacing w:after="0"/>
              <w:rPr>
                <w:rFonts w:asciiTheme="minorHAnsi" w:eastAsia="Times New Roman" w:hAnsiTheme="minorHAnsi" w:cstheme="minorHAnsi"/>
                <w:sz w:val="20"/>
                <w:szCs w:val="20"/>
              </w:rPr>
            </w:pPr>
            <w:r>
              <w:rPr>
                <w:rFonts w:cs="Calibri"/>
                <w:sz w:val="20"/>
                <w:szCs w:val="20"/>
              </w:rPr>
              <w:t>Follow-Up After Hospitalization for Mental Illness</w:t>
            </w:r>
            <w:r w:rsidR="006420AC">
              <w:rPr>
                <w:rFonts w:cs="Calibri"/>
                <w:sz w:val="20"/>
                <w:szCs w:val="20"/>
              </w:rPr>
              <w:t xml:space="preserve"> - </w:t>
            </w:r>
            <w:r>
              <w:rPr>
                <w:rFonts w:cs="Calibri"/>
                <w:sz w:val="20"/>
                <w:szCs w:val="20"/>
              </w:rPr>
              <w:t>30 days</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4AAF74E8" w14:textId="1B7C95CA"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81.0%</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4824C258" w14:textId="43CAC02E"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78.3%</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4540908C" w14:textId="30E0A758" w:rsidR="00AE3A7F"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79.1%</w:t>
            </w:r>
          </w:p>
        </w:tc>
        <w:tc>
          <w:tcPr>
            <w:tcW w:w="1350" w:type="dxa"/>
            <w:tcBorders>
              <w:top w:val="nil"/>
              <w:left w:val="nil"/>
              <w:bottom w:val="single" w:sz="4" w:space="0" w:color="000000"/>
              <w:right w:val="single" w:sz="4" w:space="0" w:color="000000"/>
            </w:tcBorders>
            <w:shd w:val="clear" w:color="auto" w:fill="auto"/>
            <w:noWrap/>
            <w:vAlign w:val="center"/>
          </w:tcPr>
          <w:p w14:paraId="58F617E2" w14:textId="497075C1" w:rsidR="00AE3A7F" w:rsidRPr="004A1A02" w:rsidRDefault="00E11113" w:rsidP="00E11113">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79.5%</w:t>
            </w:r>
          </w:p>
        </w:tc>
        <w:tc>
          <w:tcPr>
            <w:tcW w:w="1144" w:type="dxa"/>
            <w:tcBorders>
              <w:top w:val="nil"/>
              <w:left w:val="nil"/>
              <w:bottom w:val="single" w:sz="4" w:space="0" w:color="000000"/>
              <w:right w:val="single" w:sz="4" w:space="0" w:color="000000"/>
            </w:tcBorders>
            <w:shd w:val="clear" w:color="auto" w:fill="auto"/>
            <w:noWrap/>
            <w:vAlign w:val="center"/>
          </w:tcPr>
          <w:p w14:paraId="73FF2ED0" w14:textId="3AE84EFB" w:rsidR="00AE3A7F" w:rsidRPr="004A1A02" w:rsidRDefault="00E11113" w:rsidP="00E11113">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83.7%</w:t>
            </w:r>
          </w:p>
        </w:tc>
      </w:tr>
      <w:tr w:rsidR="00AE3A7F" w:rsidRPr="00F26259" w14:paraId="537D19EA" w14:textId="77777777" w:rsidTr="002A456F">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7C645CFC" w14:textId="77777777" w:rsidR="00AE3A7F" w:rsidRPr="00A9231F" w:rsidRDefault="00AE3A7F" w:rsidP="00EE745E">
            <w:pPr>
              <w:spacing w:after="0"/>
              <w:jc w:val="center"/>
              <w:rPr>
                <w:rFonts w:asciiTheme="minorHAnsi" w:eastAsia="Times New Roman" w:hAnsiTheme="minorHAnsi" w:cstheme="minorHAnsi"/>
                <w:color w:val="000000"/>
                <w:sz w:val="20"/>
                <w:szCs w:val="20"/>
              </w:rPr>
            </w:pPr>
            <w:r w:rsidRPr="00A9231F">
              <w:rPr>
                <w:rFonts w:cs="Calibri"/>
                <w:color w:val="000000"/>
                <w:sz w:val="20"/>
                <w:szCs w:val="20"/>
              </w:rPr>
              <w:lastRenderedPageBreak/>
              <w:t>IMA</w:t>
            </w:r>
          </w:p>
        </w:tc>
        <w:tc>
          <w:tcPr>
            <w:tcW w:w="6930" w:type="dxa"/>
            <w:tcBorders>
              <w:top w:val="nil"/>
              <w:left w:val="nil"/>
              <w:bottom w:val="single" w:sz="4" w:space="0" w:color="auto"/>
              <w:right w:val="single" w:sz="4" w:space="0" w:color="auto"/>
            </w:tcBorders>
            <w:shd w:val="clear" w:color="auto" w:fill="auto"/>
          </w:tcPr>
          <w:p w14:paraId="31503093" w14:textId="77777777" w:rsidR="00AE3A7F" w:rsidRPr="00A9231F" w:rsidRDefault="00AE3A7F" w:rsidP="00EE745E">
            <w:pPr>
              <w:spacing w:after="0"/>
              <w:rPr>
                <w:rFonts w:asciiTheme="minorHAnsi" w:eastAsia="Times New Roman" w:hAnsiTheme="minorHAnsi" w:cstheme="minorHAnsi"/>
                <w:sz w:val="20"/>
                <w:szCs w:val="20"/>
              </w:rPr>
            </w:pPr>
            <w:r w:rsidRPr="00A9231F">
              <w:rPr>
                <w:rFonts w:cs="Calibri"/>
                <w:sz w:val="20"/>
                <w:szCs w:val="20"/>
              </w:rPr>
              <w:t>Immunization for Adolescents (combo 2)</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6C644926" w14:textId="77777777" w:rsidR="00AE3A7F" w:rsidRPr="004A1A02" w:rsidRDefault="00AE3A7F"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36.0%</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571729" w14:textId="77777777" w:rsidR="00AE3A7F" w:rsidRPr="004A1A02" w:rsidRDefault="00AE3A7F"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38.4%</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E207083" w14:textId="77777777" w:rsidR="00AE3A7F" w:rsidRPr="004A1A02" w:rsidRDefault="00AE3A7F"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color w:val="000000"/>
                <w:sz w:val="20"/>
                <w:szCs w:val="20"/>
              </w:rPr>
              <w:t>44.0%</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4D892BA7" w14:textId="77777777" w:rsidR="00AE3A7F" w:rsidRPr="004A1A02" w:rsidRDefault="00AE3A7F"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43.55%</w:t>
            </w:r>
          </w:p>
        </w:tc>
        <w:tc>
          <w:tcPr>
            <w:tcW w:w="1144" w:type="dxa"/>
            <w:tcBorders>
              <w:top w:val="nil"/>
              <w:left w:val="nil"/>
              <w:bottom w:val="single" w:sz="4" w:space="0" w:color="000000"/>
              <w:right w:val="single" w:sz="4" w:space="0" w:color="000000"/>
            </w:tcBorders>
            <w:shd w:val="clear" w:color="auto" w:fill="auto"/>
            <w:noWrap/>
            <w:vAlign w:val="center"/>
          </w:tcPr>
          <w:p w14:paraId="225C8C3F" w14:textId="77777777" w:rsidR="00AE3A7F" w:rsidRPr="004A1A02" w:rsidRDefault="00AE3A7F"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50.61%</w:t>
            </w:r>
          </w:p>
        </w:tc>
      </w:tr>
      <w:tr w:rsidR="008164F7" w:rsidRPr="00F26259" w14:paraId="13EA4D14" w14:textId="77777777" w:rsidTr="002A456F">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7B565441" w14:textId="5FC2B09D" w:rsidR="008164F7" w:rsidRPr="00F26259" w:rsidRDefault="008164F7" w:rsidP="00EE745E">
            <w:pPr>
              <w:spacing w:after="0"/>
              <w:jc w:val="center"/>
              <w:rPr>
                <w:rFonts w:asciiTheme="minorHAnsi" w:eastAsia="Times New Roman" w:hAnsiTheme="minorHAnsi" w:cstheme="minorHAnsi"/>
                <w:color w:val="000000"/>
                <w:sz w:val="20"/>
                <w:szCs w:val="20"/>
              </w:rPr>
            </w:pPr>
            <w:r>
              <w:rPr>
                <w:rFonts w:cs="Calibri"/>
                <w:color w:val="000000"/>
                <w:sz w:val="20"/>
                <w:szCs w:val="20"/>
              </w:rPr>
              <w:t>PPC</w:t>
            </w:r>
          </w:p>
        </w:tc>
        <w:tc>
          <w:tcPr>
            <w:tcW w:w="6930" w:type="dxa"/>
            <w:tcBorders>
              <w:top w:val="nil"/>
              <w:left w:val="nil"/>
              <w:bottom w:val="single" w:sz="4" w:space="0" w:color="auto"/>
              <w:right w:val="single" w:sz="4" w:space="0" w:color="auto"/>
            </w:tcBorders>
            <w:shd w:val="clear" w:color="auto" w:fill="auto"/>
          </w:tcPr>
          <w:p w14:paraId="39EB2FAF" w14:textId="68F183BE" w:rsidR="008164F7" w:rsidRPr="00F26259" w:rsidRDefault="006420AC" w:rsidP="00EE745E">
            <w:pPr>
              <w:spacing w:after="0"/>
              <w:rPr>
                <w:rFonts w:asciiTheme="minorHAnsi" w:eastAsia="Times New Roman" w:hAnsiTheme="minorHAnsi" w:cstheme="minorHAnsi"/>
                <w:sz w:val="20"/>
                <w:szCs w:val="20"/>
              </w:rPr>
            </w:pPr>
            <w:r>
              <w:rPr>
                <w:rFonts w:cs="Calibri"/>
                <w:sz w:val="20"/>
                <w:szCs w:val="20"/>
              </w:rPr>
              <w:t xml:space="preserve">Prenatal and Postpartum Care - </w:t>
            </w:r>
            <w:r w:rsidR="008164F7">
              <w:rPr>
                <w:rFonts w:cs="Calibri"/>
                <w:sz w:val="20"/>
                <w:szCs w:val="20"/>
              </w:rPr>
              <w:t>Timeliness of Prenatal Care </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0E911FF9"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86.3%</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844D4D"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83.0%</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66581" w14:textId="77777777" w:rsidR="008164F7" w:rsidRPr="004A1A02" w:rsidRDefault="008164F7" w:rsidP="00EE745E">
            <w:pPr>
              <w:spacing w:after="0"/>
              <w:jc w:val="center"/>
              <w:rPr>
                <w:rFonts w:asciiTheme="minorHAnsi" w:eastAsia="Times New Roman" w:hAnsiTheme="minorHAnsi" w:cstheme="minorHAnsi"/>
                <w:sz w:val="20"/>
                <w:szCs w:val="20"/>
              </w:rPr>
            </w:pPr>
            <w:r w:rsidRPr="004A1A02">
              <w:rPr>
                <w:rFonts w:asciiTheme="minorHAnsi" w:hAnsiTheme="minorHAnsi" w:cstheme="minorHAnsi"/>
                <w:sz w:val="20"/>
                <w:szCs w:val="20"/>
              </w:rPr>
              <w:t>84.3%</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0AC0DA50" w14:textId="4F72141C" w:rsidR="008164F7" w:rsidRPr="004A1A02" w:rsidRDefault="008164F7"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89.</w:t>
            </w:r>
            <w:r w:rsidR="00E11113" w:rsidRPr="004A1A02">
              <w:rPr>
                <w:rFonts w:asciiTheme="minorHAnsi" w:hAnsiTheme="minorHAnsi" w:cstheme="minorHAnsi"/>
                <w:sz w:val="20"/>
                <w:szCs w:val="20"/>
              </w:rPr>
              <w:t>3</w:t>
            </w:r>
            <w:r w:rsidRPr="004A1A02">
              <w:rPr>
                <w:rFonts w:asciiTheme="minorHAnsi" w:hAnsiTheme="minorHAnsi" w:cstheme="minorHAnsi"/>
                <w:sz w:val="20"/>
                <w:szCs w:val="20"/>
              </w:rPr>
              <w:t>%</w:t>
            </w:r>
          </w:p>
        </w:tc>
        <w:tc>
          <w:tcPr>
            <w:tcW w:w="1144" w:type="dxa"/>
            <w:tcBorders>
              <w:top w:val="nil"/>
              <w:left w:val="nil"/>
              <w:bottom w:val="single" w:sz="4" w:space="0" w:color="000000"/>
              <w:right w:val="single" w:sz="4" w:space="0" w:color="000000"/>
            </w:tcBorders>
            <w:shd w:val="clear" w:color="auto" w:fill="auto"/>
            <w:noWrap/>
            <w:vAlign w:val="center"/>
          </w:tcPr>
          <w:p w14:paraId="2383D760" w14:textId="667A43B8" w:rsidR="008164F7" w:rsidRPr="004A1A02" w:rsidRDefault="008164F7" w:rsidP="00EE745E">
            <w:pPr>
              <w:spacing w:after="0"/>
              <w:jc w:val="center"/>
              <w:rPr>
                <w:rFonts w:asciiTheme="minorHAnsi" w:eastAsia="Times New Roman" w:hAnsiTheme="minorHAnsi" w:cstheme="minorHAnsi"/>
                <w:color w:val="000000"/>
                <w:sz w:val="20"/>
                <w:szCs w:val="20"/>
              </w:rPr>
            </w:pPr>
            <w:r w:rsidRPr="004A1A02">
              <w:rPr>
                <w:rFonts w:asciiTheme="minorHAnsi" w:hAnsiTheme="minorHAnsi" w:cstheme="minorHAnsi"/>
                <w:sz w:val="20"/>
                <w:szCs w:val="20"/>
              </w:rPr>
              <w:t>92.2%</w:t>
            </w:r>
          </w:p>
        </w:tc>
      </w:tr>
      <w:tr w:rsidR="008164F7" w:rsidRPr="00F26259" w14:paraId="5285DF39" w14:textId="77777777" w:rsidTr="002A456F">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1E9BAB85" w14:textId="2D34BA90" w:rsidR="008164F7" w:rsidRPr="00F26259" w:rsidRDefault="00AE3A7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SFM</w:t>
            </w:r>
          </w:p>
        </w:tc>
        <w:tc>
          <w:tcPr>
            <w:tcW w:w="6930" w:type="dxa"/>
            <w:tcBorders>
              <w:top w:val="nil"/>
              <w:left w:val="nil"/>
              <w:bottom w:val="single" w:sz="4" w:space="0" w:color="auto"/>
              <w:right w:val="single" w:sz="4" w:space="0" w:color="auto"/>
            </w:tcBorders>
            <w:shd w:val="clear" w:color="auto" w:fill="auto"/>
          </w:tcPr>
          <w:p w14:paraId="550FCA15" w14:textId="1B2F9178" w:rsidR="008164F7" w:rsidRPr="006420AC" w:rsidRDefault="006420AC" w:rsidP="006420AC">
            <w:pPr>
              <w:rPr>
                <w:rFonts w:eastAsia="Times New Roman" w:cs="Calibri"/>
                <w:color w:val="000000"/>
                <w:sz w:val="20"/>
                <w:szCs w:val="20"/>
              </w:rPr>
            </w:pPr>
            <w:r w:rsidRPr="006420AC">
              <w:rPr>
                <w:rFonts w:cs="Calibri"/>
                <w:color w:val="000000"/>
                <w:sz w:val="20"/>
                <w:szCs w:val="20"/>
              </w:rPr>
              <w:t>Sealant Receipt on First Molars</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59C86D61" w14:textId="3510C029"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91915B3" w14:textId="0B39BD82"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26270B5" w14:textId="6AB6942A" w:rsidR="008164F7" w:rsidRPr="004A1A02" w:rsidRDefault="00E11113" w:rsidP="00E11113">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66.3%</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258AB330" w14:textId="7C258F7A" w:rsidR="008164F7" w:rsidRPr="004A1A02" w:rsidRDefault="00E11113"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c>
          <w:tcPr>
            <w:tcW w:w="1144" w:type="dxa"/>
            <w:tcBorders>
              <w:top w:val="nil"/>
              <w:left w:val="nil"/>
              <w:bottom w:val="single" w:sz="4" w:space="0" w:color="000000"/>
              <w:right w:val="single" w:sz="4" w:space="0" w:color="000000"/>
            </w:tcBorders>
            <w:shd w:val="clear" w:color="auto" w:fill="auto"/>
            <w:noWrap/>
            <w:vAlign w:val="center"/>
          </w:tcPr>
          <w:p w14:paraId="5508ED56" w14:textId="1A201659" w:rsidR="008164F7" w:rsidRPr="004A1A02" w:rsidRDefault="00E11113"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NA</w:t>
            </w:r>
          </w:p>
        </w:tc>
      </w:tr>
      <w:tr w:rsidR="008164F7" w:rsidRPr="00F26259" w14:paraId="2FEEE47F" w14:textId="77777777" w:rsidTr="002A456F">
        <w:trPr>
          <w:trHeight w:val="290"/>
        </w:trPr>
        <w:tc>
          <w:tcPr>
            <w:tcW w:w="1170" w:type="dxa"/>
            <w:tcBorders>
              <w:top w:val="nil"/>
              <w:left w:val="single" w:sz="4" w:space="0" w:color="000000"/>
              <w:bottom w:val="single" w:sz="4" w:space="0" w:color="000000"/>
              <w:right w:val="single" w:sz="4" w:space="0" w:color="000000"/>
            </w:tcBorders>
            <w:shd w:val="clear" w:color="auto" w:fill="auto"/>
            <w:noWrap/>
          </w:tcPr>
          <w:p w14:paraId="720F8715" w14:textId="41811440" w:rsidR="008164F7" w:rsidRPr="00F26259" w:rsidRDefault="00AE3A7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WCC</w:t>
            </w:r>
          </w:p>
        </w:tc>
        <w:tc>
          <w:tcPr>
            <w:tcW w:w="6930" w:type="dxa"/>
            <w:tcBorders>
              <w:top w:val="nil"/>
              <w:left w:val="nil"/>
              <w:bottom w:val="single" w:sz="4" w:space="0" w:color="auto"/>
              <w:right w:val="single" w:sz="4" w:space="0" w:color="auto"/>
            </w:tcBorders>
            <w:shd w:val="clear" w:color="auto" w:fill="auto"/>
          </w:tcPr>
          <w:p w14:paraId="58BE201F" w14:textId="2970B535" w:rsidR="008164F7" w:rsidRPr="006420AC" w:rsidRDefault="006420AC" w:rsidP="006420AC">
            <w:pPr>
              <w:rPr>
                <w:rFonts w:eastAsia="Times New Roman" w:cs="Calibri"/>
                <w:color w:val="000000"/>
                <w:sz w:val="20"/>
                <w:szCs w:val="20"/>
              </w:rPr>
            </w:pPr>
            <w:r w:rsidRPr="006420AC">
              <w:rPr>
                <w:rFonts w:cs="Calibri"/>
                <w:color w:val="000000"/>
                <w:sz w:val="20"/>
                <w:szCs w:val="20"/>
              </w:rPr>
              <w:t>Weight Assessment and Counseling for Nutrition and Physical Activity for Children/Adolescents – BMI percentile (Total)</w:t>
            </w:r>
          </w:p>
        </w:tc>
        <w:tc>
          <w:tcPr>
            <w:tcW w:w="1080" w:type="dxa"/>
            <w:tcBorders>
              <w:top w:val="single" w:sz="4" w:space="0" w:color="auto"/>
              <w:bottom w:val="single" w:sz="4" w:space="0" w:color="auto"/>
              <w:right w:val="single" w:sz="4" w:space="0" w:color="auto"/>
            </w:tcBorders>
            <w:shd w:val="clear" w:color="auto" w:fill="F2F2F2" w:themeFill="background1" w:themeFillShade="F2"/>
            <w:noWrap/>
            <w:vAlign w:val="center"/>
          </w:tcPr>
          <w:p w14:paraId="10E329E5" w14:textId="3749AA6D"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85.3%</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5CAE77E" w14:textId="6CFAD16D"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86.6%</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41FBA8C" w14:textId="703C0243"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82.7%</w:t>
            </w:r>
          </w:p>
        </w:tc>
        <w:tc>
          <w:tcPr>
            <w:tcW w:w="1350" w:type="dxa"/>
            <w:tcBorders>
              <w:top w:val="nil"/>
              <w:left w:val="single" w:sz="4" w:space="0" w:color="auto"/>
              <w:bottom w:val="single" w:sz="4" w:space="0" w:color="000000"/>
              <w:right w:val="single" w:sz="4" w:space="0" w:color="000000"/>
            </w:tcBorders>
            <w:shd w:val="clear" w:color="auto" w:fill="auto"/>
            <w:noWrap/>
            <w:vAlign w:val="center"/>
          </w:tcPr>
          <w:p w14:paraId="50444461" w14:textId="0B6ED6B5" w:rsidR="008164F7" w:rsidRPr="004A1A02" w:rsidRDefault="00E11113"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82.7%</w:t>
            </w:r>
          </w:p>
        </w:tc>
        <w:tc>
          <w:tcPr>
            <w:tcW w:w="1144" w:type="dxa"/>
            <w:tcBorders>
              <w:top w:val="nil"/>
              <w:left w:val="nil"/>
              <w:bottom w:val="single" w:sz="4" w:space="0" w:color="000000"/>
              <w:right w:val="single" w:sz="4" w:space="0" w:color="000000"/>
            </w:tcBorders>
            <w:shd w:val="clear" w:color="auto" w:fill="auto"/>
            <w:noWrap/>
            <w:vAlign w:val="center"/>
          </w:tcPr>
          <w:p w14:paraId="66002DEE" w14:textId="644CBDC3" w:rsidR="008164F7" w:rsidRPr="004A1A02" w:rsidRDefault="00E11113" w:rsidP="00EE745E">
            <w:pPr>
              <w:spacing w:after="0"/>
              <w:jc w:val="center"/>
              <w:rPr>
                <w:rFonts w:asciiTheme="minorHAnsi" w:eastAsia="Times New Roman" w:hAnsiTheme="minorHAnsi" w:cstheme="minorHAnsi"/>
                <w:color w:val="000000"/>
                <w:sz w:val="20"/>
                <w:szCs w:val="20"/>
              </w:rPr>
            </w:pPr>
            <w:r w:rsidRPr="004A1A02">
              <w:rPr>
                <w:rFonts w:asciiTheme="minorHAnsi" w:eastAsia="Times New Roman" w:hAnsiTheme="minorHAnsi" w:cstheme="minorHAnsi"/>
                <w:color w:val="000000"/>
                <w:sz w:val="20"/>
                <w:szCs w:val="20"/>
              </w:rPr>
              <w:t>87.2%</w:t>
            </w:r>
          </w:p>
        </w:tc>
      </w:tr>
      <w:tr w:rsidR="008164F7" w:rsidRPr="00F26259" w14:paraId="3C812AC6" w14:textId="77777777" w:rsidTr="002A456F">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02334155" w14:textId="17DC5E72" w:rsidR="008164F7" w:rsidRPr="00F26259" w:rsidRDefault="00AE3A7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W30</w:t>
            </w:r>
          </w:p>
        </w:tc>
        <w:tc>
          <w:tcPr>
            <w:tcW w:w="6930" w:type="dxa"/>
            <w:tcBorders>
              <w:top w:val="nil"/>
              <w:left w:val="nil"/>
              <w:bottom w:val="single" w:sz="4" w:space="0" w:color="auto"/>
              <w:right w:val="single" w:sz="4" w:space="0" w:color="auto"/>
            </w:tcBorders>
            <w:shd w:val="clear" w:color="auto" w:fill="auto"/>
          </w:tcPr>
          <w:p w14:paraId="035E045E" w14:textId="1129DA82" w:rsidR="008164F7" w:rsidRPr="006420AC" w:rsidRDefault="006420AC" w:rsidP="006420AC">
            <w:pPr>
              <w:rPr>
                <w:rFonts w:eastAsia="Times New Roman" w:cs="Calibri"/>
                <w:color w:val="000000"/>
                <w:sz w:val="20"/>
                <w:szCs w:val="20"/>
              </w:rPr>
            </w:pPr>
            <w:r w:rsidRPr="006420AC">
              <w:rPr>
                <w:rFonts w:cs="Calibri"/>
                <w:color w:val="000000"/>
                <w:sz w:val="20"/>
                <w:szCs w:val="20"/>
              </w:rPr>
              <w:t>Well-Child Visits in the First 30 Months of Life – First 15 months</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48DA3D40" w14:textId="0469163C"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76CAC6F" w14:textId="5D7CF79E"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F201A55" w14:textId="1E7E8FEB"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75.9%</w:t>
            </w:r>
          </w:p>
        </w:tc>
        <w:tc>
          <w:tcPr>
            <w:tcW w:w="1350" w:type="dxa"/>
            <w:tcBorders>
              <w:top w:val="nil"/>
              <w:left w:val="nil"/>
              <w:bottom w:val="single" w:sz="4" w:space="0" w:color="000000"/>
              <w:right w:val="single" w:sz="4" w:space="0" w:color="000000"/>
            </w:tcBorders>
            <w:shd w:val="clear" w:color="auto" w:fill="auto"/>
            <w:noWrap/>
            <w:vAlign w:val="center"/>
          </w:tcPr>
          <w:p w14:paraId="2D9EFA09" w14:textId="721DFC9C" w:rsidR="008164F7"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61.5%</w:t>
            </w:r>
          </w:p>
        </w:tc>
        <w:tc>
          <w:tcPr>
            <w:tcW w:w="1144" w:type="dxa"/>
            <w:tcBorders>
              <w:top w:val="nil"/>
              <w:left w:val="nil"/>
              <w:bottom w:val="single" w:sz="4" w:space="0" w:color="000000"/>
              <w:right w:val="single" w:sz="4" w:space="0" w:color="000000"/>
            </w:tcBorders>
            <w:shd w:val="clear" w:color="auto" w:fill="auto"/>
            <w:noWrap/>
            <w:vAlign w:val="center"/>
          </w:tcPr>
          <w:p w14:paraId="46EAE5DD" w14:textId="58DD5A82" w:rsidR="008164F7"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68.7%</w:t>
            </w:r>
          </w:p>
        </w:tc>
      </w:tr>
      <w:tr w:rsidR="006420AC" w:rsidRPr="00F26259" w14:paraId="66FBB25D" w14:textId="77777777" w:rsidTr="002A456F">
        <w:trPr>
          <w:trHeight w:val="413"/>
        </w:trPr>
        <w:tc>
          <w:tcPr>
            <w:tcW w:w="1170" w:type="dxa"/>
            <w:tcBorders>
              <w:top w:val="nil"/>
              <w:left w:val="single" w:sz="4" w:space="0" w:color="000000"/>
              <w:bottom w:val="single" w:sz="4" w:space="0" w:color="000000"/>
              <w:right w:val="single" w:sz="4" w:space="0" w:color="000000"/>
            </w:tcBorders>
            <w:shd w:val="clear" w:color="auto" w:fill="auto"/>
            <w:noWrap/>
          </w:tcPr>
          <w:p w14:paraId="5FC2F4F5" w14:textId="0131CCA0" w:rsidR="006420AC" w:rsidRDefault="00F311B2"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W30</w:t>
            </w:r>
          </w:p>
        </w:tc>
        <w:tc>
          <w:tcPr>
            <w:tcW w:w="6930" w:type="dxa"/>
            <w:tcBorders>
              <w:top w:val="nil"/>
              <w:left w:val="nil"/>
              <w:bottom w:val="single" w:sz="4" w:space="0" w:color="auto"/>
              <w:right w:val="single" w:sz="4" w:space="0" w:color="auto"/>
            </w:tcBorders>
            <w:shd w:val="clear" w:color="auto" w:fill="auto"/>
          </w:tcPr>
          <w:p w14:paraId="553C5463" w14:textId="0E0A3A2C" w:rsidR="006420AC" w:rsidRPr="006420AC" w:rsidRDefault="006420AC" w:rsidP="006420AC">
            <w:pPr>
              <w:rPr>
                <w:rFonts w:eastAsia="Times New Roman" w:cs="Calibri"/>
                <w:color w:val="000000"/>
                <w:sz w:val="20"/>
                <w:szCs w:val="20"/>
              </w:rPr>
            </w:pPr>
            <w:r w:rsidRPr="006420AC">
              <w:rPr>
                <w:rFonts w:cs="Calibri"/>
                <w:color w:val="000000"/>
                <w:sz w:val="20"/>
                <w:szCs w:val="20"/>
              </w:rPr>
              <w:t>Well-Child Visits in the First 30 Months of Life – 15 -30 months</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067E3DB3" w14:textId="22A263B6" w:rsidR="006420AC"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411A670" w14:textId="56370BD2" w:rsidR="006420AC"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42AE930" w14:textId="6FC5C545" w:rsidR="006420AC"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84.4%</w:t>
            </w:r>
          </w:p>
        </w:tc>
        <w:tc>
          <w:tcPr>
            <w:tcW w:w="1350" w:type="dxa"/>
            <w:tcBorders>
              <w:top w:val="nil"/>
              <w:left w:val="nil"/>
              <w:bottom w:val="single" w:sz="4" w:space="0" w:color="000000"/>
              <w:right w:val="single" w:sz="4" w:space="0" w:color="000000"/>
            </w:tcBorders>
            <w:shd w:val="clear" w:color="auto" w:fill="auto"/>
            <w:noWrap/>
            <w:vAlign w:val="center"/>
          </w:tcPr>
          <w:p w14:paraId="1D408964" w14:textId="09BBDF9A" w:rsidR="006420AC"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76.2%</w:t>
            </w:r>
          </w:p>
        </w:tc>
        <w:tc>
          <w:tcPr>
            <w:tcW w:w="1144" w:type="dxa"/>
            <w:tcBorders>
              <w:top w:val="nil"/>
              <w:left w:val="nil"/>
              <w:bottom w:val="single" w:sz="4" w:space="0" w:color="000000"/>
              <w:right w:val="single" w:sz="4" w:space="0" w:color="000000"/>
            </w:tcBorders>
            <w:shd w:val="clear" w:color="auto" w:fill="auto"/>
            <w:noWrap/>
            <w:vAlign w:val="center"/>
          </w:tcPr>
          <w:p w14:paraId="4FE38896" w14:textId="246D8EC0" w:rsidR="006420AC"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83.2%</w:t>
            </w:r>
          </w:p>
        </w:tc>
      </w:tr>
      <w:tr w:rsidR="008164F7" w:rsidRPr="00F26259" w14:paraId="47560FD7" w14:textId="77777777" w:rsidTr="002A456F">
        <w:trPr>
          <w:trHeight w:val="476"/>
        </w:trPr>
        <w:tc>
          <w:tcPr>
            <w:tcW w:w="1170" w:type="dxa"/>
            <w:tcBorders>
              <w:top w:val="nil"/>
              <w:left w:val="single" w:sz="4" w:space="0" w:color="000000"/>
              <w:bottom w:val="single" w:sz="4" w:space="0" w:color="000000"/>
              <w:right w:val="single" w:sz="4" w:space="0" w:color="000000"/>
            </w:tcBorders>
            <w:shd w:val="clear" w:color="auto" w:fill="auto"/>
            <w:noWrap/>
          </w:tcPr>
          <w:p w14:paraId="4252BF74" w14:textId="126D743C" w:rsidR="008164F7" w:rsidRPr="00F26259" w:rsidRDefault="00AE3A7F" w:rsidP="00EE745E">
            <w:pPr>
              <w:spacing w:after="0"/>
              <w:jc w:val="cente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WCV</w:t>
            </w:r>
          </w:p>
        </w:tc>
        <w:tc>
          <w:tcPr>
            <w:tcW w:w="6930" w:type="dxa"/>
            <w:tcBorders>
              <w:top w:val="nil"/>
              <w:left w:val="nil"/>
              <w:bottom w:val="single" w:sz="4" w:space="0" w:color="auto"/>
              <w:right w:val="single" w:sz="4" w:space="0" w:color="auto"/>
            </w:tcBorders>
            <w:shd w:val="clear" w:color="auto" w:fill="auto"/>
          </w:tcPr>
          <w:p w14:paraId="7B879097" w14:textId="5C85297C" w:rsidR="008164F7" w:rsidRPr="006420AC" w:rsidRDefault="006420AC" w:rsidP="006420AC">
            <w:pPr>
              <w:rPr>
                <w:rFonts w:eastAsia="Times New Roman" w:cs="Calibri"/>
                <w:color w:val="000000"/>
                <w:sz w:val="20"/>
                <w:szCs w:val="20"/>
              </w:rPr>
            </w:pPr>
            <w:r w:rsidRPr="006420AC">
              <w:rPr>
                <w:rFonts w:cs="Calibri"/>
                <w:color w:val="000000"/>
                <w:sz w:val="20"/>
                <w:szCs w:val="20"/>
              </w:rPr>
              <w:t>Child and Adolescent Well-Care Visits</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tcPr>
          <w:p w14:paraId="1AC2EDB0" w14:textId="6E9A67B2"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nil"/>
              <w:left w:val="nil"/>
              <w:bottom w:val="single" w:sz="4" w:space="0" w:color="auto"/>
              <w:right w:val="single" w:sz="4" w:space="0" w:color="auto"/>
            </w:tcBorders>
            <w:shd w:val="clear" w:color="auto" w:fill="F2F2F2" w:themeFill="background1" w:themeFillShade="F2"/>
            <w:noWrap/>
            <w:vAlign w:val="center"/>
          </w:tcPr>
          <w:p w14:paraId="43254417" w14:textId="0A1AB4C3"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NA</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07B20751" w14:textId="23D73A50" w:rsidR="008164F7" w:rsidRPr="004A1A02" w:rsidRDefault="00E11113" w:rsidP="00EE745E">
            <w:pPr>
              <w:spacing w:after="0"/>
              <w:jc w:val="center"/>
              <w:rPr>
                <w:rFonts w:asciiTheme="minorHAnsi" w:eastAsia="Times New Roman" w:hAnsiTheme="minorHAnsi" w:cstheme="minorHAnsi"/>
                <w:sz w:val="20"/>
                <w:szCs w:val="20"/>
              </w:rPr>
            </w:pPr>
            <w:r w:rsidRPr="004A1A02">
              <w:rPr>
                <w:rFonts w:asciiTheme="minorHAnsi" w:eastAsia="Times New Roman" w:hAnsiTheme="minorHAnsi" w:cstheme="minorHAnsi"/>
                <w:sz w:val="20"/>
                <w:szCs w:val="20"/>
              </w:rPr>
              <w:t>63.1%</w:t>
            </w:r>
          </w:p>
        </w:tc>
        <w:tc>
          <w:tcPr>
            <w:tcW w:w="1350" w:type="dxa"/>
            <w:tcBorders>
              <w:top w:val="nil"/>
              <w:left w:val="nil"/>
              <w:bottom w:val="single" w:sz="4" w:space="0" w:color="000000"/>
              <w:right w:val="single" w:sz="4" w:space="0" w:color="000000"/>
            </w:tcBorders>
            <w:shd w:val="clear" w:color="auto" w:fill="auto"/>
            <w:noWrap/>
          </w:tcPr>
          <w:p w14:paraId="53CF638D" w14:textId="0F10788E" w:rsidR="008164F7"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54%</w:t>
            </w:r>
          </w:p>
        </w:tc>
        <w:tc>
          <w:tcPr>
            <w:tcW w:w="1144" w:type="dxa"/>
            <w:tcBorders>
              <w:top w:val="nil"/>
              <w:left w:val="nil"/>
              <w:bottom w:val="single" w:sz="4" w:space="0" w:color="000000"/>
              <w:right w:val="single" w:sz="4" w:space="0" w:color="000000"/>
            </w:tcBorders>
            <w:shd w:val="clear" w:color="auto" w:fill="auto"/>
            <w:noWrap/>
          </w:tcPr>
          <w:p w14:paraId="562AE9BE" w14:textId="6E771D05" w:rsidR="008164F7" w:rsidRPr="004A1A02" w:rsidRDefault="00665FDF" w:rsidP="00EE745E">
            <w:pPr>
              <w:spacing w:after="0"/>
              <w:jc w:val="center"/>
              <w:rPr>
                <w:rFonts w:asciiTheme="minorHAnsi" w:hAnsiTheme="minorHAnsi" w:cstheme="minorHAnsi"/>
                <w:sz w:val="20"/>
                <w:szCs w:val="20"/>
              </w:rPr>
            </w:pPr>
            <w:r w:rsidRPr="004A1A02">
              <w:rPr>
                <w:rFonts w:asciiTheme="minorHAnsi" w:hAnsiTheme="minorHAnsi" w:cstheme="minorHAnsi"/>
                <w:sz w:val="20"/>
                <w:szCs w:val="20"/>
              </w:rPr>
              <w:t>62.2%</w:t>
            </w:r>
          </w:p>
        </w:tc>
      </w:tr>
    </w:tbl>
    <w:p w14:paraId="05E39BA3" w14:textId="4A908BC4" w:rsidR="008164F7" w:rsidRPr="00723C99" w:rsidRDefault="008164F7" w:rsidP="00723C99">
      <w:pPr>
        <w:tabs>
          <w:tab w:val="left" w:pos="4156"/>
        </w:tabs>
        <w:sectPr w:rsidR="008164F7" w:rsidRPr="00723C99" w:rsidSect="00FD1091">
          <w:pgSz w:w="20160" w:h="12240" w:orient="landscape" w:code="5"/>
          <w:pgMar w:top="1440" w:right="1440" w:bottom="1440" w:left="1440" w:header="720" w:footer="720" w:gutter="0"/>
          <w:cols w:space="720"/>
          <w:docGrid w:linePitch="360"/>
        </w:sectPr>
      </w:pPr>
    </w:p>
    <w:p w14:paraId="3E402945" w14:textId="09C7B554" w:rsidR="00D53CB8" w:rsidRDefault="00D53CB8" w:rsidP="009F4297"/>
    <w:p w14:paraId="2B6DF540" w14:textId="4F299A53" w:rsidR="007D0C08" w:rsidRDefault="004368A3" w:rsidP="00C7442E">
      <w:pPr>
        <w:pStyle w:val="Heading3"/>
        <w:spacing w:after="120"/>
      </w:pPr>
      <w:bookmarkStart w:id="23" w:name="_Toc111119059"/>
      <w:bookmarkStart w:id="24" w:name="_Toc147244419"/>
      <w:r w:rsidRPr="00533AA7">
        <w:t xml:space="preserve">Appendix </w:t>
      </w:r>
      <w:r w:rsidR="00723C99">
        <w:t>D</w:t>
      </w:r>
      <w:r w:rsidRPr="00533AA7">
        <w:t>:</w:t>
      </w:r>
      <w:r w:rsidR="008F34D4">
        <w:t xml:space="preserve"> 2020</w:t>
      </w:r>
      <w:r w:rsidRPr="00533AA7">
        <w:t xml:space="preserve"> EQR Performance Improvement Projects</w:t>
      </w:r>
      <w:r w:rsidR="00B07FEC">
        <w:t xml:space="preserve"> (PIPs)</w:t>
      </w:r>
      <w:bookmarkEnd w:id="23"/>
      <w:bookmarkEnd w:id="24"/>
    </w:p>
    <w:p w14:paraId="4F749F00" w14:textId="52F9928D" w:rsidR="00000F7B" w:rsidRPr="00DD74F9" w:rsidRDefault="007D0C08" w:rsidP="00000F7B">
      <w:r>
        <w:t xml:space="preserve">Appendix </w:t>
      </w:r>
      <w:r w:rsidR="00D67E5A">
        <w:t>D</w:t>
      </w:r>
      <w:r>
        <w:t xml:space="preserve"> summarizes 2020 PIP topic are</w:t>
      </w:r>
      <w:r w:rsidR="008F34D4">
        <w:t>as</w:t>
      </w:r>
      <w:r w:rsidR="00875723">
        <w:t xml:space="preserve">, PIP topics, and provides </w:t>
      </w:r>
      <w:r w:rsidR="000E5F74">
        <w:t>example</w:t>
      </w:r>
      <w:r w:rsidR="00875723">
        <w:t xml:space="preserve"> interventions.</w:t>
      </w:r>
      <w:r w:rsidR="000E5F74">
        <w:t xml:space="preserve"> </w:t>
      </w:r>
      <w:r w:rsidR="00B07FEC">
        <w:t>More information</w:t>
      </w:r>
      <w:r w:rsidR="000E5F74">
        <w:t xml:space="preserve"> on the PIPs and the PIP validation </w:t>
      </w:r>
      <w:r w:rsidR="004E0025">
        <w:t>process ad results</w:t>
      </w:r>
      <w:r w:rsidR="00B07FEC">
        <w:t xml:space="preserve"> is available in the EQR</w:t>
      </w:r>
      <w:r w:rsidR="004E0025">
        <w:t xml:space="preserve"> Annual</w:t>
      </w:r>
      <w:r w:rsidR="00B07FEC">
        <w:t xml:space="preserve"> Technical Reports, accessible on the MassHealth Quality reports and resources web page: </w:t>
      </w:r>
      <w:hyperlink r:id="rId16" w:history="1">
        <w:r w:rsidR="00EB151B">
          <w:rPr>
            <w:rStyle w:val="Hyperlink"/>
          </w:rPr>
          <w:t>www.mass.gov/info-details/masshealth-quality-reports-and-resources</w:t>
        </w:r>
      </w:hyperlink>
      <w:r w:rsidR="00DD74F9">
        <w:rPr>
          <w:rStyle w:val="Hyperlink"/>
          <w:u w:val="none"/>
        </w:rPr>
        <w:t>.</w:t>
      </w:r>
    </w:p>
    <w:p w14:paraId="32766896" w14:textId="086C16F5" w:rsidR="002E1D0A" w:rsidRPr="008577CD" w:rsidRDefault="00E74D12" w:rsidP="0092443C">
      <w:pPr>
        <w:rPr>
          <w:b/>
          <w:bCs/>
          <w:color w:val="002060"/>
        </w:rPr>
      </w:pPr>
      <w:r>
        <w:rPr>
          <w:b/>
          <w:bCs/>
          <w:color w:val="002060"/>
        </w:rPr>
        <w:t xml:space="preserve">Appendix </w:t>
      </w:r>
      <w:r w:rsidR="00D67E5A">
        <w:rPr>
          <w:b/>
          <w:bCs/>
          <w:color w:val="002060"/>
        </w:rPr>
        <w:t>D</w:t>
      </w:r>
      <w:r>
        <w:rPr>
          <w:b/>
          <w:bCs/>
          <w:color w:val="002060"/>
        </w:rPr>
        <w:t>-1</w:t>
      </w:r>
      <w:r w:rsidR="000C65A9">
        <w:rPr>
          <w:b/>
          <w:bCs/>
          <w:color w:val="002060"/>
        </w:rPr>
        <w:t>:</w:t>
      </w:r>
      <w:r>
        <w:rPr>
          <w:b/>
          <w:bCs/>
          <w:color w:val="002060"/>
        </w:rPr>
        <w:t xml:space="preserve"> ACO</w:t>
      </w:r>
      <w:r w:rsidR="00992D18">
        <w:rPr>
          <w:b/>
          <w:bCs/>
          <w:color w:val="002060"/>
        </w:rPr>
        <w:t xml:space="preserve"> (ACCP)</w:t>
      </w:r>
      <w:r w:rsidR="004D4D87">
        <w:rPr>
          <w:b/>
          <w:bCs/>
          <w:color w:val="002060"/>
        </w:rPr>
        <w:t xml:space="preserve"> Program</w:t>
      </w:r>
      <w:r w:rsidR="005A65F1">
        <w:rPr>
          <w:b/>
          <w:bCs/>
          <w:color w:val="002060"/>
        </w:rPr>
        <w:t xml:space="preserve"> PIPs</w:t>
      </w:r>
      <w:r w:rsidR="0031444B">
        <w:rPr>
          <w:b/>
          <w:bCs/>
          <w:color w:val="002060"/>
        </w:rPr>
        <w:t xml:space="preserve"> 2020: Summary of Topic Areas, </w:t>
      </w:r>
      <w:r w:rsidR="00284CAD">
        <w:rPr>
          <w:b/>
          <w:bCs/>
          <w:color w:val="002060"/>
        </w:rPr>
        <w:t>Goals</w:t>
      </w:r>
      <w:r w:rsidR="00D230AD">
        <w:rPr>
          <w:b/>
          <w:bCs/>
          <w:color w:val="002060"/>
        </w:rPr>
        <w:t>,</w:t>
      </w:r>
      <w:r w:rsidR="00284CAD">
        <w:rPr>
          <w:b/>
          <w:bCs/>
          <w:color w:val="002060"/>
        </w:rPr>
        <w:t xml:space="preserve"> and</w:t>
      </w:r>
      <w:r w:rsidR="0031444B">
        <w:rPr>
          <w:b/>
          <w:bCs/>
          <w:color w:val="002060"/>
        </w:rPr>
        <w:t xml:space="preserve"> Intervention</w:t>
      </w:r>
      <w:r w:rsidR="00284CAD">
        <w:rPr>
          <w:b/>
          <w:bCs/>
          <w:color w:val="002060"/>
        </w:rPr>
        <w:t xml:space="preserve"> Examples</w:t>
      </w:r>
      <w:r w:rsidR="00712346">
        <w:rPr>
          <w:color w:val="002060"/>
        </w:rPr>
        <w:t xml:space="preserve"> </w:t>
      </w:r>
      <w:r w:rsidR="002E1D0A" w:rsidRPr="00A344CE">
        <w:rPr>
          <w:b/>
          <w:bCs/>
        </w:rPr>
        <w:t>(</w:t>
      </w:r>
      <w:r w:rsidR="00BA7CB1" w:rsidRPr="008577CD">
        <w:rPr>
          <w:b/>
          <w:bCs/>
          <w:color w:val="002060"/>
        </w:rPr>
        <w:t>2</w:t>
      </w:r>
      <w:r w:rsidR="00A344CE" w:rsidRPr="008577CD">
        <w:rPr>
          <w:b/>
          <w:bCs/>
          <w:color w:val="002060"/>
        </w:rPr>
        <w:t>6 PIPS: 13</w:t>
      </w:r>
      <w:r w:rsidR="006E3E64" w:rsidRPr="008577CD">
        <w:rPr>
          <w:b/>
          <w:bCs/>
          <w:color w:val="002060"/>
        </w:rPr>
        <w:t xml:space="preserve"> cont</w:t>
      </w:r>
      <w:r w:rsidR="00712346" w:rsidRPr="008577CD">
        <w:rPr>
          <w:b/>
          <w:bCs/>
          <w:color w:val="002060"/>
        </w:rPr>
        <w:t>racts</w:t>
      </w:r>
      <w:r w:rsidR="00A344CE" w:rsidRPr="008577CD">
        <w:rPr>
          <w:b/>
          <w:bCs/>
          <w:color w:val="002060"/>
        </w:rPr>
        <w:t>, 2 projects each)</w:t>
      </w:r>
    </w:p>
    <w:tbl>
      <w:tblPr>
        <w:tblStyle w:val="TableGrid"/>
        <w:tblW w:w="13045" w:type="dxa"/>
        <w:jc w:val="center"/>
        <w:tblLook w:val="04A0" w:firstRow="1" w:lastRow="0" w:firstColumn="1" w:lastColumn="0" w:noHBand="0" w:noVBand="1"/>
      </w:tblPr>
      <w:tblGrid>
        <w:gridCol w:w="2605"/>
        <w:gridCol w:w="10440"/>
      </w:tblGrid>
      <w:tr w:rsidR="00234B5E" w14:paraId="4CF39E49" w14:textId="77777777" w:rsidTr="00BF0E5B">
        <w:trPr>
          <w:tblHeader/>
          <w:jc w:val="center"/>
        </w:trPr>
        <w:tc>
          <w:tcPr>
            <w:tcW w:w="2605" w:type="dxa"/>
            <w:shd w:val="clear" w:color="auto" w:fill="002060"/>
          </w:tcPr>
          <w:p w14:paraId="4C486DD4" w14:textId="3145EC95" w:rsidR="00234B5E" w:rsidRDefault="00234B5E" w:rsidP="0005620E">
            <w:pPr>
              <w:jc w:val="center"/>
            </w:pPr>
            <w:r w:rsidRPr="008D76F8">
              <w:rPr>
                <w:rFonts w:asciiTheme="minorHAnsi" w:eastAsia="Times New Roman" w:hAnsiTheme="minorHAnsi" w:cstheme="minorHAnsi"/>
                <w:b/>
                <w:bCs/>
                <w:sz w:val="20"/>
                <w:szCs w:val="20"/>
              </w:rPr>
              <w:t>PIP Topic</w:t>
            </w:r>
          </w:p>
        </w:tc>
        <w:tc>
          <w:tcPr>
            <w:tcW w:w="10440" w:type="dxa"/>
            <w:shd w:val="clear" w:color="auto" w:fill="002060"/>
          </w:tcPr>
          <w:p w14:paraId="11AA4A5D" w14:textId="68C70C11" w:rsidR="00234B5E" w:rsidRPr="00234B5E" w:rsidRDefault="00234B5E" w:rsidP="00234B5E">
            <w:pPr>
              <w:ind w:left="144"/>
              <w:textAlignment w:val="baseline"/>
              <w:rPr>
                <w:rFonts w:asciiTheme="minorHAnsi" w:eastAsia="Times New Roman" w:hAnsiTheme="minorHAnsi" w:cstheme="minorHAnsi"/>
                <w:b/>
                <w:bCs/>
                <w:sz w:val="20"/>
                <w:szCs w:val="20"/>
              </w:rPr>
            </w:pPr>
            <w:r w:rsidRPr="008D76F8">
              <w:rPr>
                <w:rFonts w:asciiTheme="minorHAnsi" w:eastAsia="Times New Roman" w:hAnsiTheme="minorHAnsi" w:cstheme="minorHAnsi"/>
                <w:b/>
                <w:bCs/>
                <w:sz w:val="20"/>
                <w:szCs w:val="20"/>
              </w:rPr>
              <w:t>PIP Aim</w:t>
            </w:r>
            <w:r>
              <w:rPr>
                <w:rFonts w:asciiTheme="minorHAnsi" w:eastAsia="Times New Roman" w:hAnsiTheme="minorHAnsi" w:cstheme="minorHAnsi"/>
                <w:b/>
                <w:bCs/>
                <w:sz w:val="20"/>
                <w:szCs w:val="20"/>
              </w:rPr>
              <w:t>/Goal</w:t>
            </w:r>
            <w:r w:rsidR="00D66CBB">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and Intervention Examples</w:t>
            </w:r>
          </w:p>
        </w:tc>
      </w:tr>
      <w:tr w:rsidR="00234B5E" w14:paraId="783A5109" w14:textId="77777777" w:rsidTr="00BF0E5B">
        <w:trPr>
          <w:trHeight w:val="5885"/>
          <w:jc w:val="center"/>
        </w:trPr>
        <w:tc>
          <w:tcPr>
            <w:tcW w:w="2605" w:type="dxa"/>
          </w:tcPr>
          <w:p w14:paraId="495F414C" w14:textId="39D00184" w:rsidR="00234B5E" w:rsidRPr="008D76F8" w:rsidRDefault="00234B5E" w:rsidP="00000F7B">
            <w:pPr>
              <w:rPr>
                <w:rFonts w:asciiTheme="minorHAnsi" w:eastAsia="Times New Roman" w:hAnsiTheme="minorHAnsi" w:cstheme="minorHAnsi"/>
                <w:b/>
                <w:bCs/>
                <w:sz w:val="20"/>
                <w:szCs w:val="20"/>
              </w:rPr>
            </w:pPr>
            <w:r w:rsidRPr="00247E23">
              <w:rPr>
                <w:rFonts w:asciiTheme="minorHAnsi" w:eastAsia="Times New Roman" w:hAnsiTheme="minorHAnsi" w:cstheme="minorHAnsi"/>
                <w:b/>
                <w:color w:val="002060"/>
                <w:sz w:val="20"/>
                <w:szCs w:val="20"/>
              </w:rPr>
              <w:t>Behavioral Health – Care, Coordination</w:t>
            </w:r>
            <w:r w:rsidR="00247E23" w:rsidRPr="00247E23">
              <w:rPr>
                <w:rFonts w:asciiTheme="minorHAnsi" w:eastAsia="Times New Roman" w:hAnsiTheme="minorHAnsi" w:cstheme="minorHAnsi"/>
                <w:b/>
                <w:bCs/>
                <w:color w:val="002060"/>
                <w:sz w:val="20"/>
                <w:szCs w:val="20"/>
              </w:rPr>
              <w:t>,</w:t>
            </w:r>
            <w:r w:rsidRPr="00247E23">
              <w:rPr>
                <w:rFonts w:asciiTheme="minorHAnsi" w:eastAsia="Times New Roman" w:hAnsiTheme="minorHAnsi" w:cstheme="minorHAnsi"/>
                <w:b/>
                <w:color w:val="002060"/>
                <w:sz w:val="20"/>
                <w:szCs w:val="20"/>
              </w:rPr>
              <w:t xml:space="preserve"> and Integration</w:t>
            </w:r>
          </w:p>
        </w:tc>
        <w:tc>
          <w:tcPr>
            <w:tcW w:w="10440" w:type="dxa"/>
          </w:tcPr>
          <w:p w14:paraId="52E33278" w14:textId="0AF0897E" w:rsidR="00062291" w:rsidRPr="00062291" w:rsidRDefault="00234B5E">
            <w:pPr>
              <w:pStyle w:val="ListParagraph"/>
              <w:numPr>
                <w:ilvl w:val="0"/>
                <w:numId w:val="32"/>
              </w:numPr>
              <w:ind w:left="433"/>
              <w:textAlignment w:val="baseline"/>
              <w:rPr>
                <w:rFonts w:asciiTheme="minorHAnsi" w:eastAsia="Times New Roman" w:hAnsiTheme="minorHAnsi" w:cstheme="minorHAnsi"/>
                <w:b/>
                <w:color w:val="002060"/>
                <w:sz w:val="20"/>
                <w:szCs w:val="20"/>
              </w:rPr>
            </w:pPr>
            <w:r w:rsidRPr="00062291">
              <w:rPr>
                <w:rFonts w:asciiTheme="minorHAnsi" w:eastAsia="Times New Roman" w:hAnsiTheme="minorHAnsi" w:cstheme="minorHAnsi"/>
                <w:b/>
                <w:color w:val="002060"/>
                <w:sz w:val="20"/>
                <w:szCs w:val="20"/>
              </w:rPr>
              <w:t>Aim</w:t>
            </w:r>
            <w:r w:rsidR="008E307E" w:rsidRPr="00062291">
              <w:rPr>
                <w:rFonts w:asciiTheme="minorHAnsi" w:eastAsia="Times New Roman" w:hAnsiTheme="minorHAnsi" w:cstheme="minorHAnsi"/>
                <w:b/>
                <w:bCs/>
                <w:color w:val="002060"/>
                <w:sz w:val="20"/>
                <w:szCs w:val="20"/>
              </w:rPr>
              <w:t>/</w:t>
            </w:r>
            <w:r w:rsidRPr="00062291">
              <w:rPr>
                <w:rFonts w:asciiTheme="minorHAnsi" w:eastAsia="Times New Roman" w:hAnsiTheme="minorHAnsi" w:cstheme="minorHAnsi"/>
                <w:b/>
                <w:color w:val="002060"/>
                <w:sz w:val="20"/>
                <w:szCs w:val="20"/>
              </w:rPr>
              <w:t>Goal</w:t>
            </w:r>
            <w:r w:rsidR="00062291">
              <w:rPr>
                <w:rFonts w:asciiTheme="minorHAnsi" w:eastAsia="Times New Roman" w:hAnsiTheme="minorHAnsi" w:cstheme="minorHAnsi"/>
                <w:b/>
                <w:color w:val="002060"/>
                <w:sz w:val="20"/>
                <w:szCs w:val="20"/>
              </w:rPr>
              <w:t xml:space="preserve"> - </w:t>
            </w:r>
            <w:r w:rsidRPr="00062291">
              <w:rPr>
                <w:rFonts w:asciiTheme="minorHAnsi" w:eastAsia="Times New Roman" w:hAnsiTheme="minorHAnsi" w:cstheme="minorHAnsi"/>
                <w:sz w:val="20"/>
                <w:szCs w:val="20"/>
              </w:rPr>
              <w:t xml:space="preserve">Increasing the rate of </w:t>
            </w:r>
            <w:r w:rsidR="00597A5F">
              <w:rPr>
                <w:rFonts w:asciiTheme="minorHAnsi" w:eastAsia="Times New Roman" w:hAnsiTheme="minorHAnsi" w:cstheme="minorHAnsi"/>
                <w:sz w:val="20"/>
                <w:szCs w:val="20"/>
              </w:rPr>
              <w:t>follow-up</w:t>
            </w:r>
            <w:r w:rsidRPr="00062291">
              <w:rPr>
                <w:rFonts w:asciiTheme="minorHAnsi" w:eastAsia="Times New Roman" w:hAnsiTheme="minorHAnsi" w:cstheme="minorHAnsi"/>
                <w:sz w:val="20"/>
                <w:szCs w:val="20"/>
              </w:rPr>
              <w:t xml:space="preserve"> visits within seven days of discharge for members hospitalized for a mental illness (5</w:t>
            </w:r>
            <w:r w:rsidR="00875723" w:rsidRPr="00062291">
              <w:rPr>
                <w:rFonts w:asciiTheme="minorHAnsi" w:eastAsia="Times New Roman" w:hAnsiTheme="minorHAnsi" w:cstheme="minorHAnsi"/>
                <w:sz w:val="20"/>
                <w:szCs w:val="20"/>
              </w:rPr>
              <w:t xml:space="preserve"> projects</w:t>
            </w:r>
            <w:r w:rsidRPr="00062291">
              <w:rPr>
                <w:rFonts w:asciiTheme="minorHAnsi" w:eastAsia="Times New Roman" w:hAnsiTheme="minorHAnsi" w:cstheme="minorHAnsi"/>
                <w:sz w:val="20"/>
                <w:szCs w:val="20"/>
              </w:rPr>
              <w:t>)</w:t>
            </w:r>
          </w:p>
          <w:p w14:paraId="2EEB24A6" w14:textId="5E53C8CB" w:rsidR="00234B5E" w:rsidRPr="00062291" w:rsidRDefault="00943064">
            <w:pPr>
              <w:pStyle w:val="ListParagraph"/>
              <w:numPr>
                <w:ilvl w:val="0"/>
                <w:numId w:val="32"/>
              </w:numPr>
              <w:spacing w:after="200"/>
              <w:ind w:left="433"/>
              <w:contextualSpacing w:val="0"/>
              <w:textAlignment w:val="baseline"/>
              <w:rPr>
                <w:rFonts w:asciiTheme="minorHAnsi" w:eastAsia="Times New Roman" w:hAnsiTheme="minorHAnsi" w:cstheme="minorHAnsi"/>
                <w:b/>
                <w:color w:val="002060"/>
                <w:sz w:val="20"/>
                <w:szCs w:val="20"/>
              </w:rPr>
            </w:pPr>
            <w:r w:rsidRPr="00062291">
              <w:rPr>
                <w:rFonts w:asciiTheme="minorHAnsi" w:eastAsia="Times New Roman" w:hAnsiTheme="minorHAnsi" w:cstheme="minorHAnsi"/>
                <w:b/>
                <w:color w:val="002060"/>
                <w:sz w:val="20"/>
                <w:szCs w:val="20"/>
              </w:rPr>
              <w:t xml:space="preserve"> </w:t>
            </w:r>
            <w:r w:rsidR="00234B5E" w:rsidRPr="00062291">
              <w:rPr>
                <w:rFonts w:asciiTheme="minorHAnsi" w:eastAsia="Times New Roman" w:hAnsiTheme="minorHAnsi" w:cstheme="minorHAnsi"/>
                <w:b/>
                <w:color w:val="002060"/>
                <w:sz w:val="20"/>
                <w:szCs w:val="20"/>
              </w:rPr>
              <w:t xml:space="preserve">Intervention </w:t>
            </w:r>
            <w:r w:rsidR="00234B5E" w:rsidRPr="00062291">
              <w:rPr>
                <w:rFonts w:asciiTheme="minorHAnsi" w:eastAsia="Times New Roman" w:hAnsiTheme="minorHAnsi" w:cstheme="minorHAnsi"/>
                <w:b/>
                <w:bCs/>
                <w:color w:val="002060"/>
                <w:sz w:val="20"/>
                <w:szCs w:val="20"/>
              </w:rPr>
              <w:t>Example</w:t>
            </w:r>
            <w:r w:rsidR="00062291">
              <w:rPr>
                <w:rFonts w:asciiTheme="minorHAnsi" w:eastAsia="Times New Roman" w:hAnsiTheme="minorHAnsi" w:cstheme="minorHAnsi"/>
                <w:b/>
                <w:bCs/>
                <w:color w:val="002060"/>
                <w:sz w:val="20"/>
                <w:szCs w:val="20"/>
              </w:rPr>
              <w:t xml:space="preserve"> -</w:t>
            </w:r>
            <w:r w:rsidR="00234B5E" w:rsidRPr="00062291">
              <w:rPr>
                <w:rFonts w:asciiTheme="minorHAnsi" w:eastAsia="Times New Roman" w:hAnsiTheme="minorHAnsi" w:cstheme="minorHAnsi"/>
                <w:sz w:val="20"/>
                <w:szCs w:val="20"/>
              </w:rPr>
              <w:t>Met with high-risk and high-utilizing members prior to discharge, and follow up within 48 hours of discharge, to ensure coordination of care.</w:t>
            </w:r>
          </w:p>
          <w:p w14:paraId="29244E85" w14:textId="77777777" w:rsidR="00597A5F" w:rsidRPr="00597A5F" w:rsidRDefault="00234B5E">
            <w:pPr>
              <w:pStyle w:val="ListParagraph"/>
              <w:numPr>
                <w:ilvl w:val="0"/>
                <w:numId w:val="32"/>
              </w:numPr>
              <w:ind w:left="433"/>
              <w:textAlignment w:val="baseline"/>
              <w:rPr>
                <w:rFonts w:asciiTheme="minorHAnsi" w:eastAsia="Times New Roman" w:hAnsiTheme="minorHAnsi" w:cstheme="minorHAnsi"/>
                <w:b/>
                <w:color w:val="002060"/>
                <w:sz w:val="20"/>
                <w:szCs w:val="20"/>
              </w:rPr>
            </w:pPr>
            <w:r w:rsidRPr="00597A5F">
              <w:rPr>
                <w:rFonts w:asciiTheme="minorHAnsi" w:eastAsia="Times New Roman" w:hAnsiTheme="minorHAnsi" w:cstheme="minorHAnsi"/>
                <w:b/>
                <w:color w:val="002060"/>
                <w:sz w:val="20"/>
                <w:szCs w:val="20"/>
              </w:rPr>
              <w:t>Aim</w:t>
            </w:r>
            <w:r w:rsidR="008E307E" w:rsidRPr="00597A5F">
              <w:rPr>
                <w:rFonts w:asciiTheme="minorHAnsi" w:eastAsia="Times New Roman" w:hAnsiTheme="minorHAnsi" w:cstheme="minorHAnsi"/>
                <w:b/>
                <w:bCs/>
                <w:color w:val="002060"/>
                <w:sz w:val="20"/>
                <w:szCs w:val="20"/>
              </w:rPr>
              <w:t>/</w:t>
            </w:r>
            <w:r w:rsidRPr="00597A5F">
              <w:rPr>
                <w:rFonts w:asciiTheme="minorHAnsi" w:eastAsia="Times New Roman" w:hAnsiTheme="minorHAnsi" w:cstheme="minorHAnsi"/>
                <w:b/>
                <w:color w:val="002060"/>
                <w:sz w:val="20"/>
                <w:szCs w:val="20"/>
              </w:rPr>
              <w:t>Goal</w:t>
            </w:r>
            <w:r w:rsidR="00597A5F">
              <w:rPr>
                <w:rFonts w:asciiTheme="minorHAnsi" w:eastAsia="Times New Roman" w:hAnsiTheme="minorHAnsi" w:cstheme="minorHAnsi"/>
                <w:b/>
                <w:color w:val="002060"/>
                <w:sz w:val="20"/>
                <w:szCs w:val="20"/>
              </w:rPr>
              <w:t xml:space="preserve"> - </w:t>
            </w:r>
            <w:r w:rsidRPr="00597A5F">
              <w:rPr>
                <w:rFonts w:asciiTheme="minorHAnsi" w:eastAsia="Times New Roman" w:hAnsiTheme="minorHAnsi" w:cstheme="minorHAnsi"/>
                <w:sz w:val="20"/>
                <w:szCs w:val="20"/>
              </w:rPr>
              <w:t>Utilizing Health-Related Social Needs Screening to identify both pediatric and adult members in need of additional services to improve health outcomes (4</w:t>
            </w:r>
            <w:r w:rsidR="00875723" w:rsidRPr="00597A5F">
              <w:rPr>
                <w:rFonts w:asciiTheme="minorHAnsi" w:eastAsia="Times New Roman" w:hAnsiTheme="minorHAnsi" w:cstheme="minorHAnsi"/>
                <w:sz w:val="20"/>
                <w:szCs w:val="20"/>
              </w:rPr>
              <w:t xml:space="preserve"> projects</w:t>
            </w:r>
            <w:r w:rsidRPr="00597A5F">
              <w:rPr>
                <w:rFonts w:asciiTheme="minorHAnsi" w:eastAsia="Times New Roman" w:hAnsiTheme="minorHAnsi" w:cstheme="minorHAnsi"/>
                <w:sz w:val="20"/>
                <w:szCs w:val="20"/>
              </w:rPr>
              <w:t>)</w:t>
            </w:r>
          </w:p>
          <w:p w14:paraId="1A6B7C80" w14:textId="660DB15E" w:rsidR="00234B5E" w:rsidRPr="00597A5F" w:rsidRDefault="00234B5E">
            <w:pPr>
              <w:pStyle w:val="ListParagraph"/>
              <w:numPr>
                <w:ilvl w:val="0"/>
                <w:numId w:val="32"/>
              </w:numPr>
              <w:spacing w:after="200"/>
              <w:ind w:left="433"/>
              <w:contextualSpacing w:val="0"/>
              <w:textAlignment w:val="baseline"/>
              <w:rPr>
                <w:rFonts w:asciiTheme="minorHAnsi" w:eastAsia="Times New Roman" w:hAnsiTheme="minorHAnsi" w:cstheme="minorHAnsi"/>
                <w:b/>
                <w:color w:val="002060"/>
                <w:sz w:val="20"/>
                <w:szCs w:val="20"/>
              </w:rPr>
            </w:pPr>
            <w:r w:rsidRPr="00597A5F">
              <w:rPr>
                <w:rFonts w:asciiTheme="minorHAnsi" w:eastAsia="Times New Roman" w:hAnsiTheme="minorHAnsi" w:cstheme="minorHAnsi"/>
                <w:b/>
                <w:color w:val="002060"/>
                <w:sz w:val="20"/>
                <w:szCs w:val="20"/>
              </w:rPr>
              <w:t xml:space="preserve">Intervention </w:t>
            </w:r>
            <w:r w:rsidRPr="00597A5F">
              <w:rPr>
                <w:rFonts w:asciiTheme="minorHAnsi" w:eastAsia="Times New Roman" w:hAnsiTheme="minorHAnsi" w:cstheme="minorHAnsi"/>
                <w:b/>
                <w:bCs/>
                <w:color w:val="002060"/>
                <w:sz w:val="20"/>
                <w:szCs w:val="20"/>
              </w:rPr>
              <w:t>Example</w:t>
            </w:r>
            <w:r w:rsidR="00597A5F">
              <w:rPr>
                <w:rFonts w:asciiTheme="minorHAnsi" w:eastAsia="Times New Roman" w:hAnsiTheme="minorHAnsi" w:cstheme="minorHAnsi"/>
                <w:b/>
                <w:bCs/>
                <w:color w:val="002060"/>
                <w:sz w:val="20"/>
                <w:szCs w:val="20"/>
              </w:rPr>
              <w:t xml:space="preserve"> - </w:t>
            </w:r>
            <w:r w:rsidRPr="00597A5F">
              <w:rPr>
                <w:rFonts w:asciiTheme="minorHAnsi" w:eastAsia="Times New Roman" w:hAnsiTheme="minorHAnsi" w:cstheme="minorHAnsi"/>
                <w:sz w:val="20"/>
                <w:szCs w:val="20"/>
              </w:rPr>
              <w:t>Incorporated SDOH screening tool into the electronic medical record.</w:t>
            </w:r>
          </w:p>
          <w:p w14:paraId="16FBC638" w14:textId="77777777" w:rsidR="001F4F5C" w:rsidRPr="001F4F5C" w:rsidRDefault="00B6654E">
            <w:pPr>
              <w:pStyle w:val="ListParagraph"/>
              <w:numPr>
                <w:ilvl w:val="0"/>
                <w:numId w:val="32"/>
              </w:numPr>
              <w:ind w:left="433"/>
              <w:textAlignment w:val="baseline"/>
              <w:rPr>
                <w:rFonts w:asciiTheme="minorHAnsi" w:eastAsia="Times New Roman" w:hAnsiTheme="minorHAnsi" w:cstheme="minorHAnsi"/>
                <w:b/>
                <w:color w:val="002060"/>
                <w:sz w:val="20"/>
                <w:szCs w:val="20"/>
              </w:rPr>
            </w:pPr>
            <w:r w:rsidRPr="00597A5F">
              <w:rPr>
                <w:rFonts w:asciiTheme="minorHAnsi" w:eastAsia="Times New Roman" w:hAnsiTheme="minorHAnsi" w:cstheme="minorHAnsi"/>
                <w:b/>
                <w:color w:val="002060"/>
                <w:sz w:val="20"/>
                <w:szCs w:val="20"/>
              </w:rPr>
              <w:t>Aim</w:t>
            </w:r>
            <w:r w:rsidR="00707FBB" w:rsidRPr="00597A5F">
              <w:rPr>
                <w:rFonts w:asciiTheme="minorHAnsi" w:eastAsia="Times New Roman" w:hAnsiTheme="minorHAnsi" w:cstheme="minorHAnsi"/>
                <w:b/>
                <w:bCs/>
                <w:color w:val="002060"/>
                <w:sz w:val="20"/>
                <w:szCs w:val="20"/>
              </w:rPr>
              <w:t>/</w:t>
            </w:r>
            <w:r w:rsidRPr="00597A5F">
              <w:rPr>
                <w:rFonts w:asciiTheme="minorHAnsi" w:eastAsia="Times New Roman" w:hAnsiTheme="minorHAnsi" w:cstheme="minorHAnsi"/>
                <w:b/>
                <w:color w:val="002060"/>
                <w:sz w:val="20"/>
                <w:szCs w:val="20"/>
              </w:rPr>
              <w:t>Goal</w:t>
            </w:r>
            <w:r w:rsidR="00597A5F">
              <w:rPr>
                <w:rFonts w:asciiTheme="minorHAnsi" w:eastAsia="Times New Roman" w:hAnsiTheme="minorHAnsi" w:cstheme="minorHAnsi"/>
                <w:b/>
                <w:color w:val="002060"/>
                <w:sz w:val="20"/>
                <w:szCs w:val="20"/>
              </w:rPr>
              <w:t xml:space="preserve"> - </w:t>
            </w:r>
            <w:r w:rsidR="00234B5E" w:rsidRPr="00A2603E">
              <w:rPr>
                <w:rFonts w:asciiTheme="minorHAnsi" w:eastAsia="Times New Roman" w:hAnsiTheme="minorHAnsi" w:cstheme="minorHAnsi"/>
                <w:sz w:val="20"/>
                <w:szCs w:val="20"/>
              </w:rPr>
              <w:t>Improving Initiation and Engagement of Alcohol and Other Drug Dependence Treatment (5</w:t>
            </w:r>
            <w:r w:rsidR="00875723" w:rsidRPr="00A2603E">
              <w:rPr>
                <w:rFonts w:asciiTheme="minorHAnsi" w:eastAsia="Times New Roman" w:hAnsiTheme="minorHAnsi" w:cstheme="minorHAnsi"/>
                <w:sz w:val="20"/>
                <w:szCs w:val="20"/>
              </w:rPr>
              <w:t xml:space="preserve"> projects</w:t>
            </w:r>
            <w:r w:rsidR="00234B5E" w:rsidRPr="00A2603E">
              <w:rPr>
                <w:rFonts w:asciiTheme="minorHAnsi" w:eastAsia="Times New Roman" w:hAnsiTheme="minorHAnsi" w:cstheme="minorHAnsi"/>
                <w:sz w:val="20"/>
                <w:szCs w:val="20"/>
              </w:rPr>
              <w:t>)</w:t>
            </w:r>
          </w:p>
          <w:p w14:paraId="51873A2D" w14:textId="7C009C10" w:rsidR="00234B5E" w:rsidRPr="001F4F5C" w:rsidRDefault="00B6654E">
            <w:pPr>
              <w:pStyle w:val="ListParagraph"/>
              <w:numPr>
                <w:ilvl w:val="0"/>
                <w:numId w:val="32"/>
              </w:numPr>
              <w:spacing w:after="200"/>
              <w:ind w:left="433"/>
              <w:contextualSpacing w:val="0"/>
              <w:textAlignment w:val="baseline"/>
              <w:rPr>
                <w:rFonts w:asciiTheme="minorHAnsi" w:eastAsia="Times New Roman" w:hAnsiTheme="minorHAnsi" w:cstheme="minorHAnsi"/>
                <w:b/>
                <w:color w:val="002060"/>
                <w:sz w:val="20"/>
                <w:szCs w:val="20"/>
              </w:rPr>
            </w:pPr>
            <w:r w:rsidRPr="001F4F5C">
              <w:rPr>
                <w:rFonts w:asciiTheme="minorHAnsi" w:eastAsia="Times New Roman" w:hAnsiTheme="minorHAnsi" w:cstheme="minorHAnsi"/>
                <w:b/>
                <w:color w:val="002060"/>
                <w:sz w:val="20"/>
                <w:szCs w:val="20"/>
              </w:rPr>
              <w:t xml:space="preserve">Intervention </w:t>
            </w:r>
            <w:r w:rsidRPr="001F4F5C">
              <w:rPr>
                <w:rFonts w:asciiTheme="minorHAnsi" w:eastAsia="Times New Roman" w:hAnsiTheme="minorHAnsi" w:cstheme="minorHAnsi"/>
                <w:b/>
                <w:bCs/>
                <w:color w:val="002060"/>
                <w:sz w:val="20"/>
                <w:szCs w:val="20"/>
              </w:rPr>
              <w:t>Example</w:t>
            </w:r>
            <w:r w:rsidR="001F4F5C">
              <w:rPr>
                <w:rFonts w:asciiTheme="minorHAnsi" w:eastAsia="Times New Roman" w:hAnsiTheme="minorHAnsi" w:cstheme="minorHAnsi"/>
                <w:b/>
                <w:bCs/>
                <w:color w:val="002060"/>
                <w:sz w:val="20"/>
                <w:szCs w:val="20"/>
              </w:rPr>
              <w:t xml:space="preserve"> - </w:t>
            </w:r>
            <w:r w:rsidR="00234B5E" w:rsidRPr="001F4F5C">
              <w:rPr>
                <w:rFonts w:asciiTheme="minorHAnsi" w:eastAsia="Times New Roman" w:hAnsiTheme="minorHAnsi" w:cstheme="minorHAnsi"/>
                <w:sz w:val="20"/>
                <w:szCs w:val="20"/>
              </w:rPr>
              <w:t>Provider education and referral options for members with substance use disorders.</w:t>
            </w:r>
          </w:p>
          <w:p w14:paraId="4BCFB6ED" w14:textId="5805772B" w:rsidR="00234B5E" w:rsidRPr="00F311B2" w:rsidRDefault="008E307E">
            <w:pPr>
              <w:pStyle w:val="ListParagraph"/>
              <w:numPr>
                <w:ilvl w:val="0"/>
                <w:numId w:val="32"/>
              </w:numPr>
              <w:ind w:left="433"/>
              <w:textAlignment w:val="baseline"/>
              <w:rPr>
                <w:rFonts w:asciiTheme="minorHAnsi" w:eastAsia="Times New Roman" w:hAnsiTheme="minorHAnsi" w:cstheme="minorHAnsi"/>
                <w:b/>
                <w:color w:val="002060"/>
                <w:sz w:val="20"/>
                <w:szCs w:val="20"/>
              </w:rPr>
            </w:pPr>
            <w:r w:rsidRPr="00F311B2">
              <w:rPr>
                <w:rFonts w:asciiTheme="minorHAnsi" w:eastAsia="Times New Roman" w:hAnsiTheme="minorHAnsi" w:cstheme="minorHAnsi"/>
                <w:b/>
                <w:color w:val="002060"/>
                <w:sz w:val="20"/>
                <w:szCs w:val="20"/>
              </w:rPr>
              <w:t>Aim</w:t>
            </w:r>
            <w:r w:rsidR="00707FBB" w:rsidRPr="00F311B2">
              <w:rPr>
                <w:rFonts w:asciiTheme="minorHAnsi" w:eastAsia="Times New Roman" w:hAnsiTheme="minorHAnsi" w:cstheme="minorHAnsi"/>
                <w:b/>
                <w:bCs/>
                <w:color w:val="002060"/>
                <w:sz w:val="20"/>
                <w:szCs w:val="20"/>
              </w:rPr>
              <w:t>/</w:t>
            </w:r>
            <w:r w:rsidRPr="00F311B2">
              <w:rPr>
                <w:rFonts w:asciiTheme="minorHAnsi" w:eastAsia="Times New Roman" w:hAnsiTheme="minorHAnsi" w:cstheme="minorHAnsi"/>
                <w:b/>
                <w:color w:val="002060"/>
                <w:sz w:val="20"/>
                <w:szCs w:val="20"/>
              </w:rPr>
              <w:t>Goal</w:t>
            </w:r>
            <w:r w:rsidR="00F311B2">
              <w:rPr>
                <w:rFonts w:asciiTheme="minorHAnsi" w:eastAsia="Times New Roman" w:hAnsiTheme="minorHAnsi" w:cstheme="minorHAnsi"/>
                <w:b/>
                <w:color w:val="002060"/>
                <w:sz w:val="20"/>
                <w:szCs w:val="20"/>
              </w:rPr>
              <w:t xml:space="preserve"> - </w:t>
            </w:r>
            <w:r w:rsidR="00234B5E" w:rsidRPr="00F311B2">
              <w:rPr>
                <w:rFonts w:asciiTheme="minorHAnsi" w:eastAsia="Times New Roman" w:hAnsiTheme="minorHAnsi" w:cstheme="minorHAnsi"/>
                <w:sz w:val="20"/>
                <w:szCs w:val="20"/>
              </w:rPr>
              <w:t>Improving the rate of depression screenings and follow-up plans (7</w:t>
            </w:r>
            <w:r w:rsidR="00875723" w:rsidRPr="00F311B2">
              <w:rPr>
                <w:rFonts w:asciiTheme="minorHAnsi" w:eastAsia="Times New Roman" w:hAnsiTheme="minorHAnsi" w:cstheme="minorHAnsi"/>
                <w:sz w:val="20"/>
                <w:szCs w:val="20"/>
              </w:rPr>
              <w:t xml:space="preserve"> projects</w:t>
            </w:r>
            <w:r w:rsidR="00234B5E" w:rsidRPr="00F311B2">
              <w:rPr>
                <w:rFonts w:asciiTheme="minorHAnsi" w:eastAsia="Times New Roman" w:hAnsiTheme="minorHAnsi" w:cstheme="minorHAnsi"/>
                <w:sz w:val="20"/>
                <w:szCs w:val="20"/>
              </w:rPr>
              <w:t>)</w:t>
            </w:r>
          </w:p>
          <w:p w14:paraId="6658D042" w14:textId="7A70CC88" w:rsidR="00234B5E" w:rsidRPr="00F311B2" w:rsidRDefault="008E307E">
            <w:pPr>
              <w:pStyle w:val="ListParagraph"/>
              <w:numPr>
                <w:ilvl w:val="0"/>
                <w:numId w:val="32"/>
              </w:numPr>
              <w:ind w:left="433"/>
              <w:textAlignment w:val="baseline"/>
              <w:rPr>
                <w:rFonts w:asciiTheme="minorHAnsi" w:eastAsia="Times New Roman" w:hAnsiTheme="minorHAnsi" w:cstheme="minorHAnsi"/>
                <w:b/>
                <w:color w:val="002060"/>
                <w:sz w:val="20"/>
                <w:szCs w:val="20"/>
              </w:rPr>
            </w:pPr>
            <w:r w:rsidRPr="00F311B2">
              <w:rPr>
                <w:rFonts w:asciiTheme="minorHAnsi" w:eastAsia="Times New Roman" w:hAnsiTheme="minorHAnsi" w:cstheme="minorHAnsi"/>
                <w:b/>
                <w:color w:val="002060"/>
                <w:sz w:val="20"/>
                <w:szCs w:val="20"/>
              </w:rPr>
              <w:t xml:space="preserve">Intervention </w:t>
            </w:r>
            <w:r w:rsidRPr="00F311B2">
              <w:rPr>
                <w:rFonts w:asciiTheme="minorHAnsi" w:eastAsia="Times New Roman" w:hAnsiTheme="minorHAnsi" w:cstheme="minorHAnsi"/>
                <w:b/>
                <w:bCs/>
                <w:color w:val="002060"/>
                <w:sz w:val="20"/>
                <w:szCs w:val="20"/>
              </w:rPr>
              <w:t>Example</w:t>
            </w:r>
            <w:r w:rsidR="00F311B2">
              <w:rPr>
                <w:rFonts w:asciiTheme="minorHAnsi" w:eastAsia="Times New Roman" w:hAnsiTheme="minorHAnsi" w:cstheme="minorHAnsi"/>
                <w:b/>
                <w:bCs/>
                <w:color w:val="002060"/>
                <w:sz w:val="20"/>
                <w:szCs w:val="20"/>
              </w:rPr>
              <w:t xml:space="preserve"> - </w:t>
            </w:r>
            <w:r w:rsidR="00234B5E" w:rsidRPr="00F311B2">
              <w:rPr>
                <w:rFonts w:asciiTheme="minorHAnsi" w:eastAsia="Times New Roman" w:hAnsiTheme="minorHAnsi" w:cstheme="minorHAnsi"/>
                <w:sz w:val="20"/>
                <w:szCs w:val="20"/>
              </w:rPr>
              <w:t>PHQ-9 screening, and analysis of workflow challenges in differently sized practices.</w:t>
            </w:r>
          </w:p>
        </w:tc>
      </w:tr>
      <w:tr w:rsidR="00707FBB" w14:paraId="4B70E28E" w14:textId="77777777" w:rsidTr="00BF0E5B">
        <w:trPr>
          <w:trHeight w:val="5885"/>
          <w:jc w:val="center"/>
        </w:trPr>
        <w:tc>
          <w:tcPr>
            <w:tcW w:w="2605" w:type="dxa"/>
          </w:tcPr>
          <w:p w14:paraId="4FBAFFB0" w14:textId="54670DBB" w:rsidR="00707FBB" w:rsidRPr="00825125" w:rsidRDefault="00707FBB" w:rsidP="00247E23">
            <w:pPr>
              <w:spacing w:after="240"/>
              <w:textAlignment w:val="baseline"/>
              <w:rPr>
                <w:rFonts w:asciiTheme="minorHAnsi" w:eastAsia="Times New Roman" w:hAnsiTheme="minorHAnsi" w:cstheme="minorHAnsi"/>
                <w:b/>
                <w:color w:val="002060"/>
                <w:sz w:val="20"/>
                <w:szCs w:val="20"/>
              </w:rPr>
            </w:pPr>
            <w:r w:rsidRPr="00825125">
              <w:rPr>
                <w:rFonts w:asciiTheme="minorHAnsi" w:eastAsia="Times New Roman" w:hAnsiTheme="minorHAnsi" w:cstheme="minorHAnsi"/>
                <w:b/>
                <w:color w:val="002060"/>
                <w:sz w:val="20"/>
                <w:szCs w:val="20"/>
              </w:rPr>
              <w:lastRenderedPageBreak/>
              <w:t xml:space="preserve">Care for Acute and Chronic Conditions </w:t>
            </w:r>
          </w:p>
          <w:p w14:paraId="7A380154" w14:textId="16057E1B" w:rsidR="00707FBB" w:rsidRPr="00B2532D" w:rsidRDefault="00707FBB" w:rsidP="00707FBB">
            <w:pPr>
              <w:rPr>
                <w:rFonts w:asciiTheme="minorHAnsi" w:eastAsia="Times New Roman" w:hAnsiTheme="minorHAnsi" w:cstheme="minorHAnsi"/>
                <w:sz w:val="20"/>
                <w:szCs w:val="20"/>
              </w:rPr>
            </w:pPr>
            <w:r w:rsidRPr="00825125">
              <w:rPr>
                <w:rFonts w:asciiTheme="minorHAnsi" w:eastAsia="Times New Roman" w:hAnsiTheme="minorHAnsi" w:cstheme="minorHAnsi"/>
                <w:b/>
                <w:color w:val="002060"/>
                <w:sz w:val="20"/>
                <w:szCs w:val="20"/>
              </w:rPr>
              <w:t>Focus on sub-populations (e.g., Children, diabetes)</w:t>
            </w:r>
          </w:p>
        </w:tc>
        <w:tc>
          <w:tcPr>
            <w:tcW w:w="10440" w:type="dxa"/>
          </w:tcPr>
          <w:p w14:paraId="3CC7C174" w14:textId="19C37A87" w:rsidR="00707FBB" w:rsidRPr="00F311B2" w:rsidRDefault="00707FBB">
            <w:pPr>
              <w:pStyle w:val="ListParagraph"/>
              <w:numPr>
                <w:ilvl w:val="0"/>
                <w:numId w:val="33"/>
              </w:numPr>
              <w:ind w:left="433"/>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Aim/Goal</w:t>
            </w:r>
            <w:r w:rsidR="00F311B2">
              <w:rPr>
                <w:rFonts w:asciiTheme="minorHAnsi" w:eastAsia="Times New Roman" w:hAnsiTheme="minorHAnsi" w:cstheme="minorHAnsi"/>
                <w:b/>
                <w:bCs/>
                <w:color w:val="002060"/>
                <w:sz w:val="20"/>
                <w:szCs w:val="20"/>
              </w:rPr>
              <w:t xml:space="preserve"> - </w:t>
            </w:r>
            <w:r w:rsidRPr="00F311B2">
              <w:rPr>
                <w:rFonts w:asciiTheme="minorHAnsi" w:eastAsia="Times New Roman" w:hAnsiTheme="minorHAnsi" w:cstheme="minorHAnsi"/>
                <w:color w:val="000000"/>
                <w:sz w:val="20"/>
                <w:szCs w:val="20"/>
              </w:rPr>
              <w:t>Focus on improving Asthma Control and Medication Adherence (1</w:t>
            </w:r>
            <w:r w:rsidR="00C30597" w:rsidRPr="00F311B2">
              <w:rPr>
                <w:rFonts w:asciiTheme="minorHAnsi" w:eastAsia="Times New Roman" w:hAnsiTheme="minorHAnsi" w:cstheme="minorHAnsi"/>
                <w:color w:val="000000"/>
                <w:sz w:val="20"/>
                <w:szCs w:val="20"/>
              </w:rPr>
              <w:t xml:space="preserve"> project</w:t>
            </w:r>
            <w:r w:rsidRPr="00F311B2">
              <w:rPr>
                <w:rFonts w:asciiTheme="minorHAnsi" w:eastAsia="Times New Roman" w:hAnsiTheme="minorHAnsi" w:cstheme="minorHAnsi"/>
                <w:color w:val="000000"/>
                <w:sz w:val="20"/>
                <w:szCs w:val="20"/>
              </w:rPr>
              <w:t>)</w:t>
            </w:r>
          </w:p>
          <w:p w14:paraId="25C5B477" w14:textId="1D7E4A93" w:rsidR="00707FBB" w:rsidRPr="00F311B2" w:rsidRDefault="00247E23">
            <w:pPr>
              <w:pStyle w:val="ListParagraph"/>
              <w:numPr>
                <w:ilvl w:val="0"/>
                <w:numId w:val="33"/>
              </w:numPr>
              <w:spacing w:after="200"/>
              <w:ind w:left="433"/>
              <w:contextualSpacing w:val="0"/>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Intervention Example</w:t>
            </w:r>
            <w:r w:rsidR="00F311B2">
              <w:rPr>
                <w:rFonts w:asciiTheme="minorHAnsi" w:eastAsia="Times New Roman" w:hAnsiTheme="minorHAnsi" w:cstheme="minorHAnsi"/>
                <w:b/>
                <w:bCs/>
                <w:color w:val="002060"/>
                <w:sz w:val="20"/>
                <w:szCs w:val="20"/>
              </w:rPr>
              <w:t xml:space="preserve"> -</w:t>
            </w:r>
            <w:r w:rsidR="00707FBB" w:rsidRPr="00F311B2">
              <w:rPr>
                <w:rFonts w:asciiTheme="minorHAnsi" w:eastAsia="Times New Roman" w:hAnsiTheme="minorHAnsi" w:cstheme="minorHAnsi"/>
                <w:color w:val="000000"/>
                <w:sz w:val="20"/>
                <w:szCs w:val="20"/>
              </w:rPr>
              <w:t xml:space="preserve">Member education program combining telephonic and in-person counseling and text messaging on </w:t>
            </w:r>
            <w:r w:rsidRPr="00F311B2">
              <w:rPr>
                <w:rFonts w:asciiTheme="minorHAnsi" w:eastAsia="Times New Roman" w:hAnsiTheme="minorHAnsi" w:cstheme="minorHAnsi"/>
                <w:color w:val="000000"/>
                <w:sz w:val="20"/>
                <w:szCs w:val="20"/>
              </w:rPr>
              <w:t xml:space="preserve">the </w:t>
            </w:r>
            <w:r w:rsidR="00707FBB" w:rsidRPr="00F311B2">
              <w:rPr>
                <w:rFonts w:asciiTheme="minorHAnsi" w:eastAsia="Times New Roman" w:hAnsiTheme="minorHAnsi" w:cstheme="minorHAnsi"/>
                <w:color w:val="000000"/>
                <w:sz w:val="20"/>
                <w:szCs w:val="20"/>
              </w:rPr>
              <w:t>proper use of asthma medication and how to self-manage their condition.</w:t>
            </w:r>
          </w:p>
          <w:p w14:paraId="006EB9C8" w14:textId="77777777" w:rsidR="00F311B2" w:rsidRPr="00F311B2" w:rsidRDefault="00247E23">
            <w:pPr>
              <w:pStyle w:val="ListParagraph"/>
              <w:numPr>
                <w:ilvl w:val="0"/>
                <w:numId w:val="33"/>
              </w:numPr>
              <w:ind w:left="433"/>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Aim/Goal</w:t>
            </w:r>
            <w:r w:rsidR="00F311B2">
              <w:rPr>
                <w:rFonts w:asciiTheme="minorHAnsi" w:eastAsia="Times New Roman" w:hAnsiTheme="minorHAnsi" w:cstheme="minorHAnsi"/>
                <w:b/>
                <w:bCs/>
                <w:color w:val="002060"/>
                <w:sz w:val="20"/>
                <w:szCs w:val="20"/>
              </w:rPr>
              <w:t xml:space="preserve"> - </w:t>
            </w:r>
            <w:r w:rsidRPr="00F311B2">
              <w:rPr>
                <w:rFonts w:asciiTheme="minorHAnsi" w:eastAsia="Times New Roman" w:hAnsiTheme="minorHAnsi" w:cstheme="minorHAnsi"/>
                <w:color w:val="000000"/>
                <w:sz w:val="20"/>
                <w:szCs w:val="20"/>
              </w:rPr>
              <w:t>Improving Rates of Controlling High Blood Pressure (1</w:t>
            </w:r>
            <w:r w:rsidR="00C30597" w:rsidRPr="00F311B2">
              <w:rPr>
                <w:rFonts w:asciiTheme="minorHAnsi" w:eastAsia="Times New Roman" w:hAnsiTheme="minorHAnsi" w:cstheme="minorHAnsi"/>
                <w:color w:val="000000"/>
                <w:sz w:val="20"/>
                <w:szCs w:val="20"/>
              </w:rPr>
              <w:t xml:space="preserve"> project</w:t>
            </w:r>
            <w:r w:rsidRPr="00F311B2">
              <w:rPr>
                <w:rFonts w:asciiTheme="minorHAnsi" w:eastAsia="Times New Roman" w:hAnsiTheme="minorHAnsi" w:cstheme="minorHAnsi"/>
                <w:color w:val="000000"/>
                <w:sz w:val="20"/>
                <w:szCs w:val="20"/>
              </w:rPr>
              <w:t>)</w:t>
            </w:r>
          </w:p>
          <w:p w14:paraId="7ED0CEAE" w14:textId="64EDA957" w:rsidR="00247E23" w:rsidRPr="00F311B2" w:rsidRDefault="00247E23">
            <w:pPr>
              <w:pStyle w:val="ListParagraph"/>
              <w:numPr>
                <w:ilvl w:val="0"/>
                <w:numId w:val="33"/>
              </w:numPr>
              <w:spacing w:after="200"/>
              <w:ind w:left="433"/>
              <w:contextualSpacing w:val="0"/>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Intervention Example</w:t>
            </w:r>
            <w:r w:rsidR="00F311B2">
              <w:rPr>
                <w:rFonts w:asciiTheme="minorHAnsi" w:eastAsia="Times New Roman" w:hAnsiTheme="minorHAnsi" w:cstheme="minorHAnsi"/>
                <w:b/>
                <w:bCs/>
                <w:color w:val="002060"/>
                <w:sz w:val="20"/>
                <w:szCs w:val="20"/>
              </w:rPr>
              <w:t xml:space="preserve"> -</w:t>
            </w:r>
            <w:r w:rsidR="00F311B2">
              <w:rPr>
                <w:rFonts w:asciiTheme="minorHAnsi" w:eastAsia="Times New Roman" w:hAnsiTheme="minorHAnsi" w:cstheme="minorHAnsi"/>
                <w:color w:val="000000"/>
                <w:sz w:val="20"/>
                <w:szCs w:val="20"/>
              </w:rPr>
              <w:t xml:space="preserve"> </w:t>
            </w:r>
            <w:r w:rsidR="00825125" w:rsidRPr="00F311B2">
              <w:rPr>
                <w:rFonts w:asciiTheme="minorHAnsi" w:eastAsia="Times New Roman" w:hAnsiTheme="minorHAnsi" w:cstheme="minorHAnsi"/>
                <w:color w:val="000000"/>
                <w:sz w:val="20"/>
                <w:szCs w:val="20"/>
              </w:rPr>
              <w:t>Member classes on how to self-monitor blood pressure with a fitted automatic blood pressure cuff (provided).  Nurse outreach in 7 days to discuss the readings and next steps as indicated.</w:t>
            </w:r>
          </w:p>
          <w:p w14:paraId="1A6584DF" w14:textId="6259D4C1" w:rsidR="00825125" w:rsidRPr="00F311B2" w:rsidRDefault="00825125">
            <w:pPr>
              <w:pStyle w:val="ListParagraph"/>
              <w:numPr>
                <w:ilvl w:val="0"/>
                <w:numId w:val="33"/>
              </w:numPr>
              <w:ind w:left="433"/>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Aim/Goal</w:t>
            </w:r>
            <w:r w:rsidR="00F311B2">
              <w:rPr>
                <w:rFonts w:asciiTheme="minorHAnsi" w:eastAsia="Times New Roman" w:hAnsiTheme="minorHAnsi" w:cstheme="minorHAnsi"/>
                <w:b/>
                <w:bCs/>
                <w:color w:val="002060"/>
                <w:sz w:val="20"/>
                <w:szCs w:val="20"/>
              </w:rPr>
              <w:t xml:space="preserve"> </w:t>
            </w:r>
            <w:r w:rsidR="00F311B2" w:rsidRPr="0041653D">
              <w:rPr>
                <w:rFonts w:asciiTheme="minorHAnsi" w:eastAsia="Times New Roman" w:hAnsiTheme="minorHAnsi" w:cstheme="minorHAnsi"/>
                <w:color w:val="002060"/>
                <w:sz w:val="20"/>
                <w:szCs w:val="20"/>
              </w:rPr>
              <w:t xml:space="preserve">- </w:t>
            </w:r>
            <w:r w:rsidRPr="00F311B2">
              <w:rPr>
                <w:rFonts w:asciiTheme="minorHAnsi" w:eastAsia="Times New Roman" w:hAnsiTheme="minorHAnsi" w:cstheme="minorHAnsi"/>
                <w:sz w:val="20"/>
                <w:szCs w:val="20"/>
              </w:rPr>
              <w:t xml:space="preserve">Improving Rates of CDC – </w:t>
            </w:r>
            <w:r w:rsidR="00142A4B" w:rsidRPr="00F311B2">
              <w:rPr>
                <w:rFonts w:asciiTheme="minorHAnsi" w:eastAsia="Times New Roman" w:hAnsiTheme="minorHAnsi" w:cstheme="minorHAnsi"/>
                <w:sz w:val="20"/>
                <w:szCs w:val="20"/>
              </w:rPr>
              <w:t>A1C</w:t>
            </w:r>
            <w:r w:rsidRPr="00F311B2">
              <w:rPr>
                <w:rFonts w:asciiTheme="minorHAnsi" w:eastAsia="Times New Roman" w:hAnsiTheme="minorHAnsi" w:cstheme="minorHAnsi"/>
                <w:sz w:val="20"/>
                <w:szCs w:val="20"/>
              </w:rPr>
              <w:t xml:space="preserve"> testing for the diabetic population (1</w:t>
            </w:r>
            <w:r w:rsidR="00C30597" w:rsidRPr="00F311B2">
              <w:rPr>
                <w:rFonts w:asciiTheme="minorHAnsi" w:eastAsia="Times New Roman" w:hAnsiTheme="minorHAnsi" w:cstheme="minorHAnsi"/>
                <w:sz w:val="20"/>
                <w:szCs w:val="20"/>
              </w:rPr>
              <w:t xml:space="preserve"> project)</w:t>
            </w:r>
          </w:p>
          <w:p w14:paraId="195A47A2" w14:textId="0DEB1C6F" w:rsidR="00825125" w:rsidRPr="00F311B2" w:rsidRDefault="00825125">
            <w:pPr>
              <w:pStyle w:val="ListParagraph"/>
              <w:numPr>
                <w:ilvl w:val="0"/>
                <w:numId w:val="33"/>
              </w:numPr>
              <w:spacing w:after="200"/>
              <w:ind w:left="433"/>
              <w:contextualSpacing w:val="0"/>
              <w:textAlignment w:val="baseline"/>
              <w:rPr>
                <w:rFonts w:asciiTheme="minorHAnsi" w:eastAsia="Times New Roman" w:hAnsiTheme="minorHAnsi" w:cstheme="minorHAnsi"/>
                <w:b/>
                <w:bCs/>
                <w:color w:val="002060"/>
                <w:sz w:val="20"/>
                <w:szCs w:val="20"/>
              </w:rPr>
            </w:pPr>
            <w:r w:rsidRPr="00F311B2">
              <w:rPr>
                <w:rFonts w:asciiTheme="minorHAnsi" w:eastAsia="Times New Roman" w:hAnsiTheme="minorHAnsi" w:cstheme="minorHAnsi"/>
                <w:b/>
                <w:bCs/>
                <w:color w:val="002060"/>
                <w:sz w:val="20"/>
                <w:szCs w:val="20"/>
              </w:rPr>
              <w:t>Intervention Example</w:t>
            </w:r>
            <w:r w:rsidR="00F311B2">
              <w:rPr>
                <w:rFonts w:asciiTheme="minorHAnsi" w:eastAsia="Times New Roman" w:hAnsiTheme="minorHAnsi" w:cstheme="minorHAnsi"/>
                <w:b/>
                <w:bCs/>
                <w:color w:val="002060"/>
                <w:sz w:val="20"/>
                <w:szCs w:val="20"/>
              </w:rPr>
              <w:t xml:space="preserve"> </w:t>
            </w:r>
            <w:r w:rsidR="00301968">
              <w:rPr>
                <w:rFonts w:asciiTheme="minorHAnsi" w:eastAsia="Times New Roman" w:hAnsiTheme="minorHAnsi" w:cstheme="minorHAnsi"/>
                <w:b/>
                <w:bCs/>
                <w:color w:val="002060"/>
                <w:sz w:val="20"/>
                <w:szCs w:val="20"/>
              </w:rPr>
              <w:t>-</w:t>
            </w:r>
            <w:r w:rsidRPr="00F311B2">
              <w:rPr>
                <w:rFonts w:asciiTheme="minorHAnsi" w:eastAsia="Times New Roman" w:hAnsiTheme="minorHAnsi" w:cstheme="minorHAnsi"/>
                <w:sz w:val="20"/>
                <w:szCs w:val="20"/>
              </w:rPr>
              <w:t>Generation of gaps in care registries with providers outreach to telephone non-adherent members.</w:t>
            </w:r>
          </w:p>
          <w:p w14:paraId="6E0037BE" w14:textId="77777777" w:rsidR="0041653D" w:rsidRPr="0041653D" w:rsidRDefault="00825125">
            <w:pPr>
              <w:pStyle w:val="ListParagraph"/>
              <w:numPr>
                <w:ilvl w:val="0"/>
                <w:numId w:val="33"/>
              </w:numPr>
              <w:ind w:left="433"/>
              <w:textAlignment w:val="baseline"/>
              <w:rPr>
                <w:rFonts w:asciiTheme="minorHAnsi" w:eastAsia="Times New Roman" w:hAnsiTheme="minorHAnsi" w:cstheme="minorHAnsi"/>
                <w:b/>
                <w:bCs/>
                <w:color w:val="002060"/>
                <w:sz w:val="20"/>
                <w:szCs w:val="20"/>
              </w:rPr>
            </w:pPr>
            <w:r w:rsidRPr="00E32C3B">
              <w:rPr>
                <w:rFonts w:asciiTheme="minorHAnsi" w:eastAsia="Times New Roman" w:hAnsiTheme="minorHAnsi" w:cstheme="minorHAnsi"/>
                <w:b/>
                <w:bCs/>
                <w:color w:val="002060"/>
                <w:sz w:val="20"/>
                <w:szCs w:val="20"/>
              </w:rPr>
              <w:t>Aim/Goal</w:t>
            </w:r>
            <w:r w:rsidR="00E32C3B">
              <w:rPr>
                <w:rFonts w:asciiTheme="minorHAnsi" w:eastAsia="Times New Roman" w:hAnsiTheme="minorHAnsi" w:cstheme="minorHAnsi"/>
                <w:b/>
                <w:bCs/>
                <w:color w:val="002060"/>
                <w:sz w:val="20"/>
                <w:szCs w:val="20"/>
              </w:rPr>
              <w:t xml:space="preserve"> -</w:t>
            </w:r>
            <w:r w:rsidR="003F0864" w:rsidRPr="00E32C3B">
              <w:rPr>
                <w:rFonts w:asciiTheme="minorHAnsi" w:eastAsia="Times New Roman" w:hAnsiTheme="minorHAnsi" w:cstheme="minorHAnsi"/>
                <w:color w:val="000000"/>
                <w:sz w:val="20"/>
                <w:szCs w:val="20"/>
              </w:rPr>
              <w:t>Improve outcomes in diabetic patients through integrated care management (1</w:t>
            </w:r>
            <w:r w:rsidR="00C30597" w:rsidRPr="00E32C3B">
              <w:rPr>
                <w:rFonts w:asciiTheme="minorHAnsi" w:eastAsia="Times New Roman" w:hAnsiTheme="minorHAnsi" w:cstheme="minorHAnsi"/>
                <w:color w:val="000000"/>
                <w:sz w:val="20"/>
                <w:szCs w:val="20"/>
              </w:rPr>
              <w:t xml:space="preserve"> project</w:t>
            </w:r>
            <w:r w:rsidR="003F0864" w:rsidRPr="00E32C3B">
              <w:rPr>
                <w:rFonts w:asciiTheme="minorHAnsi" w:eastAsia="Times New Roman" w:hAnsiTheme="minorHAnsi" w:cstheme="minorHAnsi"/>
                <w:color w:val="000000"/>
                <w:sz w:val="20"/>
                <w:szCs w:val="20"/>
              </w:rPr>
              <w:t>)</w:t>
            </w:r>
          </w:p>
          <w:p w14:paraId="36B87B8F" w14:textId="69A656CA" w:rsidR="00825125" w:rsidRPr="0041653D" w:rsidRDefault="003F0864">
            <w:pPr>
              <w:pStyle w:val="ListParagraph"/>
              <w:numPr>
                <w:ilvl w:val="0"/>
                <w:numId w:val="33"/>
              </w:numPr>
              <w:spacing w:after="200"/>
              <w:ind w:left="433"/>
              <w:contextualSpacing w:val="0"/>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I</w:t>
            </w:r>
            <w:r w:rsidR="0041653D" w:rsidRPr="0041653D">
              <w:rPr>
                <w:rFonts w:asciiTheme="minorHAnsi" w:eastAsia="Times New Roman" w:hAnsiTheme="minorHAnsi" w:cstheme="minorHAnsi"/>
                <w:b/>
                <w:bCs/>
                <w:color w:val="002060"/>
                <w:sz w:val="20"/>
                <w:szCs w:val="20"/>
              </w:rPr>
              <w:t>nt</w:t>
            </w:r>
            <w:r w:rsidRPr="0041653D">
              <w:rPr>
                <w:rFonts w:asciiTheme="minorHAnsi" w:eastAsia="Times New Roman" w:hAnsiTheme="minorHAnsi" w:cstheme="minorHAnsi"/>
                <w:b/>
                <w:bCs/>
                <w:color w:val="002060"/>
                <w:sz w:val="20"/>
                <w:szCs w:val="20"/>
              </w:rPr>
              <w:t>ervention Example</w:t>
            </w:r>
            <w:r w:rsidR="0041653D">
              <w:rPr>
                <w:rFonts w:asciiTheme="minorHAnsi" w:eastAsia="Times New Roman" w:hAnsiTheme="minorHAnsi" w:cstheme="minorHAnsi"/>
                <w:b/>
                <w:bCs/>
                <w:color w:val="002060"/>
                <w:sz w:val="20"/>
                <w:szCs w:val="20"/>
              </w:rPr>
              <w:t xml:space="preserve"> </w:t>
            </w:r>
            <w:r w:rsidR="0041653D">
              <w:rPr>
                <w:rFonts w:asciiTheme="minorHAnsi" w:eastAsia="Times New Roman" w:hAnsiTheme="minorHAnsi" w:cstheme="minorHAnsi"/>
                <w:color w:val="002060"/>
                <w:sz w:val="20"/>
                <w:szCs w:val="20"/>
              </w:rPr>
              <w:t xml:space="preserve">- </w:t>
            </w:r>
            <w:r w:rsidR="00050CAE" w:rsidRPr="0041653D">
              <w:rPr>
                <w:rFonts w:asciiTheme="minorHAnsi" w:eastAsia="Times New Roman" w:hAnsiTheme="minorHAnsi" w:cstheme="minorHAnsi"/>
                <w:color w:val="000000"/>
                <w:sz w:val="20"/>
                <w:szCs w:val="20"/>
              </w:rPr>
              <w:t>Registries of members with diabetes and housing, food, and transportation issues shared with Community Health Workers (CHWs), who collaborate with primary care teams to identify the appropriate treatment pathway.</w:t>
            </w:r>
          </w:p>
          <w:p w14:paraId="39B936A5" w14:textId="77777777" w:rsidR="0041653D" w:rsidRPr="0041653D" w:rsidRDefault="00050CAE">
            <w:pPr>
              <w:pStyle w:val="ListParagraph"/>
              <w:numPr>
                <w:ilvl w:val="0"/>
                <w:numId w:val="33"/>
              </w:numPr>
              <w:ind w:left="433"/>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0041653D" w:rsidRPr="0041653D">
              <w:rPr>
                <w:rFonts w:asciiTheme="minorHAnsi" w:eastAsia="Times New Roman" w:hAnsiTheme="minorHAnsi" w:cstheme="minorHAnsi"/>
                <w:color w:val="002060"/>
                <w:sz w:val="20"/>
                <w:szCs w:val="20"/>
              </w:rPr>
              <w:t xml:space="preserve"> -</w:t>
            </w:r>
            <w:r w:rsidR="0041653D">
              <w:rPr>
                <w:rFonts w:asciiTheme="minorHAnsi" w:eastAsia="Times New Roman" w:hAnsiTheme="minorHAnsi" w:cstheme="minorHAnsi"/>
                <w:b/>
                <w:bCs/>
                <w:color w:val="002060"/>
                <w:sz w:val="20"/>
                <w:szCs w:val="20"/>
              </w:rPr>
              <w:t xml:space="preserve"> </w:t>
            </w:r>
            <w:r w:rsidR="00F75321" w:rsidRPr="0041653D">
              <w:rPr>
                <w:rFonts w:asciiTheme="minorHAnsi" w:eastAsia="Times New Roman" w:hAnsiTheme="minorHAnsi" w:cstheme="minorHAnsi"/>
                <w:color w:val="000000"/>
                <w:sz w:val="20"/>
                <w:szCs w:val="20"/>
              </w:rPr>
              <w:t>Improving Rates of Immunizations for Adolescents - Combo 2 (1</w:t>
            </w:r>
            <w:r w:rsidR="00C30597" w:rsidRPr="0041653D">
              <w:rPr>
                <w:rFonts w:asciiTheme="minorHAnsi" w:eastAsia="Times New Roman" w:hAnsiTheme="minorHAnsi" w:cstheme="minorHAnsi"/>
                <w:color w:val="000000"/>
                <w:sz w:val="20"/>
                <w:szCs w:val="20"/>
              </w:rPr>
              <w:t xml:space="preserve"> project</w:t>
            </w:r>
            <w:r w:rsidR="00F75321" w:rsidRPr="0041653D">
              <w:rPr>
                <w:rFonts w:asciiTheme="minorHAnsi" w:eastAsia="Times New Roman" w:hAnsiTheme="minorHAnsi" w:cstheme="minorHAnsi"/>
                <w:color w:val="000000"/>
                <w:sz w:val="20"/>
                <w:szCs w:val="20"/>
              </w:rPr>
              <w:t>)</w:t>
            </w:r>
          </w:p>
          <w:p w14:paraId="365490A8" w14:textId="570A4E89" w:rsidR="00707FBB" w:rsidRPr="0041653D" w:rsidRDefault="00F75321">
            <w:pPr>
              <w:pStyle w:val="ListParagraph"/>
              <w:numPr>
                <w:ilvl w:val="0"/>
                <w:numId w:val="33"/>
              </w:numPr>
              <w:ind w:left="432"/>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Intervention Example</w:t>
            </w:r>
            <w:r w:rsidR="0041653D" w:rsidRPr="0041653D">
              <w:rPr>
                <w:rFonts w:asciiTheme="minorHAnsi" w:eastAsia="Times New Roman" w:hAnsiTheme="minorHAnsi" w:cstheme="minorHAnsi"/>
                <w:color w:val="002060"/>
                <w:sz w:val="20"/>
                <w:szCs w:val="20"/>
              </w:rPr>
              <w:t xml:space="preserve"> -</w:t>
            </w:r>
            <w:r w:rsidR="0041653D">
              <w:rPr>
                <w:rFonts w:asciiTheme="minorHAnsi" w:eastAsia="Times New Roman" w:hAnsiTheme="minorHAnsi" w:cstheme="minorHAnsi"/>
                <w:color w:val="000000"/>
                <w:sz w:val="20"/>
                <w:szCs w:val="20"/>
              </w:rPr>
              <w:t xml:space="preserve"> </w:t>
            </w:r>
            <w:r w:rsidR="00E74D12" w:rsidRPr="0041653D">
              <w:rPr>
                <w:rFonts w:asciiTheme="minorHAnsi" w:eastAsia="Times New Roman" w:hAnsiTheme="minorHAnsi" w:cstheme="minorHAnsi"/>
                <w:color w:val="000000"/>
                <w:sz w:val="20"/>
                <w:szCs w:val="20"/>
              </w:rPr>
              <w:t>Provider training on motivational interviewing and persuasion techniques</w:t>
            </w:r>
          </w:p>
          <w:p w14:paraId="5197E674" w14:textId="06AE3E7F" w:rsidR="00EB151B" w:rsidRPr="00F75321" w:rsidRDefault="00EB151B" w:rsidP="00F75321">
            <w:pPr>
              <w:ind w:left="173"/>
              <w:textAlignment w:val="baseline"/>
              <w:rPr>
                <w:rFonts w:asciiTheme="minorHAnsi" w:eastAsia="Times New Roman" w:hAnsiTheme="minorHAnsi" w:cstheme="minorHAnsi"/>
                <w:color w:val="002060"/>
                <w:sz w:val="20"/>
                <w:szCs w:val="20"/>
              </w:rPr>
            </w:pPr>
          </w:p>
        </w:tc>
      </w:tr>
    </w:tbl>
    <w:p w14:paraId="55565F03" w14:textId="77777777" w:rsidR="00707FBB" w:rsidRDefault="00707FBB">
      <w:pPr>
        <w:spacing w:after="160" w:line="259" w:lineRule="auto"/>
      </w:pPr>
      <w:r>
        <w:br w:type="page"/>
      </w:r>
    </w:p>
    <w:p w14:paraId="74A9245D" w14:textId="35B95C1E" w:rsidR="004D4D87" w:rsidRPr="008577CD" w:rsidRDefault="004D4D87" w:rsidP="0092443C">
      <w:pPr>
        <w:rPr>
          <w:b/>
          <w:bCs/>
          <w:color w:val="002060"/>
        </w:rPr>
      </w:pPr>
      <w:r>
        <w:rPr>
          <w:b/>
          <w:bCs/>
          <w:color w:val="002060"/>
        </w:rPr>
        <w:lastRenderedPageBreak/>
        <w:t xml:space="preserve">Appendix </w:t>
      </w:r>
      <w:r w:rsidR="00D67E5A">
        <w:rPr>
          <w:b/>
          <w:bCs/>
          <w:color w:val="002060"/>
        </w:rPr>
        <w:t>D</w:t>
      </w:r>
      <w:r>
        <w:rPr>
          <w:b/>
          <w:bCs/>
          <w:color w:val="002060"/>
        </w:rPr>
        <w:t>-2: MCO</w:t>
      </w:r>
      <w:r w:rsidR="0031444B">
        <w:rPr>
          <w:b/>
          <w:bCs/>
          <w:color w:val="002060"/>
        </w:rPr>
        <w:t xml:space="preserve"> Program PIPs 2020: Summary of Topic Areas, </w:t>
      </w:r>
      <w:r w:rsidR="00284CAD">
        <w:rPr>
          <w:b/>
          <w:bCs/>
          <w:color w:val="002060"/>
        </w:rPr>
        <w:t>Goals</w:t>
      </w:r>
      <w:r w:rsidR="00D230AD">
        <w:rPr>
          <w:b/>
          <w:bCs/>
          <w:color w:val="002060"/>
        </w:rPr>
        <w:t>,</w:t>
      </w:r>
      <w:r w:rsidR="0031444B">
        <w:rPr>
          <w:b/>
          <w:bCs/>
          <w:color w:val="002060"/>
        </w:rPr>
        <w:t xml:space="preserve"> and Intervention</w:t>
      </w:r>
      <w:r w:rsidR="00284CAD">
        <w:rPr>
          <w:b/>
          <w:bCs/>
          <w:color w:val="002060"/>
        </w:rPr>
        <w:t xml:space="preserve"> Examples </w:t>
      </w:r>
      <w:r w:rsidR="002E1D0A" w:rsidRPr="002E1D0A">
        <w:rPr>
          <w:b/>
          <w:bCs/>
        </w:rPr>
        <w:t>(</w:t>
      </w:r>
      <w:r w:rsidR="002E1D0A" w:rsidRPr="008577CD">
        <w:rPr>
          <w:b/>
          <w:bCs/>
          <w:color w:val="002060"/>
        </w:rPr>
        <w:t xml:space="preserve">4 PIPS: 2 </w:t>
      </w:r>
      <w:r w:rsidR="008577CD">
        <w:rPr>
          <w:b/>
          <w:bCs/>
          <w:color w:val="002060"/>
        </w:rPr>
        <w:t>contracts</w:t>
      </w:r>
      <w:r w:rsidR="002E1D0A" w:rsidRPr="008577CD">
        <w:rPr>
          <w:b/>
          <w:bCs/>
          <w:color w:val="002060"/>
        </w:rPr>
        <w:t>, 2 projects each)</w:t>
      </w:r>
    </w:p>
    <w:tbl>
      <w:tblPr>
        <w:tblStyle w:val="TableGrid"/>
        <w:tblW w:w="0" w:type="auto"/>
        <w:jc w:val="center"/>
        <w:tblLook w:val="04A0" w:firstRow="1" w:lastRow="0" w:firstColumn="1" w:lastColumn="0" w:noHBand="0" w:noVBand="1"/>
      </w:tblPr>
      <w:tblGrid>
        <w:gridCol w:w="2879"/>
        <w:gridCol w:w="10521"/>
      </w:tblGrid>
      <w:tr w:rsidR="00B82EB1" w14:paraId="3973994A" w14:textId="77777777" w:rsidTr="00071BFA">
        <w:trPr>
          <w:tblHeader/>
          <w:jc w:val="center"/>
        </w:trPr>
        <w:tc>
          <w:tcPr>
            <w:tcW w:w="2880" w:type="dxa"/>
            <w:shd w:val="clear" w:color="auto" w:fill="002060"/>
          </w:tcPr>
          <w:p w14:paraId="62F1627F" w14:textId="04D02457" w:rsidR="00276EBE" w:rsidRDefault="00276EBE" w:rsidP="0005620E">
            <w:pPr>
              <w:jc w:val="center"/>
              <w:rPr>
                <w:b/>
                <w:bCs/>
              </w:rPr>
            </w:pPr>
            <w:r w:rsidRPr="00A344CE">
              <w:rPr>
                <w:rFonts w:asciiTheme="minorHAnsi" w:eastAsia="Times New Roman" w:hAnsiTheme="minorHAnsi" w:cstheme="minorHAnsi"/>
                <w:b/>
                <w:bCs/>
                <w:sz w:val="20"/>
                <w:szCs w:val="20"/>
              </w:rPr>
              <w:t>PIP Topic</w:t>
            </w:r>
          </w:p>
        </w:tc>
        <w:tc>
          <w:tcPr>
            <w:tcW w:w="10530" w:type="dxa"/>
            <w:shd w:val="clear" w:color="auto" w:fill="002060"/>
          </w:tcPr>
          <w:p w14:paraId="615CA004" w14:textId="30B56AA3" w:rsidR="00276EBE" w:rsidRDefault="00276EBE" w:rsidP="00276EBE">
            <w:pPr>
              <w:rPr>
                <w:b/>
                <w:bCs/>
              </w:rPr>
            </w:pPr>
            <w:r w:rsidRPr="00A344CE">
              <w:rPr>
                <w:rFonts w:asciiTheme="minorHAnsi" w:eastAsia="Times New Roman" w:hAnsiTheme="minorHAnsi" w:cstheme="minorHAnsi"/>
                <w:b/>
                <w:bCs/>
                <w:sz w:val="20"/>
                <w:szCs w:val="20"/>
              </w:rPr>
              <w:t>PIP Aim/Goal</w:t>
            </w:r>
            <w:r w:rsidR="00D66CBB">
              <w:rPr>
                <w:rFonts w:asciiTheme="minorHAnsi" w:eastAsia="Times New Roman" w:hAnsiTheme="minorHAnsi" w:cstheme="minorHAnsi"/>
                <w:b/>
                <w:bCs/>
                <w:sz w:val="20"/>
                <w:szCs w:val="20"/>
              </w:rPr>
              <w:t xml:space="preserve"> a</w:t>
            </w:r>
            <w:r w:rsidRPr="00A344CE">
              <w:rPr>
                <w:rFonts w:asciiTheme="minorHAnsi" w:eastAsia="Times New Roman" w:hAnsiTheme="minorHAnsi" w:cstheme="minorHAnsi"/>
                <w:b/>
                <w:bCs/>
                <w:sz w:val="20"/>
                <w:szCs w:val="20"/>
              </w:rPr>
              <w:t>nd Intervention Examples</w:t>
            </w:r>
          </w:p>
        </w:tc>
      </w:tr>
      <w:tr w:rsidR="00276EBE" w14:paraId="5C0B30F6" w14:textId="77777777" w:rsidTr="00BF0E5B">
        <w:trPr>
          <w:jc w:val="center"/>
        </w:trPr>
        <w:tc>
          <w:tcPr>
            <w:tcW w:w="2880" w:type="dxa"/>
            <w:shd w:val="clear" w:color="auto" w:fill="auto"/>
          </w:tcPr>
          <w:p w14:paraId="658B9C0E" w14:textId="5FEE855B" w:rsidR="00276EBE" w:rsidRPr="00A344CE" w:rsidRDefault="00276EBE" w:rsidP="00276EBE">
            <w:pPr>
              <w:rPr>
                <w:rFonts w:asciiTheme="minorHAnsi" w:eastAsia="Times New Roman" w:hAnsiTheme="minorHAnsi" w:cstheme="minorHAnsi"/>
                <w:b/>
                <w:bCs/>
                <w:sz w:val="20"/>
                <w:szCs w:val="20"/>
              </w:rPr>
            </w:pPr>
            <w:r w:rsidRPr="00A344CE">
              <w:rPr>
                <w:rFonts w:asciiTheme="minorHAnsi" w:eastAsia="Times New Roman" w:hAnsiTheme="minorHAnsi" w:cstheme="minorHAnsi"/>
                <w:b/>
                <w:bCs/>
                <w:color w:val="002060"/>
                <w:sz w:val="20"/>
                <w:szCs w:val="20"/>
              </w:rPr>
              <w:t>Behavioral Health – Care, Coordination, and Integration</w:t>
            </w:r>
          </w:p>
        </w:tc>
        <w:tc>
          <w:tcPr>
            <w:tcW w:w="10530" w:type="dxa"/>
            <w:shd w:val="clear" w:color="auto" w:fill="auto"/>
          </w:tcPr>
          <w:p w14:paraId="4482900A" w14:textId="77777777" w:rsidR="0041653D" w:rsidRPr="0041653D" w:rsidRDefault="00276EBE">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0041653D" w:rsidRPr="0041653D">
              <w:rPr>
                <w:rFonts w:asciiTheme="minorHAnsi" w:eastAsia="Times New Roman" w:hAnsiTheme="minorHAnsi" w:cstheme="minorHAnsi"/>
                <w:color w:val="002060"/>
                <w:sz w:val="20"/>
                <w:szCs w:val="20"/>
              </w:rPr>
              <w:t xml:space="preserve"> -</w:t>
            </w:r>
            <w:r w:rsidR="0041653D">
              <w:rPr>
                <w:rFonts w:asciiTheme="minorHAnsi" w:eastAsia="Times New Roman" w:hAnsiTheme="minorHAnsi" w:cstheme="minorHAnsi"/>
                <w:b/>
                <w:bCs/>
                <w:color w:val="002060"/>
                <w:sz w:val="20"/>
                <w:szCs w:val="20"/>
              </w:rPr>
              <w:t xml:space="preserve"> </w:t>
            </w:r>
            <w:r w:rsidRPr="0041653D">
              <w:rPr>
                <w:rFonts w:asciiTheme="minorHAnsi" w:eastAsia="Times New Roman" w:hAnsiTheme="minorHAnsi" w:cstheme="minorHAnsi"/>
                <w:sz w:val="20"/>
                <w:szCs w:val="20"/>
              </w:rPr>
              <w:t>Improving Follow Up After Hospitalization for a Mental Illness</w:t>
            </w:r>
            <w:r w:rsidRPr="0041653D">
              <w:rPr>
                <w:rFonts w:asciiTheme="minorHAnsi" w:eastAsia="Times New Roman" w:hAnsiTheme="minorHAnsi" w:cstheme="minorHAnsi"/>
                <w:b/>
                <w:bCs/>
                <w:sz w:val="20"/>
                <w:szCs w:val="20"/>
              </w:rPr>
              <w:t xml:space="preserve"> </w:t>
            </w:r>
          </w:p>
          <w:p w14:paraId="3E7AC155" w14:textId="12068D6F" w:rsidR="00276EBE" w:rsidRPr="0041653D" w:rsidRDefault="00276EBE">
            <w:pPr>
              <w:pStyle w:val="ListParagraph"/>
              <w:numPr>
                <w:ilvl w:val="0"/>
                <w:numId w:val="34"/>
              </w:numPr>
              <w:spacing w:after="200"/>
              <w:ind w:left="428"/>
              <w:contextualSpacing w:val="0"/>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Intervention Example</w:t>
            </w:r>
            <w:r w:rsidR="0041653D" w:rsidRPr="0041653D">
              <w:rPr>
                <w:rFonts w:asciiTheme="minorHAnsi" w:eastAsia="Times New Roman" w:hAnsiTheme="minorHAnsi" w:cstheme="minorHAnsi"/>
                <w:color w:val="002060"/>
                <w:sz w:val="20"/>
                <w:szCs w:val="20"/>
              </w:rPr>
              <w:t xml:space="preserve"> -</w:t>
            </w:r>
            <w:r w:rsidR="0041653D">
              <w:rPr>
                <w:rFonts w:asciiTheme="minorHAnsi" w:eastAsia="Times New Roman" w:hAnsiTheme="minorHAnsi" w:cstheme="minorHAnsi"/>
                <w:sz w:val="20"/>
                <w:szCs w:val="20"/>
              </w:rPr>
              <w:t xml:space="preserve"> </w:t>
            </w:r>
            <w:r w:rsidRPr="0041653D">
              <w:rPr>
                <w:rFonts w:asciiTheme="minorHAnsi" w:eastAsia="Times New Roman" w:hAnsiTheme="minorHAnsi" w:cstheme="minorHAnsi"/>
                <w:sz w:val="20"/>
                <w:szCs w:val="20"/>
              </w:rPr>
              <w:t>Educated high-volume inpatient facilities about the importance of scheduling follow-up visits within 7 days of discharge</w:t>
            </w:r>
            <w:r w:rsidR="00B47E04" w:rsidRPr="0041653D">
              <w:rPr>
                <w:rFonts w:asciiTheme="minorHAnsi" w:eastAsia="Times New Roman" w:hAnsiTheme="minorHAnsi" w:cstheme="minorHAnsi"/>
                <w:sz w:val="20"/>
                <w:szCs w:val="20"/>
              </w:rPr>
              <w:t xml:space="preserve"> </w:t>
            </w:r>
          </w:p>
          <w:p w14:paraId="68BE7984" w14:textId="77777777" w:rsidR="0075197A" w:rsidRPr="0075197A" w:rsidRDefault="00276EBE">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41653D">
              <w:rPr>
                <w:rFonts w:asciiTheme="minorHAnsi" w:eastAsia="Times New Roman" w:hAnsiTheme="minorHAnsi" w:cstheme="minorHAnsi"/>
                <w:b/>
                <w:bCs/>
                <w:color w:val="002060"/>
                <w:sz w:val="20"/>
                <w:szCs w:val="20"/>
              </w:rPr>
              <w:t>Aim/Goal</w:t>
            </w:r>
            <w:r w:rsidR="000D060D" w:rsidRPr="0075197A">
              <w:rPr>
                <w:rFonts w:asciiTheme="minorHAnsi" w:eastAsia="Times New Roman" w:hAnsiTheme="minorHAnsi" w:cstheme="minorHAnsi"/>
                <w:color w:val="002060"/>
                <w:sz w:val="20"/>
                <w:szCs w:val="20"/>
              </w:rPr>
              <w:t xml:space="preserve"> </w:t>
            </w:r>
            <w:r w:rsidR="0075197A" w:rsidRPr="0075197A">
              <w:rPr>
                <w:rFonts w:asciiTheme="minorHAnsi" w:eastAsia="Times New Roman" w:hAnsiTheme="minorHAnsi" w:cstheme="minorHAnsi"/>
                <w:color w:val="002060"/>
                <w:sz w:val="20"/>
                <w:szCs w:val="20"/>
              </w:rPr>
              <w:t>-</w:t>
            </w:r>
            <w:r w:rsidR="0075197A">
              <w:rPr>
                <w:rFonts w:asciiTheme="minorHAnsi" w:eastAsia="Times New Roman" w:hAnsiTheme="minorHAnsi" w:cstheme="minorHAnsi"/>
                <w:b/>
                <w:bCs/>
                <w:color w:val="002060"/>
                <w:sz w:val="20"/>
                <w:szCs w:val="20"/>
              </w:rPr>
              <w:t xml:space="preserve"> </w:t>
            </w:r>
            <w:r w:rsidRPr="0041653D">
              <w:rPr>
                <w:rFonts w:asciiTheme="minorHAnsi" w:eastAsia="Times New Roman" w:hAnsiTheme="minorHAnsi" w:cstheme="minorHAnsi"/>
                <w:sz w:val="20"/>
                <w:szCs w:val="20"/>
              </w:rPr>
              <w:t>Improving Behavioral Health Screening for Adolescent Members</w:t>
            </w:r>
          </w:p>
          <w:p w14:paraId="37EEB7BA" w14:textId="755A1110" w:rsidR="000F3010" w:rsidRPr="0075197A" w:rsidRDefault="00276EBE">
            <w:pPr>
              <w:pStyle w:val="ListParagraph"/>
              <w:numPr>
                <w:ilvl w:val="0"/>
                <w:numId w:val="34"/>
              </w:numPr>
              <w:ind w:left="428"/>
              <w:textAlignment w:val="baseline"/>
              <w:rPr>
                <w:rFonts w:asciiTheme="minorHAnsi" w:eastAsia="Times New Roman" w:hAnsiTheme="minorHAnsi" w:cstheme="minorHAnsi"/>
                <w:b/>
                <w:bCs/>
                <w:color w:val="002060"/>
                <w:sz w:val="20"/>
                <w:szCs w:val="20"/>
              </w:rPr>
            </w:pPr>
            <w:r w:rsidRPr="0075197A">
              <w:rPr>
                <w:rFonts w:asciiTheme="minorHAnsi" w:eastAsia="Times New Roman" w:hAnsiTheme="minorHAnsi" w:cstheme="minorHAnsi"/>
                <w:b/>
                <w:bCs/>
                <w:color w:val="002060"/>
                <w:sz w:val="20"/>
                <w:szCs w:val="20"/>
              </w:rPr>
              <w:t>Intervention Example</w:t>
            </w:r>
            <w:r w:rsidR="0075197A" w:rsidRPr="0075197A">
              <w:rPr>
                <w:rFonts w:asciiTheme="minorHAnsi" w:eastAsia="Times New Roman" w:hAnsiTheme="minorHAnsi" w:cstheme="minorHAnsi"/>
                <w:color w:val="002060"/>
                <w:sz w:val="20"/>
                <w:szCs w:val="20"/>
              </w:rPr>
              <w:t xml:space="preserve"> -</w:t>
            </w:r>
            <w:r w:rsidR="0075197A">
              <w:rPr>
                <w:rFonts w:asciiTheme="minorHAnsi" w:eastAsia="Times New Roman" w:hAnsiTheme="minorHAnsi" w:cstheme="minorHAnsi"/>
                <w:sz w:val="20"/>
                <w:szCs w:val="20"/>
              </w:rPr>
              <w:t xml:space="preserve"> </w:t>
            </w:r>
            <w:r w:rsidRPr="0075197A">
              <w:rPr>
                <w:rFonts w:asciiTheme="minorHAnsi" w:eastAsia="Times New Roman" w:hAnsiTheme="minorHAnsi" w:cstheme="minorHAnsi"/>
                <w:sz w:val="20"/>
                <w:szCs w:val="20"/>
              </w:rPr>
              <w:t>Medical Directors telephoned PCPs identified as high performing to learn of best practices</w:t>
            </w:r>
            <w:r w:rsidR="00B47E04" w:rsidRPr="0075197A">
              <w:rPr>
                <w:rFonts w:asciiTheme="minorHAnsi" w:eastAsia="Times New Roman" w:hAnsiTheme="minorHAnsi" w:cstheme="minorHAnsi"/>
                <w:sz w:val="20"/>
                <w:szCs w:val="20"/>
              </w:rPr>
              <w:t xml:space="preserve"> </w:t>
            </w:r>
          </w:p>
        </w:tc>
      </w:tr>
      <w:tr w:rsidR="00276EBE" w14:paraId="4167ACF6" w14:textId="77777777" w:rsidTr="00BF0E5B">
        <w:trPr>
          <w:jc w:val="center"/>
        </w:trPr>
        <w:tc>
          <w:tcPr>
            <w:tcW w:w="2880" w:type="dxa"/>
            <w:shd w:val="clear" w:color="auto" w:fill="auto"/>
          </w:tcPr>
          <w:p w14:paraId="5EBC6F2E" w14:textId="77777777" w:rsidR="00276EBE" w:rsidRPr="00A344CE" w:rsidRDefault="00276EBE" w:rsidP="00276EBE">
            <w:pPr>
              <w:spacing w:after="240"/>
              <w:textAlignment w:val="baseline"/>
              <w:rPr>
                <w:rFonts w:asciiTheme="minorHAnsi" w:eastAsia="Times New Roman" w:hAnsiTheme="minorHAnsi" w:cstheme="minorHAnsi"/>
                <w:b/>
                <w:bCs/>
                <w:color w:val="002060"/>
                <w:sz w:val="20"/>
                <w:szCs w:val="20"/>
              </w:rPr>
            </w:pPr>
            <w:r w:rsidRPr="00A344CE">
              <w:rPr>
                <w:rFonts w:asciiTheme="minorHAnsi" w:eastAsia="Times New Roman" w:hAnsiTheme="minorHAnsi" w:cstheme="minorHAnsi"/>
                <w:b/>
                <w:bCs/>
                <w:color w:val="002060"/>
                <w:sz w:val="20"/>
                <w:szCs w:val="20"/>
              </w:rPr>
              <w:t xml:space="preserve">Care for Acute and Chronic Conditions </w:t>
            </w:r>
          </w:p>
          <w:p w14:paraId="7D8564BD" w14:textId="7E022148" w:rsidR="00276EBE" w:rsidRPr="00A344CE" w:rsidRDefault="00276EBE" w:rsidP="00276EBE">
            <w:pPr>
              <w:rPr>
                <w:rFonts w:asciiTheme="minorHAnsi" w:eastAsia="Times New Roman" w:hAnsiTheme="minorHAnsi" w:cstheme="minorHAnsi"/>
                <w:b/>
                <w:bCs/>
                <w:color w:val="002060"/>
                <w:sz w:val="20"/>
                <w:szCs w:val="20"/>
              </w:rPr>
            </w:pPr>
            <w:r w:rsidRPr="00A344CE">
              <w:rPr>
                <w:rFonts w:asciiTheme="minorHAnsi" w:eastAsia="Times New Roman" w:hAnsiTheme="minorHAnsi" w:cstheme="minorHAnsi"/>
                <w:b/>
                <w:bCs/>
                <w:color w:val="002060"/>
                <w:sz w:val="20"/>
                <w:szCs w:val="20"/>
              </w:rPr>
              <w:t>Focus on sub-populations (e.g., Children, diabetes)</w:t>
            </w:r>
          </w:p>
        </w:tc>
        <w:tc>
          <w:tcPr>
            <w:tcW w:w="10530" w:type="dxa"/>
            <w:shd w:val="clear" w:color="auto" w:fill="auto"/>
          </w:tcPr>
          <w:p w14:paraId="75F97524" w14:textId="77777777" w:rsidR="00F712DA" w:rsidRPr="00F712DA" w:rsidRDefault="00276EBE">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Aim/Goal</w:t>
            </w:r>
            <w:r w:rsidR="00F712DA">
              <w:rPr>
                <w:rFonts w:asciiTheme="minorHAnsi" w:eastAsia="Times New Roman" w:hAnsiTheme="minorHAnsi" w:cstheme="minorHAnsi"/>
                <w:b/>
                <w:bCs/>
                <w:color w:val="002060"/>
                <w:sz w:val="20"/>
                <w:szCs w:val="20"/>
              </w:rPr>
              <w:t xml:space="preserve"> </w:t>
            </w:r>
            <w:r w:rsidR="00F712DA" w:rsidRPr="00F712DA">
              <w:rPr>
                <w:rFonts w:asciiTheme="minorHAnsi" w:eastAsia="Times New Roman" w:hAnsiTheme="minorHAnsi" w:cstheme="minorHAnsi"/>
                <w:color w:val="002060"/>
                <w:sz w:val="20"/>
                <w:szCs w:val="20"/>
              </w:rPr>
              <w:t>-</w:t>
            </w:r>
            <w:r w:rsidR="00F712DA">
              <w:rPr>
                <w:rFonts w:asciiTheme="minorHAnsi" w:eastAsia="Times New Roman" w:hAnsiTheme="minorHAnsi" w:cstheme="minorHAnsi"/>
                <w:b/>
                <w:bCs/>
                <w:color w:val="002060"/>
                <w:sz w:val="20"/>
                <w:szCs w:val="20"/>
              </w:rPr>
              <w:t xml:space="preserve"> </w:t>
            </w:r>
            <w:r w:rsidR="00014A4E" w:rsidRPr="00F712DA">
              <w:rPr>
                <w:rFonts w:asciiTheme="minorHAnsi" w:eastAsia="Times New Roman" w:hAnsiTheme="minorHAnsi" w:cstheme="minorHAnsi"/>
                <w:color w:val="000000"/>
                <w:sz w:val="20"/>
                <w:szCs w:val="20"/>
              </w:rPr>
              <w:t>Utilize Health-Related Social Needs Assessment Screening to Improve Pediatric Members’ Health Outcomes</w:t>
            </w:r>
            <w:r w:rsidR="00014A4E" w:rsidRPr="00F712DA">
              <w:rPr>
                <w:rFonts w:asciiTheme="minorHAnsi" w:eastAsia="Times New Roman" w:hAnsiTheme="minorHAnsi" w:cstheme="minorHAnsi"/>
                <w:b/>
                <w:bCs/>
                <w:color w:val="000000"/>
                <w:sz w:val="20"/>
                <w:szCs w:val="20"/>
              </w:rPr>
              <w:t xml:space="preserve"> </w:t>
            </w:r>
          </w:p>
          <w:p w14:paraId="689EBD0F" w14:textId="79F3540E" w:rsidR="00D95D47" w:rsidRPr="00F712DA" w:rsidRDefault="00276EBE">
            <w:pPr>
              <w:pStyle w:val="ListParagraph"/>
              <w:numPr>
                <w:ilvl w:val="0"/>
                <w:numId w:val="35"/>
              </w:numPr>
              <w:spacing w:after="200"/>
              <w:ind w:left="428"/>
              <w:contextualSpacing w:val="0"/>
              <w:textAlignment w:val="baseline"/>
              <w:rPr>
                <w:rFonts w:asciiTheme="minorHAnsi" w:eastAsia="Times New Roman" w:hAnsiTheme="minorHAnsi" w:cstheme="minorHAnsi"/>
                <w:b/>
                <w:bCs/>
                <w:color w:val="002060"/>
                <w:sz w:val="20"/>
                <w:szCs w:val="20"/>
              </w:rPr>
            </w:pPr>
            <w:r w:rsidRPr="00F712DA">
              <w:rPr>
                <w:rFonts w:asciiTheme="minorHAnsi" w:eastAsia="Times New Roman" w:hAnsiTheme="minorHAnsi" w:cstheme="minorHAnsi"/>
                <w:b/>
                <w:bCs/>
                <w:color w:val="002060"/>
                <w:sz w:val="20"/>
                <w:szCs w:val="20"/>
              </w:rPr>
              <w:t>Intervention Example</w:t>
            </w:r>
            <w:r w:rsidR="0077029C">
              <w:rPr>
                <w:rFonts w:asciiTheme="minorHAnsi" w:eastAsia="Times New Roman" w:hAnsiTheme="minorHAnsi" w:cstheme="minorHAnsi"/>
                <w:b/>
                <w:bCs/>
                <w:color w:val="002060"/>
                <w:sz w:val="20"/>
                <w:szCs w:val="20"/>
              </w:rPr>
              <w:t xml:space="preserve"> -</w:t>
            </w:r>
            <w:r w:rsidR="0077029C">
              <w:rPr>
                <w:rFonts w:asciiTheme="minorHAnsi" w:eastAsia="Times New Roman" w:hAnsiTheme="minorHAnsi" w:cstheme="minorHAnsi"/>
                <w:color w:val="000000"/>
                <w:sz w:val="20"/>
                <w:szCs w:val="20"/>
              </w:rPr>
              <w:t xml:space="preserve"> </w:t>
            </w:r>
            <w:r w:rsidR="00D95D47" w:rsidRPr="00F712DA">
              <w:rPr>
                <w:rFonts w:asciiTheme="minorHAnsi" w:eastAsia="Times New Roman" w:hAnsiTheme="minorHAnsi" w:cstheme="minorHAnsi"/>
                <w:color w:val="000000"/>
                <w:sz w:val="20"/>
                <w:szCs w:val="20"/>
              </w:rPr>
              <w:t>Outreach calls, if a yes response to at least one of the questions targeting weight management and nutrition counseling needs.</w:t>
            </w:r>
          </w:p>
          <w:p w14:paraId="2E13C3FF" w14:textId="77777777" w:rsidR="008A3612" w:rsidRDefault="00276EBE">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77029C">
              <w:rPr>
                <w:rFonts w:asciiTheme="minorHAnsi" w:eastAsia="Times New Roman" w:hAnsiTheme="minorHAnsi" w:cstheme="minorHAnsi"/>
                <w:b/>
                <w:bCs/>
                <w:color w:val="002060"/>
                <w:sz w:val="20"/>
                <w:szCs w:val="20"/>
              </w:rPr>
              <w:t>Aim/Goal</w:t>
            </w:r>
            <w:r w:rsidR="008A3612">
              <w:rPr>
                <w:rFonts w:asciiTheme="minorHAnsi" w:eastAsia="Times New Roman" w:hAnsiTheme="minorHAnsi" w:cstheme="minorHAnsi"/>
                <w:b/>
                <w:bCs/>
                <w:color w:val="002060"/>
                <w:sz w:val="20"/>
                <w:szCs w:val="20"/>
              </w:rPr>
              <w:t xml:space="preserve"> - </w:t>
            </w:r>
            <w:r w:rsidR="001C6D7C" w:rsidRPr="0077029C">
              <w:rPr>
                <w:rFonts w:asciiTheme="minorHAnsi" w:eastAsia="Times New Roman" w:hAnsiTheme="minorHAnsi" w:cstheme="minorHAnsi"/>
                <w:color w:val="000000"/>
                <w:sz w:val="20"/>
                <w:szCs w:val="20"/>
              </w:rPr>
              <w:t>Improving Asthma Control and Medication Adherence Among the MassHealth Population</w:t>
            </w:r>
            <w:r w:rsidR="001C6D7C" w:rsidRPr="0077029C">
              <w:rPr>
                <w:rFonts w:asciiTheme="minorHAnsi" w:eastAsia="Times New Roman" w:hAnsiTheme="minorHAnsi" w:cstheme="minorHAnsi"/>
                <w:b/>
                <w:bCs/>
                <w:color w:val="002060"/>
                <w:sz w:val="20"/>
                <w:szCs w:val="20"/>
              </w:rPr>
              <w:t xml:space="preserve"> </w:t>
            </w:r>
          </w:p>
          <w:p w14:paraId="0176B0C2" w14:textId="2E423CA8" w:rsidR="00276EBE" w:rsidRPr="008A3612" w:rsidRDefault="00276EBE">
            <w:pPr>
              <w:pStyle w:val="ListParagraph"/>
              <w:numPr>
                <w:ilvl w:val="0"/>
                <w:numId w:val="35"/>
              </w:numPr>
              <w:ind w:left="428"/>
              <w:textAlignment w:val="baseline"/>
              <w:rPr>
                <w:rFonts w:asciiTheme="minorHAnsi" w:eastAsia="Times New Roman" w:hAnsiTheme="minorHAnsi" w:cstheme="minorHAnsi"/>
                <w:b/>
                <w:bCs/>
                <w:color w:val="002060"/>
                <w:sz w:val="20"/>
                <w:szCs w:val="20"/>
              </w:rPr>
            </w:pPr>
            <w:r w:rsidRPr="008A3612">
              <w:rPr>
                <w:rFonts w:asciiTheme="minorHAnsi" w:eastAsia="Times New Roman" w:hAnsiTheme="minorHAnsi" w:cstheme="minorHAnsi"/>
                <w:b/>
                <w:bCs/>
                <w:color w:val="002060"/>
                <w:sz w:val="20"/>
                <w:szCs w:val="20"/>
              </w:rPr>
              <w:t>Intervention Example</w:t>
            </w:r>
            <w:r w:rsidR="008A3612">
              <w:rPr>
                <w:rFonts w:asciiTheme="minorHAnsi" w:eastAsia="Times New Roman" w:hAnsiTheme="minorHAnsi" w:cstheme="minorHAnsi"/>
                <w:b/>
                <w:bCs/>
                <w:color w:val="002060"/>
                <w:sz w:val="20"/>
                <w:szCs w:val="20"/>
              </w:rPr>
              <w:t xml:space="preserve"> </w:t>
            </w:r>
            <w:r w:rsidR="008A3612">
              <w:rPr>
                <w:rFonts w:asciiTheme="minorHAnsi" w:eastAsia="Times New Roman" w:hAnsiTheme="minorHAnsi" w:cstheme="minorHAnsi"/>
                <w:color w:val="002060"/>
                <w:sz w:val="20"/>
                <w:szCs w:val="20"/>
              </w:rPr>
              <w:t xml:space="preserve">- </w:t>
            </w:r>
            <w:r w:rsidR="00AF2999" w:rsidRPr="008A3612">
              <w:rPr>
                <w:rFonts w:asciiTheme="minorHAnsi" w:eastAsia="Times New Roman" w:hAnsiTheme="minorHAnsi" w:cstheme="minorHAnsi"/>
                <w:sz w:val="20"/>
                <w:szCs w:val="20"/>
              </w:rPr>
              <w:t>Member education program included an expanded texting program for members who opt in</w:t>
            </w:r>
            <w:r w:rsidRPr="008A3612">
              <w:rPr>
                <w:rFonts w:asciiTheme="minorHAnsi" w:eastAsia="Times New Roman" w:hAnsiTheme="minorHAnsi" w:cstheme="minorHAnsi"/>
                <w:color w:val="000000"/>
                <w:sz w:val="20"/>
                <w:szCs w:val="20"/>
              </w:rPr>
              <w:t>.</w:t>
            </w:r>
          </w:p>
        </w:tc>
      </w:tr>
    </w:tbl>
    <w:p w14:paraId="7BAB2C66" w14:textId="6965F760" w:rsidR="00276EBE" w:rsidRDefault="00276EBE"/>
    <w:p w14:paraId="07D01D08" w14:textId="77777777" w:rsidR="00AF2999" w:rsidRDefault="00AF2999">
      <w:pPr>
        <w:spacing w:after="160" w:line="259" w:lineRule="auto"/>
      </w:pPr>
      <w:r>
        <w:br w:type="page"/>
      </w:r>
    </w:p>
    <w:p w14:paraId="55DB63CA" w14:textId="230FBDB2" w:rsidR="00AF2999" w:rsidRPr="005A65F1" w:rsidRDefault="00AF2999" w:rsidP="0092443C">
      <w:pPr>
        <w:rPr>
          <w:b/>
          <w:bCs/>
          <w:color w:val="002060"/>
        </w:rPr>
      </w:pPr>
      <w:r>
        <w:rPr>
          <w:b/>
          <w:bCs/>
          <w:color w:val="002060"/>
        </w:rPr>
        <w:lastRenderedPageBreak/>
        <w:t xml:space="preserve">Appendix </w:t>
      </w:r>
      <w:r w:rsidR="00D67E5A">
        <w:rPr>
          <w:b/>
          <w:bCs/>
          <w:color w:val="002060"/>
        </w:rPr>
        <w:t>D</w:t>
      </w:r>
      <w:r>
        <w:rPr>
          <w:b/>
          <w:bCs/>
          <w:color w:val="002060"/>
        </w:rPr>
        <w:t>-3: SCO</w:t>
      </w:r>
      <w:r w:rsidR="004633B8" w:rsidRPr="004633B8">
        <w:rPr>
          <w:b/>
          <w:bCs/>
          <w:color w:val="002060"/>
        </w:rPr>
        <w:t xml:space="preserve"> </w:t>
      </w:r>
      <w:r w:rsidR="004633B8">
        <w:rPr>
          <w:b/>
          <w:bCs/>
          <w:color w:val="002060"/>
        </w:rPr>
        <w:t xml:space="preserve">Program PIPs 2020: Summary of Topic Areas, </w:t>
      </w:r>
      <w:r w:rsidR="00284CAD">
        <w:rPr>
          <w:b/>
          <w:bCs/>
          <w:color w:val="002060"/>
        </w:rPr>
        <w:t>Goals</w:t>
      </w:r>
      <w:r w:rsidR="0043451B">
        <w:rPr>
          <w:b/>
          <w:bCs/>
          <w:color w:val="002060"/>
        </w:rPr>
        <w:t>,</w:t>
      </w:r>
      <w:r w:rsidR="00284CAD">
        <w:rPr>
          <w:b/>
          <w:bCs/>
          <w:color w:val="002060"/>
        </w:rPr>
        <w:t xml:space="preserve"> </w:t>
      </w:r>
      <w:r w:rsidR="004633B8">
        <w:rPr>
          <w:b/>
          <w:bCs/>
          <w:color w:val="002060"/>
        </w:rPr>
        <w:t>and Interventio</w:t>
      </w:r>
      <w:r w:rsidR="00284CAD">
        <w:rPr>
          <w:b/>
          <w:bCs/>
          <w:color w:val="002060"/>
        </w:rPr>
        <w:t>n Examples</w:t>
      </w:r>
      <w:r w:rsidR="005A65F1">
        <w:rPr>
          <w:b/>
          <w:bCs/>
          <w:color w:val="002060"/>
        </w:rPr>
        <w:t xml:space="preserve"> </w:t>
      </w:r>
      <w:r w:rsidRPr="002E1D0A">
        <w:rPr>
          <w:b/>
          <w:bCs/>
        </w:rPr>
        <w:t>(</w:t>
      </w:r>
      <w:r w:rsidRPr="005A65F1">
        <w:rPr>
          <w:b/>
          <w:bCs/>
          <w:color w:val="002060"/>
        </w:rPr>
        <w:t>12 PIPS: 6 entities, 2 projects each)</w:t>
      </w:r>
    </w:p>
    <w:tbl>
      <w:tblPr>
        <w:tblStyle w:val="TableGrid"/>
        <w:tblW w:w="13410" w:type="dxa"/>
        <w:jc w:val="center"/>
        <w:tblLook w:val="04A0" w:firstRow="1" w:lastRow="0" w:firstColumn="1" w:lastColumn="0" w:noHBand="0" w:noVBand="1"/>
      </w:tblPr>
      <w:tblGrid>
        <w:gridCol w:w="2822"/>
        <w:gridCol w:w="10236"/>
        <w:gridCol w:w="352"/>
      </w:tblGrid>
      <w:tr w:rsidR="00B72DD6" w14:paraId="4F6D4CE4" w14:textId="77777777" w:rsidTr="00BF0E5B">
        <w:trPr>
          <w:tblHeader/>
          <w:jc w:val="center"/>
        </w:trPr>
        <w:tc>
          <w:tcPr>
            <w:tcW w:w="2880" w:type="dxa"/>
            <w:shd w:val="clear" w:color="auto" w:fill="002060"/>
          </w:tcPr>
          <w:p w14:paraId="75BC4C7C" w14:textId="47DDF05A" w:rsidR="00AF2999" w:rsidRDefault="00AF2999" w:rsidP="0005620E">
            <w:pPr>
              <w:jc w:val="center"/>
            </w:pPr>
            <w:r w:rsidRPr="00A344CE">
              <w:rPr>
                <w:rFonts w:asciiTheme="minorHAnsi" w:eastAsia="Times New Roman" w:hAnsiTheme="minorHAnsi" w:cstheme="minorHAnsi"/>
                <w:b/>
                <w:bCs/>
                <w:sz w:val="20"/>
                <w:szCs w:val="20"/>
              </w:rPr>
              <w:t>PIP Topic</w:t>
            </w:r>
          </w:p>
        </w:tc>
        <w:tc>
          <w:tcPr>
            <w:tcW w:w="10530" w:type="dxa"/>
            <w:gridSpan w:val="2"/>
            <w:shd w:val="clear" w:color="auto" w:fill="002060"/>
          </w:tcPr>
          <w:p w14:paraId="53CF3691" w14:textId="56A55A83" w:rsidR="00AF2999" w:rsidRDefault="00AF2999" w:rsidP="00AF2999">
            <w:r w:rsidRPr="00A344CE">
              <w:rPr>
                <w:rFonts w:asciiTheme="minorHAnsi" w:eastAsia="Times New Roman" w:hAnsiTheme="minorHAnsi" w:cstheme="minorHAnsi"/>
                <w:b/>
                <w:bCs/>
                <w:sz w:val="20"/>
                <w:szCs w:val="20"/>
              </w:rPr>
              <w:t>PIP Aim/Goal</w:t>
            </w:r>
            <w:r w:rsidR="00D66CBB">
              <w:rPr>
                <w:rFonts w:asciiTheme="minorHAnsi" w:eastAsia="Times New Roman" w:hAnsiTheme="minorHAnsi" w:cstheme="minorHAnsi"/>
                <w:b/>
                <w:bCs/>
                <w:sz w:val="20"/>
                <w:szCs w:val="20"/>
              </w:rPr>
              <w:t xml:space="preserve"> a</w:t>
            </w:r>
            <w:r w:rsidRPr="00A344CE">
              <w:rPr>
                <w:rFonts w:asciiTheme="minorHAnsi" w:eastAsia="Times New Roman" w:hAnsiTheme="minorHAnsi" w:cstheme="minorHAnsi"/>
                <w:b/>
                <w:bCs/>
                <w:sz w:val="20"/>
                <w:szCs w:val="20"/>
              </w:rPr>
              <w:t>nd Intervention Examples</w:t>
            </w:r>
          </w:p>
        </w:tc>
      </w:tr>
      <w:tr w:rsidR="00AF2999" w14:paraId="50BD0215" w14:textId="77777777" w:rsidTr="00BF0E5B">
        <w:trPr>
          <w:gridAfter w:val="1"/>
          <w:wAfter w:w="365" w:type="dxa"/>
          <w:trHeight w:val="548"/>
          <w:jc w:val="center"/>
        </w:trPr>
        <w:tc>
          <w:tcPr>
            <w:tcW w:w="2880" w:type="dxa"/>
          </w:tcPr>
          <w:p w14:paraId="3DB0E6D7" w14:textId="07AF3C84" w:rsidR="00AF2999" w:rsidRPr="00A344CE" w:rsidRDefault="00AF2999" w:rsidP="00AF2999">
            <w:pPr>
              <w:rPr>
                <w:rFonts w:asciiTheme="minorHAnsi" w:eastAsia="Times New Roman" w:hAnsiTheme="minorHAnsi" w:cstheme="minorHAnsi"/>
                <w:b/>
                <w:bCs/>
                <w:sz w:val="20"/>
                <w:szCs w:val="20"/>
              </w:rPr>
            </w:pPr>
            <w:r w:rsidRPr="00A344CE">
              <w:rPr>
                <w:rFonts w:asciiTheme="minorHAnsi" w:eastAsia="Times New Roman" w:hAnsiTheme="minorHAnsi" w:cstheme="minorHAnsi"/>
                <w:b/>
                <w:bCs/>
                <w:color w:val="002060"/>
                <w:sz w:val="20"/>
                <w:szCs w:val="20"/>
              </w:rPr>
              <w:t>Behavioral Health – Care, Coordination, and Integration</w:t>
            </w:r>
          </w:p>
        </w:tc>
        <w:tc>
          <w:tcPr>
            <w:tcW w:w="10530" w:type="dxa"/>
          </w:tcPr>
          <w:p w14:paraId="28CB0772" w14:textId="77777777" w:rsidR="00B734FB" w:rsidRPr="00B734FB" w:rsidRDefault="00611663">
            <w:pPr>
              <w:pStyle w:val="ListParagraph"/>
              <w:numPr>
                <w:ilvl w:val="0"/>
                <w:numId w:val="28"/>
              </w:numPr>
              <w:ind w:left="491"/>
              <w:contextualSpacing w:val="0"/>
              <w:textAlignment w:val="baseline"/>
              <w:rPr>
                <w:rFonts w:asciiTheme="minorHAnsi" w:eastAsia="Times New Roman" w:hAnsiTheme="minorHAnsi" w:cstheme="minorHAnsi"/>
                <w:b/>
                <w:bCs/>
                <w:color w:val="002060"/>
                <w:sz w:val="20"/>
                <w:szCs w:val="20"/>
              </w:rPr>
            </w:pPr>
            <w:r w:rsidRPr="00071BFA">
              <w:rPr>
                <w:rFonts w:asciiTheme="minorHAnsi" w:eastAsia="Times New Roman" w:hAnsiTheme="minorHAnsi" w:cstheme="minorHAnsi"/>
                <w:b/>
                <w:bCs/>
                <w:color w:val="002060"/>
                <w:sz w:val="20"/>
                <w:szCs w:val="20"/>
              </w:rPr>
              <w:t>Aim/Goal</w:t>
            </w:r>
            <w:r w:rsidR="00071BFA">
              <w:rPr>
                <w:rFonts w:asciiTheme="minorHAnsi" w:eastAsia="Times New Roman" w:hAnsiTheme="minorHAnsi" w:cstheme="minorHAnsi"/>
                <w:b/>
                <w:bCs/>
                <w:color w:val="002060"/>
                <w:sz w:val="20"/>
                <w:szCs w:val="20"/>
              </w:rPr>
              <w:t xml:space="preserve"> - </w:t>
            </w:r>
            <w:r w:rsidR="00396FD7" w:rsidRPr="00071BFA">
              <w:rPr>
                <w:rFonts w:asciiTheme="minorHAnsi" w:eastAsia="Times New Roman" w:hAnsiTheme="minorHAnsi" w:cstheme="minorHAnsi"/>
                <w:color w:val="000000"/>
                <w:sz w:val="20"/>
                <w:szCs w:val="20"/>
              </w:rPr>
              <w:t>Improving SCO Member Access to Behavioral Health Depression Services</w:t>
            </w:r>
          </w:p>
          <w:p w14:paraId="0C3A52B1" w14:textId="51459A5C" w:rsidR="00071BFA" w:rsidRPr="00B734FB" w:rsidRDefault="00611663">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sidR="00071BFA" w:rsidRPr="00B734FB">
              <w:rPr>
                <w:rFonts w:asciiTheme="minorHAnsi" w:eastAsia="Times New Roman" w:hAnsiTheme="minorHAnsi" w:cstheme="minorHAnsi"/>
                <w:b/>
                <w:bCs/>
                <w:color w:val="002060"/>
                <w:sz w:val="20"/>
                <w:szCs w:val="20"/>
              </w:rPr>
              <w:t xml:space="preserve"> -</w:t>
            </w:r>
            <w:r w:rsidR="00071BFA" w:rsidRPr="00B734FB">
              <w:rPr>
                <w:rFonts w:asciiTheme="minorHAnsi" w:eastAsia="Times New Roman" w:hAnsiTheme="minorHAnsi" w:cstheme="minorHAnsi"/>
                <w:sz w:val="20"/>
                <w:szCs w:val="20"/>
              </w:rPr>
              <w:t xml:space="preserve"> </w:t>
            </w:r>
            <w:r w:rsidR="00452EA8" w:rsidRPr="00B734FB">
              <w:rPr>
                <w:rFonts w:asciiTheme="minorHAnsi" w:eastAsia="Times New Roman" w:hAnsiTheme="minorHAnsi" w:cstheme="minorHAnsi"/>
                <w:sz w:val="20"/>
                <w:szCs w:val="20"/>
              </w:rPr>
              <w:t>PHQ-2 administered; if score is ≥ 3, the member was administered the PHQ-9. If score is ≥ 10, members were referred to the indicated level of care</w:t>
            </w:r>
            <w:r w:rsidR="00E80A20" w:rsidRPr="00B734FB">
              <w:rPr>
                <w:rFonts w:asciiTheme="minorHAnsi" w:eastAsia="Times New Roman" w:hAnsiTheme="minorHAnsi" w:cstheme="minorHAnsi"/>
                <w:sz w:val="20"/>
                <w:szCs w:val="20"/>
              </w:rPr>
              <w:t>.</w:t>
            </w:r>
          </w:p>
          <w:p w14:paraId="493401B9" w14:textId="5707743C" w:rsidR="00611663" w:rsidRPr="00B734FB" w:rsidRDefault="00611663">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sidR="00B734FB">
              <w:rPr>
                <w:rFonts w:asciiTheme="minorHAnsi" w:eastAsia="Times New Roman" w:hAnsiTheme="minorHAnsi" w:cstheme="minorHAnsi"/>
                <w:b/>
                <w:bCs/>
                <w:color w:val="002060"/>
                <w:sz w:val="20"/>
                <w:szCs w:val="20"/>
              </w:rPr>
              <w:t xml:space="preserve"> - </w:t>
            </w:r>
            <w:r w:rsidR="0035062F" w:rsidRPr="00B734FB">
              <w:rPr>
                <w:rFonts w:asciiTheme="minorHAnsi" w:eastAsia="Times New Roman" w:hAnsiTheme="minorHAnsi" w:cstheme="minorHAnsi"/>
                <w:color w:val="000000"/>
                <w:sz w:val="20"/>
                <w:szCs w:val="20"/>
              </w:rPr>
              <w:t>Cognitive Impairment and Dementia:  Detection and Care Improvement</w:t>
            </w:r>
          </w:p>
          <w:p w14:paraId="1EA551B6" w14:textId="2B864D91" w:rsidR="00611663" w:rsidRPr="00B734FB" w:rsidRDefault="00611663">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sidR="00B734FB">
              <w:rPr>
                <w:rFonts w:asciiTheme="minorHAnsi" w:eastAsia="Times New Roman" w:hAnsiTheme="minorHAnsi" w:cstheme="minorHAnsi"/>
                <w:b/>
                <w:bCs/>
                <w:color w:val="002060"/>
                <w:sz w:val="20"/>
                <w:szCs w:val="20"/>
              </w:rPr>
              <w:t xml:space="preserve"> - </w:t>
            </w:r>
            <w:r w:rsidR="004F7C11" w:rsidRPr="00B734FB">
              <w:rPr>
                <w:rFonts w:asciiTheme="minorHAnsi" w:eastAsia="Times New Roman" w:hAnsiTheme="minorHAnsi" w:cstheme="minorHAnsi"/>
                <w:sz w:val="20"/>
                <w:szCs w:val="20"/>
              </w:rPr>
              <w:t xml:space="preserve">Positive Mini-Cog© or cognitive assessment screening reviewed; as needed, address evaluation, treatments, services, support for dementia-related needs and referrals to dementia specialists </w:t>
            </w:r>
          </w:p>
          <w:p w14:paraId="0F2AD811" w14:textId="77777777" w:rsidR="00B734FB" w:rsidRPr="00B734FB" w:rsidRDefault="00611663">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sidR="00B734FB">
              <w:rPr>
                <w:rFonts w:asciiTheme="minorHAnsi" w:eastAsia="Times New Roman" w:hAnsiTheme="minorHAnsi" w:cstheme="minorHAnsi"/>
                <w:b/>
                <w:bCs/>
                <w:color w:val="002060"/>
                <w:sz w:val="20"/>
                <w:szCs w:val="20"/>
              </w:rPr>
              <w:t xml:space="preserve"> - </w:t>
            </w:r>
            <w:r w:rsidR="00F16725" w:rsidRPr="00B734FB">
              <w:rPr>
                <w:rFonts w:asciiTheme="minorHAnsi" w:eastAsia="Times New Roman" w:hAnsiTheme="minorHAnsi" w:cstheme="minorHAnsi"/>
                <w:color w:val="000000"/>
                <w:sz w:val="20"/>
                <w:szCs w:val="20"/>
              </w:rPr>
              <w:t>Increasing Rates of Follow-Up After Hospitalization for Mental Illness</w:t>
            </w:r>
          </w:p>
          <w:p w14:paraId="2ABC8CE7" w14:textId="55D2C54D" w:rsidR="00611663" w:rsidRPr="00B734FB" w:rsidRDefault="00611663">
            <w:pPr>
              <w:pStyle w:val="ListParagraph"/>
              <w:numPr>
                <w:ilvl w:val="0"/>
                <w:numId w:val="28"/>
              </w:numPr>
              <w:spacing w:after="16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sidR="00B734FB">
              <w:rPr>
                <w:rFonts w:asciiTheme="minorHAnsi" w:eastAsia="Times New Roman" w:hAnsiTheme="minorHAnsi" w:cstheme="minorHAnsi"/>
                <w:b/>
                <w:bCs/>
                <w:color w:val="002060"/>
                <w:sz w:val="20"/>
                <w:szCs w:val="20"/>
              </w:rPr>
              <w:t xml:space="preserve"> -</w:t>
            </w:r>
            <w:r w:rsidR="00B734FB">
              <w:rPr>
                <w:rFonts w:asciiTheme="minorHAnsi" w:eastAsia="Times New Roman" w:hAnsiTheme="minorHAnsi" w:cstheme="minorHAnsi"/>
                <w:sz w:val="20"/>
                <w:szCs w:val="20"/>
              </w:rPr>
              <w:t xml:space="preserve"> </w:t>
            </w:r>
            <w:r w:rsidR="00F61885" w:rsidRPr="00B734FB">
              <w:rPr>
                <w:rFonts w:asciiTheme="minorHAnsi" w:eastAsia="Times New Roman" w:hAnsiTheme="minorHAnsi" w:cstheme="minorHAnsi"/>
                <w:sz w:val="20"/>
                <w:szCs w:val="20"/>
              </w:rPr>
              <w:t>Letters to members missing a 7-day follow-up appointment; follow-up care coordination activities within the 30-day post-discharge window</w:t>
            </w:r>
            <w:r w:rsidR="003075FA" w:rsidRPr="00B734FB">
              <w:rPr>
                <w:rFonts w:asciiTheme="minorHAnsi" w:eastAsia="Times New Roman" w:hAnsiTheme="minorHAnsi" w:cstheme="minorHAnsi"/>
                <w:sz w:val="20"/>
                <w:szCs w:val="20"/>
              </w:rPr>
              <w:t>.</w:t>
            </w:r>
          </w:p>
          <w:p w14:paraId="38B5C053" w14:textId="77777777" w:rsidR="00B734FB" w:rsidRPr="00B734FB" w:rsidRDefault="00611663">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sidR="00B734FB">
              <w:rPr>
                <w:rFonts w:asciiTheme="minorHAnsi" w:eastAsia="Times New Roman" w:hAnsiTheme="minorHAnsi" w:cstheme="minorHAnsi"/>
                <w:b/>
                <w:bCs/>
                <w:color w:val="002060"/>
                <w:sz w:val="20"/>
                <w:szCs w:val="20"/>
              </w:rPr>
              <w:t xml:space="preserve"> -</w:t>
            </w:r>
            <w:r w:rsidR="00085E77" w:rsidRPr="00B734FB">
              <w:rPr>
                <w:rFonts w:asciiTheme="minorHAnsi" w:eastAsia="Times New Roman" w:hAnsiTheme="minorHAnsi" w:cstheme="minorHAnsi"/>
                <w:color w:val="000000"/>
                <w:sz w:val="20"/>
                <w:szCs w:val="20"/>
              </w:rPr>
              <w:t>Improving Treatment for Depression</w:t>
            </w:r>
          </w:p>
          <w:p w14:paraId="115BBAC4" w14:textId="1EBEED1B" w:rsidR="00AF2999" w:rsidRPr="00B734FB" w:rsidRDefault="00611663">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sidR="00B734FB">
              <w:rPr>
                <w:rFonts w:asciiTheme="minorHAnsi" w:eastAsia="Times New Roman" w:hAnsiTheme="minorHAnsi" w:cstheme="minorHAnsi"/>
                <w:b/>
                <w:bCs/>
                <w:color w:val="002060"/>
                <w:sz w:val="20"/>
                <w:szCs w:val="20"/>
              </w:rPr>
              <w:t xml:space="preserve"> -  </w:t>
            </w:r>
            <w:r w:rsidR="0079327E" w:rsidRPr="00B734FB">
              <w:rPr>
                <w:rFonts w:asciiTheme="minorHAnsi" w:eastAsia="Times New Roman" w:hAnsiTheme="minorHAnsi" w:cstheme="minorHAnsi"/>
                <w:sz w:val="20"/>
                <w:szCs w:val="20"/>
              </w:rPr>
              <w:t>A gap list highlighting members at risk of low medication adherence, and depression is provided to providers, for screening purposes</w:t>
            </w:r>
          </w:p>
          <w:p w14:paraId="403B4AFB" w14:textId="77777777" w:rsidR="00B734FB" w:rsidRPr="00B734FB" w:rsidRDefault="00FD76E0">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sidR="00B734FB">
              <w:rPr>
                <w:rFonts w:asciiTheme="minorHAnsi" w:eastAsia="Times New Roman" w:hAnsiTheme="minorHAnsi" w:cstheme="minorHAnsi"/>
                <w:b/>
                <w:bCs/>
                <w:color w:val="002060"/>
                <w:sz w:val="20"/>
                <w:szCs w:val="20"/>
              </w:rPr>
              <w:t xml:space="preserve"> - </w:t>
            </w:r>
            <w:r w:rsidR="00AF32D6" w:rsidRPr="00B734FB">
              <w:rPr>
                <w:rFonts w:asciiTheme="minorHAnsi" w:eastAsia="Times New Roman" w:hAnsiTheme="minorHAnsi" w:cstheme="minorHAnsi"/>
                <w:color w:val="000000"/>
                <w:sz w:val="20"/>
                <w:szCs w:val="20"/>
              </w:rPr>
              <w:t xml:space="preserve">Decrease Readmissions to Inpatient Behavioral Health Facilities by Better Managing Transitions of Care </w:t>
            </w:r>
          </w:p>
          <w:p w14:paraId="3340D278" w14:textId="441FFE21" w:rsidR="00FD76E0" w:rsidRPr="00B734FB" w:rsidRDefault="00FD76E0">
            <w:pPr>
              <w:pStyle w:val="ListParagraph"/>
              <w:numPr>
                <w:ilvl w:val="0"/>
                <w:numId w:val="28"/>
              </w:numPr>
              <w:spacing w:after="200"/>
              <w:ind w:left="491"/>
              <w:contextualSpacing w:val="0"/>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Intervention Example</w:t>
            </w:r>
            <w:r w:rsidR="00B734FB">
              <w:rPr>
                <w:rFonts w:asciiTheme="minorHAnsi" w:eastAsia="Times New Roman" w:hAnsiTheme="minorHAnsi" w:cstheme="minorHAnsi"/>
                <w:b/>
                <w:bCs/>
                <w:color w:val="002060"/>
                <w:sz w:val="20"/>
                <w:szCs w:val="20"/>
              </w:rPr>
              <w:t xml:space="preserve"> -</w:t>
            </w:r>
            <w:r w:rsidR="001F31A2" w:rsidRPr="00B734FB">
              <w:rPr>
                <w:rFonts w:asciiTheme="minorHAnsi" w:eastAsia="Times New Roman" w:hAnsiTheme="minorHAnsi" w:cstheme="minorHAnsi"/>
                <w:sz w:val="20"/>
                <w:szCs w:val="20"/>
              </w:rPr>
              <w:t>Care manager- facility collaboration on pre-discharge planning. Within 2 business days of discharge, members administered a standardized transitions assessment. Within 7 days of discharge, medication reconciliations conducted. Weekly contact for 30 days post-discharge.</w:t>
            </w:r>
          </w:p>
          <w:p w14:paraId="5105C9AD" w14:textId="7584E969" w:rsidR="00FD76E0" w:rsidRPr="00B734FB" w:rsidRDefault="00FD76E0">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Aim/Goal</w:t>
            </w:r>
            <w:r w:rsidR="00B734FB">
              <w:rPr>
                <w:rFonts w:asciiTheme="minorHAnsi" w:eastAsia="Times New Roman" w:hAnsiTheme="minorHAnsi" w:cstheme="minorHAnsi"/>
                <w:b/>
                <w:bCs/>
                <w:color w:val="002060"/>
                <w:sz w:val="20"/>
                <w:szCs w:val="20"/>
              </w:rPr>
              <w:t xml:space="preserve"> - </w:t>
            </w:r>
            <w:r w:rsidR="003F644C" w:rsidRPr="00B734FB">
              <w:rPr>
                <w:rFonts w:asciiTheme="minorHAnsi" w:eastAsia="Times New Roman" w:hAnsiTheme="minorHAnsi" w:cstheme="minorHAnsi"/>
                <w:color w:val="000000"/>
                <w:sz w:val="20"/>
                <w:szCs w:val="20"/>
              </w:rPr>
              <w:t>Improving Antidepressant Medication Management (AMM) for Members Diagnosed with Depression</w:t>
            </w:r>
          </w:p>
          <w:p w14:paraId="4694ACFB" w14:textId="2199E6B0" w:rsidR="00AF2999" w:rsidRPr="00B734FB" w:rsidRDefault="00575EDC">
            <w:pPr>
              <w:pStyle w:val="ListParagraph"/>
              <w:numPr>
                <w:ilvl w:val="0"/>
                <w:numId w:val="28"/>
              </w:numPr>
              <w:ind w:left="491"/>
              <w:textAlignment w:val="baseline"/>
              <w:rPr>
                <w:rFonts w:asciiTheme="minorHAnsi" w:eastAsia="Times New Roman" w:hAnsiTheme="minorHAnsi" w:cstheme="minorHAnsi"/>
                <w:b/>
                <w:bCs/>
                <w:color w:val="002060"/>
                <w:sz w:val="20"/>
                <w:szCs w:val="20"/>
              </w:rPr>
            </w:pPr>
            <w:r w:rsidRPr="00B734FB">
              <w:rPr>
                <w:rFonts w:asciiTheme="minorHAnsi" w:eastAsia="Times New Roman" w:hAnsiTheme="minorHAnsi" w:cstheme="minorHAnsi"/>
                <w:b/>
                <w:bCs/>
                <w:color w:val="002060"/>
                <w:sz w:val="20"/>
                <w:szCs w:val="20"/>
              </w:rPr>
              <w:t>I</w:t>
            </w:r>
            <w:r w:rsidR="00FD76E0" w:rsidRPr="00B734FB">
              <w:rPr>
                <w:rFonts w:asciiTheme="minorHAnsi" w:eastAsia="Times New Roman" w:hAnsiTheme="minorHAnsi" w:cstheme="minorHAnsi"/>
                <w:b/>
                <w:bCs/>
                <w:color w:val="002060"/>
                <w:sz w:val="20"/>
                <w:szCs w:val="20"/>
              </w:rPr>
              <w:t>ntervention Example</w:t>
            </w:r>
            <w:r w:rsidR="00B734FB">
              <w:rPr>
                <w:rFonts w:asciiTheme="minorHAnsi" w:eastAsia="Times New Roman" w:hAnsiTheme="minorHAnsi" w:cstheme="minorHAnsi"/>
                <w:b/>
                <w:bCs/>
                <w:color w:val="002060"/>
                <w:sz w:val="20"/>
                <w:szCs w:val="20"/>
              </w:rPr>
              <w:t xml:space="preserve"> - </w:t>
            </w:r>
            <w:r w:rsidR="00C528EA" w:rsidRPr="00B734FB">
              <w:rPr>
                <w:rFonts w:asciiTheme="minorHAnsi" w:eastAsia="Times New Roman" w:hAnsiTheme="minorHAnsi" w:cstheme="minorHAnsi"/>
                <w:sz w:val="20"/>
                <w:szCs w:val="20"/>
              </w:rPr>
              <w:t>Pharmacist outreach to members diagnosed with major depression and prescribed antidepressant medication who were non-adherent, and whose prescriptions were due for refill within 3 days OR not yet refilled.</w:t>
            </w:r>
          </w:p>
        </w:tc>
      </w:tr>
      <w:tr w:rsidR="00686535" w14:paraId="7D0AE6C8" w14:textId="77777777" w:rsidTr="00BF0E5B">
        <w:trPr>
          <w:jc w:val="center"/>
        </w:trPr>
        <w:tc>
          <w:tcPr>
            <w:tcW w:w="2880" w:type="dxa"/>
          </w:tcPr>
          <w:p w14:paraId="57B228E1" w14:textId="77777777" w:rsidR="00686535" w:rsidRPr="00A344CE" w:rsidRDefault="00686535" w:rsidP="00686535">
            <w:pPr>
              <w:spacing w:after="240"/>
              <w:textAlignment w:val="baseline"/>
              <w:rPr>
                <w:rFonts w:asciiTheme="minorHAnsi" w:eastAsia="Times New Roman" w:hAnsiTheme="minorHAnsi" w:cstheme="minorHAnsi"/>
                <w:b/>
                <w:bCs/>
                <w:color w:val="002060"/>
                <w:sz w:val="20"/>
                <w:szCs w:val="20"/>
              </w:rPr>
            </w:pPr>
            <w:r w:rsidRPr="00A344CE">
              <w:rPr>
                <w:rFonts w:asciiTheme="minorHAnsi" w:eastAsia="Times New Roman" w:hAnsiTheme="minorHAnsi" w:cstheme="minorHAnsi"/>
                <w:b/>
                <w:bCs/>
                <w:color w:val="002060"/>
                <w:sz w:val="20"/>
                <w:szCs w:val="20"/>
              </w:rPr>
              <w:t xml:space="preserve">Care for Acute and Chronic Conditions </w:t>
            </w:r>
          </w:p>
          <w:p w14:paraId="5EAEDE88" w14:textId="77777777" w:rsidR="00686535" w:rsidRPr="00A344CE" w:rsidRDefault="00686535" w:rsidP="00AF2999">
            <w:pPr>
              <w:rPr>
                <w:rFonts w:asciiTheme="minorHAnsi" w:eastAsia="Times New Roman" w:hAnsiTheme="minorHAnsi" w:cstheme="minorHAnsi"/>
                <w:b/>
                <w:bCs/>
                <w:color w:val="002060"/>
                <w:sz w:val="20"/>
                <w:szCs w:val="20"/>
              </w:rPr>
            </w:pPr>
          </w:p>
        </w:tc>
        <w:tc>
          <w:tcPr>
            <w:tcW w:w="10530" w:type="dxa"/>
            <w:gridSpan w:val="2"/>
          </w:tcPr>
          <w:p w14:paraId="3BBFBA61" w14:textId="77777777" w:rsidR="00ED29F9" w:rsidRPr="00ED29F9" w:rsidRDefault="0059658D">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BF29FD" w:rsidRPr="00ED29F9">
              <w:rPr>
                <w:rFonts w:asciiTheme="minorHAnsi" w:eastAsia="Times New Roman" w:hAnsiTheme="minorHAnsi" w:cstheme="minorHAnsi"/>
                <w:color w:val="000000"/>
                <w:sz w:val="20"/>
                <w:szCs w:val="20"/>
              </w:rPr>
              <w:t>Improving Health Outcomes for SCO Members with Diabetes</w:t>
            </w:r>
          </w:p>
          <w:p w14:paraId="4F9EA527" w14:textId="093CC9A1" w:rsidR="0059658D" w:rsidRPr="00ED29F9" w:rsidRDefault="0059658D">
            <w:pPr>
              <w:pStyle w:val="ListParagraph"/>
              <w:numPr>
                <w:ilvl w:val="0"/>
                <w:numId w:val="29"/>
              </w:numPr>
              <w:spacing w:after="200"/>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244E7B" w:rsidRPr="00ED29F9">
              <w:rPr>
                <w:rFonts w:asciiTheme="minorHAnsi" w:eastAsia="Times New Roman" w:hAnsiTheme="minorHAnsi" w:cstheme="minorHAnsi"/>
                <w:sz w:val="20"/>
                <w:szCs w:val="20"/>
              </w:rPr>
              <w:t>Input from members on diabetes educational materials was collected via focus group and at a Member Advisory Council meeting</w:t>
            </w:r>
          </w:p>
          <w:p w14:paraId="749061D0" w14:textId="5EA82166" w:rsidR="0059658D" w:rsidRPr="00ED29F9" w:rsidRDefault="0059658D">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B23AC0" w:rsidRPr="00ED29F9">
              <w:rPr>
                <w:rFonts w:asciiTheme="minorHAnsi" w:eastAsia="Times New Roman" w:hAnsiTheme="minorHAnsi" w:cstheme="minorHAnsi"/>
                <w:color w:val="000000" w:themeColor="text1"/>
                <w:sz w:val="20"/>
                <w:szCs w:val="20"/>
              </w:rPr>
              <w:t>Increasing the Rate of Retinal Eye Exams among Diabetic Enrollees</w:t>
            </w:r>
            <w:r w:rsidR="00C064B3" w:rsidRPr="00ED29F9">
              <w:rPr>
                <w:rFonts w:asciiTheme="minorHAnsi" w:eastAsia="Times New Roman" w:hAnsiTheme="minorHAnsi" w:cstheme="minorHAnsi"/>
                <w:sz w:val="20"/>
                <w:szCs w:val="20"/>
              </w:rPr>
              <w:t xml:space="preserve"> </w:t>
            </w:r>
          </w:p>
          <w:p w14:paraId="65D7A441" w14:textId="71ADEF14" w:rsidR="00ED29F9" w:rsidRPr="008A3612" w:rsidRDefault="0059658D">
            <w:pPr>
              <w:pStyle w:val="ListParagraph"/>
              <w:numPr>
                <w:ilvl w:val="0"/>
                <w:numId w:val="29"/>
              </w:numPr>
              <w:spacing w:after="120"/>
              <w:ind w:left="490"/>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544D87" w:rsidRPr="00ED29F9">
              <w:rPr>
                <w:rFonts w:asciiTheme="minorHAnsi" w:eastAsia="Times New Roman" w:hAnsiTheme="minorHAnsi" w:cstheme="minorHAnsi"/>
                <w:sz w:val="20"/>
                <w:szCs w:val="20"/>
              </w:rPr>
              <w:t>Diabetes gaps-in-care letters sent to unique PCPs with a combined panel of unique members needing a diabetic retinal eye exam as of 6/1/2019</w:t>
            </w:r>
            <w:r w:rsidR="00F757BC" w:rsidRPr="00ED29F9">
              <w:rPr>
                <w:rFonts w:asciiTheme="minorHAnsi" w:eastAsia="Times New Roman" w:hAnsiTheme="minorHAnsi" w:cstheme="minorHAnsi"/>
                <w:sz w:val="20"/>
                <w:szCs w:val="20"/>
              </w:rPr>
              <w:t>.</w:t>
            </w:r>
          </w:p>
          <w:p w14:paraId="6D03C0F4" w14:textId="77777777" w:rsidR="00ED29F9" w:rsidRPr="00ED29F9" w:rsidRDefault="0059658D">
            <w:pPr>
              <w:pStyle w:val="ListParagraph"/>
              <w:numPr>
                <w:ilvl w:val="0"/>
                <w:numId w:val="29"/>
              </w:numPr>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sidRPr="00ED29F9">
              <w:rPr>
                <w:rFonts w:asciiTheme="minorHAnsi" w:eastAsia="Times New Roman" w:hAnsiTheme="minorHAnsi" w:cstheme="minorHAnsi"/>
                <w:b/>
                <w:bCs/>
                <w:color w:val="002060"/>
                <w:sz w:val="20"/>
                <w:szCs w:val="20"/>
              </w:rPr>
              <w:t xml:space="preserve"> -</w:t>
            </w:r>
            <w:r w:rsidR="00ED29F9" w:rsidRPr="00ED29F9">
              <w:rPr>
                <w:rFonts w:asciiTheme="minorHAnsi" w:eastAsia="Times New Roman" w:hAnsiTheme="minorHAnsi" w:cstheme="minorHAnsi"/>
                <w:sz w:val="20"/>
                <w:szCs w:val="20"/>
              </w:rPr>
              <w:t xml:space="preserve"> </w:t>
            </w:r>
            <w:r w:rsidR="003E7A5F" w:rsidRPr="00ED29F9">
              <w:rPr>
                <w:rFonts w:asciiTheme="minorHAnsi" w:eastAsia="Times New Roman" w:hAnsiTheme="minorHAnsi" w:cstheme="minorHAnsi"/>
                <w:sz w:val="20"/>
                <w:szCs w:val="20"/>
              </w:rPr>
              <w:t>Improving SCO Member Adherence to Medication Regimens for Managing Their Diabetes</w:t>
            </w:r>
          </w:p>
          <w:p w14:paraId="57DE656E" w14:textId="6783BF71" w:rsidR="0059658D" w:rsidRPr="00ED29F9" w:rsidRDefault="0059658D">
            <w:pPr>
              <w:pStyle w:val="ListParagraph"/>
              <w:numPr>
                <w:ilvl w:val="0"/>
                <w:numId w:val="29"/>
              </w:numPr>
              <w:spacing w:after="200"/>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7C5EA9" w:rsidRPr="00ED29F9">
              <w:rPr>
                <w:rFonts w:asciiTheme="minorHAnsi" w:eastAsia="Times New Roman" w:hAnsiTheme="minorHAnsi" w:cstheme="minorHAnsi"/>
                <w:sz w:val="20"/>
                <w:szCs w:val="20"/>
              </w:rPr>
              <w:t>Members provided a 90-day supply of oral diabetic medications.  Hypothesis: reduced trips to the pharmacy contributes to adherence.</w:t>
            </w:r>
          </w:p>
          <w:p w14:paraId="3D7D3A3B" w14:textId="77777777" w:rsidR="00ED29F9" w:rsidRPr="00ED29F9" w:rsidRDefault="0059658D">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5E37B6" w:rsidRPr="00ED29F9">
              <w:rPr>
                <w:rFonts w:asciiTheme="minorHAnsi" w:eastAsia="Times New Roman" w:hAnsiTheme="minorHAnsi" w:cstheme="minorHAnsi"/>
                <w:color w:val="000000"/>
                <w:sz w:val="20"/>
                <w:szCs w:val="20"/>
              </w:rPr>
              <w:t>Cardiac Disease Management</w:t>
            </w:r>
          </w:p>
          <w:p w14:paraId="19A37D92" w14:textId="77777777" w:rsidR="00ED29F9" w:rsidRPr="00ED29F9" w:rsidRDefault="0059658D">
            <w:pPr>
              <w:pStyle w:val="ListParagraph"/>
              <w:numPr>
                <w:ilvl w:val="0"/>
                <w:numId w:val="29"/>
              </w:numPr>
              <w:spacing w:after="200"/>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w:t>
            </w:r>
            <w:r w:rsidR="00ED29F9">
              <w:rPr>
                <w:rFonts w:asciiTheme="minorHAnsi" w:eastAsia="Times New Roman" w:hAnsiTheme="minorHAnsi" w:cstheme="minorBidi"/>
                <w:sz w:val="20"/>
                <w:szCs w:val="20"/>
              </w:rPr>
              <w:t xml:space="preserve"> </w:t>
            </w:r>
            <w:r w:rsidR="00060B22" w:rsidRPr="00ED29F9">
              <w:rPr>
                <w:rFonts w:asciiTheme="minorHAnsi" w:eastAsia="Times New Roman" w:hAnsiTheme="minorHAnsi" w:cstheme="minorBidi"/>
                <w:sz w:val="20"/>
                <w:szCs w:val="20"/>
              </w:rPr>
              <w:t>Chronic disease self-management classes.</w:t>
            </w:r>
          </w:p>
          <w:p w14:paraId="02235374" w14:textId="77777777" w:rsidR="00ED29F9" w:rsidRPr="00ED29F9" w:rsidRDefault="0059658D">
            <w:pPr>
              <w:pStyle w:val="ListParagraph"/>
              <w:numPr>
                <w:ilvl w:val="0"/>
                <w:numId w:val="29"/>
              </w:numPr>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w:t>
            </w:r>
            <w:r w:rsidR="00ED29F9">
              <w:rPr>
                <w:rFonts w:asciiTheme="minorHAnsi" w:eastAsia="Times New Roman" w:hAnsiTheme="minorHAnsi" w:cstheme="minorHAnsi"/>
                <w:color w:val="000000"/>
                <w:sz w:val="20"/>
                <w:szCs w:val="20"/>
              </w:rPr>
              <w:t xml:space="preserve"> </w:t>
            </w:r>
            <w:r w:rsidR="005A4FBC" w:rsidRPr="00ED29F9">
              <w:rPr>
                <w:rFonts w:asciiTheme="minorHAnsi" w:eastAsia="Times New Roman" w:hAnsiTheme="minorHAnsi" w:cstheme="minorHAnsi"/>
                <w:color w:val="000000"/>
                <w:sz w:val="20"/>
                <w:szCs w:val="20"/>
              </w:rPr>
              <w:t>Reducing the Chronic Obstructive Pulmonary Disease (COPD) Admission Rate through Identification and Management of COPD and Co-Morbid Depression</w:t>
            </w:r>
          </w:p>
          <w:p w14:paraId="4B8BC2C7" w14:textId="6943F126" w:rsidR="00686535" w:rsidRPr="00ED29F9" w:rsidRDefault="0059658D">
            <w:pPr>
              <w:pStyle w:val="ListParagraph"/>
              <w:numPr>
                <w:ilvl w:val="0"/>
                <w:numId w:val="29"/>
              </w:numPr>
              <w:spacing w:after="200"/>
              <w:ind w:left="491"/>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121FDD" w:rsidRPr="00ED29F9">
              <w:rPr>
                <w:rFonts w:asciiTheme="minorHAnsi" w:eastAsia="Times New Roman" w:hAnsiTheme="minorHAnsi" w:cstheme="minorHAnsi"/>
                <w:sz w:val="20"/>
                <w:szCs w:val="20"/>
              </w:rPr>
              <w:t>Outreach conducted to PCPs with members with co-occurring depression and COPD to ensure appropriate referrals are made and antidepressants prescribed</w:t>
            </w:r>
          </w:p>
          <w:p w14:paraId="2008174C" w14:textId="77777777" w:rsidR="00ED29F9" w:rsidRPr="00ED29F9" w:rsidRDefault="00E60DC5">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w:t>
            </w:r>
            <w:r w:rsidR="00605221" w:rsidRPr="00ED29F9">
              <w:rPr>
                <w:rFonts w:asciiTheme="minorHAnsi" w:eastAsia="Times New Roman" w:hAnsiTheme="minorHAnsi" w:cstheme="minorHAnsi"/>
                <w:color w:val="000000"/>
                <w:sz w:val="20"/>
                <w:szCs w:val="20"/>
              </w:rPr>
              <w:t>Increasing the Rate of Annual Preventive Dental Care Visits</w:t>
            </w:r>
          </w:p>
          <w:p w14:paraId="759C0223" w14:textId="6A8ABADC" w:rsidR="00686535" w:rsidRPr="00ED29F9" w:rsidRDefault="00E60DC5">
            <w:pPr>
              <w:pStyle w:val="ListParagraph"/>
              <w:numPr>
                <w:ilvl w:val="0"/>
                <w:numId w:val="29"/>
              </w:numPr>
              <w:ind w:left="491"/>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w:t>
            </w:r>
            <w:r w:rsidR="00ED29F9">
              <w:rPr>
                <w:rFonts w:asciiTheme="minorHAnsi" w:eastAsia="Times New Roman" w:hAnsiTheme="minorHAnsi" w:cstheme="minorHAnsi"/>
                <w:sz w:val="20"/>
                <w:szCs w:val="20"/>
              </w:rPr>
              <w:t xml:space="preserve"> </w:t>
            </w:r>
            <w:r w:rsidR="00FC4683" w:rsidRPr="00ED29F9">
              <w:rPr>
                <w:rFonts w:asciiTheme="minorHAnsi" w:eastAsia="Times New Roman" w:hAnsiTheme="minorHAnsi" w:cstheme="minorHAnsi"/>
                <w:sz w:val="20"/>
                <w:szCs w:val="20"/>
              </w:rPr>
              <w:t>Member text message and mail reminders to schedule preventive dental visits and maintain oral health.</w:t>
            </w:r>
          </w:p>
        </w:tc>
      </w:tr>
    </w:tbl>
    <w:p w14:paraId="5691D661" w14:textId="751E8DA7" w:rsidR="000E41B0" w:rsidRPr="004633B8" w:rsidRDefault="000E41B0" w:rsidP="00ED29F9">
      <w:pPr>
        <w:spacing w:before="240"/>
        <w:rPr>
          <w:b/>
          <w:bCs/>
          <w:color w:val="002060"/>
        </w:rPr>
      </w:pPr>
      <w:r>
        <w:rPr>
          <w:b/>
          <w:bCs/>
          <w:color w:val="002060"/>
        </w:rPr>
        <w:lastRenderedPageBreak/>
        <w:t>Appendix</w:t>
      </w:r>
      <w:r w:rsidR="004633B8">
        <w:rPr>
          <w:b/>
          <w:bCs/>
          <w:color w:val="002060"/>
        </w:rPr>
        <w:t xml:space="preserve"> </w:t>
      </w:r>
      <w:r w:rsidR="00D67E5A">
        <w:rPr>
          <w:b/>
          <w:bCs/>
          <w:color w:val="002060"/>
        </w:rPr>
        <w:t>D</w:t>
      </w:r>
      <w:r>
        <w:rPr>
          <w:b/>
          <w:bCs/>
          <w:color w:val="002060"/>
        </w:rPr>
        <w:t xml:space="preserve">-4: </w:t>
      </w:r>
      <w:r w:rsidR="004633B8">
        <w:rPr>
          <w:b/>
          <w:bCs/>
          <w:color w:val="002060"/>
        </w:rPr>
        <w:t>OneCare Program P</w:t>
      </w:r>
      <w:r w:rsidR="00ED29F9">
        <w:rPr>
          <w:b/>
          <w:bCs/>
          <w:color w:val="002060"/>
        </w:rPr>
        <w:t xml:space="preserve"> - </w:t>
      </w:r>
      <w:r w:rsidR="004633B8">
        <w:rPr>
          <w:b/>
          <w:bCs/>
          <w:color w:val="002060"/>
        </w:rPr>
        <w:t xml:space="preserve">IPs 2020: Summary of Topic Areas, </w:t>
      </w:r>
      <w:r w:rsidR="00F43382">
        <w:rPr>
          <w:b/>
          <w:bCs/>
          <w:color w:val="002060"/>
        </w:rPr>
        <w:t>Goals</w:t>
      </w:r>
      <w:r w:rsidR="0043451B">
        <w:rPr>
          <w:b/>
          <w:bCs/>
          <w:color w:val="002060"/>
        </w:rPr>
        <w:t>,</w:t>
      </w:r>
      <w:r w:rsidR="00F43382">
        <w:rPr>
          <w:b/>
          <w:bCs/>
          <w:color w:val="002060"/>
        </w:rPr>
        <w:t xml:space="preserve"> </w:t>
      </w:r>
      <w:r w:rsidR="004633B8">
        <w:rPr>
          <w:b/>
          <w:bCs/>
          <w:color w:val="002060"/>
        </w:rPr>
        <w:t>and Intervention</w:t>
      </w:r>
      <w:r w:rsidR="00F43382">
        <w:rPr>
          <w:b/>
          <w:bCs/>
          <w:color w:val="002060"/>
        </w:rPr>
        <w:t xml:space="preserve"> Examples</w:t>
      </w:r>
      <w:r w:rsidR="004633B8" w:rsidRPr="002E1D0A">
        <w:rPr>
          <w:b/>
          <w:bCs/>
        </w:rPr>
        <w:t xml:space="preserve"> </w:t>
      </w:r>
      <w:r w:rsidRPr="004633B8">
        <w:rPr>
          <w:b/>
          <w:bCs/>
          <w:color w:val="002060"/>
        </w:rPr>
        <w:t xml:space="preserve">(4 PIPS: </w:t>
      </w:r>
      <w:r w:rsidR="00E35D84" w:rsidRPr="004633B8">
        <w:rPr>
          <w:b/>
          <w:bCs/>
          <w:color w:val="002060"/>
        </w:rPr>
        <w:t>2</w:t>
      </w:r>
      <w:r w:rsidRPr="004633B8">
        <w:rPr>
          <w:b/>
          <w:bCs/>
          <w:color w:val="002060"/>
        </w:rPr>
        <w:t xml:space="preserve"> entities, 2 projects each)</w:t>
      </w:r>
    </w:p>
    <w:tbl>
      <w:tblPr>
        <w:tblStyle w:val="TableGrid"/>
        <w:tblW w:w="13410" w:type="dxa"/>
        <w:jc w:val="center"/>
        <w:tblLook w:val="04A0" w:firstRow="1" w:lastRow="0" w:firstColumn="1" w:lastColumn="0" w:noHBand="0" w:noVBand="1"/>
      </w:tblPr>
      <w:tblGrid>
        <w:gridCol w:w="2880"/>
        <w:gridCol w:w="10530"/>
      </w:tblGrid>
      <w:tr w:rsidR="00B72DD6" w14:paraId="3CC667A8" w14:textId="77777777" w:rsidTr="00BF0E5B">
        <w:trPr>
          <w:tblHeader/>
          <w:jc w:val="center"/>
        </w:trPr>
        <w:tc>
          <w:tcPr>
            <w:tcW w:w="2880" w:type="dxa"/>
            <w:shd w:val="clear" w:color="auto" w:fill="002060"/>
          </w:tcPr>
          <w:p w14:paraId="2541F54A" w14:textId="3C62ABEA" w:rsidR="00E35D84" w:rsidRDefault="008C067F" w:rsidP="0005620E">
            <w:pPr>
              <w:jc w:val="center"/>
            </w:pPr>
            <w:r w:rsidRPr="00A344CE">
              <w:rPr>
                <w:rFonts w:asciiTheme="minorHAnsi" w:eastAsia="Times New Roman" w:hAnsiTheme="minorHAnsi" w:cstheme="minorHAnsi"/>
                <w:b/>
                <w:bCs/>
                <w:sz w:val="20"/>
                <w:szCs w:val="20"/>
              </w:rPr>
              <w:t>PIP Topic</w:t>
            </w:r>
          </w:p>
        </w:tc>
        <w:tc>
          <w:tcPr>
            <w:tcW w:w="10530" w:type="dxa"/>
            <w:shd w:val="clear" w:color="auto" w:fill="002060"/>
          </w:tcPr>
          <w:p w14:paraId="6E6BE894" w14:textId="0D2BFBB3" w:rsidR="00E35D84" w:rsidRDefault="008C067F">
            <w:r w:rsidRPr="00A344CE">
              <w:rPr>
                <w:rFonts w:asciiTheme="minorHAnsi" w:eastAsia="Times New Roman" w:hAnsiTheme="minorHAnsi" w:cstheme="minorHAnsi"/>
                <w:b/>
                <w:bCs/>
                <w:sz w:val="20"/>
                <w:szCs w:val="20"/>
              </w:rPr>
              <w:t>PIP Aim/Goal</w:t>
            </w:r>
            <w:r w:rsidR="00D66CBB">
              <w:rPr>
                <w:rFonts w:asciiTheme="minorHAnsi" w:eastAsia="Times New Roman" w:hAnsiTheme="minorHAnsi" w:cstheme="minorHAnsi"/>
                <w:b/>
                <w:bCs/>
                <w:sz w:val="20"/>
                <w:szCs w:val="20"/>
              </w:rPr>
              <w:t xml:space="preserve"> </w:t>
            </w:r>
            <w:r w:rsidRPr="00A344CE">
              <w:rPr>
                <w:rFonts w:asciiTheme="minorHAnsi" w:eastAsia="Times New Roman" w:hAnsiTheme="minorHAnsi" w:cstheme="minorHAnsi"/>
                <w:b/>
                <w:bCs/>
                <w:sz w:val="20"/>
                <w:szCs w:val="20"/>
              </w:rPr>
              <w:t>and Intervention Examples</w:t>
            </w:r>
          </w:p>
        </w:tc>
      </w:tr>
      <w:tr w:rsidR="008C067F" w14:paraId="42DD5CAD" w14:textId="77777777" w:rsidTr="00BF0E5B">
        <w:trPr>
          <w:jc w:val="center"/>
        </w:trPr>
        <w:tc>
          <w:tcPr>
            <w:tcW w:w="2880" w:type="dxa"/>
            <w:shd w:val="clear" w:color="auto" w:fill="auto"/>
          </w:tcPr>
          <w:p w14:paraId="33619527" w14:textId="7D22115F" w:rsidR="008C067F" w:rsidRPr="00A344CE" w:rsidRDefault="008C067F" w:rsidP="008C067F">
            <w:pPr>
              <w:rPr>
                <w:rFonts w:asciiTheme="minorHAnsi" w:eastAsia="Times New Roman" w:hAnsiTheme="minorHAnsi" w:cstheme="minorHAnsi"/>
                <w:b/>
                <w:bCs/>
                <w:sz w:val="20"/>
                <w:szCs w:val="20"/>
              </w:rPr>
            </w:pPr>
            <w:r w:rsidRPr="00A344CE">
              <w:rPr>
                <w:rFonts w:asciiTheme="minorHAnsi" w:eastAsia="Times New Roman" w:hAnsiTheme="minorHAnsi" w:cstheme="minorHAnsi"/>
                <w:b/>
                <w:bCs/>
                <w:color w:val="002060"/>
                <w:sz w:val="20"/>
                <w:szCs w:val="20"/>
              </w:rPr>
              <w:t>Behavioral Health – Care, Coordination, and Integration</w:t>
            </w:r>
          </w:p>
        </w:tc>
        <w:tc>
          <w:tcPr>
            <w:tcW w:w="10530" w:type="dxa"/>
            <w:shd w:val="clear" w:color="auto" w:fill="auto"/>
          </w:tcPr>
          <w:p w14:paraId="1099A06F" w14:textId="1C4F59CB" w:rsidR="00227869" w:rsidRPr="00ED29F9" w:rsidRDefault="00227869">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proofErr w:type="gramStart"/>
            <w:r w:rsidR="00C53A54" w:rsidRPr="00ED29F9">
              <w:rPr>
                <w:rFonts w:asciiTheme="minorHAnsi" w:eastAsia="Times New Roman" w:hAnsiTheme="minorHAnsi" w:cstheme="minorHAnsi"/>
                <w:color w:val="000000"/>
                <w:sz w:val="20"/>
                <w:szCs w:val="20"/>
              </w:rPr>
              <w:t>Cardiovascular Disease</w:t>
            </w:r>
            <w:proofErr w:type="gramEnd"/>
            <w:r w:rsidR="00C53A54" w:rsidRPr="00ED29F9">
              <w:rPr>
                <w:rFonts w:asciiTheme="minorHAnsi" w:eastAsia="Times New Roman" w:hAnsiTheme="minorHAnsi" w:cstheme="minorHAnsi"/>
                <w:color w:val="000000"/>
                <w:sz w:val="20"/>
                <w:szCs w:val="20"/>
              </w:rPr>
              <w:t xml:space="preserve"> (CVD) Prevention in One Care Members with Mental Illness and Multiple Risk</w:t>
            </w:r>
          </w:p>
          <w:p w14:paraId="25B10E4F" w14:textId="4D7D3488" w:rsidR="00227869" w:rsidRPr="00ED29F9" w:rsidRDefault="00227869">
            <w:pPr>
              <w:pStyle w:val="ListParagraph"/>
              <w:numPr>
                <w:ilvl w:val="0"/>
                <w:numId w:val="30"/>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4C69B0" w:rsidRPr="00ED29F9">
              <w:rPr>
                <w:rFonts w:asciiTheme="minorHAnsi" w:eastAsia="Times New Roman" w:hAnsiTheme="minorHAnsi" w:cstheme="minorHAnsi"/>
                <w:sz w:val="20"/>
                <w:szCs w:val="20"/>
              </w:rPr>
              <w:t>Health-coaching and support for members with mental illness whose smoking put them at high risk of cardiovascular disease.</w:t>
            </w:r>
          </w:p>
          <w:p w14:paraId="29C4A667" w14:textId="77777777" w:rsidR="00ED29F9" w:rsidRPr="00ED29F9" w:rsidRDefault="00227869">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116361" w:rsidRPr="00ED29F9">
              <w:rPr>
                <w:rFonts w:asciiTheme="minorHAnsi" w:eastAsia="Times New Roman" w:hAnsiTheme="minorHAnsi" w:cstheme="minorHAnsi"/>
                <w:color w:val="000000"/>
                <w:sz w:val="20"/>
                <w:szCs w:val="20"/>
              </w:rPr>
              <w:t xml:space="preserve">Improve Therapy Visit Rate for Members with Depression </w:t>
            </w:r>
          </w:p>
          <w:p w14:paraId="41A3C585" w14:textId="5331FE04" w:rsidR="008C067F" w:rsidRPr="00ED29F9" w:rsidRDefault="00227869">
            <w:pPr>
              <w:pStyle w:val="ListParagraph"/>
              <w:numPr>
                <w:ilvl w:val="0"/>
                <w:numId w:val="30"/>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8D7B16" w:rsidRPr="00ED29F9">
              <w:rPr>
                <w:rFonts w:asciiTheme="minorHAnsi" w:eastAsia="Times New Roman" w:hAnsiTheme="minorHAnsi" w:cstheme="minorHAnsi"/>
                <w:sz w:val="20"/>
                <w:szCs w:val="20"/>
              </w:rPr>
              <w:t>Community health center PCPs informed in writing of members with a diagnosis of depression but did not receive BH therapy services. PCP follow-up calls made.</w:t>
            </w:r>
          </w:p>
        </w:tc>
      </w:tr>
      <w:tr w:rsidR="008D7B16" w14:paraId="490CCF52" w14:textId="77777777" w:rsidTr="00BF0E5B">
        <w:trPr>
          <w:jc w:val="center"/>
        </w:trPr>
        <w:tc>
          <w:tcPr>
            <w:tcW w:w="2880" w:type="dxa"/>
            <w:shd w:val="clear" w:color="auto" w:fill="auto"/>
          </w:tcPr>
          <w:p w14:paraId="4A57B7D2" w14:textId="77777777" w:rsidR="008D7B16" w:rsidRPr="008D7B16" w:rsidRDefault="008D7B16" w:rsidP="008D7B16">
            <w:pPr>
              <w:rPr>
                <w:rFonts w:asciiTheme="minorHAnsi" w:eastAsia="Times New Roman" w:hAnsiTheme="minorHAnsi" w:cstheme="minorHAnsi"/>
                <w:b/>
                <w:bCs/>
                <w:color w:val="002060"/>
                <w:sz w:val="20"/>
                <w:szCs w:val="20"/>
              </w:rPr>
            </w:pPr>
            <w:r w:rsidRPr="008D7B16">
              <w:rPr>
                <w:rFonts w:asciiTheme="minorHAnsi" w:eastAsia="Times New Roman" w:hAnsiTheme="minorHAnsi" w:cstheme="minorHAnsi"/>
                <w:b/>
                <w:bCs/>
                <w:color w:val="002060"/>
                <w:sz w:val="20"/>
                <w:szCs w:val="20"/>
              </w:rPr>
              <w:t xml:space="preserve">Care for Acute and Chronic Conditions </w:t>
            </w:r>
          </w:p>
          <w:p w14:paraId="017A0AA7" w14:textId="77777777" w:rsidR="008D7B16" w:rsidRPr="00A344CE" w:rsidRDefault="008D7B16" w:rsidP="008C067F">
            <w:pPr>
              <w:rPr>
                <w:rFonts w:asciiTheme="minorHAnsi" w:eastAsia="Times New Roman" w:hAnsiTheme="minorHAnsi" w:cstheme="minorHAnsi"/>
                <w:b/>
                <w:bCs/>
                <w:color w:val="002060"/>
                <w:sz w:val="20"/>
                <w:szCs w:val="20"/>
              </w:rPr>
            </w:pPr>
          </w:p>
        </w:tc>
        <w:tc>
          <w:tcPr>
            <w:tcW w:w="10530" w:type="dxa"/>
            <w:shd w:val="clear" w:color="auto" w:fill="auto"/>
          </w:tcPr>
          <w:p w14:paraId="06794851" w14:textId="208E9D25" w:rsidR="00ED29F9" w:rsidRPr="00ED29F9" w:rsidRDefault="008D7B16">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ED29F9" w:rsidRPr="00ED29F9">
              <w:rPr>
                <w:rFonts w:asciiTheme="minorHAnsi" w:eastAsia="Times New Roman" w:hAnsiTheme="minorHAnsi" w:cstheme="minorHAnsi"/>
                <w:sz w:val="20"/>
                <w:szCs w:val="20"/>
              </w:rPr>
              <w:t>Reducing</w:t>
            </w:r>
            <w:r w:rsidR="00C077AF" w:rsidRPr="00ED29F9">
              <w:rPr>
                <w:rFonts w:asciiTheme="minorHAnsi" w:eastAsia="Times New Roman" w:hAnsiTheme="minorHAnsi" w:cstheme="minorHAnsi"/>
                <w:sz w:val="20"/>
                <w:szCs w:val="20"/>
              </w:rPr>
              <w:t xml:space="preserve"> Emergency </w:t>
            </w:r>
            <w:r w:rsidR="00C077AF" w:rsidRPr="00ED29F9">
              <w:rPr>
                <w:rFonts w:asciiTheme="minorHAnsi" w:eastAsia="Times New Roman" w:hAnsiTheme="minorHAnsi" w:cstheme="minorHAnsi"/>
                <w:color w:val="000000"/>
                <w:sz w:val="20"/>
                <w:szCs w:val="20"/>
              </w:rPr>
              <w:t>Department (ED) Utilization</w:t>
            </w:r>
          </w:p>
          <w:p w14:paraId="61E31E26" w14:textId="48506025" w:rsidR="008D7B16" w:rsidRPr="00ED29F9" w:rsidRDefault="008D7B16">
            <w:pPr>
              <w:pStyle w:val="ListParagraph"/>
              <w:numPr>
                <w:ilvl w:val="0"/>
                <w:numId w:val="31"/>
              </w:numPr>
              <w:spacing w:after="200"/>
              <w:ind w:left="428"/>
              <w:contextualSpacing w:val="0"/>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Intervention Example</w:t>
            </w:r>
            <w:r w:rsidR="00ED29F9">
              <w:rPr>
                <w:rFonts w:asciiTheme="minorHAnsi" w:eastAsia="Times New Roman" w:hAnsiTheme="minorHAnsi" w:cstheme="minorHAnsi"/>
                <w:b/>
                <w:bCs/>
                <w:color w:val="002060"/>
                <w:sz w:val="20"/>
                <w:szCs w:val="20"/>
              </w:rPr>
              <w:t xml:space="preserve"> - </w:t>
            </w:r>
            <w:r w:rsidR="00434B6F" w:rsidRPr="00ED29F9">
              <w:rPr>
                <w:rFonts w:asciiTheme="minorHAnsi" w:eastAsia="Times New Roman" w:hAnsiTheme="minorHAnsi" w:cstheme="minorHAnsi"/>
                <w:sz w:val="20"/>
                <w:szCs w:val="20"/>
              </w:rPr>
              <w:t>Member outreach following ED visits to encourage primary care follow up visits</w:t>
            </w:r>
            <w:r w:rsidRPr="00ED29F9">
              <w:rPr>
                <w:rFonts w:asciiTheme="minorHAnsi" w:eastAsia="Times New Roman" w:hAnsiTheme="minorHAnsi" w:cstheme="minorHAnsi"/>
                <w:sz w:val="20"/>
                <w:szCs w:val="20"/>
              </w:rPr>
              <w:t>.</w:t>
            </w:r>
          </w:p>
          <w:p w14:paraId="329DBE8E" w14:textId="77777777" w:rsidR="008B43CF" w:rsidRPr="008B43CF" w:rsidRDefault="008D7B16">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ED29F9">
              <w:rPr>
                <w:rFonts w:asciiTheme="minorHAnsi" w:eastAsia="Times New Roman" w:hAnsiTheme="minorHAnsi" w:cstheme="minorHAnsi"/>
                <w:b/>
                <w:bCs/>
                <w:color w:val="002060"/>
                <w:sz w:val="20"/>
                <w:szCs w:val="20"/>
              </w:rPr>
              <w:t>Aim/Goal</w:t>
            </w:r>
            <w:r w:rsidR="00ED29F9">
              <w:rPr>
                <w:rFonts w:asciiTheme="minorHAnsi" w:eastAsia="Times New Roman" w:hAnsiTheme="minorHAnsi" w:cstheme="minorHAnsi"/>
                <w:b/>
                <w:bCs/>
                <w:color w:val="002060"/>
                <w:sz w:val="20"/>
                <w:szCs w:val="20"/>
              </w:rPr>
              <w:t xml:space="preserve"> - </w:t>
            </w:r>
            <w:r w:rsidR="009D1077" w:rsidRPr="00ED29F9">
              <w:rPr>
                <w:rFonts w:asciiTheme="minorHAnsi" w:eastAsia="Times New Roman" w:hAnsiTheme="minorHAnsi" w:cstheme="minorHAnsi"/>
                <w:color w:val="000000"/>
                <w:sz w:val="20"/>
                <w:szCs w:val="20"/>
              </w:rPr>
              <w:t>Improve the Rate of Cervical Cancer Screening</w:t>
            </w:r>
            <w:r w:rsidRPr="00ED29F9">
              <w:rPr>
                <w:rFonts w:asciiTheme="minorHAnsi" w:eastAsia="Times New Roman" w:hAnsiTheme="minorHAnsi" w:cstheme="minorHAnsi"/>
                <w:color w:val="000000"/>
                <w:sz w:val="20"/>
                <w:szCs w:val="20"/>
              </w:rPr>
              <w:t xml:space="preserve"> </w:t>
            </w:r>
          </w:p>
          <w:p w14:paraId="69788417" w14:textId="0947F725" w:rsidR="008D7B16" w:rsidRPr="008B43CF" w:rsidRDefault="008D7B16">
            <w:pPr>
              <w:pStyle w:val="ListParagraph"/>
              <w:numPr>
                <w:ilvl w:val="0"/>
                <w:numId w:val="31"/>
              </w:numPr>
              <w:ind w:left="428"/>
              <w:textAlignment w:val="baseline"/>
              <w:rPr>
                <w:rFonts w:asciiTheme="minorHAnsi" w:eastAsia="Times New Roman" w:hAnsiTheme="minorHAnsi" w:cstheme="minorHAnsi"/>
                <w:b/>
                <w:bCs/>
                <w:color w:val="002060"/>
                <w:sz w:val="20"/>
                <w:szCs w:val="20"/>
              </w:rPr>
            </w:pPr>
            <w:r w:rsidRPr="008B43CF">
              <w:rPr>
                <w:rFonts w:asciiTheme="minorHAnsi" w:eastAsia="Times New Roman" w:hAnsiTheme="minorHAnsi" w:cstheme="minorHAnsi"/>
                <w:b/>
                <w:bCs/>
                <w:color w:val="002060"/>
                <w:sz w:val="20"/>
                <w:szCs w:val="20"/>
              </w:rPr>
              <w:t>Intervention Example</w:t>
            </w:r>
            <w:r w:rsidR="008B43CF">
              <w:rPr>
                <w:rFonts w:asciiTheme="minorHAnsi" w:eastAsia="Times New Roman" w:hAnsiTheme="minorHAnsi" w:cstheme="minorHAnsi"/>
                <w:b/>
                <w:bCs/>
                <w:color w:val="002060"/>
                <w:sz w:val="20"/>
                <w:szCs w:val="20"/>
              </w:rPr>
              <w:t xml:space="preserve"> -</w:t>
            </w:r>
            <w:r w:rsidR="008B43CF">
              <w:rPr>
                <w:rFonts w:asciiTheme="minorHAnsi" w:eastAsia="Times New Roman" w:hAnsiTheme="minorHAnsi" w:cstheme="minorHAnsi"/>
                <w:sz w:val="20"/>
                <w:szCs w:val="20"/>
              </w:rPr>
              <w:t xml:space="preserve"> </w:t>
            </w:r>
            <w:r w:rsidR="00017807" w:rsidRPr="008B43CF">
              <w:rPr>
                <w:rFonts w:asciiTheme="minorHAnsi" w:eastAsia="Times New Roman" w:hAnsiTheme="minorHAnsi" w:cstheme="minorHAnsi"/>
                <w:sz w:val="20"/>
                <w:szCs w:val="20"/>
              </w:rPr>
              <w:t>Interactive Voice Recognition (IVR) phone reminders to members with gaps to schedule cervical cancer screening services and offering help with appointment scheduling.</w:t>
            </w:r>
          </w:p>
          <w:p w14:paraId="41F7588C" w14:textId="07CD3134" w:rsidR="00EB151B" w:rsidRPr="008E307E" w:rsidRDefault="00EB151B" w:rsidP="008D7B16">
            <w:pPr>
              <w:ind w:left="144"/>
              <w:textAlignment w:val="baseline"/>
              <w:rPr>
                <w:rFonts w:asciiTheme="minorHAnsi" w:eastAsia="Times New Roman" w:hAnsiTheme="minorHAnsi" w:cstheme="minorHAnsi"/>
                <w:b/>
                <w:bCs/>
                <w:color w:val="002060"/>
                <w:sz w:val="20"/>
                <w:szCs w:val="20"/>
              </w:rPr>
            </w:pPr>
          </w:p>
        </w:tc>
      </w:tr>
    </w:tbl>
    <w:p w14:paraId="4FD7C99C" w14:textId="77777777" w:rsidR="004E24EA" w:rsidRPr="002F20A4" w:rsidRDefault="004E24EA" w:rsidP="002F20A4">
      <w:pPr>
        <w:rPr>
          <w:rStyle w:val="IntenseEmphasis"/>
          <w:i w:val="0"/>
          <w:iCs w:val="0"/>
          <w:sz w:val="32"/>
          <w:szCs w:val="32"/>
          <w:highlight w:val="yellow"/>
        </w:rPr>
      </w:pPr>
    </w:p>
    <w:sectPr w:rsidR="004E24EA" w:rsidRPr="002F20A4" w:rsidSect="00FD1091">
      <w:pgSz w:w="15840" w:h="12240" w:orient="landscape"/>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819E" w14:textId="77777777" w:rsidR="008B1DEE" w:rsidRDefault="008B1DEE" w:rsidP="00BF1E2F">
      <w:pPr>
        <w:spacing w:after="0"/>
      </w:pPr>
      <w:r>
        <w:separator/>
      </w:r>
    </w:p>
  </w:endnote>
  <w:endnote w:type="continuationSeparator" w:id="0">
    <w:p w14:paraId="09E8B59B" w14:textId="77777777" w:rsidR="008B1DEE" w:rsidRDefault="008B1DEE" w:rsidP="00BF1E2F">
      <w:pPr>
        <w:spacing w:after="0"/>
      </w:pPr>
      <w:r>
        <w:continuationSeparator/>
      </w:r>
    </w:p>
  </w:endnote>
  <w:endnote w:type="continuationNotice" w:id="1">
    <w:p w14:paraId="6B615656" w14:textId="77777777" w:rsidR="008B1DEE" w:rsidRDefault="008B1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18267"/>
      <w:docPartObj>
        <w:docPartGallery w:val="Page Numbers (Bottom of Page)"/>
        <w:docPartUnique/>
      </w:docPartObj>
    </w:sdtPr>
    <w:sdtEndPr>
      <w:rPr>
        <w:noProof/>
      </w:rPr>
    </w:sdtEndPr>
    <w:sdtContent>
      <w:p w14:paraId="2CF534D3" w14:textId="40278223" w:rsidR="00FD1091" w:rsidRDefault="00FD1091" w:rsidP="00FD1091">
        <w:pPr>
          <w:pStyle w:val="Footer"/>
          <w:tabs>
            <w:tab w:val="left" w:pos="7740"/>
          </w:tabs>
          <w:jc w:val="right"/>
        </w:pPr>
        <w:r>
          <w:fldChar w:fldCharType="begin"/>
        </w:r>
        <w:r>
          <w:instrText xml:space="preserve"> PAGE   \* MERGEFORMAT </w:instrText>
        </w:r>
        <w:r>
          <w:fldChar w:fldCharType="separate"/>
        </w:r>
        <w:r>
          <w:rPr>
            <w:noProof/>
          </w:rPr>
          <w:t>2</w:t>
        </w:r>
        <w:r>
          <w:rPr>
            <w:noProof/>
          </w:rPr>
          <w:fldChar w:fldCharType="end"/>
        </w:r>
      </w:p>
    </w:sdtContent>
  </w:sdt>
  <w:p w14:paraId="66D0836D" w14:textId="77777777" w:rsidR="00FD1091" w:rsidRDefault="00FD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76BD" w14:textId="77777777" w:rsidR="008B1DEE" w:rsidRDefault="008B1DEE" w:rsidP="00BF1E2F">
      <w:pPr>
        <w:spacing w:after="0"/>
      </w:pPr>
      <w:r>
        <w:separator/>
      </w:r>
    </w:p>
  </w:footnote>
  <w:footnote w:type="continuationSeparator" w:id="0">
    <w:p w14:paraId="6801B5E2" w14:textId="77777777" w:rsidR="008B1DEE" w:rsidRDefault="008B1DEE" w:rsidP="00BF1E2F">
      <w:pPr>
        <w:spacing w:after="0"/>
      </w:pPr>
      <w:r>
        <w:continuationSeparator/>
      </w:r>
    </w:p>
  </w:footnote>
  <w:footnote w:type="continuationNotice" w:id="1">
    <w:p w14:paraId="65CC335C" w14:textId="77777777" w:rsidR="008B1DEE" w:rsidRDefault="008B1DEE">
      <w:pPr>
        <w:spacing w:after="0"/>
      </w:pPr>
    </w:p>
  </w:footnote>
  <w:footnote w:id="2">
    <w:p w14:paraId="7665F314" w14:textId="5D760869" w:rsidR="00D70792" w:rsidRDefault="00D70792" w:rsidP="00D70792">
      <w:pPr>
        <w:pStyle w:val="FootnoteText"/>
      </w:pPr>
      <w:r>
        <w:rPr>
          <w:rStyle w:val="FootnoteReference"/>
        </w:rPr>
        <w:footnoteRef/>
      </w:r>
      <w:r>
        <w:t xml:space="preserve"> All summaries of contract provisions in this document are for information purposes only. Interested parties should refer to the contracts for the contractual terms and </w:t>
      </w:r>
      <w:r w:rsidR="004336E6">
        <w:t xml:space="preserve">applicable </w:t>
      </w:r>
      <w:r>
        <w:t>conditions. Nothing in this document should be read to alter or amend any contractual obligation. To the extent any discrepancies or conflicts exist between this document and the contract, the language of the contract controls.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D74741A"/>
    <w:lvl w:ilvl="0">
      <w:start w:val="1"/>
      <w:numFmt w:val="bullet"/>
      <w:pStyle w:val="ListBullet4"/>
      <w:lvlText w:val=""/>
      <w:lvlJc w:val="left"/>
      <w:pPr>
        <w:tabs>
          <w:tab w:val="num" w:pos="630"/>
        </w:tabs>
        <w:ind w:left="630" w:hanging="360"/>
      </w:pPr>
      <w:rPr>
        <w:rFonts w:ascii="Symbol" w:hAnsi="Symbol" w:hint="default"/>
      </w:rPr>
    </w:lvl>
  </w:abstractNum>
  <w:abstractNum w:abstractNumId="1" w15:restartNumberingAfterBreak="0">
    <w:nsid w:val="FFFFFF83"/>
    <w:multiLevelType w:val="singleLevel"/>
    <w:tmpl w:val="07CA16F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327B10"/>
    <w:multiLevelType w:val="hybridMultilevel"/>
    <w:tmpl w:val="7DE056D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3B0260B"/>
    <w:multiLevelType w:val="hybridMultilevel"/>
    <w:tmpl w:val="689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263B"/>
    <w:multiLevelType w:val="hybridMultilevel"/>
    <w:tmpl w:val="A2B45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A60A2"/>
    <w:multiLevelType w:val="hybridMultilevel"/>
    <w:tmpl w:val="DB3E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30C60"/>
    <w:multiLevelType w:val="hybridMultilevel"/>
    <w:tmpl w:val="E6E6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7B4D"/>
    <w:multiLevelType w:val="multilevel"/>
    <w:tmpl w:val="28BC0BB0"/>
    <w:lvl w:ilvl="0">
      <w:start w:val="1"/>
      <w:numFmt w:val="decimal"/>
      <w:pStyle w:val="Heading1"/>
      <w:suff w:val="space"/>
      <w:lvlText w:val="Section %1."/>
      <w:lvlJc w:val="left"/>
      <w:pPr>
        <w:ind w:left="3690" w:firstLine="0"/>
      </w:pPr>
    </w:lvl>
    <w:lvl w:ilvl="1">
      <w:numFmt w:val="none"/>
      <w:pStyle w:val="Heading2"/>
      <w:lvlText w:val=""/>
      <w:lvlJc w:val="left"/>
      <w:pPr>
        <w:tabs>
          <w:tab w:val="num" w:pos="360"/>
        </w:tabs>
      </w:pPr>
    </w:lvl>
    <w:lvl w:ilvl="2">
      <w:numFmt w:val="decimal"/>
      <w:lvlText w:val=""/>
      <w:lvlJc w:val="left"/>
    </w:lvl>
    <w:lvl w:ilvl="3">
      <w:numFmt w:val="decimal"/>
      <w:pStyle w:val="Heading4"/>
      <w:lvlText w:val=""/>
      <w:lvlJc w:val="left"/>
    </w:lvl>
    <w:lvl w:ilvl="4">
      <w:numFmt w:val="decimal"/>
      <w:pStyle w:val="Heading5"/>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rPr>
        <w:rFonts w:hAnsi="Symbol" w:cs="Times New Roman" w:hint="default"/>
        <w:b w:val="0"/>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abstractNum>
  <w:abstractNum w:abstractNumId="8" w15:restartNumberingAfterBreak="0">
    <w:nsid w:val="118E2C56"/>
    <w:multiLevelType w:val="hybridMultilevel"/>
    <w:tmpl w:val="2EDC12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2E2172A"/>
    <w:multiLevelType w:val="hybridMultilevel"/>
    <w:tmpl w:val="6ED438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167A063E"/>
    <w:multiLevelType w:val="multilevel"/>
    <w:tmpl w:val="060C7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854C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F730E9"/>
    <w:multiLevelType w:val="hybridMultilevel"/>
    <w:tmpl w:val="F82C6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632FD1"/>
    <w:multiLevelType w:val="hybridMultilevel"/>
    <w:tmpl w:val="752EC9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1F0C4100"/>
    <w:multiLevelType w:val="hybridMultilevel"/>
    <w:tmpl w:val="9D4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40E11"/>
    <w:multiLevelType w:val="hybridMultilevel"/>
    <w:tmpl w:val="D0168312"/>
    <w:lvl w:ilvl="0" w:tplc="F18C50C4">
      <w:start w:val="1"/>
      <w:numFmt w:val="decimal"/>
      <w:lvlText w:val="%1."/>
      <w:lvlJc w:val="left"/>
      <w:pPr>
        <w:ind w:left="1080" w:hanging="360"/>
      </w:pPr>
      <w:rPr>
        <w:rFonts w:ascii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2F3806"/>
    <w:multiLevelType w:val="hybridMultilevel"/>
    <w:tmpl w:val="47F4C56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7" w15:restartNumberingAfterBreak="0">
    <w:nsid w:val="2B423767"/>
    <w:multiLevelType w:val="hybridMultilevel"/>
    <w:tmpl w:val="264C93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2D6A05FC"/>
    <w:multiLevelType w:val="hybridMultilevel"/>
    <w:tmpl w:val="4B008DE6"/>
    <w:lvl w:ilvl="0" w:tplc="0E844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F1618"/>
    <w:multiLevelType w:val="hybridMultilevel"/>
    <w:tmpl w:val="8CEE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73FC0"/>
    <w:multiLevelType w:val="hybridMultilevel"/>
    <w:tmpl w:val="DE46D00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48292316"/>
    <w:multiLevelType w:val="hybridMultilevel"/>
    <w:tmpl w:val="F956FE1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4E8F1A25"/>
    <w:multiLevelType w:val="hybridMultilevel"/>
    <w:tmpl w:val="713E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14DE0"/>
    <w:multiLevelType w:val="hybridMultilevel"/>
    <w:tmpl w:val="EDB85364"/>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534255D4"/>
    <w:multiLevelType w:val="hybridMultilevel"/>
    <w:tmpl w:val="2B3E552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53D73056"/>
    <w:multiLevelType w:val="hybridMultilevel"/>
    <w:tmpl w:val="286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31CFA"/>
    <w:multiLevelType w:val="hybridMultilevel"/>
    <w:tmpl w:val="9CCE1EC8"/>
    <w:lvl w:ilvl="0" w:tplc="3866096E">
      <w:start w:val="1"/>
      <w:numFmt w:val="bullet"/>
      <w:lvlText w:val="•"/>
      <w:lvlJc w:val="left"/>
      <w:pPr>
        <w:tabs>
          <w:tab w:val="num" w:pos="720"/>
        </w:tabs>
        <w:ind w:left="720" w:hanging="360"/>
      </w:pPr>
      <w:rPr>
        <w:rFonts w:ascii="Arial" w:hAnsi="Arial" w:hint="default"/>
      </w:rPr>
    </w:lvl>
    <w:lvl w:ilvl="1" w:tplc="2656358E" w:tentative="1">
      <w:start w:val="1"/>
      <w:numFmt w:val="bullet"/>
      <w:lvlText w:val="•"/>
      <w:lvlJc w:val="left"/>
      <w:pPr>
        <w:tabs>
          <w:tab w:val="num" w:pos="1440"/>
        </w:tabs>
        <w:ind w:left="1440" w:hanging="360"/>
      </w:pPr>
      <w:rPr>
        <w:rFonts w:ascii="Arial" w:hAnsi="Arial" w:hint="default"/>
      </w:rPr>
    </w:lvl>
    <w:lvl w:ilvl="2" w:tplc="F6BE7980" w:tentative="1">
      <w:start w:val="1"/>
      <w:numFmt w:val="bullet"/>
      <w:lvlText w:val="•"/>
      <w:lvlJc w:val="left"/>
      <w:pPr>
        <w:tabs>
          <w:tab w:val="num" w:pos="2160"/>
        </w:tabs>
        <w:ind w:left="2160" w:hanging="360"/>
      </w:pPr>
      <w:rPr>
        <w:rFonts w:ascii="Arial" w:hAnsi="Arial" w:hint="default"/>
      </w:rPr>
    </w:lvl>
    <w:lvl w:ilvl="3" w:tplc="95B49D84" w:tentative="1">
      <w:start w:val="1"/>
      <w:numFmt w:val="bullet"/>
      <w:lvlText w:val="•"/>
      <w:lvlJc w:val="left"/>
      <w:pPr>
        <w:tabs>
          <w:tab w:val="num" w:pos="2880"/>
        </w:tabs>
        <w:ind w:left="2880" w:hanging="360"/>
      </w:pPr>
      <w:rPr>
        <w:rFonts w:ascii="Arial" w:hAnsi="Arial" w:hint="default"/>
      </w:rPr>
    </w:lvl>
    <w:lvl w:ilvl="4" w:tplc="5776D3AC" w:tentative="1">
      <w:start w:val="1"/>
      <w:numFmt w:val="bullet"/>
      <w:lvlText w:val="•"/>
      <w:lvlJc w:val="left"/>
      <w:pPr>
        <w:tabs>
          <w:tab w:val="num" w:pos="3600"/>
        </w:tabs>
        <w:ind w:left="3600" w:hanging="360"/>
      </w:pPr>
      <w:rPr>
        <w:rFonts w:ascii="Arial" w:hAnsi="Arial" w:hint="default"/>
      </w:rPr>
    </w:lvl>
    <w:lvl w:ilvl="5" w:tplc="2C9A869E" w:tentative="1">
      <w:start w:val="1"/>
      <w:numFmt w:val="bullet"/>
      <w:lvlText w:val="•"/>
      <w:lvlJc w:val="left"/>
      <w:pPr>
        <w:tabs>
          <w:tab w:val="num" w:pos="4320"/>
        </w:tabs>
        <w:ind w:left="4320" w:hanging="360"/>
      </w:pPr>
      <w:rPr>
        <w:rFonts w:ascii="Arial" w:hAnsi="Arial" w:hint="default"/>
      </w:rPr>
    </w:lvl>
    <w:lvl w:ilvl="6" w:tplc="FD3C79F4" w:tentative="1">
      <w:start w:val="1"/>
      <w:numFmt w:val="bullet"/>
      <w:lvlText w:val="•"/>
      <w:lvlJc w:val="left"/>
      <w:pPr>
        <w:tabs>
          <w:tab w:val="num" w:pos="5040"/>
        </w:tabs>
        <w:ind w:left="5040" w:hanging="360"/>
      </w:pPr>
      <w:rPr>
        <w:rFonts w:ascii="Arial" w:hAnsi="Arial" w:hint="default"/>
      </w:rPr>
    </w:lvl>
    <w:lvl w:ilvl="7" w:tplc="E57A2024" w:tentative="1">
      <w:start w:val="1"/>
      <w:numFmt w:val="bullet"/>
      <w:lvlText w:val="•"/>
      <w:lvlJc w:val="left"/>
      <w:pPr>
        <w:tabs>
          <w:tab w:val="num" w:pos="5760"/>
        </w:tabs>
        <w:ind w:left="5760" w:hanging="360"/>
      </w:pPr>
      <w:rPr>
        <w:rFonts w:ascii="Arial" w:hAnsi="Arial" w:hint="default"/>
      </w:rPr>
    </w:lvl>
    <w:lvl w:ilvl="8" w:tplc="79541C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FF72BB"/>
    <w:multiLevelType w:val="hybridMultilevel"/>
    <w:tmpl w:val="63A2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83AB3"/>
    <w:multiLevelType w:val="multilevel"/>
    <w:tmpl w:val="060C73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F06BB"/>
    <w:multiLevelType w:val="hybridMultilevel"/>
    <w:tmpl w:val="EE8E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A707B"/>
    <w:multiLevelType w:val="hybridMultilevel"/>
    <w:tmpl w:val="402064F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15:restartNumberingAfterBreak="0">
    <w:nsid w:val="6C217CF6"/>
    <w:multiLevelType w:val="hybridMultilevel"/>
    <w:tmpl w:val="145C5E8E"/>
    <w:lvl w:ilvl="0" w:tplc="F18C50C4">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5B00"/>
    <w:multiLevelType w:val="hybridMultilevel"/>
    <w:tmpl w:val="654464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77C46D47"/>
    <w:multiLevelType w:val="hybridMultilevel"/>
    <w:tmpl w:val="F696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0F2FC1"/>
    <w:multiLevelType w:val="hybridMultilevel"/>
    <w:tmpl w:val="94ACEF0A"/>
    <w:lvl w:ilvl="0" w:tplc="6A98E3DC">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594387">
    <w:abstractNumId w:val="7"/>
  </w:num>
  <w:num w:numId="2" w16cid:durableId="553538936">
    <w:abstractNumId w:val="1"/>
  </w:num>
  <w:num w:numId="3" w16cid:durableId="159077362">
    <w:abstractNumId w:val="2"/>
  </w:num>
  <w:num w:numId="4" w16cid:durableId="726799279">
    <w:abstractNumId w:val="16"/>
  </w:num>
  <w:num w:numId="5" w16cid:durableId="1701708646">
    <w:abstractNumId w:val="4"/>
  </w:num>
  <w:num w:numId="6" w16cid:durableId="1454712625">
    <w:abstractNumId w:val="23"/>
  </w:num>
  <w:num w:numId="7" w16cid:durableId="1813520820">
    <w:abstractNumId w:val="0"/>
  </w:num>
  <w:num w:numId="8" w16cid:durableId="1805536210">
    <w:abstractNumId w:val="34"/>
  </w:num>
  <w:num w:numId="9" w16cid:durableId="948243812">
    <w:abstractNumId w:val="33"/>
  </w:num>
  <w:num w:numId="10" w16cid:durableId="2117483964">
    <w:abstractNumId w:val="22"/>
  </w:num>
  <w:num w:numId="11" w16cid:durableId="579290680">
    <w:abstractNumId w:val="18"/>
  </w:num>
  <w:num w:numId="12" w16cid:durableId="575478861">
    <w:abstractNumId w:val="19"/>
  </w:num>
  <w:num w:numId="13" w16cid:durableId="1670449122">
    <w:abstractNumId w:val="12"/>
  </w:num>
  <w:num w:numId="14" w16cid:durableId="998264926">
    <w:abstractNumId w:val="31"/>
  </w:num>
  <w:num w:numId="15" w16cid:durableId="1350720162">
    <w:abstractNumId w:val="11"/>
  </w:num>
  <w:num w:numId="16" w16cid:durableId="140738392">
    <w:abstractNumId w:val="14"/>
  </w:num>
  <w:num w:numId="17" w16cid:durableId="881020539">
    <w:abstractNumId w:val="6"/>
  </w:num>
  <w:num w:numId="18" w16cid:durableId="778063040">
    <w:abstractNumId w:val="3"/>
  </w:num>
  <w:num w:numId="19" w16cid:durableId="31923190">
    <w:abstractNumId w:val="27"/>
  </w:num>
  <w:num w:numId="20" w16cid:durableId="2009865637">
    <w:abstractNumId w:val="5"/>
  </w:num>
  <w:num w:numId="21" w16cid:durableId="521823708">
    <w:abstractNumId w:val="29"/>
  </w:num>
  <w:num w:numId="22" w16cid:durableId="1760247380">
    <w:abstractNumId w:val="30"/>
  </w:num>
  <w:num w:numId="23" w16cid:durableId="1121846229">
    <w:abstractNumId w:val="25"/>
  </w:num>
  <w:num w:numId="24" w16cid:durableId="1461996092">
    <w:abstractNumId w:val="10"/>
  </w:num>
  <w:num w:numId="25" w16cid:durableId="1459256867">
    <w:abstractNumId w:val="28"/>
  </w:num>
  <w:num w:numId="26" w16cid:durableId="74741323">
    <w:abstractNumId w:val="26"/>
  </w:num>
  <w:num w:numId="27" w16cid:durableId="1816295094">
    <w:abstractNumId w:val="15"/>
  </w:num>
  <w:num w:numId="28" w16cid:durableId="149830557">
    <w:abstractNumId w:val="21"/>
  </w:num>
  <w:num w:numId="29" w16cid:durableId="1223978770">
    <w:abstractNumId w:val="20"/>
  </w:num>
  <w:num w:numId="30" w16cid:durableId="510727109">
    <w:abstractNumId w:val="13"/>
  </w:num>
  <w:num w:numId="31" w16cid:durableId="1252280536">
    <w:abstractNumId w:val="24"/>
  </w:num>
  <w:num w:numId="32" w16cid:durableId="1726176389">
    <w:abstractNumId w:val="17"/>
  </w:num>
  <w:num w:numId="33" w16cid:durableId="2038309820">
    <w:abstractNumId w:val="9"/>
  </w:num>
  <w:num w:numId="34" w16cid:durableId="1284266503">
    <w:abstractNumId w:val="8"/>
  </w:num>
  <w:num w:numId="35" w16cid:durableId="460533639">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wtTA0NjAysjQ1MbVU0lEKTi0uzszPAykwqgUAZAFDNywAAAA="/>
  </w:docVars>
  <w:rsids>
    <w:rsidRoot w:val="002A2A25"/>
    <w:rsid w:val="00000F7B"/>
    <w:rsid w:val="00000FE2"/>
    <w:rsid w:val="000012B3"/>
    <w:rsid w:val="00001F32"/>
    <w:rsid w:val="00002531"/>
    <w:rsid w:val="00002649"/>
    <w:rsid w:val="0000265D"/>
    <w:rsid w:val="000026D2"/>
    <w:rsid w:val="000028DD"/>
    <w:rsid w:val="00002F2F"/>
    <w:rsid w:val="00003196"/>
    <w:rsid w:val="000033FD"/>
    <w:rsid w:val="0000358C"/>
    <w:rsid w:val="000041FF"/>
    <w:rsid w:val="00004377"/>
    <w:rsid w:val="00004990"/>
    <w:rsid w:val="00004A17"/>
    <w:rsid w:val="00004B02"/>
    <w:rsid w:val="00004D2C"/>
    <w:rsid w:val="000057B3"/>
    <w:rsid w:val="0000598C"/>
    <w:rsid w:val="00005B3A"/>
    <w:rsid w:val="00006380"/>
    <w:rsid w:val="000067B3"/>
    <w:rsid w:val="0000692B"/>
    <w:rsid w:val="00006D82"/>
    <w:rsid w:val="000072D1"/>
    <w:rsid w:val="00007324"/>
    <w:rsid w:val="0000739C"/>
    <w:rsid w:val="0000782E"/>
    <w:rsid w:val="00007E22"/>
    <w:rsid w:val="00010039"/>
    <w:rsid w:val="000106AA"/>
    <w:rsid w:val="00010B39"/>
    <w:rsid w:val="00010C31"/>
    <w:rsid w:val="000117B5"/>
    <w:rsid w:val="0001192C"/>
    <w:rsid w:val="00011AEA"/>
    <w:rsid w:val="00011CF2"/>
    <w:rsid w:val="0001236E"/>
    <w:rsid w:val="00012BF8"/>
    <w:rsid w:val="00013105"/>
    <w:rsid w:val="000133EE"/>
    <w:rsid w:val="000134D4"/>
    <w:rsid w:val="00013B5B"/>
    <w:rsid w:val="00014076"/>
    <w:rsid w:val="0001426E"/>
    <w:rsid w:val="00014A4E"/>
    <w:rsid w:val="00014DC6"/>
    <w:rsid w:val="00015AE2"/>
    <w:rsid w:val="00015EFA"/>
    <w:rsid w:val="00016106"/>
    <w:rsid w:val="00016226"/>
    <w:rsid w:val="0001631B"/>
    <w:rsid w:val="0001635F"/>
    <w:rsid w:val="00016637"/>
    <w:rsid w:val="00016B41"/>
    <w:rsid w:val="00017807"/>
    <w:rsid w:val="00020131"/>
    <w:rsid w:val="0002025B"/>
    <w:rsid w:val="00020372"/>
    <w:rsid w:val="000208F5"/>
    <w:rsid w:val="00020A84"/>
    <w:rsid w:val="00021443"/>
    <w:rsid w:val="000215B1"/>
    <w:rsid w:val="0002189E"/>
    <w:rsid w:val="00021ECD"/>
    <w:rsid w:val="00021EE7"/>
    <w:rsid w:val="00021F6D"/>
    <w:rsid w:val="000220F0"/>
    <w:rsid w:val="0002235F"/>
    <w:rsid w:val="00022698"/>
    <w:rsid w:val="00022749"/>
    <w:rsid w:val="00022925"/>
    <w:rsid w:val="000232F9"/>
    <w:rsid w:val="000234CC"/>
    <w:rsid w:val="000235E9"/>
    <w:rsid w:val="000244E3"/>
    <w:rsid w:val="00024C1C"/>
    <w:rsid w:val="0002521F"/>
    <w:rsid w:val="0002542B"/>
    <w:rsid w:val="0002546D"/>
    <w:rsid w:val="000254C8"/>
    <w:rsid w:val="0002563B"/>
    <w:rsid w:val="00025704"/>
    <w:rsid w:val="00025A56"/>
    <w:rsid w:val="00025BBF"/>
    <w:rsid w:val="00026D8E"/>
    <w:rsid w:val="0002746D"/>
    <w:rsid w:val="000275F4"/>
    <w:rsid w:val="00027655"/>
    <w:rsid w:val="00027E18"/>
    <w:rsid w:val="00027E1A"/>
    <w:rsid w:val="00030037"/>
    <w:rsid w:val="000304BF"/>
    <w:rsid w:val="000304E7"/>
    <w:rsid w:val="00030A88"/>
    <w:rsid w:val="000310E6"/>
    <w:rsid w:val="00031187"/>
    <w:rsid w:val="0003157F"/>
    <w:rsid w:val="0003187F"/>
    <w:rsid w:val="0003194F"/>
    <w:rsid w:val="00031B66"/>
    <w:rsid w:val="00031DCE"/>
    <w:rsid w:val="000326CD"/>
    <w:rsid w:val="00032AB7"/>
    <w:rsid w:val="00032F16"/>
    <w:rsid w:val="00032F23"/>
    <w:rsid w:val="0003309E"/>
    <w:rsid w:val="0003336C"/>
    <w:rsid w:val="0003370A"/>
    <w:rsid w:val="00033CDE"/>
    <w:rsid w:val="00034860"/>
    <w:rsid w:val="00034E8A"/>
    <w:rsid w:val="00035546"/>
    <w:rsid w:val="000356AE"/>
    <w:rsid w:val="00035728"/>
    <w:rsid w:val="00035929"/>
    <w:rsid w:val="00036768"/>
    <w:rsid w:val="000368B8"/>
    <w:rsid w:val="000369DF"/>
    <w:rsid w:val="00037181"/>
    <w:rsid w:val="0003760E"/>
    <w:rsid w:val="00037B5B"/>
    <w:rsid w:val="00037DCA"/>
    <w:rsid w:val="00037F7C"/>
    <w:rsid w:val="00040212"/>
    <w:rsid w:val="000407C6"/>
    <w:rsid w:val="00040B93"/>
    <w:rsid w:val="000417E6"/>
    <w:rsid w:val="000418E6"/>
    <w:rsid w:val="00041B63"/>
    <w:rsid w:val="00042234"/>
    <w:rsid w:val="00042641"/>
    <w:rsid w:val="00042B9F"/>
    <w:rsid w:val="00043078"/>
    <w:rsid w:val="000434B7"/>
    <w:rsid w:val="000435B7"/>
    <w:rsid w:val="0004415F"/>
    <w:rsid w:val="000442EF"/>
    <w:rsid w:val="00044656"/>
    <w:rsid w:val="000446E5"/>
    <w:rsid w:val="00044979"/>
    <w:rsid w:val="000449A7"/>
    <w:rsid w:val="0004511F"/>
    <w:rsid w:val="00045149"/>
    <w:rsid w:val="00045715"/>
    <w:rsid w:val="00045B10"/>
    <w:rsid w:val="000467BC"/>
    <w:rsid w:val="0004682F"/>
    <w:rsid w:val="00046DF1"/>
    <w:rsid w:val="000475C2"/>
    <w:rsid w:val="00047869"/>
    <w:rsid w:val="00047914"/>
    <w:rsid w:val="0005024C"/>
    <w:rsid w:val="00050470"/>
    <w:rsid w:val="00050547"/>
    <w:rsid w:val="0005055E"/>
    <w:rsid w:val="00050CAE"/>
    <w:rsid w:val="00051B88"/>
    <w:rsid w:val="00051DE7"/>
    <w:rsid w:val="00052925"/>
    <w:rsid w:val="00052A93"/>
    <w:rsid w:val="0005369E"/>
    <w:rsid w:val="00053DEE"/>
    <w:rsid w:val="0005465F"/>
    <w:rsid w:val="00055543"/>
    <w:rsid w:val="0005620E"/>
    <w:rsid w:val="00056235"/>
    <w:rsid w:val="00056566"/>
    <w:rsid w:val="0005667D"/>
    <w:rsid w:val="00056A31"/>
    <w:rsid w:val="00060064"/>
    <w:rsid w:val="0006015C"/>
    <w:rsid w:val="00060A22"/>
    <w:rsid w:val="00060B22"/>
    <w:rsid w:val="00060F71"/>
    <w:rsid w:val="00060FE4"/>
    <w:rsid w:val="00061095"/>
    <w:rsid w:val="000612B5"/>
    <w:rsid w:val="00061889"/>
    <w:rsid w:val="00062223"/>
    <w:rsid w:val="00062291"/>
    <w:rsid w:val="00063786"/>
    <w:rsid w:val="0006390F"/>
    <w:rsid w:val="00064172"/>
    <w:rsid w:val="00064CD3"/>
    <w:rsid w:val="0006526C"/>
    <w:rsid w:val="00065358"/>
    <w:rsid w:val="000658D0"/>
    <w:rsid w:val="00065AFE"/>
    <w:rsid w:val="00065B1A"/>
    <w:rsid w:val="0006639A"/>
    <w:rsid w:val="000665C7"/>
    <w:rsid w:val="000665E7"/>
    <w:rsid w:val="00066A85"/>
    <w:rsid w:val="00066D7A"/>
    <w:rsid w:val="00066E43"/>
    <w:rsid w:val="00066F52"/>
    <w:rsid w:val="00067380"/>
    <w:rsid w:val="00067484"/>
    <w:rsid w:val="00067BB1"/>
    <w:rsid w:val="00070432"/>
    <w:rsid w:val="0007044E"/>
    <w:rsid w:val="000706CC"/>
    <w:rsid w:val="00070716"/>
    <w:rsid w:val="00070CB2"/>
    <w:rsid w:val="000715D8"/>
    <w:rsid w:val="00071AF6"/>
    <w:rsid w:val="00071B9F"/>
    <w:rsid w:val="00071BFA"/>
    <w:rsid w:val="00071C35"/>
    <w:rsid w:val="00071D5C"/>
    <w:rsid w:val="00071DB7"/>
    <w:rsid w:val="00072376"/>
    <w:rsid w:val="000724FD"/>
    <w:rsid w:val="00072B5A"/>
    <w:rsid w:val="000739DA"/>
    <w:rsid w:val="00073E94"/>
    <w:rsid w:val="00074130"/>
    <w:rsid w:val="000741E3"/>
    <w:rsid w:val="0007435A"/>
    <w:rsid w:val="0007469B"/>
    <w:rsid w:val="000748C9"/>
    <w:rsid w:val="00074DCD"/>
    <w:rsid w:val="0007504B"/>
    <w:rsid w:val="0007528E"/>
    <w:rsid w:val="0007570B"/>
    <w:rsid w:val="00075D4B"/>
    <w:rsid w:val="00075DD9"/>
    <w:rsid w:val="0007679F"/>
    <w:rsid w:val="000776E5"/>
    <w:rsid w:val="00077932"/>
    <w:rsid w:val="00077D59"/>
    <w:rsid w:val="00080102"/>
    <w:rsid w:val="0008040F"/>
    <w:rsid w:val="000806F8"/>
    <w:rsid w:val="000809F0"/>
    <w:rsid w:val="00081610"/>
    <w:rsid w:val="0008171A"/>
    <w:rsid w:val="00082BF8"/>
    <w:rsid w:val="00082CB2"/>
    <w:rsid w:val="000830E8"/>
    <w:rsid w:val="0008329D"/>
    <w:rsid w:val="00083983"/>
    <w:rsid w:val="00083D80"/>
    <w:rsid w:val="00084247"/>
    <w:rsid w:val="0008468B"/>
    <w:rsid w:val="000846BC"/>
    <w:rsid w:val="000859B0"/>
    <w:rsid w:val="00085D6D"/>
    <w:rsid w:val="00085E77"/>
    <w:rsid w:val="00086CA0"/>
    <w:rsid w:val="00086CED"/>
    <w:rsid w:val="00086EBD"/>
    <w:rsid w:val="0008771F"/>
    <w:rsid w:val="00087779"/>
    <w:rsid w:val="00087A86"/>
    <w:rsid w:val="000907F3"/>
    <w:rsid w:val="00090A3F"/>
    <w:rsid w:val="00090B1E"/>
    <w:rsid w:val="000916F0"/>
    <w:rsid w:val="00092382"/>
    <w:rsid w:val="00092671"/>
    <w:rsid w:val="000935BE"/>
    <w:rsid w:val="00093A2E"/>
    <w:rsid w:val="00093DE1"/>
    <w:rsid w:val="000940CB"/>
    <w:rsid w:val="00094DFE"/>
    <w:rsid w:val="000950BB"/>
    <w:rsid w:val="00095249"/>
    <w:rsid w:val="00095A28"/>
    <w:rsid w:val="00095EEE"/>
    <w:rsid w:val="0009677E"/>
    <w:rsid w:val="000967FC"/>
    <w:rsid w:val="000969A9"/>
    <w:rsid w:val="00096AC8"/>
    <w:rsid w:val="000971D8"/>
    <w:rsid w:val="000971D9"/>
    <w:rsid w:val="0009747F"/>
    <w:rsid w:val="00097733"/>
    <w:rsid w:val="00097775"/>
    <w:rsid w:val="00097885"/>
    <w:rsid w:val="000A006E"/>
    <w:rsid w:val="000A01EE"/>
    <w:rsid w:val="000A068C"/>
    <w:rsid w:val="000A0728"/>
    <w:rsid w:val="000A13D6"/>
    <w:rsid w:val="000A14EB"/>
    <w:rsid w:val="000A157B"/>
    <w:rsid w:val="000A18AD"/>
    <w:rsid w:val="000A1F1C"/>
    <w:rsid w:val="000A1FD5"/>
    <w:rsid w:val="000A25A1"/>
    <w:rsid w:val="000A2618"/>
    <w:rsid w:val="000A2D43"/>
    <w:rsid w:val="000A2F9E"/>
    <w:rsid w:val="000A303D"/>
    <w:rsid w:val="000A3472"/>
    <w:rsid w:val="000A371C"/>
    <w:rsid w:val="000A3B00"/>
    <w:rsid w:val="000A3B7F"/>
    <w:rsid w:val="000A3E62"/>
    <w:rsid w:val="000A3F22"/>
    <w:rsid w:val="000A4124"/>
    <w:rsid w:val="000A4C26"/>
    <w:rsid w:val="000A51FF"/>
    <w:rsid w:val="000A5D04"/>
    <w:rsid w:val="000A5F45"/>
    <w:rsid w:val="000A660A"/>
    <w:rsid w:val="000A717D"/>
    <w:rsid w:val="000A7679"/>
    <w:rsid w:val="000A7722"/>
    <w:rsid w:val="000A7961"/>
    <w:rsid w:val="000A7A66"/>
    <w:rsid w:val="000A7D1F"/>
    <w:rsid w:val="000B11A4"/>
    <w:rsid w:val="000B129A"/>
    <w:rsid w:val="000B1D97"/>
    <w:rsid w:val="000B2012"/>
    <w:rsid w:val="000B21AE"/>
    <w:rsid w:val="000B26EA"/>
    <w:rsid w:val="000B2BFE"/>
    <w:rsid w:val="000B328E"/>
    <w:rsid w:val="000B3415"/>
    <w:rsid w:val="000B34A9"/>
    <w:rsid w:val="000B38B3"/>
    <w:rsid w:val="000B38FC"/>
    <w:rsid w:val="000B420C"/>
    <w:rsid w:val="000B459E"/>
    <w:rsid w:val="000B468C"/>
    <w:rsid w:val="000B4E7D"/>
    <w:rsid w:val="000B5409"/>
    <w:rsid w:val="000B54B7"/>
    <w:rsid w:val="000B55E2"/>
    <w:rsid w:val="000B56A9"/>
    <w:rsid w:val="000B58AD"/>
    <w:rsid w:val="000B5BD7"/>
    <w:rsid w:val="000B5CE5"/>
    <w:rsid w:val="000B5F89"/>
    <w:rsid w:val="000B5FEC"/>
    <w:rsid w:val="000B614C"/>
    <w:rsid w:val="000B6683"/>
    <w:rsid w:val="000B69F9"/>
    <w:rsid w:val="000B792F"/>
    <w:rsid w:val="000B7ADC"/>
    <w:rsid w:val="000B7D13"/>
    <w:rsid w:val="000C0268"/>
    <w:rsid w:val="000C0382"/>
    <w:rsid w:val="000C0810"/>
    <w:rsid w:val="000C0AF9"/>
    <w:rsid w:val="000C1B2B"/>
    <w:rsid w:val="000C2F73"/>
    <w:rsid w:val="000C3BD2"/>
    <w:rsid w:val="000C40F9"/>
    <w:rsid w:val="000C4880"/>
    <w:rsid w:val="000C4F00"/>
    <w:rsid w:val="000C5365"/>
    <w:rsid w:val="000C5BE8"/>
    <w:rsid w:val="000C5CF8"/>
    <w:rsid w:val="000C65A9"/>
    <w:rsid w:val="000C68F3"/>
    <w:rsid w:val="000C6D8E"/>
    <w:rsid w:val="000C7331"/>
    <w:rsid w:val="000C7EBA"/>
    <w:rsid w:val="000C7F66"/>
    <w:rsid w:val="000D008C"/>
    <w:rsid w:val="000D060D"/>
    <w:rsid w:val="000D08B2"/>
    <w:rsid w:val="000D0A37"/>
    <w:rsid w:val="000D0CBC"/>
    <w:rsid w:val="000D1AF2"/>
    <w:rsid w:val="000D1DBC"/>
    <w:rsid w:val="000D2E7E"/>
    <w:rsid w:val="000D2F06"/>
    <w:rsid w:val="000D34E6"/>
    <w:rsid w:val="000D36E0"/>
    <w:rsid w:val="000D3DC4"/>
    <w:rsid w:val="000D3E4B"/>
    <w:rsid w:val="000D482D"/>
    <w:rsid w:val="000D5015"/>
    <w:rsid w:val="000D5B9C"/>
    <w:rsid w:val="000D624A"/>
    <w:rsid w:val="000D62E5"/>
    <w:rsid w:val="000D6813"/>
    <w:rsid w:val="000D6C07"/>
    <w:rsid w:val="000D79A5"/>
    <w:rsid w:val="000D7AD4"/>
    <w:rsid w:val="000D7DC9"/>
    <w:rsid w:val="000DF4E5"/>
    <w:rsid w:val="000E0D44"/>
    <w:rsid w:val="000E101B"/>
    <w:rsid w:val="000E1A1E"/>
    <w:rsid w:val="000E1C5A"/>
    <w:rsid w:val="000E1C83"/>
    <w:rsid w:val="000E1D4E"/>
    <w:rsid w:val="000E2192"/>
    <w:rsid w:val="000E30B1"/>
    <w:rsid w:val="000E36D4"/>
    <w:rsid w:val="000E40EE"/>
    <w:rsid w:val="000E41B0"/>
    <w:rsid w:val="000E4C55"/>
    <w:rsid w:val="000E56B0"/>
    <w:rsid w:val="000E56BF"/>
    <w:rsid w:val="000E5949"/>
    <w:rsid w:val="000E5C2B"/>
    <w:rsid w:val="000E5F74"/>
    <w:rsid w:val="000E7AFA"/>
    <w:rsid w:val="000F01F5"/>
    <w:rsid w:val="000F09C8"/>
    <w:rsid w:val="000F0E03"/>
    <w:rsid w:val="000F0EE7"/>
    <w:rsid w:val="000F18BD"/>
    <w:rsid w:val="000F18CA"/>
    <w:rsid w:val="000F1C53"/>
    <w:rsid w:val="000F203A"/>
    <w:rsid w:val="000F23E2"/>
    <w:rsid w:val="000F2531"/>
    <w:rsid w:val="000F2549"/>
    <w:rsid w:val="000F27BC"/>
    <w:rsid w:val="000F2E52"/>
    <w:rsid w:val="000F2EC5"/>
    <w:rsid w:val="000F3010"/>
    <w:rsid w:val="000F32E6"/>
    <w:rsid w:val="000F360D"/>
    <w:rsid w:val="000F375B"/>
    <w:rsid w:val="000F3A7C"/>
    <w:rsid w:val="000F3DAF"/>
    <w:rsid w:val="000F4722"/>
    <w:rsid w:val="000F4BA2"/>
    <w:rsid w:val="000F57B1"/>
    <w:rsid w:val="000F5865"/>
    <w:rsid w:val="000F6806"/>
    <w:rsid w:val="000F6986"/>
    <w:rsid w:val="000F6A0D"/>
    <w:rsid w:val="000F6A2A"/>
    <w:rsid w:val="000F6E43"/>
    <w:rsid w:val="000F783F"/>
    <w:rsid w:val="001003BA"/>
    <w:rsid w:val="001004F6"/>
    <w:rsid w:val="00100D22"/>
    <w:rsid w:val="00101CF4"/>
    <w:rsid w:val="00101DFA"/>
    <w:rsid w:val="00102500"/>
    <w:rsid w:val="001025D5"/>
    <w:rsid w:val="001026EB"/>
    <w:rsid w:val="001030BD"/>
    <w:rsid w:val="00103E54"/>
    <w:rsid w:val="001045F5"/>
    <w:rsid w:val="00104E52"/>
    <w:rsid w:val="00104E54"/>
    <w:rsid w:val="0010511A"/>
    <w:rsid w:val="001054B8"/>
    <w:rsid w:val="001063A5"/>
    <w:rsid w:val="001065DD"/>
    <w:rsid w:val="00106677"/>
    <w:rsid w:val="00107B71"/>
    <w:rsid w:val="00107CBA"/>
    <w:rsid w:val="00110279"/>
    <w:rsid w:val="001105D3"/>
    <w:rsid w:val="00110836"/>
    <w:rsid w:val="00110878"/>
    <w:rsid w:val="00111636"/>
    <w:rsid w:val="00111E5C"/>
    <w:rsid w:val="001121C4"/>
    <w:rsid w:val="001132F8"/>
    <w:rsid w:val="00113353"/>
    <w:rsid w:val="00113430"/>
    <w:rsid w:val="001143C4"/>
    <w:rsid w:val="001148A4"/>
    <w:rsid w:val="00114C8F"/>
    <w:rsid w:val="00114CFC"/>
    <w:rsid w:val="001155C2"/>
    <w:rsid w:val="00115773"/>
    <w:rsid w:val="00115E8A"/>
    <w:rsid w:val="001161F1"/>
    <w:rsid w:val="00116361"/>
    <w:rsid w:val="001165E9"/>
    <w:rsid w:val="00116653"/>
    <w:rsid w:val="001167DF"/>
    <w:rsid w:val="00117456"/>
    <w:rsid w:val="0011798C"/>
    <w:rsid w:val="00117DC8"/>
    <w:rsid w:val="00117E16"/>
    <w:rsid w:val="00120273"/>
    <w:rsid w:val="0012032F"/>
    <w:rsid w:val="00120D8E"/>
    <w:rsid w:val="00121056"/>
    <w:rsid w:val="001215BD"/>
    <w:rsid w:val="00121F99"/>
    <w:rsid w:val="00121FDD"/>
    <w:rsid w:val="001224D2"/>
    <w:rsid w:val="00122C23"/>
    <w:rsid w:val="00123C1B"/>
    <w:rsid w:val="001240B6"/>
    <w:rsid w:val="00124389"/>
    <w:rsid w:val="00124514"/>
    <w:rsid w:val="001245F6"/>
    <w:rsid w:val="001246C3"/>
    <w:rsid w:val="0012510C"/>
    <w:rsid w:val="00125522"/>
    <w:rsid w:val="0012578E"/>
    <w:rsid w:val="00125C65"/>
    <w:rsid w:val="00125CA1"/>
    <w:rsid w:val="0012643D"/>
    <w:rsid w:val="00126A34"/>
    <w:rsid w:val="0012786F"/>
    <w:rsid w:val="00127899"/>
    <w:rsid w:val="00127AE0"/>
    <w:rsid w:val="00127B45"/>
    <w:rsid w:val="00127C7A"/>
    <w:rsid w:val="001300E3"/>
    <w:rsid w:val="00130873"/>
    <w:rsid w:val="0013099E"/>
    <w:rsid w:val="001310FE"/>
    <w:rsid w:val="00131280"/>
    <w:rsid w:val="001313E3"/>
    <w:rsid w:val="001315C2"/>
    <w:rsid w:val="00131D60"/>
    <w:rsid w:val="0013207F"/>
    <w:rsid w:val="001325DF"/>
    <w:rsid w:val="00132625"/>
    <w:rsid w:val="00132ACC"/>
    <w:rsid w:val="00132D38"/>
    <w:rsid w:val="00132D8E"/>
    <w:rsid w:val="00132DC8"/>
    <w:rsid w:val="00133386"/>
    <w:rsid w:val="00133CBC"/>
    <w:rsid w:val="00134042"/>
    <w:rsid w:val="001346B7"/>
    <w:rsid w:val="0013488B"/>
    <w:rsid w:val="00134A05"/>
    <w:rsid w:val="00134C7D"/>
    <w:rsid w:val="00135194"/>
    <w:rsid w:val="00135260"/>
    <w:rsid w:val="0013557B"/>
    <w:rsid w:val="001356E8"/>
    <w:rsid w:val="00135BF8"/>
    <w:rsid w:val="001366EC"/>
    <w:rsid w:val="00136B51"/>
    <w:rsid w:val="00136FDC"/>
    <w:rsid w:val="00137451"/>
    <w:rsid w:val="00137463"/>
    <w:rsid w:val="001374A5"/>
    <w:rsid w:val="00137628"/>
    <w:rsid w:val="00137B10"/>
    <w:rsid w:val="00137BBC"/>
    <w:rsid w:val="001401A0"/>
    <w:rsid w:val="00140B8F"/>
    <w:rsid w:val="00140F86"/>
    <w:rsid w:val="00141A17"/>
    <w:rsid w:val="00141D6B"/>
    <w:rsid w:val="00141DA6"/>
    <w:rsid w:val="00141F79"/>
    <w:rsid w:val="0014289B"/>
    <w:rsid w:val="001428AC"/>
    <w:rsid w:val="00142945"/>
    <w:rsid w:val="00142968"/>
    <w:rsid w:val="00142A4B"/>
    <w:rsid w:val="00143288"/>
    <w:rsid w:val="001435B7"/>
    <w:rsid w:val="001435C0"/>
    <w:rsid w:val="00143D0C"/>
    <w:rsid w:val="00144070"/>
    <w:rsid w:val="0014411D"/>
    <w:rsid w:val="00144482"/>
    <w:rsid w:val="001447FD"/>
    <w:rsid w:val="00144BEF"/>
    <w:rsid w:val="0014533E"/>
    <w:rsid w:val="0014548E"/>
    <w:rsid w:val="00145747"/>
    <w:rsid w:val="001458A2"/>
    <w:rsid w:val="0014611C"/>
    <w:rsid w:val="00146384"/>
    <w:rsid w:val="00146610"/>
    <w:rsid w:val="0014678B"/>
    <w:rsid w:val="0014714D"/>
    <w:rsid w:val="001472F1"/>
    <w:rsid w:val="00147736"/>
    <w:rsid w:val="001477CF"/>
    <w:rsid w:val="001503D0"/>
    <w:rsid w:val="0015119D"/>
    <w:rsid w:val="00151C4F"/>
    <w:rsid w:val="0015301D"/>
    <w:rsid w:val="001537C3"/>
    <w:rsid w:val="0015382E"/>
    <w:rsid w:val="00154208"/>
    <w:rsid w:val="00154642"/>
    <w:rsid w:val="00154691"/>
    <w:rsid w:val="00154BA3"/>
    <w:rsid w:val="00154D81"/>
    <w:rsid w:val="0015526C"/>
    <w:rsid w:val="001554CF"/>
    <w:rsid w:val="00155B31"/>
    <w:rsid w:val="00155B9C"/>
    <w:rsid w:val="00155C54"/>
    <w:rsid w:val="001561B8"/>
    <w:rsid w:val="00156A33"/>
    <w:rsid w:val="0015762E"/>
    <w:rsid w:val="001578BB"/>
    <w:rsid w:val="001579AA"/>
    <w:rsid w:val="00157EB2"/>
    <w:rsid w:val="00162402"/>
    <w:rsid w:val="00162781"/>
    <w:rsid w:val="0016398D"/>
    <w:rsid w:val="00163FC8"/>
    <w:rsid w:val="00164568"/>
    <w:rsid w:val="00164A50"/>
    <w:rsid w:val="001655ED"/>
    <w:rsid w:val="0016564E"/>
    <w:rsid w:val="001661B5"/>
    <w:rsid w:val="00166388"/>
    <w:rsid w:val="00166E7C"/>
    <w:rsid w:val="00166FCB"/>
    <w:rsid w:val="00167126"/>
    <w:rsid w:val="0016722D"/>
    <w:rsid w:val="0016776C"/>
    <w:rsid w:val="00167980"/>
    <w:rsid w:val="00167B5E"/>
    <w:rsid w:val="00167C18"/>
    <w:rsid w:val="00167D1A"/>
    <w:rsid w:val="001702E0"/>
    <w:rsid w:val="001704B7"/>
    <w:rsid w:val="0017074E"/>
    <w:rsid w:val="00170FB9"/>
    <w:rsid w:val="00171849"/>
    <w:rsid w:val="00172120"/>
    <w:rsid w:val="00172705"/>
    <w:rsid w:val="0017323B"/>
    <w:rsid w:val="00173353"/>
    <w:rsid w:val="00173809"/>
    <w:rsid w:val="00173A03"/>
    <w:rsid w:val="00174082"/>
    <w:rsid w:val="001742CB"/>
    <w:rsid w:val="00174A88"/>
    <w:rsid w:val="00175918"/>
    <w:rsid w:val="00175CA0"/>
    <w:rsid w:val="00176231"/>
    <w:rsid w:val="0017623A"/>
    <w:rsid w:val="001765F9"/>
    <w:rsid w:val="001766F4"/>
    <w:rsid w:val="00176899"/>
    <w:rsid w:val="00177421"/>
    <w:rsid w:val="00177914"/>
    <w:rsid w:val="001779C1"/>
    <w:rsid w:val="00177D66"/>
    <w:rsid w:val="001805EF"/>
    <w:rsid w:val="0018093A"/>
    <w:rsid w:val="001813C5"/>
    <w:rsid w:val="00182810"/>
    <w:rsid w:val="00182B56"/>
    <w:rsid w:val="00183304"/>
    <w:rsid w:val="0018361A"/>
    <w:rsid w:val="00183736"/>
    <w:rsid w:val="0018401D"/>
    <w:rsid w:val="0018444F"/>
    <w:rsid w:val="00184975"/>
    <w:rsid w:val="00184C59"/>
    <w:rsid w:val="0018516B"/>
    <w:rsid w:val="0018537C"/>
    <w:rsid w:val="0018555B"/>
    <w:rsid w:val="001855E6"/>
    <w:rsid w:val="0018579F"/>
    <w:rsid w:val="00185B29"/>
    <w:rsid w:val="00185FCC"/>
    <w:rsid w:val="001862DA"/>
    <w:rsid w:val="0018694C"/>
    <w:rsid w:val="00186D18"/>
    <w:rsid w:val="0018712D"/>
    <w:rsid w:val="0018726E"/>
    <w:rsid w:val="001873F7"/>
    <w:rsid w:val="001900BF"/>
    <w:rsid w:val="001900D9"/>
    <w:rsid w:val="0019051D"/>
    <w:rsid w:val="001906AA"/>
    <w:rsid w:val="00190FBA"/>
    <w:rsid w:val="0019171B"/>
    <w:rsid w:val="00191751"/>
    <w:rsid w:val="00191DCF"/>
    <w:rsid w:val="00191E59"/>
    <w:rsid w:val="00191EC1"/>
    <w:rsid w:val="0019210F"/>
    <w:rsid w:val="001921DA"/>
    <w:rsid w:val="001923F2"/>
    <w:rsid w:val="00192496"/>
    <w:rsid w:val="00192F3C"/>
    <w:rsid w:val="001933A7"/>
    <w:rsid w:val="001943E4"/>
    <w:rsid w:val="00194436"/>
    <w:rsid w:val="00194621"/>
    <w:rsid w:val="001946B3"/>
    <w:rsid w:val="00194B72"/>
    <w:rsid w:val="0019547E"/>
    <w:rsid w:val="00195711"/>
    <w:rsid w:val="00195A57"/>
    <w:rsid w:val="00195E93"/>
    <w:rsid w:val="001963F7"/>
    <w:rsid w:val="00196A26"/>
    <w:rsid w:val="001974A7"/>
    <w:rsid w:val="0019754B"/>
    <w:rsid w:val="0019761F"/>
    <w:rsid w:val="001A021C"/>
    <w:rsid w:val="001A051A"/>
    <w:rsid w:val="001A06C3"/>
    <w:rsid w:val="001A06F9"/>
    <w:rsid w:val="001A10CE"/>
    <w:rsid w:val="001A1399"/>
    <w:rsid w:val="001A17F1"/>
    <w:rsid w:val="001A1A04"/>
    <w:rsid w:val="001A1DEA"/>
    <w:rsid w:val="001A20E9"/>
    <w:rsid w:val="001A26C7"/>
    <w:rsid w:val="001A275A"/>
    <w:rsid w:val="001A2D18"/>
    <w:rsid w:val="001A31B1"/>
    <w:rsid w:val="001A3881"/>
    <w:rsid w:val="001A39AC"/>
    <w:rsid w:val="001A41A5"/>
    <w:rsid w:val="001A4441"/>
    <w:rsid w:val="001A4BD0"/>
    <w:rsid w:val="001A4D5F"/>
    <w:rsid w:val="001A4FF0"/>
    <w:rsid w:val="001A5413"/>
    <w:rsid w:val="001A545D"/>
    <w:rsid w:val="001A5AA7"/>
    <w:rsid w:val="001A6A6C"/>
    <w:rsid w:val="001A6DB9"/>
    <w:rsid w:val="001A70D2"/>
    <w:rsid w:val="001B0051"/>
    <w:rsid w:val="001B007B"/>
    <w:rsid w:val="001B0430"/>
    <w:rsid w:val="001B0E15"/>
    <w:rsid w:val="001B13C7"/>
    <w:rsid w:val="001B218D"/>
    <w:rsid w:val="001B21C2"/>
    <w:rsid w:val="001B2278"/>
    <w:rsid w:val="001B26C5"/>
    <w:rsid w:val="001B28B1"/>
    <w:rsid w:val="001B2EA6"/>
    <w:rsid w:val="001B360B"/>
    <w:rsid w:val="001B3C47"/>
    <w:rsid w:val="001B3F1D"/>
    <w:rsid w:val="001B3FB7"/>
    <w:rsid w:val="001B4086"/>
    <w:rsid w:val="001B4435"/>
    <w:rsid w:val="001B4537"/>
    <w:rsid w:val="001B5451"/>
    <w:rsid w:val="001B57BA"/>
    <w:rsid w:val="001B5E74"/>
    <w:rsid w:val="001B658C"/>
    <w:rsid w:val="001B65F7"/>
    <w:rsid w:val="001B67C0"/>
    <w:rsid w:val="001B7A36"/>
    <w:rsid w:val="001C03F0"/>
    <w:rsid w:val="001C0673"/>
    <w:rsid w:val="001C08AB"/>
    <w:rsid w:val="001C0987"/>
    <w:rsid w:val="001C0992"/>
    <w:rsid w:val="001C166F"/>
    <w:rsid w:val="001C2001"/>
    <w:rsid w:val="001C2205"/>
    <w:rsid w:val="001C22E5"/>
    <w:rsid w:val="001C231E"/>
    <w:rsid w:val="001C2E22"/>
    <w:rsid w:val="001C3485"/>
    <w:rsid w:val="001C3626"/>
    <w:rsid w:val="001C3A5F"/>
    <w:rsid w:val="001C4078"/>
    <w:rsid w:val="001C41BE"/>
    <w:rsid w:val="001C41EB"/>
    <w:rsid w:val="001C435C"/>
    <w:rsid w:val="001C4A3A"/>
    <w:rsid w:val="001C4E35"/>
    <w:rsid w:val="001C557C"/>
    <w:rsid w:val="001C56A6"/>
    <w:rsid w:val="001C5BFF"/>
    <w:rsid w:val="001C5D72"/>
    <w:rsid w:val="001C6202"/>
    <w:rsid w:val="001C6209"/>
    <w:rsid w:val="001C621F"/>
    <w:rsid w:val="001C624A"/>
    <w:rsid w:val="001C6B29"/>
    <w:rsid w:val="001C6C18"/>
    <w:rsid w:val="001C6D3F"/>
    <w:rsid w:val="001C6D7C"/>
    <w:rsid w:val="001C6FEF"/>
    <w:rsid w:val="001C7721"/>
    <w:rsid w:val="001C7B6F"/>
    <w:rsid w:val="001D0E0C"/>
    <w:rsid w:val="001D1505"/>
    <w:rsid w:val="001D170F"/>
    <w:rsid w:val="001D2192"/>
    <w:rsid w:val="001D2368"/>
    <w:rsid w:val="001D2835"/>
    <w:rsid w:val="001D29F1"/>
    <w:rsid w:val="001D2C6E"/>
    <w:rsid w:val="001D2F8A"/>
    <w:rsid w:val="001D3009"/>
    <w:rsid w:val="001D34E8"/>
    <w:rsid w:val="001D3555"/>
    <w:rsid w:val="001D3A75"/>
    <w:rsid w:val="001D46C3"/>
    <w:rsid w:val="001D522A"/>
    <w:rsid w:val="001D6128"/>
    <w:rsid w:val="001D62D9"/>
    <w:rsid w:val="001D6786"/>
    <w:rsid w:val="001D67A8"/>
    <w:rsid w:val="001D683B"/>
    <w:rsid w:val="001D6F5C"/>
    <w:rsid w:val="001D7D66"/>
    <w:rsid w:val="001E05EF"/>
    <w:rsid w:val="001E0B3A"/>
    <w:rsid w:val="001E0D89"/>
    <w:rsid w:val="001E11E2"/>
    <w:rsid w:val="001E1BEA"/>
    <w:rsid w:val="001E2036"/>
    <w:rsid w:val="001E25B7"/>
    <w:rsid w:val="001E26E7"/>
    <w:rsid w:val="001E3050"/>
    <w:rsid w:val="001E329B"/>
    <w:rsid w:val="001E3393"/>
    <w:rsid w:val="001E3634"/>
    <w:rsid w:val="001E3D09"/>
    <w:rsid w:val="001E3D6F"/>
    <w:rsid w:val="001E4092"/>
    <w:rsid w:val="001E429B"/>
    <w:rsid w:val="001E45F6"/>
    <w:rsid w:val="001E46C8"/>
    <w:rsid w:val="001E4FB3"/>
    <w:rsid w:val="001E50AE"/>
    <w:rsid w:val="001E55ED"/>
    <w:rsid w:val="001E5CDE"/>
    <w:rsid w:val="001E5FFA"/>
    <w:rsid w:val="001E6A99"/>
    <w:rsid w:val="001E6ACE"/>
    <w:rsid w:val="001E6E42"/>
    <w:rsid w:val="001E7617"/>
    <w:rsid w:val="001E7880"/>
    <w:rsid w:val="001E7927"/>
    <w:rsid w:val="001E7F35"/>
    <w:rsid w:val="001F009A"/>
    <w:rsid w:val="001F05B9"/>
    <w:rsid w:val="001F05EE"/>
    <w:rsid w:val="001F1067"/>
    <w:rsid w:val="001F1D9F"/>
    <w:rsid w:val="001F216C"/>
    <w:rsid w:val="001F2563"/>
    <w:rsid w:val="001F2626"/>
    <w:rsid w:val="001F2991"/>
    <w:rsid w:val="001F2B36"/>
    <w:rsid w:val="001F2E2B"/>
    <w:rsid w:val="001F30EF"/>
    <w:rsid w:val="001F31A2"/>
    <w:rsid w:val="001F324B"/>
    <w:rsid w:val="001F34AE"/>
    <w:rsid w:val="001F352C"/>
    <w:rsid w:val="001F37B4"/>
    <w:rsid w:val="001F3BDE"/>
    <w:rsid w:val="001F3F0C"/>
    <w:rsid w:val="001F4031"/>
    <w:rsid w:val="001F439C"/>
    <w:rsid w:val="001F46EE"/>
    <w:rsid w:val="001F4F5C"/>
    <w:rsid w:val="001F54A1"/>
    <w:rsid w:val="001F6185"/>
    <w:rsid w:val="001F6471"/>
    <w:rsid w:val="001F655B"/>
    <w:rsid w:val="001F69F0"/>
    <w:rsid w:val="001F6C8B"/>
    <w:rsid w:val="001F79FF"/>
    <w:rsid w:val="001F7A19"/>
    <w:rsid w:val="001F7B00"/>
    <w:rsid w:val="001F7C85"/>
    <w:rsid w:val="001F7DEC"/>
    <w:rsid w:val="001F7E22"/>
    <w:rsid w:val="002007AC"/>
    <w:rsid w:val="00200DDE"/>
    <w:rsid w:val="00200EAD"/>
    <w:rsid w:val="00201045"/>
    <w:rsid w:val="00201139"/>
    <w:rsid w:val="00201D7B"/>
    <w:rsid w:val="002020FE"/>
    <w:rsid w:val="00202106"/>
    <w:rsid w:val="002026C0"/>
    <w:rsid w:val="00202EBF"/>
    <w:rsid w:val="002031CF"/>
    <w:rsid w:val="002033EB"/>
    <w:rsid w:val="00203AFB"/>
    <w:rsid w:val="00204378"/>
    <w:rsid w:val="0020458F"/>
    <w:rsid w:val="002046DD"/>
    <w:rsid w:val="0020486F"/>
    <w:rsid w:val="0020489D"/>
    <w:rsid w:val="002049C6"/>
    <w:rsid w:val="00204EC1"/>
    <w:rsid w:val="002051BD"/>
    <w:rsid w:val="002056DD"/>
    <w:rsid w:val="0020619C"/>
    <w:rsid w:val="00206453"/>
    <w:rsid w:val="0020648E"/>
    <w:rsid w:val="002068D4"/>
    <w:rsid w:val="00206F82"/>
    <w:rsid w:val="002070E7"/>
    <w:rsid w:val="002072C2"/>
    <w:rsid w:val="0020788F"/>
    <w:rsid w:val="00207B72"/>
    <w:rsid w:val="0021003E"/>
    <w:rsid w:val="00210969"/>
    <w:rsid w:val="00210A6E"/>
    <w:rsid w:val="00210C9E"/>
    <w:rsid w:val="00210E48"/>
    <w:rsid w:val="002113FC"/>
    <w:rsid w:val="0021182E"/>
    <w:rsid w:val="00211DA8"/>
    <w:rsid w:val="002128A9"/>
    <w:rsid w:val="00212A86"/>
    <w:rsid w:val="002135E7"/>
    <w:rsid w:val="0021388D"/>
    <w:rsid w:val="00213A28"/>
    <w:rsid w:val="00213F2E"/>
    <w:rsid w:val="00213FC9"/>
    <w:rsid w:val="00214CF5"/>
    <w:rsid w:val="00215B72"/>
    <w:rsid w:val="0021602C"/>
    <w:rsid w:val="0021618F"/>
    <w:rsid w:val="0021625E"/>
    <w:rsid w:val="00217965"/>
    <w:rsid w:val="00217E97"/>
    <w:rsid w:val="002206F0"/>
    <w:rsid w:val="0022174E"/>
    <w:rsid w:val="00221976"/>
    <w:rsid w:val="00221F36"/>
    <w:rsid w:val="0022212B"/>
    <w:rsid w:val="00222478"/>
    <w:rsid w:val="0022314A"/>
    <w:rsid w:val="00223270"/>
    <w:rsid w:val="002234B2"/>
    <w:rsid w:val="0022394D"/>
    <w:rsid w:val="002239D6"/>
    <w:rsid w:val="00223BFF"/>
    <w:rsid w:val="00223CD9"/>
    <w:rsid w:val="00224634"/>
    <w:rsid w:val="002246D8"/>
    <w:rsid w:val="00224B9F"/>
    <w:rsid w:val="00224C1F"/>
    <w:rsid w:val="00224F2B"/>
    <w:rsid w:val="00225380"/>
    <w:rsid w:val="00225912"/>
    <w:rsid w:val="00226008"/>
    <w:rsid w:val="0022681B"/>
    <w:rsid w:val="00226A99"/>
    <w:rsid w:val="002273CF"/>
    <w:rsid w:val="00227869"/>
    <w:rsid w:val="00227A3F"/>
    <w:rsid w:val="00227CDD"/>
    <w:rsid w:val="00227E57"/>
    <w:rsid w:val="0023001B"/>
    <w:rsid w:val="00230F4B"/>
    <w:rsid w:val="00231055"/>
    <w:rsid w:val="00231309"/>
    <w:rsid w:val="002313E4"/>
    <w:rsid w:val="00231C32"/>
    <w:rsid w:val="0023239C"/>
    <w:rsid w:val="00232DD1"/>
    <w:rsid w:val="00233BCB"/>
    <w:rsid w:val="00234228"/>
    <w:rsid w:val="0023426B"/>
    <w:rsid w:val="00234A8F"/>
    <w:rsid w:val="00234B5E"/>
    <w:rsid w:val="00234B7E"/>
    <w:rsid w:val="00234C3F"/>
    <w:rsid w:val="00234E63"/>
    <w:rsid w:val="00234F4A"/>
    <w:rsid w:val="00235414"/>
    <w:rsid w:val="00235904"/>
    <w:rsid w:val="00235CCD"/>
    <w:rsid w:val="00235FD4"/>
    <w:rsid w:val="002362FA"/>
    <w:rsid w:val="002368C6"/>
    <w:rsid w:val="00236FAD"/>
    <w:rsid w:val="002375E3"/>
    <w:rsid w:val="002406DB"/>
    <w:rsid w:val="00240955"/>
    <w:rsid w:val="00240D3F"/>
    <w:rsid w:val="002412EB"/>
    <w:rsid w:val="0024179E"/>
    <w:rsid w:val="00241F38"/>
    <w:rsid w:val="00242120"/>
    <w:rsid w:val="002428F2"/>
    <w:rsid w:val="00242A65"/>
    <w:rsid w:val="00242CAA"/>
    <w:rsid w:val="00242D23"/>
    <w:rsid w:val="00242F0C"/>
    <w:rsid w:val="00242F63"/>
    <w:rsid w:val="002432EB"/>
    <w:rsid w:val="002433AB"/>
    <w:rsid w:val="00243508"/>
    <w:rsid w:val="00243BD4"/>
    <w:rsid w:val="00243CAF"/>
    <w:rsid w:val="00244327"/>
    <w:rsid w:val="00244375"/>
    <w:rsid w:val="00244E60"/>
    <w:rsid w:val="00244E7B"/>
    <w:rsid w:val="00244EB8"/>
    <w:rsid w:val="0024556C"/>
    <w:rsid w:val="00245A5C"/>
    <w:rsid w:val="00245BFE"/>
    <w:rsid w:val="00246059"/>
    <w:rsid w:val="002462AB"/>
    <w:rsid w:val="00246452"/>
    <w:rsid w:val="00247692"/>
    <w:rsid w:val="002476B8"/>
    <w:rsid w:val="00247A33"/>
    <w:rsid w:val="00247E23"/>
    <w:rsid w:val="002501D4"/>
    <w:rsid w:val="002503F6"/>
    <w:rsid w:val="0025078F"/>
    <w:rsid w:val="002507F3"/>
    <w:rsid w:val="00250AB2"/>
    <w:rsid w:val="00250DE9"/>
    <w:rsid w:val="00250E0C"/>
    <w:rsid w:val="002510B8"/>
    <w:rsid w:val="002530BB"/>
    <w:rsid w:val="002533B2"/>
    <w:rsid w:val="00253468"/>
    <w:rsid w:val="002543D0"/>
    <w:rsid w:val="0025446D"/>
    <w:rsid w:val="00255A16"/>
    <w:rsid w:val="00255C97"/>
    <w:rsid w:val="002561B7"/>
    <w:rsid w:val="00256524"/>
    <w:rsid w:val="002568B5"/>
    <w:rsid w:val="00256B80"/>
    <w:rsid w:val="00256E45"/>
    <w:rsid w:val="00256E82"/>
    <w:rsid w:val="002572C4"/>
    <w:rsid w:val="0025740A"/>
    <w:rsid w:val="002579B8"/>
    <w:rsid w:val="00257C7D"/>
    <w:rsid w:val="00257ECF"/>
    <w:rsid w:val="002603E7"/>
    <w:rsid w:val="00260C59"/>
    <w:rsid w:val="00260CA5"/>
    <w:rsid w:val="002611F3"/>
    <w:rsid w:val="002612F7"/>
    <w:rsid w:val="00261D83"/>
    <w:rsid w:val="00261E91"/>
    <w:rsid w:val="00262249"/>
    <w:rsid w:val="002632C8"/>
    <w:rsid w:val="0026353A"/>
    <w:rsid w:val="002635E3"/>
    <w:rsid w:val="00263960"/>
    <w:rsid w:val="00263C8C"/>
    <w:rsid w:val="00263E84"/>
    <w:rsid w:val="002642BF"/>
    <w:rsid w:val="00265054"/>
    <w:rsid w:val="00265353"/>
    <w:rsid w:val="00265568"/>
    <w:rsid w:val="002656C8"/>
    <w:rsid w:val="00265B26"/>
    <w:rsid w:val="00266A5E"/>
    <w:rsid w:val="00266E6D"/>
    <w:rsid w:val="002675D8"/>
    <w:rsid w:val="0026784B"/>
    <w:rsid w:val="00267CE1"/>
    <w:rsid w:val="00270431"/>
    <w:rsid w:val="0027090F"/>
    <w:rsid w:val="00270CA5"/>
    <w:rsid w:val="00270EEF"/>
    <w:rsid w:val="00271400"/>
    <w:rsid w:val="00271408"/>
    <w:rsid w:val="002717BD"/>
    <w:rsid w:val="00272735"/>
    <w:rsid w:val="0027295C"/>
    <w:rsid w:val="00272CF9"/>
    <w:rsid w:val="00272F3E"/>
    <w:rsid w:val="002731C7"/>
    <w:rsid w:val="00273B4E"/>
    <w:rsid w:val="00273F52"/>
    <w:rsid w:val="00274538"/>
    <w:rsid w:val="00274884"/>
    <w:rsid w:val="00274A34"/>
    <w:rsid w:val="00274CC1"/>
    <w:rsid w:val="00274DFA"/>
    <w:rsid w:val="00275256"/>
    <w:rsid w:val="002752DA"/>
    <w:rsid w:val="00275351"/>
    <w:rsid w:val="002758AF"/>
    <w:rsid w:val="00275D17"/>
    <w:rsid w:val="00276373"/>
    <w:rsid w:val="00276411"/>
    <w:rsid w:val="0027679D"/>
    <w:rsid w:val="00276952"/>
    <w:rsid w:val="00276EA9"/>
    <w:rsid w:val="00276EBE"/>
    <w:rsid w:val="00277231"/>
    <w:rsid w:val="0027727D"/>
    <w:rsid w:val="00277513"/>
    <w:rsid w:val="002776D9"/>
    <w:rsid w:val="00277A90"/>
    <w:rsid w:val="00277D5E"/>
    <w:rsid w:val="00277E4E"/>
    <w:rsid w:val="0027DE3E"/>
    <w:rsid w:val="00280239"/>
    <w:rsid w:val="002808CE"/>
    <w:rsid w:val="00280A95"/>
    <w:rsid w:val="00280B12"/>
    <w:rsid w:val="002814FC"/>
    <w:rsid w:val="00281730"/>
    <w:rsid w:val="00281954"/>
    <w:rsid w:val="00281F2C"/>
    <w:rsid w:val="00282019"/>
    <w:rsid w:val="002821C2"/>
    <w:rsid w:val="00282320"/>
    <w:rsid w:val="00282EFC"/>
    <w:rsid w:val="00283127"/>
    <w:rsid w:val="00283472"/>
    <w:rsid w:val="002834BF"/>
    <w:rsid w:val="00283D0F"/>
    <w:rsid w:val="0028436C"/>
    <w:rsid w:val="002844CC"/>
    <w:rsid w:val="00284BE7"/>
    <w:rsid w:val="00284CAD"/>
    <w:rsid w:val="00284CD8"/>
    <w:rsid w:val="00284D0D"/>
    <w:rsid w:val="002854E5"/>
    <w:rsid w:val="00285CA6"/>
    <w:rsid w:val="00285D16"/>
    <w:rsid w:val="0028660B"/>
    <w:rsid w:val="00286793"/>
    <w:rsid w:val="00286CF3"/>
    <w:rsid w:val="00287118"/>
    <w:rsid w:val="002872F1"/>
    <w:rsid w:val="002873C2"/>
    <w:rsid w:val="002876F3"/>
    <w:rsid w:val="00287905"/>
    <w:rsid w:val="002879B4"/>
    <w:rsid w:val="00287E18"/>
    <w:rsid w:val="0029021A"/>
    <w:rsid w:val="00290497"/>
    <w:rsid w:val="00291655"/>
    <w:rsid w:val="0029167D"/>
    <w:rsid w:val="0029201A"/>
    <w:rsid w:val="002922DF"/>
    <w:rsid w:val="0029237D"/>
    <w:rsid w:val="00292522"/>
    <w:rsid w:val="00292816"/>
    <w:rsid w:val="002929A2"/>
    <w:rsid w:val="00292B08"/>
    <w:rsid w:val="00292F7E"/>
    <w:rsid w:val="00293534"/>
    <w:rsid w:val="00293989"/>
    <w:rsid w:val="00293ECB"/>
    <w:rsid w:val="00293F27"/>
    <w:rsid w:val="00293F78"/>
    <w:rsid w:val="00294889"/>
    <w:rsid w:val="0029550A"/>
    <w:rsid w:val="0029585A"/>
    <w:rsid w:val="00295B38"/>
    <w:rsid w:val="00296095"/>
    <w:rsid w:val="0029627E"/>
    <w:rsid w:val="00296A4F"/>
    <w:rsid w:val="00296AD3"/>
    <w:rsid w:val="00296F88"/>
    <w:rsid w:val="00297C25"/>
    <w:rsid w:val="00297C67"/>
    <w:rsid w:val="002A03E5"/>
    <w:rsid w:val="002A04AA"/>
    <w:rsid w:val="002A0620"/>
    <w:rsid w:val="002A10F1"/>
    <w:rsid w:val="002A1263"/>
    <w:rsid w:val="002A29B8"/>
    <w:rsid w:val="002A2A25"/>
    <w:rsid w:val="002A344F"/>
    <w:rsid w:val="002A456F"/>
    <w:rsid w:val="002A5C9E"/>
    <w:rsid w:val="002A5E7F"/>
    <w:rsid w:val="002A60E1"/>
    <w:rsid w:val="002A6356"/>
    <w:rsid w:val="002A6460"/>
    <w:rsid w:val="002A64D9"/>
    <w:rsid w:val="002A6764"/>
    <w:rsid w:val="002A6C1F"/>
    <w:rsid w:val="002A6CFA"/>
    <w:rsid w:val="002A6D13"/>
    <w:rsid w:val="002A6E5C"/>
    <w:rsid w:val="002A6EBF"/>
    <w:rsid w:val="002A737F"/>
    <w:rsid w:val="002B10DA"/>
    <w:rsid w:val="002B1305"/>
    <w:rsid w:val="002B1337"/>
    <w:rsid w:val="002B1A9B"/>
    <w:rsid w:val="002B1DAD"/>
    <w:rsid w:val="002B1EB7"/>
    <w:rsid w:val="002B2E8C"/>
    <w:rsid w:val="002B31B1"/>
    <w:rsid w:val="002B3401"/>
    <w:rsid w:val="002B3441"/>
    <w:rsid w:val="002B3A37"/>
    <w:rsid w:val="002B4021"/>
    <w:rsid w:val="002B431C"/>
    <w:rsid w:val="002B4592"/>
    <w:rsid w:val="002B460D"/>
    <w:rsid w:val="002B4900"/>
    <w:rsid w:val="002B5108"/>
    <w:rsid w:val="002B51FA"/>
    <w:rsid w:val="002B5987"/>
    <w:rsid w:val="002B5CF3"/>
    <w:rsid w:val="002B5D39"/>
    <w:rsid w:val="002B5D55"/>
    <w:rsid w:val="002B63A2"/>
    <w:rsid w:val="002B6A93"/>
    <w:rsid w:val="002B6F04"/>
    <w:rsid w:val="002B75AA"/>
    <w:rsid w:val="002B765D"/>
    <w:rsid w:val="002B7ECB"/>
    <w:rsid w:val="002C0152"/>
    <w:rsid w:val="002C01A3"/>
    <w:rsid w:val="002C09DA"/>
    <w:rsid w:val="002C0AB8"/>
    <w:rsid w:val="002C17A8"/>
    <w:rsid w:val="002C2046"/>
    <w:rsid w:val="002C2C78"/>
    <w:rsid w:val="002C2EB6"/>
    <w:rsid w:val="002C38BA"/>
    <w:rsid w:val="002C3D2B"/>
    <w:rsid w:val="002C40F5"/>
    <w:rsid w:val="002C4333"/>
    <w:rsid w:val="002C4399"/>
    <w:rsid w:val="002C4715"/>
    <w:rsid w:val="002C4A51"/>
    <w:rsid w:val="002C5483"/>
    <w:rsid w:val="002C5537"/>
    <w:rsid w:val="002C56F6"/>
    <w:rsid w:val="002C58E8"/>
    <w:rsid w:val="002C5EA4"/>
    <w:rsid w:val="002C5F43"/>
    <w:rsid w:val="002C6444"/>
    <w:rsid w:val="002C674B"/>
    <w:rsid w:val="002C679A"/>
    <w:rsid w:val="002C6A21"/>
    <w:rsid w:val="002C6C72"/>
    <w:rsid w:val="002C6DF4"/>
    <w:rsid w:val="002C7B42"/>
    <w:rsid w:val="002C7C2E"/>
    <w:rsid w:val="002D032A"/>
    <w:rsid w:val="002D0812"/>
    <w:rsid w:val="002D0A9A"/>
    <w:rsid w:val="002D15A9"/>
    <w:rsid w:val="002D16EB"/>
    <w:rsid w:val="002D1D2C"/>
    <w:rsid w:val="002D1F40"/>
    <w:rsid w:val="002D2C20"/>
    <w:rsid w:val="002D2D62"/>
    <w:rsid w:val="002D2E46"/>
    <w:rsid w:val="002D3890"/>
    <w:rsid w:val="002D398B"/>
    <w:rsid w:val="002D4063"/>
    <w:rsid w:val="002D4E45"/>
    <w:rsid w:val="002D65C1"/>
    <w:rsid w:val="002D68F4"/>
    <w:rsid w:val="002D694D"/>
    <w:rsid w:val="002D6AB3"/>
    <w:rsid w:val="002D6B10"/>
    <w:rsid w:val="002D6E8D"/>
    <w:rsid w:val="002D70C1"/>
    <w:rsid w:val="002D7594"/>
    <w:rsid w:val="002D7D4C"/>
    <w:rsid w:val="002D7E64"/>
    <w:rsid w:val="002D7ED9"/>
    <w:rsid w:val="002E0A29"/>
    <w:rsid w:val="002E113B"/>
    <w:rsid w:val="002E17F4"/>
    <w:rsid w:val="002E1D0A"/>
    <w:rsid w:val="002E215B"/>
    <w:rsid w:val="002E215E"/>
    <w:rsid w:val="002E2BA3"/>
    <w:rsid w:val="002E2E7C"/>
    <w:rsid w:val="002E31A6"/>
    <w:rsid w:val="002E37DA"/>
    <w:rsid w:val="002E3CD2"/>
    <w:rsid w:val="002E4284"/>
    <w:rsid w:val="002E4724"/>
    <w:rsid w:val="002E534F"/>
    <w:rsid w:val="002E53AD"/>
    <w:rsid w:val="002E5583"/>
    <w:rsid w:val="002E6066"/>
    <w:rsid w:val="002E63A7"/>
    <w:rsid w:val="002E720F"/>
    <w:rsid w:val="002E751C"/>
    <w:rsid w:val="002E7602"/>
    <w:rsid w:val="002E76E8"/>
    <w:rsid w:val="002E7A21"/>
    <w:rsid w:val="002F06D4"/>
    <w:rsid w:val="002F073D"/>
    <w:rsid w:val="002F0822"/>
    <w:rsid w:val="002F082B"/>
    <w:rsid w:val="002F0E78"/>
    <w:rsid w:val="002F1182"/>
    <w:rsid w:val="002F1A5F"/>
    <w:rsid w:val="002F20A4"/>
    <w:rsid w:val="002F2298"/>
    <w:rsid w:val="002F27BC"/>
    <w:rsid w:val="002F5019"/>
    <w:rsid w:val="002F58D0"/>
    <w:rsid w:val="002F6B2B"/>
    <w:rsid w:val="002F6BF2"/>
    <w:rsid w:val="002F748A"/>
    <w:rsid w:val="002F75B2"/>
    <w:rsid w:val="002F75E4"/>
    <w:rsid w:val="002F7B68"/>
    <w:rsid w:val="002F7BD5"/>
    <w:rsid w:val="003002C3"/>
    <w:rsid w:val="00300581"/>
    <w:rsid w:val="003015EC"/>
    <w:rsid w:val="00301693"/>
    <w:rsid w:val="00301968"/>
    <w:rsid w:val="003020F5"/>
    <w:rsid w:val="00302129"/>
    <w:rsid w:val="003024B5"/>
    <w:rsid w:val="00302739"/>
    <w:rsid w:val="003038E7"/>
    <w:rsid w:val="0030414B"/>
    <w:rsid w:val="0030501E"/>
    <w:rsid w:val="003050CE"/>
    <w:rsid w:val="00305171"/>
    <w:rsid w:val="00305C09"/>
    <w:rsid w:val="00305D29"/>
    <w:rsid w:val="00305D6D"/>
    <w:rsid w:val="00305FAC"/>
    <w:rsid w:val="003069E9"/>
    <w:rsid w:val="00306BDE"/>
    <w:rsid w:val="003075FA"/>
    <w:rsid w:val="00307D9B"/>
    <w:rsid w:val="00307FFE"/>
    <w:rsid w:val="0031014F"/>
    <w:rsid w:val="00310EDC"/>
    <w:rsid w:val="00311213"/>
    <w:rsid w:val="0031143B"/>
    <w:rsid w:val="0031155E"/>
    <w:rsid w:val="00311BA8"/>
    <w:rsid w:val="00311EFA"/>
    <w:rsid w:val="00312291"/>
    <w:rsid w:val="0031231A"/>
    <w:rsid w:val="00312471"/>
    <w:rsid w:val="00312DD8"/>
    <w:rsid w:val="00313085"/>
    <w:rsid w:val="0031321B"/>
    <w:rsid w:val="0031330E"/>
    <w:rsid w:val="00313499"/>
    <w:rsid w:val="003137A7"/>
    <w:rsid w:val="003137F5"/>
    <w:rsid w:val="00313C0D"/>
    <w:rsid w:val="0031444B"/>
    <w:rsid w:val="003145A5"/>
    <w:rsid w:val="0031498F"/>
    <w:rsid w:val="00315709"/>
    <w:rsid w:val="00315816"/>
    <w:rsid w:val="00316503"/>
    <w:rsid w:val="003177BF"/>
    <w:rsid w:val="00317AC5"/>
    <w:rsid w:val="00317B2C"/>
    <w:rsid w:val="00317B94"/>
    <w:rsid w:val="0032062A"/>
    <w:rsid w:val="003215D4"/>
    <w:rsid w:val="003217FF"/>
    <w:rsid w:val="00321915"/>
    <w:rsid w:val="00321B7B"/>
    <w:rsid w:val="00321C9F"/>
    <w:rsid w:val="00321F0C"/>
    <w:rsid w:val="003220CC"/>
    <w:rsid w:val="0032231C"/>
    <w:rsid w:val="00322492"/>
    <w:rsid w:val="00322FA1"/>
    <w:rsid w:val="00322FBF"/>
    <w:rsid w:val="0032395C"/>
    <w:rsid w:val="003243D0"/>
    <w:rsid w:val="00324506"/>
    <w:rsid w:val="003245AD"/>
    <w:rsid w:val="0032483D"/>
    <w:rsid w:val="00324881"/>
    <w:rsid w:val="003248BA"/>
    <w:rsid w:val="00325015"/>
    <w:rsid w:val="00325466"/>
    <w:rsid w:val="00325CFC"/>
    <w:rsid w:val="003264D2"/>
    <w:rsid w:val="00326799"/>
    <w:rsid w:val="003268D2"/>
    <w:rsid w:val="00326E3A"/>
    <w:rsid w:val="00326ED5"/>
    <w:rsid w:val="00327E95"/>
    <w:rsid w:val="003300F7"/>
    <w:rsid w:val="0033038D"/>
    <w:rsid w:val="0033090B"/>
    <w:rsid w:val="00330F55"/>
    <w:rsid w:val="00330FDA"/>
    <w:rsid w:val="0033145D"/>
    <w:rsid w:val="00331F97"/>
    <w:rsid w:val="00332AC5"/>
    <w:rsid w:val="00333162"/>
    <w:rsid w:val="00333312"/>
    <w:rsid w:val="00333629"/>
    <w:rsid w:val="00333E84"/>
    <w:rsid w:val="00334C10"/>
    <w:rsid w:val="00334CB4"/>
    <w:rsid w:val="00334CB6"/>
    <w:rsid w:val="0033550B"/>
    <w:rsid w:val="003357C0"/>
    <w:rsid w:val="00336380"/>
    <w:rsid w:val="00336663"/>
    <w:rsid w:val="0033755E"/>
    <w:rsid w:val="003400BE"/>
    <w:rsid w:val="0034021B"/>
    <w:rsid w:val="003406E5"/>
    <w:rsid w:val="00340937"/>
    <w:rsid w:val="00340A34"/>
    <w:rsid w:val="00340C33"/>
    <w:rsid w:val="00340E48"/>
    <w:rsid w:val="0034107D"/>
    <w:rsid w:val="003415BE"/>
    <w:rsid w:val="003417E2"/>
    <w:rsid w:val="00341CE6"/>
    <w:rsid w:val="0034257D"/>
    <w:rsid w:val="003428C3"/>
    <w:rsid w:val="00342955"/>
    <w:rsid w:val="00343D70"/>
    <w:rsid w:val="00343F70"/>
    <w:rsid w:val="00344403"/>
    <w:rsid w:val="003450F5"/>
    <w:rsid w:val="00345309"/>
    <w:rsid w:val="00345745"/>
    <w:rsid w:val="0034587F"/>
    <w:rsid w:val="00345970"/>
    <w:rsid w:val="003463BF"/>
    <w:rsid w:val="0034680C"/>
    <w:rsid w:val="00346B04"/>
    <w:rsid w:val="00346EBD"/>
    <w:rsid w:val="003470BB"/>
    <w:rsid w:val="003472CE"/>
    <w:rsid w:val="003474CC"/>
    <w:rsid w:val="00347639"/>
    <w:rsid w:val="0034794D"/>
    <w:rsid w:val="00347B84"/>
    <w:rsid w:val="003504A8"/>
    <w:rsid w:val="0035062F"/>
    <w:rsid w:val="00351565"/>
    <w:rsid w:val="0035178D"/>
    <w:rsid w:val="003528A1"/>
    <w:rsid w:val="00352BBD"/>
    <w:rsid w:val="00352D27"/>
    <w:rsid w:val="00352D76"/>
    <w:rsid w:val="0035346D"/>
    <w:rsid w:val="003539A0"/>
    <w:rsid w:val="0035439F"/>
    <w:rsid w:val="003543BC"/>
    <w:rsid w:val="0035477C"/>
    <w:rsid w:val="00354D20"/>
    <w:rsid w:val="00355244"/>
    <w:rsid w:val="00355585"/>
    <w:rsid w:val="003555CD"/>
    <w:rsid w:val="00355776"/>
    <w:rsid w:val="0035581B"/>
    <w:rsid w:val="00355830"/>
    <w:rsid w:val="0035596A"/>
    <w:rsid w:val="003559CC"/>
    <w:rsid w:val="00355E20"/>
    <w:rsid w:val="003561F3"/>
    <w:rsid w:val="00356513"/>
    <w:rsid w:val="00356988"/>
    <w:rsid w:val="00356C70"/>
    <w:rsid w:val="00356E64"/>
    <w:rsid w:val="003570FB"/>
    <w:rsid w:val="003576C7"/>
    <w:rsid w:val="00357993"/>
    <w:rsid w:val="00357D6E"/>
    <w:rsid w:val="00357DE4"/>
    <w:rsid w:val="0036060A"/>
    <w:rsid w:val="00360ADF"/>
    <w:rsid w:val="00360B75"/>
    <w:rsid w:val="00360C03"/>
    <w:rsid w:val="00360D79"/>
    <w:rsid w:val="00360E50"/>
    <w:rsid w:val="00360F30"/>
    <w:rsid w:val="0036122B"/>
    <w:rsid w:val="003615E0"/>
    <w:rsid w:val="0036182E"/>
    <w:rsid w:val="00361F89"/>
    <w:rsid w:val="003622A1"/>
    <w:rsid w:val="0036290B"/>
    <w:rsid w:val="00362A97"/>
    <w:rsid w:val="00362F55"/>
    <w:rsid w:val="00363EFA"/>
    <w:rsid w:val="003640C7"/>
    <w:rsid w:val="003647FC"/>
    <w:rsid w:val="00364C7F"/>
    <w:rsid w:val="00364D85"/>
    <w:rsid w:val="003650EB"/>
    <w:rsid w:val="003651B2"/>
    <w:rsid w:val="00365580"/>
    <w:rsid w:val="00365B11"/>
    <w:rsid w:val="00365BA7"/>
    <w:rsid w:val="00365C3B"/>
    <w:rsid w:val="00365F31"/>
    <w:rsid w:val="00366050"/>
    <w:rsid w:val="003662FE"/>
    <w:rsid w:val="0036635B"/>
    <w:rsid w:val="00366A4C"/>
    <w:rsid w:val="00366DA8"/>
    <w:rsid w:val="00366F70"/>
    <w:rsid w:val="003672C0"/>
    <w:rsid w:val="00367EAC"/>
    <w:rsid w:val="00370456"/>
    <w:rsid w:val="003705BF"/>
    <w:rsid w:val="0037064B"/>
    <w:rsid w:val="00370651"/>
    <w:rsid w:val="00370746"/>
    <w:rsid w:val="00371293"/>
    <w:rsid w:val="00372DA6"/>
    <w:rsid w:val="00372E56"/>
    <w:rsid w:val="00373447"/>
    <w:rsid w:val="00373A0F"/>
    <w:rsid w:val="003742B3"/>
    <w:rsid w:val="003754EF"/>
    <w:rsid w:val="00375851"/>
    <w:rsid w:val="00376DAE"/>
    <w:rsid w:val="00377148"/>
    <w:rsid w:val="00377997"/>
    <w:rsid w:val="00377BE0"/>
    <w:rsid w:val="00380B22"/>
    <w:rsid w:val="00382953"/>
    <w:rsid w:val="00382F5A"/>
    <w:rsid w:val="00382FC0"/>
    <w:rsid w:val="003836C8"/>
    <w:rsid w:val="00383717"/>
    <w:rsid w:val="00383B3C"/>
    <w:rsid w:val="00384271"/>
    <w:rsid w:val="0038452B"/>
    <w:rsid w:val="00384ACB"/>
    <w:rsid w:val="00384C46"/>
    <w:rsid w:val="00384E5A"/>
    <w:rsid w:val="00385170"/>
    <w:rsid w:val="00385257"/>
    <w:rsid w:val="003853A5"/>
    <w:rsid w:val="00385576"/>
    <w:rsid w:val="0038596A"/>
    <w:rsid w:val="00385C01"/>
    <w:rsid w:val="00386181"/>
    <w:rsid w:val="003864B7"/>
    <w:rsid w:val="0038657D"/>
    <w:rsid w:val="0038728D"/>
    <w:rsid w:val="003875B9"/>
    <w:rsid w:val="0038761D"/>
    <w:rsid w:val="003879EB"/>
    <w:rsid w:val="00387AC4"/>
    <w:rsid w:val="0039025A"/>
    <w:rsid w:val="00390BAF"/>
    <w:rsid w:val="00390D55"/>
    <w:rsid w:val="00390DA7"/>
    <w:rsid w:val="00390F20"/>
    <w:rsid w:val="003912A1"/>
    <w:rsid w:val="00391428"/>
    <w:rsid w:val="00391BB1"/>
    <w:rsid w:val="00391E6A"/>
    <w:rsid w:val="00392295"/>
    <w:rsid w:val="003924CB"/>
    <w:rsid w:val="00392999"/>
    <w:rsid w:val="00392F37"/>
    <w:rsid w:val="00392FA5"/>
    <w:rsid w:val="003931B4"/>
    <w:rsid w:val="00393391"/>
    <w:rsid w:val="00393C7C"/>
    <w:rsid w:val="00393DBB"/>
    <w:rsid w:val="0039462C"/>
    <w:rsid w:val="00394785"/>
    <w:rsid w:val="00394DD8"/>
    <w:rsid w:val="00394E49"/>
    <w:rsid w:val="00394EC7"/>
    <w:rsid w:val="00395DEB"/>
    <w:rsid w:val="00396A95"/>
    <w:rsid w:val="00396B08"/>
    <w:rsid w:val="00396B72"/>
    <w:rsid w:val="00396B73"/>
    <w:rsid w:val="00396F7D"/>
    <w:rsid w:val="00396FD7"/>
    <w:rsid w:val="003973C7"/>
    <w:rsid w:val="00397822"/>
    <w:rsid w:val="00397A54"/>
    <w:rsid w:val="00397C1F"/>
    <w:rsid w:val="00397CEC"/>
    <w:rsid w:val="003A041C"/>
    <w:rsid w:val="003A0715"/>
    <w:rsid w:val="003A2662"/>
    <w:rsid w:val="003A40DE"/>
    <w:rsid w:val="003A41CF"/>
    <w:rsid w:val="003A45A0"/>
    <w:rsid w:val="003A4620"/>
    <w:rsid w:val="003A4CC5"/>
    <w:rsid w:val="003A532F"/>
    <w:rsid w:val="003A53F8"/>
    <w:rsid w:val="003A547C"/>
    <w:rsid w:val="003A5878"/>
    <w:rsid w:val="003A5D55"/>
    <w:rsid w:val="003A5FC4"/>
    <w:rsid w:val="003A607A"/>
    <w:rsid w:val="003A61AE"/>
    <w:rsid w:val="003A66EB"/>
    <w:rsid w:val="003A6864"/>
    <w:rsid w:val="003A7143"/>
    <w:rsid w:val="003A72E9"/>
    <w:rsid w:val="003A7341"/>
    <w:rsid w:val="003A7485"/>
    <w:rsid w:val="003A79F3"/>
    <w:rsid w:val="003B01C1"/>
    <w:rsid w:val="003B01DC"/>
    <w:rsid w:val="003B0344"/>
    <w:rsid w:val="003B0B3C"/>
    <w:rsid w:val="003B0E7A"/>
    <w:rsid w:val="003B10C1"/>
    <w:rsid w:val="003B141D"/>
    <w:rsid w:val="003B232B"/>
    <w:rsid w:val="003B253B"/>
    <w:rsid w:val="003B25A1"/>
    <w:rsid w:val="003B272D"/>
    <w:rsid w:val="003B2899"/>
    <w:rsid w:val="003B2DEB"/>
    <w:rsid w:val="003B3E58"/>
    <w:rsid w:val="003B4B9D"/>
    <w:rsid w:val="003B4D5D"/>
    <w:rsid w:val="003B4FAD"/>
    <w:rsid w:val="003B4FD3"/>
    <w:rsid w:val="003B5397"/>
    <w:rsid w:val="003B5850"/>
    <w:rsid w:val="003B5A80"/>
    <w:rsid w:val="003B5EBF"/>
    <w:rsid w:val="003B5F55"/>
    <w:rsid w:val="003B61DA"/>
    <w:rsid w:val="003B63C8"/>
    <w:rsid w:val="003B6510"/>
    <w:rsid w:val="003B6DD8"/>
    <w:rsid w:val="003B71CB"/>
    <w:rsid w:val="003B765F"/>
    <w:rsid w:val="003B77CF"/>
    <w:rsid w:val="003B783C"/>
    <w:rsid w:val="003B7888"/>
    <w:rsid w:val="003B79A8"/>
    <w:rsid w:val="003B7F11"/>
    <w:rsid w:val="003B7FCE"/>
    <w:rsid w:val="003C0319"/>
    <w:rsid w:val="003C0523"/>
    <w:rsid w:val="003C1650"/>
    <w:rsid w:val="003C188B"/>
    <w:rsid w:val="003C1D47"/>
    <w:rsid w:val="003C1D4A"/>
    <w:rsid w:val="003C2A3E"/>
    <w:rsid w:val="003C2AFD"/>
    <w:rsid w:val="003C2C20"/>
    <w:rsid w:val="003C3040"/>
    <w:rsid w:val="003C3880"/>
    <w:rsid w:val="003C3BCF"/>
    <w:rsid w:val="003C41C9"/>
    <w:rsid w:val="003C4546"/>
    <w:rsid w:val="003C45F0"/>
    <w:rsid w:val="003C48A1"/>
    <w:rsid w:val="003C494F"/>
    <w:rsid w:val="003C4C7F"/>
    <w:rsid w:val="003C65DF"/>
    <w:rsid w:val="003C6F8F"/>
    <w:rsid w:val="003C7A43"/>
    <w:rsid w:val="003C7CAD"/>
    <w:rsid w:val="003C7E54"/>
    <w:rsid w:val="003D0B5C"/>
    <w:rsid w:val="003D0FD3"/>
    <w:rsid w:val="003D118D"/>
    <w:rsid w:val="003D147A"/>
    <w:rsid w:val="003D315A"/>
    <w:rsid w:val="003D33FE"/>
    <w:rsid w:val="003D3B19"/>
    <w:rsid w:val="003D4231"/>
    <w:rsid w:val="003D4708"/>
    <w:rsid w:val="003D4AD9"/>
    <w:rsid w:val="003D4C73"/>
    <w:rsid w:val="003D4F81"/>
    <w:rsid w:val="003D5320"/>
    <w:rsid w:val="003D56EB"/>
    <w:rsid w:val="003D5EA6"/>
    <w:rsid w:val="003D6062"/>
    <w:rsid w:val="003D70D6"/>
    <w:rsid w:val="003D7133"/>
    <w:rsid w:val="003D71DD"/>
    <w:rsid w:val="003D729E"/>
    <w:rsid w:val="003D7432"/>
    <w:rsid w:val="003D74E4"/>
    <w:rsid w:val="003E003D"/>
    <w:rsid w:val="003E0CB1"/>
    <w:rsid w:val="003E1541"/>
    <w:rsid w:val="003E1B82"/>
    <w:rsid w:val="003E2AE2"/>
    <w:rsid w:val="003E311D"/>
    <w:rsid w:val="003E32F1"/>
    <w:rsid w:val="003E4182"/>
    <w:rsid w:val="003E483E"/>
    <w:rsid w:val="003E49A0"/>
    <w:rsid w:val="003E5665"/>
    <w:rsid w:val="003E5BFA"/>
    <w:rsid w:val="003E6140"/>
    <w:rsid w:val="003E6653"/>
    <w:rsid w:val="003E66D6"/>
    <w:rsid w:val="003E6767"/>
    <w:rsid w:val="003E678F"/>
    <w:rsid w:val="003E6912"/>
    <w:rsid w:val="003E718E"/>
    <w:rsid w:val="003E7661"/>
    <w:rsid w:val="003E7A5F"/>
    <w:rsid w:val="003F02CA"/>
    <w:rsid w:val="003F0864"/>
    <w:rsid w:val="003F08A5"/>
    <w:rsid w:val="003F0F09"/>
    <w:rsid w:val="003F0FDA"/>
    <w:rsid w:val="003F11C3"/>
    <w:rsid w:val="003F1AF1"/>
    <w:rsid w:val="003F1CF5"/>
    <w:rsid w:val="003F2DBB"/>
    <w:rsid w:val="003F316E"/>
    <w:rsid w:val="003F342A"/>
    <w:rsid w:val="003F34D1"/>
    <w:rsid w:val="003F37F5"/>
    <w:rsid w:val="003F4426"/>
    <w:rsid w:val="003F4559"/>
    <w:rsid w:val="003F4B5E"/>
    <w:rsid w:val="003F5315"/>
    <w:rsid w:val="003F5582"/>
    <w:rsid w:val="003F5A3D"/>
    <w:rsid w:val="003F5ECA"/>
    <w:rsid w:val="003F60FA"/>
    <w:rsid w:val="003F62B5"/>
    <w:rsid w:val="003F6429"/>
    <w:rsid w:val="003F644C"/>
    <w:rsid w:val="003F6451"/>
    <w:rsid w:val="003F64F5"/>
    <w:rsid w:val="003F67D2"/>
    <w:rsid w:val="003F6BCB"/>
    <w:rsid w:val="003F6CD6"/>
    <w:rsid w:val="003F6F4A"/>
    <w:rsid w:val="003F74DF"/>
    <w:rsid w:val="003F7A7F"/>
    <w:rsid w:val="003F7D50"/>
    <w:rsid w:val="004004B8"/>
    <w:rsid w:val="00400714"/>
    <w:rsid w:val="004007D0"/>
    <w:rsid w:val="00400C21"/>
    <w:rsid w:val="0040111A"/>
    <w:rsid w:val="004020B2"/>
    <w:rsid w:val="004020E9"/>
    <w:rsid w:val="00403187"/>
    <w:rsid w:val="004038BB"/>
    <w:rsid w:val="00403947"/>
    <w:rsid w:val="00403A8D"/>
    <w:rsid w:val="00403C8A"/>
    <w:rsid w:val="00403D7E"/>
    <w:rsid w:val="00404515"/>
    <w:rsid w:val="0040480D"/>
    <w:rsid w:val="00404C26"/>
    <w:rsid w:val="00404CA0"/>
    <w:rsid w:val="00404CED"/>
    <w:rsid w:val="00404F1B"/>
    <w:rsid w:val="00404F8C"/>
    <w:rsid w:val="004062C3"/>
    <w:rsid w:val="004064AD"/>
    <w:rsid w:val="004074CA"/>
    <w:rsid w:val="00407DAF"/>
    <w:rsid w:val="00407DE4"/>
    <w:rsid w:val="00407F5E"/>
    <w:rsid w:val="004100D7"/>
    <w:rsid w:val="00410180"/>
    <w:rsid w:val="004108D1"/>
    <w:rsid w:val="004108E5"/>
    <w:rsid w:val="004115E6"/>
    <w:rsid w:val="00412842"/>
    <w:rsid w:val="0041298D"/>
    <w:rsid w:val="00413A87"/>
    <w:rsid w:val="004141DD"/>
    <w:rsid w:val="00414484"/>
    <w:rsid w:val="00414781"/>
    <w:rsid w:val="00414BD9"/>
    <w:rsid w:val="00415075"/>
    <w:rsid w:val="00415D17"/>
    <w:rsid w:val="004161B7"/>
    <w:rsid w:val="0041653D"/>
    <w:rsid w:val="004170F4"/>
    <w:rsid w:val="004172E7"/>
    <w:rsid w:val="004173B6"/>
    <w:rsid w:val="0041760F"/>
    <w:rsid w:val="00420263"/>
    <w:rsid w:val="00420329"/>
    <w:rsid w:val="00420C4F"/>
    <w:rsid w:val="004210F6"/>
    <w:rsid w:val="0042117E"/>
    <w:rsid w:val="00421742"/>
    <w:rsid w:val="00422245"/>
    <w:rsid w:val="00422665"/>
    <w:rsid w:val="00422AE9"/>
    <w:rsid w:val="00422E54"/>
    <w:rsid w:val="0042314C"/>
    <w:rsid w:val="00423D29"/>
    <w:rsid w:val="00423EE0"/>
    <w:rsid w:val="00424255"/>
    <w:rsid w:val="004242C8"/>
    <w:rsid w:val="004245A4"/>
    <w:rsid w:val="00424609"/>
    <w:rsid w:val="00425073"/>
    <w:rsid w:val="00425E2F"/>
    <w:rsid w:val="00425F0D"/>
    <w:rsid w:val="0042691D"/>
    <w:rsid w:val="00426AC6"/>
    <w:rsid w:val="00426E5B"/>
    <w:rsid w:val="00426FB8"/>
    <w:rsid w:val="0042709F"/>
    <w:rsid w:val="00427176"/>
    <w:rsid w:val="00427C28"/>
    <w:rsid w:val="00427D06"/>
    <w:rsid w:val="004306A5"/>
    <w:rsid w:val="004307B2"/>
    <w:rsid w:val="00430996"/>
    <w:rsid w:val="00431000"/>
    <w:rsid w:val="0043161C"/>
    <w:rsid w:val="004317C7"/>
    <w:rsid w:val="00431821"/>
    <w:rsid w:val="004319CD"/>
    <w:rsid w:val="004320C8"/>
    <w:rsid w:val="00432A9C"/>
    <w:rsid w:val="00432BBB"/>
    <w:rsid w:val="00432E55"/>
    <w:rsid w:val="004336E6"/>
    <w:rsid w:val="00433CF0"/>
    <w:rsid w:val="0043426A"/>
    <w:rsid w:val="00434360"/>
    <w:rsid w:val="004344BD"/>
    <w:rsid w:val="0043451B"/>
    <w:rsid w:val="00434B6F"/>
    <w:rsid w:val="00434E12"/>
    <w:rsid w:val="004354C0"/>
    <w:rsid w:val="00435C44"/>
    <w:rsid w:val="00435FA1"/>
    <w:rsid w:val="004361D0"/>
    <w:rsid w:val="004368A3"/>
    <w:rsid w:val="004370C6"/>
    <w:rsid w:val="0043717A"/>
    <w:rsid w:val="004377DC"/>
    <w:rsid w:val="00437A60"/>
    <w:rsid w:val="00437EEA"/>
    <w:rsid w:val="0044055C"/>
    <w:rsid w:val="00440E60"/>
    <w:rsid w:val="00441060"/>
    <w:rsid w:val="00441A30"/>
    <w:rsid w:val="00441BB6"/>
    <w:rsid w:val="00442907"/>
    <w:rsid w:val="00443D23"/>
    <w:rsid w:val="00443DD9"/>
    <w:rsid w:val="00443E02"/>
    <w:rsid w:val="00444120"/>
    <w:rsid w:val="00444731"/>
    <w:rsid w:val="00444A79"/>
    <w:rsid w:val="00444C51"/>
    <w:rsid w:val="00444F8C"/>
    <w:rsid w:val="004454BB"/>
    <w:rsid w:val="00446A0F"/>
    <w:rsid w:val="00447282"/>
    <w:rsid w:val="00447805"/>
    <w:rsid w:val="00447C15"/>
    <w:rsid w:val="0045044E"/>
    <w:rsid w:val="004505F4"/>
    <w:rsid w:val="00450663"/>
    <w:rsid w:val="0045184E"/>
    <w:rsid w:val="00451852"/>
    <w:rsid w:val="00451952"/>
    <w:rsid w:val="004526F1"/>
    <w:rsid w:val="00452D22"/>
    <w:rsid w:val="00452DF9"/>
    <w:rsid w:val="00452EA8"/>
    <w:rsid w:val="00452F18"/>
    <w:rsid w:val="00453264"/>
    <w:rsid w:val="00453931"/>
    <w:rsid w:val="00453E92"/>
    <w:rsid w:val="00454012"/>
    <w:rsid w:val="00454691"/>
    <w:rsid w:val="004549A8"/>
    <w:rsid w:val="004552FB"/>
    <w:rsid w:val="004560FC"/>
    <w:rsid w:val="004565ED"/>
    <w:rsid w:val="0045687F"/>
    <w:rsid w:val="00456920"/>
    <w:rsid w:val="00456C41"/>
    <w:rsid w:val="00456E93"/>
    <w:rsid w:val="00456ECC"/>
    <w:rsid w:val="00456F48"/>
    <w:rsid w:val="00457DCF"/>
    <w:rsid w:val="00460837"/>
    <w:rsid w:val="00460A49"/>
    <w:rsid w:val="00460A88"/>
    <w:rsid w:val="00460CD7"/>
    <w:rsid w:val="00460CDF"/>
    <w:rsid w:val="00460E2A"/>
    <w:rsid w:val="00460F7A"/>
    <w:rsid w:val="00461108"/>
    <w:rsid w:val="0046115A"/>
    <w:rsid w:val="00461404"/>
    <w:rsid w:val="00461943"/>
    <w:rsid w:val="004622B0"/>
    <w:rsid w:val="00462E1F"/>
    <w:rsid w:val="00463353"/>
    <w:rsid w:val="004633B8"/>
    <w:rsid w:val="004638AE"/>
    <w:rsid w:val="004642EF"/>
    <w:rsid w:val="00464381"/>
    <w:rsid w:val="004648F8"/>
    <w:rsid w:val="00464ECF"/>
    <w:rsid w:val="00465212"/>
    <w:rsid w:val="00465863"/>
    <w:rsid w:val="00465DE3"/>
    <w:rsid w:val="004664E9"/>
    <w:rsid w:val="00466577"/>
    <w:rsid w:val="00466966"/>
    <w:rsid w:val="00466D8D"/>
    <w:rsid w:val="00467083"/>
    <w:rsid w:val="00467270"/>
    <w:rsid w:val="00467FF3"/>
    <w:rsid w:val="0047013E"/>
    <w:rsid w:val="00470269"/>
    <w:rsid w:val="004705DC"/>
    <w:rsid w:val="00470D4C"/>
    <w:rsid w:val="0047111A"/>
    <w:rsid w:val="00471A3B"/>
    <w:rsid w:val="00472869"/>
    <w:rsid w:val="00472B36"/>
    <w:rsid w:val="00472BF0"/>
    <w:rsid w:val="00472CE1"/>
    <w:rsid w:val="00472DDC"/>
    <w:rsid w:val="00473026"/>
    <w:rsid w:val="00473307"/>
    <w:rsid w:val="0047337C"/>
    <w:rsid w:val="004741B3"/>
    <w:rsid w:val="004744CD"/>
    <w:rsid w:val="004745E1"/>
    <w:rsid w:val="00474AC7"/>
    <w:rsid w:val="00474CD1"/>
    <w:rsid w:val="00475382"/>
    <w:rsid w:val="00475479"/>
    <w:rsid w:val="00475530"/>
    <w:rsid w:val="004758A5"/>
    <w:rsid w:val="00475B46"/>
    <w:rsid w:val="00475DDC"/>
    <w:rsid w:val="00475E9D"/>
    <w:rsid w:val="0047657F"/>
    <w:rsid w:val="00476DCA"/>
    <w:rsid w:val="00477D79"/>
    <w:rsid w:val="004800F4"/>
    <w:rsid w:val="0048027B"/>
    <w:rsid w:val="004802A5"/>
    <w:rsid w:val="00480A2F"/>
    <w:rsid w:val="00480C58"/>
    <w:rsid w:val="004817ED"/>
    <w:rsid w:val="004819A8"/>
    <w:rsid w:val="00482687"/>
    <w:rsid w:val="00482737"/>
    <w:rsid w:val="00483B22"/>
    <w:rsid w:val="00483E88"/>
    <w:rsid w:val="00483FB4"/>
    <w:rsid w:val="00484FF7"/>
    <w:rsid w:val="00485198"/>
    <w:rsid w:val="004863BA"/>
    <w:rsid w:val="004866BE"/>
    <w:rsid w:val="004867DC"/>
    <w:rsid w:val="00486857"/>
    <w:rsid w:val="00486AC4"/>
    <w:rsid w:val="00486F5E"/>
    <w:rsid w:val="004870AF"/>
    <w:rsid w:val="0048742E"/>
    <w:rsid w:val="004877AA"/>
    <w:rsid w:val="00487A51"/>
    <w:rsid w:val="00487B98"/>
    <w:rsid w:val="004905B8"/>
    <w:rsid w:val="004906CE"/>
    <w:rsid w:val="00490FAC"/>
    <w:rsid w:val="00492422"/>
    <w:rsid w:val="00492B18"/>
    <w:rsid w:val="00492BCF"/>
    <w:rsid w:val="00492EDD"/>
    <w:rsid w:val="004930CF"/>
    <w:rsid w:val="00493607"/>
    <w:rsid w:val="004937D6"/>
    <w:rsid w:val="00493BAC"/>
    <w:rsid w:val="00493FF0"/>
    <w:rsid w:val="004942B2"/>
    <w:rsid w:val="0049492C"/>
    <w:rsid w:val="00494D2B"/>
    <w:rsid w:val="00494D31"/>
    <w:rsid w:val="004951BE"/>
    <w:rsid w:val="0049567F"/>
    <w:rsid w:val="004961A3"/>
    <w:rsid w:val="00496655"/>
    <w:rsid w:val="00496B1C"/>
    <w:rsid w:val="0049725B"/>
    <w:rsid w:val="00497381"/>
    <w:rsid w:val="0049760A"/>
    <w:rsid w:val="004976D8"/>
    <w:rsid w:val="0049778F"/>
    <w:rsid w:val="004A032A"/>
    <w:rsid w:val="004A03E7"/>
    <w:rsid w:val="004A07F5"/>
    <w:rsid w:val="004A0DDE"/>
    <w:rsid w:val="004A16BC"/>
    <w:rsid w:val="004A1A02"/>
    <w:rsid w:val="004A1C81"/>
    <w:rsid w:val="004A2629"/>
    <w:rsid w:val="004A2C8B"/>
    <w:rsid w:val="004A2CE8"/>
    <w:rsid w:val="004A2D83"/>
    <w:rsid w:val="004A2E91"/>
    <w:rsid w:val="004A3487"/>
    <w:rsid w:val="004A34FD"/>
    <w:rsid w:val="004A3D05"/>
    <w:rsid w:val="004A40BE"/>
    <w:rsid w:val="004A447F"/>
    <w:rsid w:val="004A492A"/>
    <w:rsid w:val="004A4A26"/>
    <w:rsid w:val="004A5298"/>
    <w:rsid w:val="004A5953"/>
    <w:rsid w:val="004A5AA1"/>
    <w:rsid w:val="004A5D6E"/>
    <w:rsid w:val="004A619B"/>
    <w:rsid w:val="004A6628"/>
    <w:rsid w:val="004A66F0"/>
    <w:rsid w:val="004A6F9E"/>
    <w:rsid w:val="004A6FF0"/>
    <w:rsid w:val="004A71FC"/>
    <w:rsid w:val="004A7BBF"/>
    <w:rsid w:val="004B09FF"/>
    <w:rsid w:val="004B10CB"/>
    <w:rsid w:val="004B129F"/>
    <w:rsid w:val="004B165F"/>
    <w:rsid w:val="004B1CBB"/>
    <w:rsid w:val="004B1CD7"/>
    <w:rsid w:val="004B1E0F"/>
    <w:rsid w:val="004B2182"/>
    <w:rsid w:val="004B2800"/>
    <w:rsid w:val="004B2A3A"/>
    <w:rsid w:val="004B3EEE"/>
    <w:rsid w:val="004B3FCC"/>
    <w:rsid w:val="004B4363"/>
    <w:rsid w:val="004B4A05"/>
    <w:rsid w:val="004B5951"/>
    <w:rsid w:val="004B5B72"/>
    <w:rsid w:val="004B5C15"/>
    <w:rsid w:val="004B5E31"/>
    <w:rsid w:val="004B5E9B"/>
    <w:rsid w:val="004B6304"/>
    <w:rsid w:val="004B6B23"/>
    <w:rsid w:val="004B6E83"/>
    <w:rsid w:val="004B733F"/>
    <w:rsid w:val="004B7593"/>
    <w:rsid w:val="004B77C9"/>
    <w:rsid w:val="004B78B3"/>
    <w:rsid w:val="004C02CD"/>
    <w:rsid w:val="004C05F4"/>
    <w:rsid w:val="004C0741"/>
    <w:rsid w:val="004C1415"/>
    <w:rsid w:val="004C1BF1"/>
    <w:rsid w:val="004C1F1A"/>
    <w:rsid w:val="004C3104"/>
    <w:rsid w:val="004C3496"/>
    <w:rsid w:val="004C37B0"/>
    <w:rsid w:val="004C6356"/>
    <w:rsid w:val="004C6686"/>
    <w:rsid w:val="004C69B0"/>
    <w:rsid w:val="004C6E8D"/>
    <w:rsid w:val="004C72B2"/>
    <w:rsid w:val="004C74CE"/>
    <w:rsid w:val="004D0397"/>
    <w:rsid w:val="004D06DA"/>
    <w:rsid w:val="004D1146"/>
    <w:rsid w:val="004D1348"/>
    <w:rsid w:val="004D1D33"/>
    <w:rsid w:val="004D1D39"/>
    <w:rsid w:val="004D25C8"/>
    <w:rsid w:val="004D27EF"/>
    <w:rsid w:val="004D2F98"/>
    <w:rsid w:val="004D36AC"/>
    <w:rsid w:val="004D3731"/>
    <w:rsid w:val="004D4260"/>
    <w:rsid w:val="004D4AF0"/>
    <w:rsid w:val="004D4D87"/>
    <w:rsid w:val="004D4E3E"/>
    <w:rsid w:val="004D5270"/>
    <w:rsid w:val="004D52B7"/>
    <w:rsid w:val="004D544C"/>
    <w:rsid w:val="004D6812"/>
    <w:rsid w:val="004D6A64"/>
    <w:rsid w:val="004D6EC9"/>
    <w:rsid w:val="004D7465"/>
    <w:rsid w:val="004D77E3"/>
    <w:rsid w:val="004D7924"/>
    <w:rsid w:val="004D7A20"/>
    <w:rsid w:val="004E0025"/>
    <w:rsid w:val="004E081A"/>
    <w:rsid w:val="004E09A5"/>
    <w:rsid w:val="004E0E27"/>
    <w:rsid w:val="004E11A7"/>
    <w:rsid w:val="004E1CEC"/>
    <w:rsid w:val="004E1E32"/>
    <w:rsid w:val="004E20AF"/>
    <w:rsid w:val="004E239B"/>
    <w:rsid w:val="004E24EA"/>
    <w:rsid w:val="004E296F"/>
    <w:rsid w:val="004E2A51"/>
    <w:rsid w:val="004E2CD0"/>
    <w:rsid w:val="004E2DA6"/>
    <w:rsid w:val="004E2F3F"/>
    <w:rsid w:val="004E3229"/>
    <w:rsid w:val="004E38AF"/>
    <w:rsid w:val="004E3AC8"/>
    <w:rsid w:val="004E3B14"/>
    <w:rsid w:val="004E3F17"/>
    <w:rsid w:val="004E4ADA"/>
    <w:rsid w:val="004E5238"/>
    <w:rsid w:val="004E557A"/>
    <w:rsid w:val="004E570C"/>
    <w:rsid w:val="004E5DE9"/>
    <w:rsid w:val="004E6513"/>
    <w:rsid w:val="004E6570"/>
    <w:rsid w:val="004E6CBF"/>
    <w:rsid w:val="004E6F5D"/>
    <w:rsid w:val="004E7050"/>
    <w:rsid w:val="004E79B5"/>
    <w:rsid w:val="004E7A81"/>
    <w:rsid w:val="004E7ED2"/>
    <w:rsid w:val="004EB448"/>
    <w:rsid w:val="004F012B"/>
    <w:rsid w:val="004F0824"/>
    <w:rsid w:val="004F1665"/>
    <w:rsid w:val="004F22B1"/>
    <w:rsid w:val="004F25C6"/>
    <w:rsid w:val="004F35BA"/>
    <w:rsid w:val="004F3AD0"/>
    <w:rsid w:val="004F4434"/>
    <w:rsid w:val="004F4573"/>
    <w:rsid w:val="004F468E"/>
    <w:rsid w:val="004F4A5E"/>
    <w:rsid w:val="004F4A9F"/>
    <w:rsid w:val="004F4B17"/>
    <w:rsid w:val="004F4B50"/>
    <w:rsid w:val="004F4D72"/>
    <w:rsid w:val="004F4F70"/>
    <w:rsid w:val="004F5444"/>
    <w:rsid w:val="004F56B3"/>
    <w:rsid w:val="004F5A43"/>
    <w:rsid w:val="004F5B26"/>
    <w:rsid w:val="004F623B"/>
    <w:rsid w:val="004F670F"/>
    <w:rsid w:val="004F6D60"/>
    <w:rsid w:val="004F6D7C"/>
    <w:rsid w:val="004F7313"/>
    <w:rsid w:val="004F749A"/>
    <w:rsid w:val="004F74C3"/>
    <w:rsid w:val="004F7C11"/>
    <w:rsid w:val="004F7EDD"/>
    <w:rsid w:val="004F7F92"/>
    <w:rsid w:val="00500320"/>
    <w:rsid w:val="0050046A"/>
    <w:rsid w:val="00500886"/>
    <w:rsid w:val="00500E51"/>
    <w:rsid w:val="00500FA3"/>
    <w:rsid w:val="0050111F"/>
    <w:rsid w:val="00501330"/>
    <w:rsid w:val="005013A4"/>
    <w:rsid w:val="00501E3F"/>
    <w:rsid w:val="00501FBE"/>
    <w:rsid w:val="00502743"/>
    <w:rsid w:val="005027BC"/>
    <w:rsid w:val="00502B8B"/>
    <w:rsid w:val="00502DA4"/>
    <w:rsid w:val="00503188"/>
    <w:rsid w:val="00503226"/>
    <w:rsid w:val="00503552"/>
    <w:rsid w:val="005039DC"/>
    <w:rsid w:val="00503FF4"/>
    <w:rsid w:val="00504DB0"/>
    <w:rsid w:val="0050539E"/>
    <w:rsid w:val="00505697"/>
    <w:rsid w:val="00505CBA"/>
    <w:rsid w:val="005062BB"/>
    <w:rsid w:val="005063BF"/>
    <w:rsid w:val="00506416"/>
    <w:rsid w:val="00506AFE"/>
    <w:rsid w:val="00506BD1"/>
    <w:rsid w:val="00506F44"/>
    <w:rsid w:val="005078A9"/>
    <w:rsid w:val="00507BB8"/>
    <w:rsid w:val="00507EC8"/>
    <w:rsid w:val="005105A8"/>
    <w:rsid w:val="005114B6"/>
    <w:rsid w:val="00511524"/>
    <w:rsid w:val="00511BC1"/>
    <w:rsid w:val="0051208A"/>
    <w:rsid w:val="00512A33"/>
    <w:rsid w:val="00512A53"/>
    <w:rsid w:val="00513729"/>
    <w:rsid w:val="0051391D"/>
    <w:rsid w:val="0051416F"/>
    <w:rsid w:val="00514C3A"/>
    <w:rsid w:val="00515038"/>
    <w:rsid w:val="00515F23"/>
    <w:rsid w:val="005164D7"/>
    <w:rsid w:val="0051725E"/>
    <w:rsid w:val="005172DE"/>
    <w:rsid w:val="00517E51"/>
    <w:rsid w:val="00517F29"/>
    <w:rsid w:val="0052010B"/>
    <w:rsid w:val="005207E5"/>
    <w:rsid w:val="005211D1"/>
    <w:rsid w:val="00521CC2"/>
    <w:rsid w:val="00521EFF"/>
    <w:rsid w:val="00522570"/>
    <w:rsid w:val="00522DA6"/>
    <w:rsid w:val="00523530"/>
    <w:rsid w:val="00523DA0"/>
    <w:rsid w:val="00523EB2"/>
    <w:rsid w:val="005242B6"/>
    <w:rsid w:val="0052455F"/>
    <w:rsid w:val="00524653"/>
    <w:rsid w:val="00524B6B"/>
    <w:rsid w:val="00524EAE"/>
    <w:rsid w:val="00525041"/>
    <w:rsid w:val="00525131"/>
    <w:rsid w:val="005257BA"/>
    <w:rsid w:val="00525A8E"/>
    <w:rsid w:val="00525BC0"/>
    <w:rsid w:val="00525CA7"/>
    <w:rsid w:val="00525D83"/>
    <w:rsid w:val="005278E6"/>
    <w:rsid w:val="00527D7C"/>
    <w:rsid w:val="00530B64"/>
    <w:rsid w:val="00531980"/>
    <w:rsid w:val="005319A0"/>
    <w:rsid w:val="00531A62"/>
    <w:rsid w:val="0053219A"/>
    <w:rsid w:val="00532324"/>
    <w:rsid w:val="00532408"/>
    <w:rsid w:val="005324B0"/>
    <w:rsid w:val="00532843"/>
    <w:rsid w:val="00532B19"/>
    <w:rsid w:val="00532BEA"/>
    <w:rsid w:val="00532CFE"/>
    <w:rsid w:val="00532E9F"/>
    <w:rsid w:val="005338D7"/>
    <w:rsid w:val="005339FA"/>
    <w:rsid w:val="00533AA7"/>
    <w:rsid w:val="00533B9C"/>
    <w:rsid w:val="0053481D"/>
    <w:rsid w:val="005348B4"/>
    <w:rsid w:val="00534A9A"/>
    <w:rsid w:val="00534B4A"/>
    <w:rsid w:val="00534E7C"/>
    <w:rsid w:val="00535105"/>
    <w:rsid w:val="00536171"/>
    <w:rsid w:val="00536656"/>
    <w:rsid w:val="00536748"/>
    <w:rsid w:val="00536B3B"/>
    <w:rsid w:val="00536E0E"/>
    <w:rsid w:val="00540398"/>
    <w:rsid w:val="005403AB"/>
    <w:rsid w:val="00540E9C"/>
    <w:rsid w:val="00541468"/>
    <w:rsid w:val="00541572"/>
    <w:rsid w:val="0054177E"/>
    <w:rsid w:val="00541934"/>
    <w:rsid w:val="00541C0E"/>
    <w:rsid w:val="00541E1E"/>
    <w:rsid w:val="00542FA0"/>
    <w:rsid w:val="005431F9"/>
    <w:rsid w:val="005435F9"/>
    <w:rsid w:val="00543612"/>
    <w:rsid w:val="00543A57"/>
    <w:rsid w:val="00543BDE"/>
    <w:rsid w:val="005440B5"/>
    <w:rsid w:val="0054434B"/>
    <w:rsid w:val="005443CD"/>
    <w:rsid w:val="005446DB"/>
    <w:rsid w:val="005448DE"/>
    <w:rsid w:val="00544D87"/>
    <w:rsid w:val="00544DD3"/>
    <w:rsid w:val="00545123"/>
    <w:rsid w:val="0054512A"/>
    <w:rsid w:val="005453E8"/>
    <w:rsid w:val="005463FF"/>
    <w:rsid w:val="00546475"/>
    <w:rsid w:val="00546BE2"/>
    <w:rsid w:val="00546BEC"/>
    <w:rsid w:val="00546CCA"/>
    <w:rsid w:val="00546D9B"/>
    <w:rsid w:val="00547013"/>
    <w:rsid w:val="005479F8"/>
    <w:rsid w:val="00547EB5"/>
    <w:rsid w:val="00547EC5"/>
    <w:rsid w:val="0055076A"/>
    <w:rsid w:val="00550A5A"/>
    <w:rsid w:val="0055100A"/>
    <w:rsid w:val="005510B8"/>
    <w:rsid w:val="00551378"/>
    <w:rsid w:val="00551649"/>
    <w:rsid w:val="005517F8"/>
    <w:rsid w:val="005519F5"/>
    <w:rsid w:val="0055268D"/>
    <w:rsid w:val="00552B08"/>
    <w:rsid w:val="00553B5F"/>
    <w:rsid w:val="00553D7E"/>
    <w:rsid w:val="00553E5B"/>
    <w:rsid w:val="005541A0"/>
    <w:rsid w:val="005541B4"/>
    <w:rsid w:val="00554812"/>
    <w:rsid w:val="00554B1C"/>
    <w:rsid w:val="00554F79"/>
    <w:rsid w:val="005552F8"/>
    <w:rsid w:val="0055607F"/>
    <w:rsid w:val="005561BD"/>
    <w:rsid w:val="00556269"/>
    <w:rsid w:val="00556659"/>
    <w:rsid w:val="0055695A"/>
    <w:rsid w:val="0055697E"/>
    <w:rsid w:val="005569F7"/>
    <w:rsid w:val="00556B31"/>
    <w:rsid w:val="00557128"/>
    <w:rsid w:val="0055719D"/>
    <w:rsid w:val="005572F4"/>
    <w:rsid w:val="00557738"/>
    <w:rsid w:val="00557A51"/>
    <w:rsid w:val="00557BFE"/>
    <w:rsid w:val="005603E2"/>
    <w:rsid w:val="005606D8"/>
    <w:rsid w:val="005612F4"/>
    <w:rsid w:val="005613A9"/>
    <w:rsid w:val="005617A6"/>
    <w:rsid w:val="00561BF3"/>
    <w:rsid w:val="00561CF7"/>
    <w:rsid w:val="00562235"/>
    <w:rsid w:val="00562818"/>
    <w:rsid w:val="00563BA4"/>
    <w:rsid w:val="00563CA3"/>
    <w:rsid w:val="005644AD"/>
    <w:rsid w:val="00564875"/>
    <w:rsid w:val="00564E05"/>
    <w:rsid w:val="00564E2C"/>
    <w:rsid w:val="00564F93"/>
    <w:rsid w:val="00564FB4"/>
    <w:rsid w:val="005651B5"/>
    <w:rsid w:val="0056536A"/>
    <w:rsid w:val="00565485"/>
    <w:rsid w:val="00565492"/>
    <w:rsid w:val="005655C8"/>
    <w:rsid w:val="00565FDD"/>
    <w:rsid w:val="0056621E"/>
    <w:rsid w:val="00566313"/>
    <w:rsid w:val="0056671F"/>
    <w:rsid w:val="0056697F"/>
    <w:rsid w:val="0056698A"/>
    <w:rsid w:val="00566D03"/>
    <w:rsid w:val="00566D6E"/>
    <w:rsid w:val="00566DB0"/>
    <w:rsid w:val="005672A9"/>
    <w:rsid w:val="005673C9"/>
    <w:rsid w:val="005679C9"/>
    <w:rsid w:val="00567D90"/>
    <w:rsid w:val="00570918"/>
    <w:rsid w:val="00570C26"/>
    <w:rsid w:val="00570C95"/>
    <w:rsid w:val="00571056"/>
    <w:rsid w:val="00571119"/>
    <w:rsid w:val="0057115A"/>
    <w:rsid w:val="00571447"/>
    <w:rsid w:val="00571BE7"/>
    <w:rsid w:val="00571E91"/>
    <w:rsid w:val="0057200E"/>
    <w:rsid w:val="0057225B"/>
    <w:rsid w:val="005722D4"/>
    <w:rsid w:val="00573190"/>
    <w:rsid w:val="005736E8"/>
    <w:rsid w:val="0057398B"/>
    <w:rsid w:val="00574923"/>
    <w:rsid w:val="00574BA3"/>
    <w:rsid w:val="00575392"/>
    <w:rsid w:val="00575EDC"/>
    <w:rsid w:val="00576213"/>
    <w:rsid w:val="00576253"/>
    <w:rsid w:val="0057630B"/>
    <w:rsid w:val="0057651C"/>
    <w:rsid w:val="005768D3"/>
    <w:rsid w:val="005769D5"/>
    <w:rsid w:val="00576A80"/>
    <w:rsid w:val="00577A95"/>
    <w:rsid w:val="00577CC5"/>
    <w:rsid w:val="0058083F"/>
    <w:rsid w:val="005808FA"/>
    <w:rsid w:val="00582106"/>
    <w:rsid w:val="00582537"/>
    <w:rsid w:val="00582AFA"/>
    <w:rsid w:val="00583094"/>
    <w:rsid w:val="0058315E"/>
    <w:rsid w:val="005833C8"/>
    <w:rsid w:val="00583805"/>
    <w:rsid w:val="0058389A"/>
    <w:rsid w:val="00583FF9"/>
    <w:rsid w:val="00584633"/>
    <w:rsid w:val="00584B1F"/>
    <w:rsid w:val="005850DB"/>
    <w:rsid w:val="005852F6"/>
    <w:rsid w:val="005853B7"/>
    <w:rsid w:val="005859D5"/>
    <w:rsid w:val="00585B89"/>
    <w:rsid w:val="005862F2"/>
    <w:rsid w:val="00586DE8"/>
    <w:rsid w:val="00587B50"/>
    <w:rsid w:val="00590FD5"/>
    <w:rsid w:val="005910FE"/>
    <w:rsid w:val="00591E8C"/>
    <w:rsid w:val="00591F51"/>
    <w:rsid w:val="00592A19"/>
    <w:rsid w:val="00592B01"/>
    <w:rsid w:val="00592B0A"/>
    <w:rsid w:val="00592C16"/>
    <w:rsid w:val="00592D96"/>
    <w:rsid w:val="00592E92"/>
    <w:rsid w:val="00593075"/>
    <w:rsid w:val="00593197"/>
    <w:rsid w:val="005931A6"/>
    <w:rsid w:val="005932A7"/>
    <w:rsid w:val="0059426C"/>
    <w:rsid w:val="005946CD"/>
    <w:rsid w:val="005949F5"/>
    <w:rsid w:val="00594E1C"/>
    <w:rsid w:val="00594FCC"/>
    <w:rsid w:val="0059581D"/>
    <w:rsid w:val="00595B73"/>
    <w:rsid w:val="00595F9B"/>
    <w:rsid w:val="00596515"/>
    <w:rsid w:val="0059658D"/>
    <w:rsid w:val="00596AB0"/>
    <w:rsid w:val="00596ADE"/>
    <w:rsid w:val="005976C6"/>
    <w:rsid w:val="005978EC"/>
    <w:rsid w:val="00597A21"/>
    <w:rsid w:val="00597A5F"/>
    <w:rsid w:val="00597EE2"/>
    <w:rsid w:val="005A043A"/>
    <w:rsid w:val="005A0845"/>
    <w:rsid w:val="005A0C2E"/>
    <w:rsid w:val="005A0C67"/>
    <w:rsid w:val="005A1167"/>
    <w:rsid w:val="005A124C"/>
    <w:rsid w:val="005A1519"/>
    <w:rsid w:val="005A2458"/>
    <w:rsid w:val="005A32C5"/>
    <w:rsid w:val="005A3B2D"/>
    <w:rsid w:val="005A3C82"/>
    <w:rsid w:val="005A3D7E"/>
    <w:rsid w:val="005A4182"/>
    <w:rsid w:val="005A446A"/>
    <w:rsid w:val="005A4A45"/>
    <w:rsid w:val="005A4FBC"/>
    <w:rsid w:val="005A51AE"/>
    <w:rsid w:val="005A53FB"/>
    <w:rsid w:val="005A5A72"/>
    <w:rsid w:val="005A5B6F"/>
    <w:rsid w:val="005A5BD8"/>
    <w:rsid w:val="005A5FA4"/>
    <w:rsid w:val="005A6129"/>
    <w:rsid w:val="005A62D8"/>
    <w:rsid w:val="005A64AD"/>
    <w:rsid w:val="005A6548"/>
    <w:rsid w:val="005A6573"/>
    <w:rsid w:val="005A65F1"/>
    <w:rsid w:val="005A6ECE"/>
    <w:rsid w:val="005A6FC1"/>
    <w:rsid w:val="005A7703"/>
    <w:rsid w:val="005A7760"/>
    <w:rsid w:val="005A7A2F"/>
    <w:rsid w:val="005A7E17"/>
    <w:rsid w:val="005A7EC0"/>
    <w:rsid w:val="005B0374"/>
    <w:rsid w:val="005B08A6"/>
    <w:rsid w:val="005B0EE9"/>
    <w:rsid w:val="005B12B8"/>
    <w:rsid w:val="005B1723"/>
    <w:rsid w:val="005B1C16"/>
    <w:rsid w:val="005B2103"/>
    <w:rsid w:val="005B22A7"/>
    <w:rsid w:val="005B33AA"/>
    <w:rsid w:val="005B406D"/>
    <w:rsid w:val="005B4367"/>
    <w:rsid w:val="005B4C10"/>
    <w:rsid w:val="005B5C96"/>
    <w:rsid w:val="005B5EBB"/>
    <w:rsid w:val="005B6187"/>
    <w:rsid w:val="005B6E92"/>
    <w:rsid w:val="005B730B"/>
    <w:rsid w:val="005B7BDA"/>
    <w:rsid w:val="005B7BF7"/>
    <w:rsid w:val="005B7DEF"/>
    <w:rsid w:val="005B7E34"/>
    <w:rsid w:val="005C03CF"/>
    <w:rsid w:val="005C04A1"/>
    <w:rsid w:val="005C05D1"/>
    <w:rsid w:val="005C1AE5"/>
    <w:rsid w:val="005C23A0"/>
    <w:rsid w:val="005C2724"/>
    <w:rsid w:val="005C30B0"/>
    <w:rsid w:val="005C3BFC"/>
    <w:rsid w:val="005C3C58"/>
    <w:rsid w:val="005C44CB"/>
    <w:rsid w:val="005C4F9D"/>
    <w:rsid w:val="005C50BB"/>
    <w:rsid w:val="005C51C0"/>
    <w:rsid w:val="005C53F8"/>
    <w:rsid w:val="005C55E8"/>
    <w:rsid w:val="005C5B19"/>
    <w:rsid w:val="005C5DB2"/>
    <w:rsid w:val="005C5DC4"/>
    <w:rsid w:val="005C6EB2"/>
    <w:rsid w:val="005C74CD"/>
    <w:rsid w:val="005C76D1"/>
    <w:rsid w:val="005C7BEF"/>
    <w:rsid w:val="005C7C1B"/>
    <w:rsid w:val="005C7DE0"/>
    <w:rsid w:val="005D040C"/>
    <w:rsid w:val="005D0504"/>
    <w:rsid w:val="005D09AA"/>
    <w:rsid w:val="005D0B32"/>
    <w:rsid w:val="005D11AD"/>
    <w:rsid w:val="005D160E"/>
    <w:rsid w:val="005D1CBC"/>
    <w:rsid w:val="005D1DE3"/>
    <w:rsid w:val="005D1E84"/>
    <w:rsid w:val="005D21B2"/>
    <w:rsid w:val="005D2662"/>
    <w:rsid w:val="005D2F08"/>
    <w:rsid w:val="005D31A5"/>
    <w:rsid w:val="005D332F"/>
    <w:rsid w:val="005D3E10"/>
    <w:rsid w:val="005D43A8"/>
    <w:rsid w:val="005D4BC7"/>
    <w:rsid w:val="005D525B"/>
    <w:rsid w:val="005D56A9"/>
    <w:rsid w:val="005D5B8B"/>
    <w:rsid w:val="005D657C"/>
    <w:rsid w:val="005D6AF6"/>
    <w:rsid w:val="005D7152"/>
    <w:rsid w:val="005D7558"/>
    <w:rsid w:val="005D755A"/>
    <w:rsid w:val="005D7F5D"/>
    <w:rsid w:val="005E00DA"/>
    <w:rsid w:val="005E0264"/>
    <w:rsid w:val="005E032A"/>
    <w:rsid w:val="005E1298"/>
    <w:rsid w:val="005E1301"/>
    <w:rsid w:val="005E153C"/>
    <w:rsid w:val="005E1A5D"/>
    <w:rsid w:val="005E1BF8"/>
    <w:rsid w:val="005E21B5"/>
    <w:rsid w:val="005E25C1"/>
    <w:rsid w:val="005E2779"/>
    <w:rsid w:val="005E2A5A"/>
    <w:rsid w:val="005E3036"/>
    <w:rsid w:val="005E3603"/>
    <w:rsid w:val="005E37B6"/>
    <w:rsid w:val="005E3D4C"/>
    <w:rsid w:val="005E4241"/>
    <w:rsid w:val="005E4B4E"/>
    <w:rsid w:val="005E4D71"/>
    <w:rsid w:val="005E4DCE"/>
    <w:rsid w:val="005E4EA3"/>
    <w:rsid w:val="005E51CA"/>
    <w:rsid w:val="005E520F"/>
    <w:rsid w:val="005E53B0"/>
    <w:rsid w:val="005E53E2"/>
    <w:rsid w:val="005E5426"/>
    <w:rsid w:val="005E56AE"/>
    <w:rsid w:val="005E5BBD"/>
    <w:rsid w:val="005E6B28"/>
    <w:rsid w:val="005E6BA9"/>
    <w:rsid w:val="005E7186"/>
    <w:rsid w:val="005E7D48"/>
    <w:rsid w:val="005E7ED8"/>
    <w:rsid w:val="005F001C"/>
    <w:rsid w:val="005F06AF"/>
    <w:rsid w:val="005F0867"/>
    <w:rsid w:val="005F0CF6"/>
    <w:rsid w:val="005F0D40"/>
    <w:rsid w:val="005F0F6E"/>
    <w:rsid w:val="005F109F"/>
    <w:rsid w:val="005F12FD"/>
    <w:rsid w:val="005F196C"/>
    <w:rsid w:val="005F1A0A"/>
    <w:rsid w:val="005F25CC"/>
    <w:rsid w:val="005F275F"/>
    <w:rsid w:val="005F2854"/>
    <w:rsid w:val="005F30F3"/>
    <w:rsid w:val="005F32FD"/>
    <w:rsid w:val="005F33C8"/>
    <w:rsid w:val="005F35B7"/>
    <w:rsid w:val="005F35E1"/>
    <w:rsid w:val="005F3BA2"/>
    <w:rsid w:val="005F47EF"/>
    <w:rsid w:val="005F4803"/>
    <w:rsid w:val="005F487B"/>
    <w:rsid w:val="005F50E0"/>
    <w:rsid w:val="005F57BF"/>
    <w:rsid w:val="005F59A9"/>
    <w:rsid w:val="005F5BE4"/>
    <w:rsid w:val="005F66E9"/>
    <w:rsid w:val="005F6CB3"/>
    <w:rsid w:val="005F78CC"/>
    <w:rsid w:val="005F7A1C"/>
    <w:rsid w:val="00600579"/>
    <w:rsid w:val="0060093C"/>
    <w:rsid w:val="00600F82"/>
    <w:rsid w:val="00600F8E"/>
    <w:rsid w:val="00601EA2"/>
    <w:rsid w:val="00602B65"/>
    <w:rsid w:val="00602F2C"/>
    <w:rsid w:val="006034C4"/>
    <w:rsid w:val="00603F51"/>
    <w:rsid w:val="00604153"/>
    <w:rsid w:val="006048F9"/>
    <w:rsid w:val="00604B9E"/>
    <w:rsid w:val="00605221"/>
    <w:rsid w:val="006053CC"/>
    <w:rsid w:val="00605AC9"/>
    <w:rsid w:val="00605D20"/>
    <w:rsid w:val="006060FD"/>
    <w:rsid w:val="006063E9"/>
    <w:rsid w:val="00606482"/>
    <w:rsid w:val="00606C31"/>
    <w:rsid w:val="0060711A"/>
    <w:rsid w:val="006075A4"/>
    <w:rsid w:val="00607857"/>
    <w:rsid w:val="00607FA1"/>
    <w:rsid w:val="006102AC"/>
    <w:rsid w:val="0061044F"/>
    <w:rsid w:val="0061082F"/>
    <w:rsid w:val="0061095C"/>
    <w:rsid w:val="006109F7"/>
    <w:rsid w:val="006111A3"/>
    <w:rsid w:val="00611663"/>
    <w:rsid w:val="00611C4D"/>
    <w:rsid w:val="00611D1D"/>
    <w:rsid w:val="00611DD7"/>
    <w:rsid w:val="00612107"/>
    <w:rsid w:val="0061212F"/>
    <w:rsid w:val="00612535"/>
    <w:rsid w:val="00612776"/>
    <w:rsid w:val="00612AB8"/>
    <w:rsid w:val="00613D7D"/>
    <w:rsid w:val="00614575"/>
    <w:rsid w:val="00614697"/>
    <w:rsid w:val="00614879"/>
    <w:rsid w:val="006148C8"/>
    <w:rsid w:val="006152AE"/>
    <w:rsid w:val="006156F1"/>
    <w:rsid w:val="0061583C"/>
    <w:rsid w:val="00616127"/>
    <w:rsid w:val="006161E3"/>
    <w:rsid w:val="00616478"/>
    <w:rsid w:val="006164AB"/>
    <w:rsid w:val="00616658"/>
    <w:rsid w:val="00616ABB"/>
    <w:rsid w:val="00616B24"/>
    <w:rsid w:val="00616E2E"/>
    <w:rsid w:val="00617033"/>
    <w:rsid w:val="006179D8"/>
    <w:rsid w:val="00617E26"/>
    <w:rsid w:val="00620251"/>
    <w:rsid w:val="0062062F"/>
    <w:rsid w:val="006206BE"/>
    <w:rsid w:val="0062070B"/>
    <w:rsid w:val="00620714"/>
    <w:rsid w:val="006207CB"/>
    <w:rsid w:val="00620968"/>
    <w:rsid w:val="006209C1"/>
    <w:rsid w:val="00621001"/>
    <w:rsid w:val="0062122F"/>
    <w:rsid w:val="00621438"/>
    <w:rsid w:val="00622ABF"/>
    <w:rsid w:val="00622F33"/>
    <w:rsid w:val="0062300E"/>
    <w:rsid w:val="00623536"/>
    <w:rsid w:val="0062354F"/>
    <w:rsid w:val="0062371A"/>
    <w:rsid w:val="00623CB4"/>
    <w:rsid w:val="00623E0B"/>
    <w:rsid w:val="006241D8"/>
    <w:rsid w:val="0062428B"/>
    <w:rsid w:val="00624338"/>
    <w:rsid w:val="0062436D"/>
    <w:rsid w:val="00624D2C"/>
    <w:rsid w:val="00625E55"/>
    <w:rsid w:val="00626367"/>
    <w:rsid w:val="0062694D"/>
    <w:rsid w:val="00626F1A"/>
    <w:rsid w:val="00627A94"/>
    <w:rsid w:val="00627BAD"/>
    <w:rsid w:val="00627FC6"/>
    <w:rsid w:val="006300EA"/>
    <w:rsid w:val="006303E7"/>
    <w:rsid w:val="006306C2"/>
    <w:rsid w:val="0063075A"/>
    <w:rsid w:val="0063083E"/>
    <w:rsid w:val="0063105A"/>
    <w:rsid w:val="006319B8"/>
    <w:rsid w:val="00631AF4"/>
    <w:rsid w:val="00631D83"/>
    <w:rsid w:val="00632073"/>
    <w:rsid w:val="00632B5A"/>
    <w:rsid w:val="00632C3C"/>
    <w:rsid w:val="006331A1"/>
    <w:rsid w:val="00633287"/>
    <w:rsid w:val="00633D03"/>
    <w:rsid w:val="00633E34"/>
    <w:rsid w:val="00634269"/>
    <w:rsid w:val="00634694"/>
    <w:rsid w:val="0063472A"/>
    <w:rsid w:val="006347D4"/>
    <w:rsid w:val="006347D7"/>
    <w:rsid w:val="0063489C"/>
    <w:rsid w:val="00634CAD"/>
    <w:rsid w:val="00634E6A"/>
    <w:rsid w:val="00634FFA"/>
    <w:rsid w:val="0063512D"/>
    <w:rsid w:val="0063572A"/>
    <w:rsid w:val="00635B94"/>
    <w:rsid w:val="0063631A"/>
    <w:rsid w:val="006371A2"/>
    <w:rsid w:val="00640099"/>
    <w:rsid w:val="006406BA"/>
    <w:rsid w:val="00640F50"/>
    <w:rsid w:val="006412DF"/>
    <w:rsid w:val="00641854"/>
    <w:rsid w:val="006420AC"/>
    <w:rsid w:val="006437B8"/>
    <w:rsid w:val="0064389C"/>
    <w:rsid w:val="00643F40"/>
    <w:rsid w:val="00643F8E"/>
    <w:rsid w:val="00644020"/>
    <w:rsid w:val="006448C6"/>
    <w:rsid w:val="00644C4B"/>
    <w:rsid w:val="00645476"/>
    <w:rsid w:val="00645A5F"/>
    <w:rsid w:val="00645B01"/>
    <w:rsid w:val="00645C93"/>
    <w:rsid w:val="00645E9E"/>
    <w:rsid w:val="006465B0"/>
    <w:rsid w:val="006466DB"/>
    <w:rsid w:val="00646892"/>
    <w:rsid w:val="00646C1F"/>
    <w:rsid w:val="00646D3B"/>
    <w:rsid w:val="00647623"/>
    <w:rsid w:val="00647999"/>
    <w:rsid w:val="00647AC9"/>
    <w:rsid w:val="00647B4A"/>
    <w:rsid w:val="00650124"/>
    <w:rsid w:val="00650925"/>
    <w:rsid w:val="00650A16"/>
    <w:rsid w:val="0065110A"/>
    <w:rsid w:val="006519F6"/>
    <w:rsid w:val="00651B14"/>
    <w:rsid w:val="00651D70"/>
    <w:rsid w:val="00652063"/>
    <w:rsid w:val="006520CE"/>
    <w:rsid w:val="006523B5"/>
    <w:rsid w:val="00652982"/>
    <w:rsid w:val="00652A95"/>
    <w:rsid w:val="00653324"/>
    <w:rsid w:val="00653684"/>
    <w:rsid w:val="0065373F"/>
    <w:rsid w:val="0065429B"/>
    <w:rsid w:val="0065455E"/>
    <w:rsid w:val="006545F6"/>
    <w:rsid w:val="00654BAE"/>
    <w:rsid w:val="00654E38"/>
    <w:rsid w:val="00655A2E"/>
    <w:rsid w:val="00655CDF"/>
    <w:rsid w:val="0065712B"/>
    <w:rsid w:val="00657647"/>
    <w:rsid w:val="0065768B"/>
    <w:rsid w:val="0065773D"/>
    <w:rsid w:val="00657C10"/>
    <w:rsid w:val="0066007D"/>
    <w:rsid w:val="0066028D"/>
    <w:rsid w:val="00660B7C"/>
    <w:rsid w:val="00662C31"/>
    <w:rsid w:val="00662C69"/>
    <w:rsid w:val="00663AB3"/>
    <w:rsid w:val="00663C14"/>
    <w:rsid w:val="00663C8E"/>
    <w:rsid w:val="00663D6D"/>
    <w:rsid w:val="00663FD3"/>
    <w:rsid w:val="0066427F"/>
    <w:rsid w:val="006654BB"/>
    <w:rsid w:val="00665FC9"/>
    <w:rsid w:val="00665FDF"/>
    <w:rsid w:val="00666305"/>
    <w:rsid w:val="00666B94"/>
    <w:rsid w:val="00666E70"/>
    <w:rsid w:val="00667425"/>
    <w:rsid w:val="0066752E"/>
    <w:rsid w:val="0066772C"/>
    <w:rsid w:val="0067014B"/>
    <w:rsid w:val="006706E8"/>
    <w:rsid w:val="00670D45"/>
    <w:rsid w:val="0067193A"/>
    <w:rsid w:val="00671C78"/>
    <w:rsid w:val="00671EF2"/>
    <w:rsid w:val="00671FDC"/>
    <w:rsid w:val="0067224D"/>
    <w:rsid w:val="00672771"/>
    <w:rsid w:val="0067298B"/>
    <w:rsid w:val="00672E16"/>
    <w:rsid w:val="006738AE"/>
    <w:rsid w:val="00673BF2"/>
    <w:rsid w:val="0067456C"/>
    <w:rsid w:val="00674881"/>
    <w:rsid w:val="00674952"/>
    <w:rsid w:val="00674DF0"/>
    <w:rsid w:val="00674EC1"/>
    <w:rsid w:val="0067502A"/>
    <w:rsid w:val="006758BA"/>
    <w:rsid w:val="00675E06"/>
    <w:rsid w:val="006770FD"/>
    <w:rsid w:val="00677446"/>
    <w:rsid w:val="006774EA"/>
    <w:rsid w:val="00677970"/>
    <w:rsid w:val="00677ADF"/>
    <w:rsid w:val="00677CA8"/>
    <w:rsid w:val="00680778"/>
    <w:rsid w:val="00680B51"/>
    <w:rsid w:val="00681593"/>
    <w:rsid w:val="0068176D"/>
    <w:rsid w:val="00681B29"/>
    <w:rsid w:val="00682835"/>
    <w:rsid w:val="00682DB1"/>
    <w:rsid w:val="00683156"/>
    <w:rsid w:val="006834E2"/>
    <w:rsid w:val="0068388E"/>
    <w:rsid w:val="00683CB9"/>
    <w:rsid w:val="00683E7B"/>
    <w:rsid w:val="0068485F"/>
    <w:rsid w:val="00684A61"/>
    <w:rsid w:val="00684BE5"/>
    <w:rsid w:val="006862E3"/>
    <w:rsid w:val="006864AB"/>
    <w:rsid w:val="00686535"/>
    <w:rsid w:val="006866B0"/>
    <w:rsid w:val="00686765"/>
    <w:rsid w:val="006869A3"/>
    <w:rsid w:val="00686F4F"/>
    <w:rsid w:val="006875EB"/>
    <w:rsid w:val="00687858"/>
    <w:rsid w:val="006879D1"/>
    <w:rsid w:val="00687A2B"/>
    <w:rsid w:val="00687E92"/>
    <w:rsid w:val="0069030A"/>
    <w:rsid w:val="00690C1F"/>
    <w:rsid w:val="00690C47"/>
    <w:rsid w:val="0069102F"/>
    <w:rsid w:val="0069163B"/>
    <w:rsid w:val="0069185E"/>
    <w:rsid w:val="00691B60"/>
    <w:rsid w:val="00691DA3"/>
    <w:rsid w:val="0069202D"/>
    <w:rsid w:val="00693079"/>
    <w:rsid w:val="00693262"/>
    <w:rsid w:val="0069371A"/>
    <w:rsid w:val="006937C4"/>
    <w:rsid w:val="00693C83"/>
    <w:rsid w:val="00693FDB"/>
    <w:rsid w:val="00694195"/>
    <w:rsid w:val="006941C1"/>
    <w:rsid w:val="00694341"/>
    <w:rsid w:val="006945AB"/>
    <w:rsid w:val="006947B6"/>
    <w:rsid w:val="00694D9F"/>
    <w:rsid w:val="0069588D"/>
    <w:rsid w:val="00695EA1"/>
    <w:rsid w:val="0069669E"/>
    <w:rsid w:val="006975E6"/>
    <w:rsid w:val="00697B54"/>
    <w:rsid w:val="00697C0E"/>
    <w:rsid w:val="00697D47"/>
    <w:rsid w:val="006A05FB"/>
    <w:rsid w:val="006A0A0F"/>
    <w:rsid w:val="006A11B3"/>
    <w:rsid w:val="006A1E1F"/>
    <w:rsid w:val="006A2055"/>
    <w:rsid w:val="006A2223"/>
    <w:rsid w:val="006A244F"/>
    <w:rsid w:val="006A28B9"/>
    <w:rsid w:val="006A2CAE"/>
    <w:rsid w:val="006A3223"/>
    <w:rsid w:val="006A35CD"/>
    <w:rsid w:val="006A3BE6"/>
    <w:rsid w:val="006A3EF6"/>
    <w:rsid w:val="006A3F9E"/>
    <w:rsid w:val="006A436C"/>
    <w:rsid w:val="006A4822"/>
    <w:rsid w:val="006A4AD6"/>
    <w:rsid w:val="006A5530"/>
    <w:rsid w:val="006A5ABE"/>
    <w:rsid w:val="006A5CC6"/>
    <w:rsid w:val="006A61BF"/>
    <w:rsid w:val="006A629A"/>
    <w:rsid w:val="006A67AE"/>
    <w:rsid w:val="006A6866"/>
    <w:rsid w:val="006A6DA2"/>
    <w:rsid w:val="006A6DE2"/>
    <w:rsid w:val="006A7103"/>
    <w:rsid w:val="006A7360"/>
    <w:rsid w:val="006A74A4"/>
    <w:rsid w:val="006A75CE"/>
    <w:rsid w:val="006A761F"/>
    <w:rsid w:val="006A788B"/>
    <w:rsid w:val="006A7F21"/>
    <w:rsid w:val="006B0341"/>
    <w:rsid w:val="006B0496"/>
    <w:rsid w:val="006B0712"/>
    <w:rsid w:val="006B0A84"/>
    <w:rsid w:val="006B0AD7"/>
    <w:rsid w:val="006B107C"/>
    <w:rsid w:val="006B12E3"/>
    <w:rsid w:val="006B1790"/>
    <w:rsid w:val="006B2006"/>
    <w:rsid w:val="006B2791"/>
    <w:rsid w:val="006B2B9A"/>
    <w:rsid w:val="006B2C57"/>
    <w:rsid w:val="006B3259"/>
    <w:rsid w:val="006B3691"/>
    <w:rsid w:val="006B43D9"/>
    <w:rsid w:val="006B4695"/>
    <w:rsid w:val="006B48EF"/>
    <w:rsid w:val="006B59F5"/>
    <w:rsid w:val="006B7031"/>
    <w:rsid w:val="006B745F"/>
    <w:rsid w:val="006B7C40"/>
    <w:rsid w:val="006B7E83"/>
    <w:rsid w:val="006C0C1A"/>
    <w:rsid w:val="006C1176"/>
    <w:rsid w:val="006C182E"/>
    <w:rsid w:val="006C1892"/>
    <w:rsid w:val="006C2770"/>
    <w:rsid w:val="006C2EEC"/>
    <w:rsid w:val="006C3399"/>
    <w:rsid w:val="006C3678"/>
    <w:rsid w:val="006C3EE1"/>
    <w:rsid w:val="006C3FC1"/>
    <w:rsid w:val="006C4CB5"/>
    <w:rsid w:val="006C4ECE"/>
    <w:rsid w:val="006C5370"/>
    <w:rsid w:val="006C539F"/>
    <w:rsid w:val="006C5537"/>
    <w:rsid w:val="006C56BD"/>
    <w:rsid w:val="006C5A0E"/>
    <w:rsid w:val="006C5FF2"/>
    <w:rsid w:val="006C619A"/>
    <w:rsid w:val="006C6CCC"/>
    <w:rsid w:val="006C6F29"/>
    <w:rsid w:val="006C74FD"/>
    <w:rsid w:val="006C7A95"/>
    <w:rsid w:val="006C7F83"/>
    <w:rsid w:val="006C7FF1"/>
    <w:rsid w:val="006D093C"/>
    <w:rsid w:val="006D0B9D"/>
    <w:rsid w:val="006D0CAE"/>
    <w:rsid w:val="006D0E09"/>
    <w:rsid w:val="006D11DE"/>
    <w:rsid w:val="006D11DF"/>
    <w:rsid w:val="006D1621"/>
    <w:rsid w:val="006D1B32"/>
    <w:rsid w:val="006D2145"/>
    <w:rsid w:val="006D293A"/>
    <w:rsid w:val="006D2994"/>
    <w:rsid w:val="006D3A36"/>
    <w:rsid w:val="006D3A8A"/>
    <w:rsid w:val="006D3EAE"/>
    <w:rsid w:val="006D4765"/>
    <w:rsid w:val="006D4C35"/>
    <w:rsid w:val="006D5990"/>
    <w:rsid w:val="006D5A0A"/>
    <w:rsid w:val="006D6332"/>
    <w:rsid w:val="006D639D"/>
    <w:rsid w:val="006D63BC"/>
    <w:rsid w:val="006D65F1"/>
    <w:rsid w:val="006D6B4D"/>
    <w:rsid w:val="006D6E6D"/>
    <w:rsid w:val="006D7407"/>
    <w:rsid w:val="006D75A8"/>
    <w:rsid w:val="006D7620"/>
    <w:rsid w:val="006D7842"/>
    <w:rsid w:val="006D7A3A"/>
    <w:rsid w:val="006E0917"/>
    <w:rsid w:val="006E09E4"/>
    <w:rsid w:val="006E0F92"/>
    <w:rsid w:val="006E198C"/>
    <w:rsid w:val="006E1A86"/>
    <w:rsid w:val="006E1CEF"/>
    <w:rsid w:val="006E2A17"/>
    <w:rsid w:val="006E2FE7"/>
    <w:rsid w:val="006E3021"/>
    <w:rsid w:val="006E3510"/>
    <w:rsid w:val="006E3B46"/>
    <w:rsid w:val="006E3E34"/>
    <w:rsid w:val="006E3E64"/>
    <w:rsid w:val="006E3F6B"/>
    <w:rsid w:val="006E40C3"/>
    <w:rsid w:val="006E456D"/>
    <w:rsid w:val="006E4A19"/>
    <w:rsid w:val="006E4BAC"/>
    <w:rsid w:val="006E4C70"/>
    <w:rsid w:val="006E4F6B"/>
    <w:rsid w:val="006E5C05"/>
    <w:rsid w:val="006E5D7F"/>
    <w:rsid w:val="006E62D5"/>
    <w:rsid w:val="006E6334"/>
    <w:rsid w:val="006E6913"/>
    <w:rsid w:val="006E6B85"/>
    <w:rsid w:val="006E6FAC"/>
    <w:rsid w:val="006E7F0B"/>
    <w:rsid w:val="006F02CF"/>
    <w:rsid w:val="006F03F7"/>
    <w:rsid w:val="006F0973"/>
    <w:rsid w:val="006F159F"/>
    <w:rsid w:val="006F15B2"/>
    <w:rsid w:val="006F1A6E"/>
    <w:rsid w:val="006F22DE"/>
    <w:rsid w:val="006F23F9"/>
    <w:rsid w:val="006F25E4"/>
    <w:rsid w:val="006F2C0E"/>
    <w:rsid w:val="006F2F80"/>
    <w:rsid w:val="006F3003"/>
    <w:rsid w:val="006F31BE"/>
    <w:rsid w:val="006F3207"/>
    <w:rsid w:val="006F331B"/>
    <w:rsid w:val="006F35D6"/>
    <w:rsid w:val="006F3837"/>
    <w:rsid w:val="006F3930"/>
    <w:rsid w:val="006F3A9C"/>
    <w:rsid w:val="006F3FAF"/>
    <w:rsid w:val="006F46C1"/>
    <w:rsid w:val="006F4820"/>
    <w:rsid w:val="006F4E99"/>
    <w:rsid w:val="006F53C4"/>
    <w:rsid w:val="006F6064"/>
    <w:rsid w:val="006F6C41"/>
    <w:rsid w:val="006F6F11"/>
    <w:rsid w:val="006F7854"/>
    <w:rsid w:val="007010AF"/>
    <w:rsid w:val="0070114C"/>
    <w:rsid w:val="00701DA6"/>
    <w:rsid w:val="00702399"/>
    <w:rsid w:val="0070261D"/>
    <w:rsid w:val="00702908"/>
    <w:rsid w:val="007034A8"/>
    <w:rsid w:val="007037CB"/>
    <w:rsid w:val="00703C73"/>
    <w:rsid w:val="0070409F"/>
    <w:rsid w:val="007047FC"/>
    <w:rsid w:val="00704C6C"/>
    <w:rsid w:val="0070515E"/>
    <w:rsid w:val="007053B9"/>
    <w:rsid w:val="0070608E"/>
    <w:rsid w:val="0070632C"/>
    <w:rsid w:val="00706975"/>
    <w:rsid w:val="00707068"/>
    <w:rsid w:val="00707FBB"/>
    <w:rsid w:val="00710162"/>
    <w:rsid w:val="00711321"/>
    <w:rsid w:val="00712052"/>
    <w:rsid w:val="0071222D"/>
    <w:rsid w:val="00712346"/>
    <w:rsid w:val="0071383D"/>
    <w:rsid w:val="00713BB5"/>
    <w:rsid w:val="00713DE2"/>
    <w:rsid w:val="00713E17"/>
    <w:rsid w:val="007144BE"/>
    <w:rsid w:val="00715005"/>
    <w:rsid w:val="00715440"/>
    <w:rsid w:val="007156DC"/>
    <w:rsid w:val="007160D2"/>
    <w:rsid w:val="00716220"/>
    <w:rsid w:val="0071643D"/>
    <w:rsid w:val="007167C7"/>
    <w:rsid w:val="007167F7"/>
    <w:rsid w:val="00716AB3"/>
    <w:rsid w:val="00716D14"/>
    <w:rsid w:val="007171C9"/>
    <w:rsid w:val="00717421"/>
    <w:rsid w:val="007177C2"/>
    <w:rsid w:val="007202BA"/>
    <w:rsid w:val="007203F2"/>
    <w:rsid w:val="007206BC"/>
    <w:rsid w:val="00720E50"/>
    <w:rsid w:val="00721642"/>
    <w:rsid w:val="00721788"/>
    <w:rsid w:val="007218A1"/>
    <w:rsid w:val="00721C13"/>
    <w:rsid w:val="0072277C"/>
    <w:rsid w:val="00722C78"/>
    <w:rsid w:val="00723727"/>
    <w:rsid w:val="007237C7"/>
    <w:rsid w:val="00723C50"/>
    <w:rsid w:val="00723C99"/>
    <w:rsid w:val="00723E9E"/>
    <w:rsid w:val="0072427A"/>
    <w:rsid w:val="0072462F"/>
    <w:rsid w:val="00724E8D"/>
    <w:rsid w:val="00725081"/>
    <w:rsid w:val="00725724"/>
    <w:rsid w:val="007257FD"/>
    <w:rsid w:val="00725883"/>
    <w:rsid w:val="00725B26"/>
    <w:rsid w:val="00725D6E"/>
    <w:rsid w:val="00726052"/>
    <w:rsid w:val="007266C2"/>
    <w:rsid w:val="00726B4B"/>
    <w:rsid w:val="00726DA7"/>
    <w:rsid w:val="00727533"/>
    <w:rsid w:val="007278C5"/>
    <w:rsid w:val="00730266"/>
    <w:rsid w:val="0073077E"/>
    <w:rsid w:val="007308A3"/>
    <w:rsid w:val="00730928"/>
    <w:rsid w:val="00730D03"/>
    <w:rsid w:val="00731F6C"/>
    <w:rsid w:val="007325A1"/>
    <w:rsid w:val="00732CB7"/>
    <w:rsid w:val="00732D0E"/>
    <w:rsid w:val="00733074"/>
    <w:rsid w:val="00733863"/>
    <w:rsid w:val="00733AEB"/>
    <w:rsid w:val="00733DBE"/>
    <w:rsid w:val="0073451E"/>
    <w:rsid w:val="00734615"/>
    <w:rsid w:val="007346B5"/>
    <w:rsid w:val="007358E6"/>
    <w:rsid w:val="00735C72"/>
    <w:rsid w:val="00736857"/>
    <w:rsid w:val="00736870"/>
    <w:rsid w:val="00736AF0"/>
    <w:rsid w:val="00736B83"/>
    <w:rsid w:val="00737B61"/>
    <w:rsid w:val="00737DF8"/>
    <w:rsid w:val="00737E25"/>
    <w:rsid w:val="0074061F"/>
    <w:rsid w:val="00740D6D"/>
    <w:rsid w:val="0074258D"/>
    <w:rsid w:val="00742716"/>
    <w:rsid w:val="00742A0D"/>
    <w:rsid w:val="00742BCC"/>
    <w:rsid w:val="00742F0F"/>
    <w:rsid w:val="007430F9"/>
    <w:rsid w:val="007432F9"/>
    <w:rsid w:val="00743AB0"/>
    <w:rsid w:val="00743C4B"/>
    <w:rsid w:val="00743D93"/>
    <w:rsid w:val="00744367"/>
    <w:rsid w:val="00744634"/>
    <w:rsid w:val="00744923"/>
    <w:rsid w:val="0074494C"/>
    <w:rsid w:val="00744A5C"/>
    <w:rsid w:val="00744CC7"/>
    <w:rsid w:val="00744F8C"/>
    <w:rsid w:val="00746525"/>
    <w:rsid w:val="00746E5E"/>
    <w:rsid w:val="007475C8"/>
    <w:rsid w:val="007479AB"/>
    <w:rsid w:val="00750432"/>
    <w:rsid w:val="00750752"/>
    <w:rsid w:val="00750B06"/>
    <w:rsid w:val="007513A5"/>
    <w:rsid w:val="007515B3"/>
    <w:rsid w:val="0075197A"/>
    <w:rsid w:val="007520F8"/>
    <w:rsid w:val="007525CF"/>
    <w:rsid w:val="00752B02"/>
    <w:rsid w:val="007530E8"/>
    <w:rsid w:val="0075362A"/>
    <w:rsid w:val="00753798"/>
    <w:rsid w:val="00753A98"/>
    <w:rsid w:val="00753B35"/>
    <w:rsid w:val="00753CA4"/>
    <w:rsid w:val="00753CD6"/>
    <w:rsid w:val="00753F8D"/>
    <w:rsid w:val="00753FE5"/>
    <w:rsid w:val="00754894"/>
    <w:rsid w:val="00754AB2"/>
    <w:rsid w:val="00754C14"/>
    <w:rsid w:val="00755336"/>
    <w:rsid w:val="00755D87"/>
    <w:rsid w:val="0075651D"/>
    <w:rsid w:val="007567DE"/>
    <w:rsid w:val="00756BAA"/>
    <w:rsid w:val="00756FBD"/>
    <w:rsid w:val="007572E2"/>
    <w:rsid w:val="007574F6"/>
    <w:rsid w:val="007577CE"/>
    <w:rsid w:val="00760099"/>
    <w:rsid w:val="00760336"/>
    <w:rsid w:val="007605E4"/>
    <w:rsid w:val="00760843"/>
    <w:rsid w:val="00760A22"/>
    <w:rsid w:val="00760CCA"/>
    <w:rsid w:val="00760D70"/>
    <w:rsid w:val="007610C4"/>
    <w:rsid w:val="00761C4D"/>
    <w:rsid w:val="007624BA"/>
    <w:rsid w:val="007626CF"/>
    <w:rsid w:val="0076287E"/>
    <w:rsid w:val="00762BFC"/>
    <w:rsid w:val="00763305"/>
    <w:rsid w:val="00764E35"/>
    <w:rsid w:val="00764E46"/>
    <w:rsid w:val="00764FBF"/>
    <w:rsid w:val="00765275"/>
    <w:rsid w:val="0076549A"/>
    <w:rsid w:val="007658BD"/>
    <w:rsid w:val="007659AD"/>
    <w:rsid w:val="00765C42"/>
    <w:rsid w:val="007667B1"/>
    <w:rsid w:val="00766998"/>
    <w:rsid w:val="00766DBD"/>
    <w:rsid w:val="007670B0"/>
    <w:rsid w:val="0076742B"/>
    <w:rsid w:val="00767DD4"/>
    <w:rsid w:val="007700AC"/>
    <w:rsid w:val="0077029C"/>
    <w:rsid w:val="00770E2B"/>
    <w:rsid w:val="00770E94"/>
    <w:rsid w:val="007717E4"/>
    <w:rsid w:val="007717ED"/>
    <w:rsid w:val="00771AD4"/>
    <w:rsid w:val="00771FBD"/>
    <w:rsid w:val="00772CFB"/>
    <w:rsid w:val="0077440C"/>
    <w:rsid w:val="007745D4"/>
    <w:rsid w:val="00774731"/>
    <w:rsid w:val="00774EBA"/>
    <w:rsid w:val="007750C9"/>
    <w:rsid w:val="00776F75"/>
    <w:rsid w:val="0077766A"/>
    <w:rsid w:val="0077789E"/>
    <w:rsid w:val="007807FD"/>
    <w:rsid w:val="007815CC"/>
    <w:rsid w:val="00781731"/>
    <w:rsid w:val="00781A86"/>
    <w:rsid w:val="00781D4C"/>
    <w:rsid w:val="0078216F"/>
    <w:rsid w:val="007823BF"/>
    <w:rsid w:val="00782727"/>
    <w:rsid w:val="0078291B"/>
    <w:rsid w:val="00782A33"/>
    <w:rsid w:val="00782BE9"/>
    <w:rsid w:val="00782E23"/>
    <w:rsid w:val="0078302B"/>
    <w:rsid w:val="00783C79"/>
    <w:rsid w:val="00784034"/>
    <w:rsid w:val="007841C3"/>
    <w:rsid w:val="007843A3"/>
    <w:rsid w:val="00784816"/>
    <w:rsid w:val="0078518C"/>
    <w:rsid w:val="00785551"/>
    <w:rsid w:val="007859D0"/>
    <w:rsid w:val="00786236"/>
    <w:rsid w:val="00786390"/>
    <w:rsid w:val="00786904"/>
    <w:rsid w:val="007869AF"/>
    <w:rsid w:val="00786B64"/>
    <w:rsid w:val="007872AA"/>
    <w:rsid w:val="007876DD"/>
    <w:rsid w:val="00787A33"/>
    <w:rsid w:val="00787B91"/>
    <w:rsid w:val="00787DF6"/>
    <w:rsid w:val="00787F58"/>
    <w:rsid w:val="007902A4"/>
    <w:rsid w:val="00790396"/>
    <w:rsid w:val="0079077A"/>
    <w:rsid w:val="007912EF"/>
    <w:rsid w:val="00791954"/>
    <w:rsid w:val="00791B10"/>
    <w:rsid w:val="00792B7B"/>
    <w:rsid w:val="00792C7D"/>
    <w:rsid w:val="007930AF"/>
    <w:rsid w:val="0079311A"/>
    <w:rsid w:val="0079327E"/>
    <w:rsid w:val="0079377C"/>
    <w:rsid w:val="00793CEE"/>
    <w:rsid w:val="00793F2D"/>
    <w:rsid w:val="00794F75"/>
    <w:rsid w:val="0079511C"/>
    <w:rsid w:val="007959C4"/>
    <w:rsid w:val="00796044"/>
    <w:rsid w:val="00796084"/>
    <w:rsid w:val="0079615F"/>
    <w:rsid w:val="0079660C"/>
    <w:rsid w:val="00796948"/>
    <w:rsid w:val="00796A65"/>
    <w:rsid w:val="00796E86"/>
    <w:rsid w:val="00797496"/>
    <w:rsid w:val="0079771D"/>
    <w:rsid w:val="007979D2"/>
    <w:rsid w:val="007A00ED"/>
    <w:rsid w:val="007A0BB5"/>
    <w:rsid w:val="007A0CD4"/>
    <w:rsid w:val="007A15B2"/>
    <w:rsid w:val="007A16B3"/>
    <w:rsid w:val="007A1BD7"/>
    <w:rsid w:val="007A211B"/>
    <w:rsid w:val="007A2604"/>
    <w:rsid w:val="007A26CD"/>
    <w:rsid w:val="007A3011"/>
    <w:rsid w:val="007A33F2"/>
    <w:rsid w:val="007A5AC6"/>
    <w:rsid w:val="007A71A1"/>
    <w:rsid w:val="007A74B7"/>
    <w:rsid w:val="007A75C9"/>
    <w:rsid w:val="007A7E19"/>
    <w:rsid w:val="007B0B77"/>
    <w:rsid w:val="007B10F3"/>
    <w:rsid w:val="007B12B7"/>
    <w:rsid w:val="007B1743"/>
    <w:rsid w:val="007B17C5"/>
    <w:rsid w:val="007B199C"/>
    <w:rsid w:val="007B1D7E"/>
    <w:rsid w:val="007B1E42"/>
    <w:rsid w:val="007B33B4"/>
    <w:rsid w:val="007B35AD"/>
    <w:rsid w:val="007B3911"/>
    <w:rsid w:val="007B391B"/>
    <w:rsid w:val="007B3C6C"/>
    <w:rsid w:val="007B3D82"/>
    <w:rsid w:val="007B41E9"/>
    <w:rsid w:val="007B45F0"/>
    <w:rsid w:val="007B4650"/>
    <w:rsid w:val="007B4FDA"/>
    <w:rsid w:val="007B5441"/>
    <w:rsid w:val="007B57B9"/>
    <w:rsid w:val="007B5A0E"/>
    <w:rsid w:val="007B5C3F"/>
    <w:rsid w:val="007B6186"/>
    <w:rsid w:val="007B624B"/>
    <w:rsid w:val="007B67EB"/>
    <w:rsid w:val="007B6AB3"/>
    <w:rsid w:val="007B6FD0"/>
    <w:rsid w:val="007B764D"/>
    <w:rsid w:val="007B76A4"/>
    <w:rsid w:val="007B79E2"/>
    <w:rsid w:val="007C0586"/>
    <w:rsid w:val="007C07B5"/>
    <w:rsid w:val="007C0DBF"/>
    <w:rsid w:val="007C0F07"/>
    <w:rsid w:val="007C0F0A"/>
    <w:rsid w:val="007C101F"/>
    <w:rsid w:val="007C1682"/>
    <w:rsid w:val="007C1CC8"/>
    <w:rsid w:val="007C1E3F"/>
    <w:rsid w:val="007C1F12"/>
    <w:rsid w:val="007C3761"/>
    <w:rsid w:val="007C40F2"/>
    <w:rsid w:val="007C44B6"/>
    <w:rsid w:val="007C45AF"/>
    <w:rsid w:val="007C46A3"/>
    <w:rsid w:val="007C481E"/>
    <w:rsid w:val="007C4E16"/>
    <w:rsid w:val="007C5319"/>
    <w:rsid w:val="007C5608"/>
    <w:rsid w:val="007C5AAF"/>
    <w:rsid w:val="007C5EA9"/>
    <w:rsid w:val="007C62B6"/>
    <w:rsid w:val="007C64EB"/>
    <w:rsid w:val="007C6DEB"/>
    <w:rsid w:val="007C6EFE"/>
    <w:rsid w:val="007C7296"/>
    <w:rsid w:val="007C73AE"/>
    <w:rsid w:val="007C76B6"/>
    <w:rsid w:val="007C7882"/>
    <w:rsid w:val="007C7BCC"/>
    <w:rsid w:val="007D006E"/>
    <w:rsid w:val="007D03E4"/>
    <w:rsid w:val="007D0431"/>
    <w:rsid w:val="007D0751"/>
    <w:rsid w:val="007D0C08"/>
    <w:rsid w:val="007D0D45"/>
    <w:rsid w:val="007D10FE"/>
    <w:rsid w:val="007D12AF"/>
    <w:rsid w:val="007D12E6"/>
    <w:rsid w:val="007D1F96"/>
    <w:rsid w:val="007D209E"/>
    <w:rsid w:val="007D296E"/>
    <w:rsid w:val="007D2FC7"/>
    <w:rsid w:val="007D33FC"/>
    <w:rsid w:val="007D382E"/>
    <w:rsid w:val="007D44B3"/>
    <w:rsid w:val="007D4BE2"/>
    <w:rsid w:val="007D4CDF"/>
    <w:rsid w:val="007D4FF5"/>
    <w:rsid w:val="007D516E"/>
    <w:rsid w:val="007D57F5"/>
    <w:rsid w:val="007D5DEB"/>
    <w:rsid w:val="007D6010"/>
    <w:rsid w:val="007D6096"/>
    <w:rsid w:val="007D6571"/>
    <w:rsid w:val="007D695E"/>
    <w:rsid w:val="007D6D56"/>
    <w:rsid w:val="007D7BDC"/>
    <w:rsid w:val="007E03F0"/>
    <w:rsid w:val="007E04BA"/>
    <w:rsid w:val="007E071F"/>
    <w:rsid w:val="007E079D"/>
    <w:rsid w:val="007E0D1E"/>
    <w:rsid w:val="007E14AB"/>
    <w:rsid w:val="007E16F1"/>
    <w:rsid w:val="007E2A97"/>
    <w:rsid w:val="007E2BF3"/>
    <w:rsid w:val="007E3487"/>
    <w:rsid w:val="007E393E"/>
    <w:rsid w:val="007E394B"/>
    <w:rsid w:val="007E39CC"/>
    <w:rsid w:val="007E3C67"/>
    <w:rsid w:val="007E3E31"/>
    <w:rsid w:val="007E3F4A"/>
    <w:rsid w:val="007E3FC8"/>
    <w:rsid w:val="007E4831"/>
    <w:rsid w:val="007E4FF1"/>
    <w:rsid w:val="007E58DD"/>
    <w:rsid w:val="007E5E39"/>
    <w:rsid w:val="007E6C22"/>
    <w:rsid w:val="007E6FE0"/>
    <w:rsid w:val="007E76AF"/>
    <w:rsid w:val="007E7771"/>
    <w:rsid w:val="007E7A2E"/>
    <w:rsid w:val="007F031B"/>
    <w:rsid w:val="007F079B"/>
    <w:rsid w:val="007F07C4"/>
    <w:rsid w:val="007F07C5"/>
    <w:rsid w:val="007F0C23"/>
    <w:rsid w:val="007F103A"/>
    <w:rsid w:val="007F1055"/>
    <w:rsid w:val="007F1953"/>
    <w:rsid w:val="007F196C"/>
    <w:rsid w:val="007F22F9"/>
    <w:rsid w:val="007F2D7A"/>
    <w:rsid w:val="007F2DC6"/>
    <w:rsid w:val="007F3513"/>
    <w:rsid w:val="007F3534"/>
    <w:rsid w:val="007F38D6"/>
    <w:rsid w:val="007F439F"/>
    <w:rsid w:val="007F4988"/>
    <w:rsid w:val="007F5721"/>
    <w:rsid w:val="007F653B"/>
    <w:rsid w:val="007F6BE0"/>
    <w:rsid w:val="007F6C21"/>
    <w:rsid w:val="007F7077"/>
    <w:rsid w:val="007F7125"/>
    <w:rsid w:val="007F727F"/>
    <w:rsid w:val="007F7465"/>
    <w:rsid w:val="007F74D1"/>
    <w:rsid w:val="007F77C8"/>
    <w:rsid w:val="00801991"/>
    <w:rsid w:val="00801F2F"/>
    <w:rsid w:val="0080210B"/>
    <w:rsid w:val="0080215F"/>
    <w:rsid w:val="00802755"/>
    <w:rsid w:val="00802B84"/>
    <w:rsid w:val="00802D11"/>
    <w:rsid w:val="00802E2C"/>
    <w:rsid w:val="008032E8"/>
    <w:rsid w:val="00803300"/>
    <w:rsid w:val="008035C6"/>
    <w:rsid w:val="008038E5"/>
    <w:rsid w:val="00803D0A"/>
    <w:rsid w:val="00803E84"/>
    <w:rsid w:val="00804418"/>
    <w:rsid w:val="0080588B"/>
    <w:rsid w:val="008059B7"/>
    <w:rsid w:val="00805CD2"/>
    <w:rsid w:val="00806111"/>
    <w:rsid w:val="00806B59"/>
    <w:rsid w:val="00806F9B"/>
    <w:rsid w:val="0080753A"/>
    <w:rsid w:val="00807822"/>
    <w:rsid w:val="008078E6"/>
    <w:rsid w:val="00807A51"/>
    <w:rsid w:val="0081090C"/>
    <w:rsid w:val="00810FAC"/>
    <w:rsid w:val="008116D6"/>
    <w:rsid w:val="00811BE3"/>
    <w:rsid w:val="00811EF6"/>
    <w:rsid w:val="008120BD"/>
    <w:rsid w:val="008122A0"/>
    <w:rsid w:val="00812613"/>
    <w:rsid w:val="0081310D"/>
    <w:rsid w:val="0081315E"/>
    <w:rsid w:val="00813160"/>
    <w:rsid w:val="0081321D"/>
    <w:rsid w:val="0081340F"/>
    <w:rsid w:val="0081355E"/>
    <w:rsid w:val="00813D69"/>
    <w:rsid w:val="00814202"/>
    <w:rsid w:val="0081466F"/>
    <w:rsid w:val="008146F3"/>
    <w:rsid w:val="00814DD8"/>
    <w:rsid w:val="00814F75"/>
    <w:rsid w:val="00815912"/>
    <w:rsid w:val="00815AA6"/>
    <w:rsid w:val="00815CB1"/>
    <w:rsid w:val="00816005"/>
    <w:rsid w:val="008164F7"/>
    <w:rsid w:val="00816916"/>
    <w:rsid w:val="00816A1B"/>
    <w:rsid w:val="00816BFB"/>
    <w:rsid w:val="008172DB"/>
    <w:rsid w:val="0081742A"/>
    <w:rsid w:val="00817C59"/>
    <w:rsid w:val="00817D08"/>
    <w:rsid w:val="00817D15"/>
    <w:rsid w:val="0082009A"/>
    <w:rsid w:val="00820187"/>
    <w:rsid w:val="008203B0"/>
    <w:rsid w:val="008203C6"/>
    <w:rsid w:val="0082050E"/>
    <w:rsid w:val="008206EB"/>
    <w:rsid w:val="00820F3A"/>
    <w:rsid w:val="00821DFA"/>
    <w:rsid w:val="00822808"/>
    <w:rsid w:val="008228F3"/>
    <w:rsid w:val="0082298B"/>
    <w:rsid w:val="00822F36"/>
    <w:rsid w:val="00823434"/>
    <w:rsid w:val="0082354C"/>
    <w:rsid w:val="00823AB7"/>
    <w:rsid w:val="00823E8D"/>
    <w:rsid w:val="00824502"/>
    <w:rsid w:val="00824AE8"/>
    <w:rsid w:val="00824C72"/>
    <w:rsid w:val="00824F82"/>
    <w:rsid w:val="00825125"/>
    <w:rsid w:val="00825C4F"/>
    <w:rsid w:val="008260A3"/>
    <w:rsid w:val="008260FC"/>
    <w:rsid w:val="00826877"/>
    <w:rsid w:val="008268C4"/>
    <w:rsid w:val="008269FA"/>
    <w:rsid w:val="00826A9E"/>
    <w:rsid w:val="00826F76"/>
    <w:rsid w:val="008272DA"/>
    <w:rsid w:val="00827511"/>
    <w:rsid w:val="00827692"/>
    <w:rsid w:val="00827DB4"/>
    <w:rsid w:val="00827F56"/>
    <w:rsid w:val="0083006D"/>
    <w:rsid w:val="008301D7"/>
    <w:rsid w:val="00830862"/>
    <w:rsid w:val="00830E8C"/>
    <w:rsid w:val="00830FF0"/>
    <w:rsid w:val="008318B6"/>
    <w:rsid w:val="00831A8C"/>
    <w:rsid w:val="00831BFF"/>
    <w:rsid w:val="00832479"/>
    <w:rsid w:val="00832CAA"/>
    <w:rsid w:val="00833936"/>
    <w:rsid w:val="00833DC1"/>
    <w:rsid w:val="00834968"/>
    <w:rsid w:val="008350BD"/>
    <w:rsid w:val="0083570E"/>
    <w:rsid w:val="008357E9"/>
    <w:rsid w:val="00835C99"/>
    <w:rsid w:val="00835E85"/>
    <w:rsid w:val="008361CE"/>
    <w:rsid w:val="00836BAA"/>
    <w:rsid w:val="008374BA"/>
    <w:rsid w:val="008377F5"/>
    <w:rsid w:val="008377FC"/>
    <w:rsid w:val="0084082A"/>
    <w:rsid w:val="0084097E"/>
    <w:rsid w:val="00840C58"/>
    <w:rsid w:val="008411DC"/>
    <w:rsid w:val="008418B2"/>
    <w:rsid w:val="00841EC5"/>
    <w:rsid w:val="00841F84"/>
    <w:rsid w:val="00842202"/>
    <w:rsid w:val="00842506"/>
    <w:rsid w:val="00842EF4"/>
    <w:rsid w:val="00843050"/>
    <w:rsid w:val="0084374E"/>
    <w:rsid w:val="00843889"/>
    <w:rsid w:val="0084418D"/>
    <w:rsid w:val="0084457D"/>
    <w:rsid w:val="0084491C"/>
    <w:rsid w:val="00844BA2"/>
    <w:rsid w:val="00844CFC"/>
    <w:rsid w:val="008452B0"/>
    <w:rsid w:val="00846502"/>
    <w:rsid w:val="00847089"/>
    <w:rsid w:val="008474E0"/>
    <w:rsid w:val="0084773D"/>
    <w:rsid w:val="00850427"/>
    <w:rsid w:val="00850619"/>
    <w:rsid w:val="008511E7"/>
    <w:rsid w:val="0085141C"/>
    <w:rsid w:val="00852A52"/>
    <w:rsid w:val="00852DDC"/>
    <w:rsid w:val="00853473"/>
    <w:rsid w:val="008534DE"/>
    <w:rsid w:val="00853684"/>
    <w:rsid w:val="008538A3"/>
    <w:rsid w:val="00853EDA"/>
    <w:rsid w:val="0085516A"/>
    <w:rsid w:val="008557FE"/>
    <w:rsid w:val="00855AFF"/>
    <w:rsid w:val="00855C03"/>
    <w:rsid w:val="00856495"/>
    <w:rsid w:val="008568CA"/>
    <w:rsid w:val="00856E6C"/>
    <w:rsid w:val="008572A4"/>
    <w:rsid w:val="008573EC"/>
    <w:rsid w:val="008577CD"/>
    <w:rsid w:val="00857EE9"/>
    <w:rsid w:val="00860636"/>
    <w:rsid w:val="0086072C"/>
    <w:rsid w:val="00861305"/>
    <w:rsid w:val="00861341"/>
    <w:rsid w:val="008613B2"/>
    <w:rsid w:val="008615DE"/>
    <w:rsid w:val="00861DEF"/>
    <w:rsid w:val="008625A2"/>
    <w:rsid w:val="00862791"/>
    <w:rsid w:val="00862C12"/>
    <w:rsid w:val="00862D7B"/>
    <w:rsid w:val="00862F7F"/>
    <w:rsid w:val="008635B7"/>
    <w:rsid w:val="008639C4"/>
    <w:rsid w:val="00863A4E"/>
    <w:rsid w:val="00863C92"/>
    <w:rsid w:val="00863CA8"/>
    <w:rsid w:val="00864391"/>
    <w:rsid w:val="00864454"/>
    <w:rsid w:val="008645B8"/>
    <w:rsid w:val="00864D31"/>
    <w:rsid w:val="00865435"/>
    <w:rsid w:val="008656E9"/>
    <w:rsid w:val="0086579E"/>
    <w:rsid w:val="00865F75"/>
    <w:rsid w:val="0086615A"/>
    <w:rsid w:val="008669C2"/>
    <w:rsid w:val="00866DCE"/>
    <w:rsid w:val="0086752D"/>
    <w:rsid w:val="00867A8A"/>
    <w:rsid w:val="00867FE8"/>
    <w:rsid w:val="0087029D"/>
    <w:rsid w:val="00870A3C"/>
    <w:rsid w:val="00871C2B"/>
    <w:rsid w:val="00873187"/>
    <w:rsid w:val="00873206"/>
    <w:rsid w:val="008732E4"/>
    <w:rsid w:val="008736F3"/>
    <w:rsid w:val="00873870"/>
    <w:rsid w:val="00873A97"/>
    <w:rsid w:val="00873C10"/>
    <w:rsid w:val="00874043"/>
    <w:rsid w:val="008746BA"/>
    <w:rsid w:val="00875723"/>
    <w:rsid w:val="0087578B"/>
    <w:rsid w:val="008759F9"/>
    <w:rsid w:val="00875A15"/>
    <w:rsid w:val="00876AD2"/>
    <w:rsid w:val="00876B27"/>
    <w:rsid w:val="00876DD0"/>
    <w:rsid w:val="0087759C"/>
    <w:rsid w:val="0087779A"/>
    <w:rsid w:val="00880087"/>
    <w:rsid w:val="00880898"/>
    <w:rsid w:val="00880C05"/>
    <w:rsid w:val="00881677"/>
    <w:rsid w:val="00881808"/>
    <w:rsid w:val="00881FF7"/>
    <w:rsid w:val="0088272C"/>
    <w:rsid w:val="00882820"/>
    <w:rsid w:val="0088321D"/>
    <w:rsid w:val="00883344"/>
    <w:rsid w:val="00883522"/>
    <w:rsid w:val="0088357E"/>
    <w:rsid w:val="00883A80"/>
    <w:rsid w:val="00883B28"/>
    <w:rsid w:val="00883F75"/>
    <w:rsid w:val="0088478C"/>
    <w:rsid w:val="00884968"/>
    <w:rsid w:val="00884BF5"/>
    <w:rsid w:val="00884DD7"/>
    <w:rsid w:val="00885560"/>
    <w:rsid w:val="00885D2D"/>
    <w:rsid w:val="0088685F"/>
    <w:rsid w:val="00887418"/>
    <w:rsid w:val="00887923"/>
    <w:rsid w:val="00887A1A"/>
    <w:rsid w:val="00890A4B"/>
    <w:rsid w:val="00890D0A"/>
    <w:rsid w:val="00890EC4"/>
    <w:rsid w:val="00890F48"/>
    <w:rsid w:val="008910EC"/>
    <w:rsid w:val="00891A40"/>
    <w:rsid w:val="00891AE6"/>
    <w:rsid w:val="00891CB4"/>
    <w:rsid w:val="00892295"/>
    <w:rsid w:val="008925C1"/>
    <w:rsid w:val="008928DD"/>
    <w:rsid w:val="00892EC1"/>
    <w:rsid w:val="00892ED9"/>
    <w:rsid w:val="0089312C"/>
    <w:rsid w:val="00893148"/>
    <w:rsid w:val="00893D62"/>
    <w:rsid w:val="00893F37"/>
    <w:rsid w:val="00894C78"/>
    <w:rsid w:val="0089521C"/>
    <w:rsid w:val="0089534D"/>
    <w:rsid w:val="008955F6"/>
    <w:rsid w:val="008961BF"/>
    <w:rsid w:val="00896E13"/>
    <w:rsid w:val="0089767B"/>
    <w:rsid w:val="00897973"/>
    <w:rsid w:val="00897E4E"/>
    <w:rsid w:val="008A01F5"/>
    <w:rsid w:val="008A0241"/>
    <w:rsid w:val="008A02CA"/>
    <w:rsid w:val="008A02F7"/>
    <w:rsid w:val="008A0508"/>
    <w:rsid w:val="008A12A7"/>
    <w:rsid w:val="008A1A6B"/>
    <w:rsid w:val="008A1E85"/>
    <w:rsid w:val="008A21AE"/>
    <w:rsid w:val="008A2C85"/>
    <w:rsid w:val="008A3612"/>
    <w:rsid w:val="008A483A"/>
    <w:rsid w:val="008A4D66"/>
    <w:rsid w:val="008A4D6D"/>
    <w:rsid w:val="008A4FE4"/>
    <w:rsid w:val="008A5C36"/>
    <w:rsid w:val="008A610F"/>
    <w:rsid w:val="008A6F22"/>
    <w:rsid w:val="008A7325"/>
    <w:rsid w:val="008A7432"/>
    <w:rsid w:val="008A76F6"/>
    <w:rsid w:val="008B06C5"/>
    <w:rsid w:val="008B0ECF"/>
    <w:rsid w:val="008B10E2"/>
    <w:rsid w:val="008B11D7"/>
    <w:rsid w:val="008B1729"/>
    <w:rsid w:val="008B18E3"/>
    <w:rsid w:val="008B1922"/>
    <w:rsid w:val="008B1ACC"/>
    <w:rsid w:val="008B1B8D"/>
    <w:rsid w:val="008B1B9F"/>
    <w:rsid w:val="008B1DEE"/>
    <w:rsid w:val="008B204B"/>
    <w:rsid w:val="008B3901"/>
    <w:rsid w:val="008B394C"/>
    <w:rsid w:val="008B3CE4"/>
    <w:rsid w:val="008B4192"/>
    <w:rsid w:val="008B41AB"/>
    <w:rsid w:val="008B42D0"/>
    <w:rsid w:val="008B43CF"/>
    <w:rsid w:val="008B43F6"/>
    <w:rsid w:val="008B459E"/>
    <w:rsid w:val="008B4D5E"/>
    <w:rsid w:val="008B4DF6"/>
    <w:rsid w:val="008B4EFE"/>
    <w:rsid w:val="008B53E1"/>
    <w:rsid w:val="008B55A6"/>
    <w:rsid w:val="008B5DD4"/>
    <w:rsid w:val="008B5E8D"/>
    <w:rsid w:val="008B6143"/>
    <w:rsid w:val="008B63E7"/>
    <w:rsid w:val="008B6CD8"/>
    <w:rsid w:val="008B6D15"/>
    <w:rsid w:val="008B6E07"/>
    <w:rsid w:val="008B6E1E"/>
    <w:rsid w:val="008B79E1"/>
    <w:rsid w:val="008B7B6E"/>
    <w:rsid w:val="008B7C12"/>
    <w:rsid w:val="008B7E28"/>
    <w:rsid w:val="008C012A"/>
    <w:rsid w:val="008C067F"/>
    <w:rsid w:val="008C082B"/>
    <w:rsid w:val="008C0919"/>
    <w:rsid w:val="008C0AF5"/>
    <w:rsid w:val="008C0D14"/>
    <w:rsid w:val="008C1050"/>
    <w:rsid w:val="008C1505"/>
    <w:rsid w:val="008C166B"/>
    <w:rsid w:val="008C273F"/>
    <w:rsid w:val="008C2B61"/>
    <w:rsid w:val="008C2BAD"/>
    <w:rsid w:val="008C2F5D"/>
    <w:rsid w:val="008C2F9D"/>
    <w:rsid w:val="008C3330"/>
    <w:rsid w:val="008C3915"/>
    <w:rsid w:val="008C39CE"/>
    <w:rsid w:val="008C44F3"/>
    <w:rsid w:val="008C4A04"/>
    <w:rsid w:val="008C598F"/>
    <w:rsid w:val="008C5D41"/>
    <w:rsid w:val="008C664F"/>
    <w:rsid w:val="008C6825"/>
    <w:rsid w:val="008C6B74"/>
    <w:rsid w:val="008C70E9"/>
    <w:rsid w:val="008C71E1"/>
    <w:rsid w:val="008C7215"/>
    <w:rsid w:val="008C7216"/>
    <w:rsid w:val="008D0307"/>
    <w:rsid w:val="008D0535"/>
    <w:rsid w:val="008D1A48"/>
    <w:rsid w:val="008D1B70"/>
    <w:rsid w:val="008D1F24"/>
    <w:rsid w:val="008D2365"/>
    <w:rsid w:val="008D2595"/>
    <w:rsid w:val="008D2781"/>
    <w:rsid w:val="008D27FD"/>
    <w:rsid w:val="008D29FC"/>
    <w:rsid w:val="008D2B68"/>
    <w:rsid w:val="008D32BC"/>
    <w:rsid w:val="008D354B"/>
    <w:rsid w:val="008D371E"/>
    <w:rsid w:val="008D382A"/>
    <w:rsid w:val="008D3E42"/>
    <w:rsid w:val="008D4658"/>
    <w:rsid w:val="008D5719"/>
    <w:rsid w:val="008D5747"/>
    <w:rsid w:val="008D5CEF"/>
    <w:rsid w:val="008D6501"/>
    <w:rsid w:val="008D6554"/>
    <w:rsid w:val="008D67BE"/>
    <w:rsid w:val="008D6A52"/>
    <w:rsid w:val="008D72FB"/>
    <w:rsid w:val="008D7641"/>
    <w:rsid w:val="008D76F8"/>
    <w:rsid w:val="008D7778"/>
    <w:rsid w:val="008D7956"/>
    <w:rsid w:val="008D7AE2"/>
    <w:rsid w:val="008D7B16"/>
    <w:rsid w:val="008D7FDC"/>
    <w:rsid w:val="008E044F"/>
    <w:rsid w:val="008E05D7"/>
    <w:rsid w:val="008E0ADA"/>
    <w:rsid w:val="008E0B48"/>
    <w:rsid w:val="008E0D9E"/>
    <w:rsid w:val="008E12E4"/>
    <w:rsid w:val="008E156D"/>
    <w:rsid w:val="008E17FB"/>
    <w:rsid w:val="008E1AE4"/>
    <w:rsid w:val="008E1E7A"/>
    <w:rsid w:val="008E2C9A"/>
    <w:rsid w:val="008E2DC3"/>
    <w:rsid w:val="008E2EFB"/>
    <w:rsid w:val="008E307E"/>
    <w:rsid w:val="008E3207"/>
    <w:rsid w:val="008E3468"/>
    <w:rsid w:val="008E35D8"/>
    <w:rsid w:val="008E371C"/>
    <w:rsid w:val="008E39D4"/>
    <w:rsid w:val="008E55F4"/>
    <w:rsid w:val="008E58C8"/>
    <w:rsid w:val="008E5D6D"/>
    <w:rsid w:val="008E5E57"/>
    <w:rsid w:val="008E5FC3"/>
    <w:rsid w:val="008E6820"/>
    <w:rsid w:val="008E6B1B"/>
    <w:rsid w:val="008E6B3C"/>
    <w:rsid w:val="008E6F9C"/>
    <w:rsid w:val="008E724A"/>
    <w:rsid w:val="008E72E2"/>
    <w:rsid w:val="008E74EB"/>
    <w:rsid w:val="008E75B1"/>
    <w:rsid w:val="008E7619"/>
    <w:rsid w:val="008E78FD"/>
    <w:rsid w:val="008E7992"/>
    <w:rsid w:val="008F01CC"/>
    <w:rsid w:val="008F032D"/>
    <w:rsid w:val="008F0827"/>
    <w:rsid w:val="008F1A89"/>
    <w:rsid w:val="008F1BC1"/>
    <w:rsid w:val="008F2E42"/>
    <w:rsid w:val="008F30E0"/>
    <w:rsid w:val="008F3237"/>
    <w:rsid w:val="008F34D4"/>
    <w:rsid w:val="008F37F2"/>
    <w:rsid w:val="008F396C"/>
    <w:rsid w:val="008F3CA2"/>
    <w:rsid w:val="008F4767"/>
    <w:rsid w:val="008F49CF"/>
    <w:rsid w:val="008F4AA8"/>
    <w:rsid w:val="008F58C5"/>
    <w:rsid w:val="008F5CC4"/>
    <w:rsid w:val="008F60A0"/>
    <w:rsid w:val="008F60E8"/>
    <w:rsid w:val="008F6595"/>
    <w:rsid w:val="008F6CD0"/>
    <w:rsid w:val="008F74C0"/>
    <w:rsid w:val="008F7D5F"/>
    <w:rsid w:val="00900B47"/>
    <w:rsid w:val="00900C13"/>
    <w:rsid w:val="00901292"/>
    <w:rsid w:val="00901747"/>
    <w:rsid w:val="009017D1"/>
    <w:rsid w:val="00901DE4"/>
    <w:rsid w:val="00902261"/>
    <w:rsid w:val="009035FC"/>
    <w:rsid w:val="009040EE"/>
    <w:rsid w:val="00904745"/>
    <w:rsid w:val="00904914"/>
    <w:rsid w:val="00904BDF"/>
    <w:rsid w:val="00905633"/>
    <w:rsid w:val="00906202"/>
    <w:rsid w:val="00906251"/>
    <w:rsid w:val="009065A1"/>
    <w:rsid w:val="009069AE"/>
    <w:rsid w:val="00906D8F"/>
    <w:rsid w:val="00907419"/>
    <w:rsid w:val="009077DB"/>
    <w:rsid w:val="009078BC"/>
    <w:rsid w:val="00907C86"/>
    <w:rsid w:val="00907CB6"/>
    <w:rsid w:val="0090C2AE"/>
    <w:rsid w:val="009100B1"/>
    <w:rsid w:val="00910B49"/>
    <w:rsid w:val="00910F64"/>
    <w:rsid w:val="00911264"/>
    <w:rsid w:val="00911392"/>
    <w:rsid w:val="0091197B"/>
    <w:rsid w:val="00911AAE"/>
    <w:rsid w:val="00911DC0"/>
    <w:rsid w:val="00912044"/>
    <w:rsid w:val="00912868"/>
    <w:rsid w:val="009129EA"/>
    <w:rsid w:val="00913054"/>
    <w:rsid w:val="0091352B"/>
    <w:rsid w:val="00913B2F"/>
    <w:rsid w:val="00913D09"/>
    <w:rsid w:val="00914059"/>
    <w:rsid w:val="009140E8"/>
    <w:rsid w:val="009141C6"/>
    <w:rsid w:val="00914DBF"/>
    <w:rsid w:val="00915162"/>
    <w:rsid w:val="00915345"/>
    <w:rsid w:val="00916547"/>
    <w:rsid w:val="00916949"/>
    <w:rsid w:val="00916F23"/>
    <w:rsid w:val="00916F7C"/>
    <w:rsid w:val="0091736D"/>
    <w:rsid w:val="00917603"/>
    <w:rsid w:val="00917ABF"/>
    <w:rsid w:val="00917BD6"/>
    <w:rsid w:val="0092041D"/>
    <w:rsid w:val="00920C10"/>
    <w:rsid w:val="00920DCC"/>
    <w:rsid w:val="00921AB8"/>
    <w:rsid w:val="00921EFF"/>
    <w:rsid w:val="009220AA"/>
    <w:rsid w:val="00922442"/>
    <w:rsid w:val="009224C7"/>
    <w:rsid w:val="00922AC4"/>
    <w:rsid w:val="00922FDF"/>
    <w:rsid w:val="00923976"/>
    <w:rsid w:val="00923BB3"/>
    <w:rsid w:val="00923BBF"/>
    <w:rsid w:val="00923EDC"/>
    <w:rsid w:val="0092443C"/>
    <w:rsid w:val="009244D9"/>
    <w:rsid w:val="00924BAD"/>
    <w:rsid w:val="00924C03"/>
    <w:rsid w:val="00924CB6"/>
    <w:rsid w:val="00924D07"/>
    <w:rsid w:val="009252EC"/>
    <w:rsid w:val="009254D8"/>
    <w:rsid w:val="00925586"/>
    <w:rsid w:val="009256C4"/>
    <w:rsid w:val="00925D82"/>
    <w:rsid w:val="00925F91"/>
    <w:rsid w:val="00926A21"/>
    <w:rsid w:val="009300B5"/>
    <w:rsid w:val="0093084F"/>
    <w:rsid w:val="0093091D"/>
    <w:rsid w:val="00930D3F"/>
    <w:rsid w:val="00931A1E"/>
    <w:rsid w:val="00931B18"/>
    <w:rsid w:val="00931EF7"/>
    <w:rsid w:val="009325CE"/>
    <w:rsid w:val="00932644"/>
    <w:rsid w:val="009328BB"/>
    <w:rsid w:val="00932BF4"/>
    <w:rsid w:val="00932E87"/>
    <w:rsid w:val="00932F29"/>
    <w:rsid w:val="00933026"/>
    <w:rsid w:val="00933AB1"/>
    <w:rsid w:val="0093400A"/>
    <w:rsid w:val="00934148"/>
    <w:rsid w:val="009346F0"/>
    <w:rsid w:val="00934B30"/>
    <w:rsid w:val="00934DDD"/>
    <w:rsid w:val="00935037"/>
    <w:rsid w:val="00935439"/>
    <w:rsid w:val="00935547"/>
    <w:rsid w:val="00935CF8"/>
    <w:rsid w:val="00935F00"/>
    <w:rsid w:val="00935FE5"/>
    <w:rsid w:val="0093684E"/>
    <w:rsid w:val="00936EDB"/>
    <w:rsid w:val="009371B4"/>
    <w:rsid w:val="00937443"/>
    <w:rsid w:val="00937A0F"/>
    <w:rsid w:val="00937FD9"/>
    <w:rsid w:val="00940003"/>
    <w:rsid w:val="0094055B"/>
    <w:rsid w:val="00941EED"/>
    <w:rsid w:val="00941F93"/>
    <w:rsid w:val="009423F8"/>
    <w:rsid w:val="00942721"/>
    <w:rsid w:val="00942AF3"/>
    <w:rsid w:val="00942F54"/>
    <w:rsid w:val="00943064"/>
    <w:rsid w:val="00943637"/>
    <w:rsid w:val="009437EB"/>
    <w:rsid w:val="00943B1E"/>
    <w:rsid w:val="00943B63"/>
    <w:rsid w:val="00943CEF"/>
    <w:rsid w:val="00943E9D"/>
    <w:rsid w:val="0094443E"/>
    <w:rsid w:val="009445CF"/>
    <w:rsid w:val="009447F6"/>
    <w:rsid w:val="00944FC9"/>
    <w:rsid w:val="009450C0"/>
    <w:rsid w:val="00945284"/>
    <w:rsid w:val="00945333"/>
    <w:rsid w:val="00945C6F"/>
    <w:rsid w:val="009465BF"/>
    <w:rsid w:val="00946F6C"/>
    <w:rsid w:val="0094720C"/>
    <w:rsid w:val="0094729A"/>
    <w:rsid w:val="00947E08"/>
    <w:rsid w:val="00951707"/>
    <w:rsid w:val="009519AC"/>
    <w:rsid w:val="00951AA7"/>
    <w:rsid w:val="00951BA1"/>
    <w:rsid w:val="00951F38"/>
    <w:rsid w:val="009520C8"/>
    <w:rsid w:val="00952565"/>
    <w:rsid w:val="009527B2"/>
    <w:rsid w:val="00953BF7"/>
    <w:rsid w:val="009540FF"/>
    <w:rsid w:val="0095628B"/>
    <w:rsid w:val="0095651B"/>
    <w:rsid w:val="00956745"/>
    <w:rsid w:val="00956894"/>
    <w:rsid w:val="009575B7"/>
    <w:rsid w:val="0095765D"/>
    <w:rsid w:val="00961B2F"/>
    <w:rsid w:val="00961C1F"/>
    <w:rsid w:val="00962885"/>
    <w:rsid w:val="00962971"/>
    <w:rsid w:val="00962CA1"/>
    <w:rsid w:val="00962F93"/>
    <w:rsid w:val="00963132"/>
    <w:rsid w:val="00963136"/>
    <w:rsid w:val="00963186"/>
    <w:rsid w:val="00963214"/>
    <w:rsid w:val="0096372E"/>
    <w:rsid w:val="00963F94"/>
    <w:rsid w:val="00964009"/>
    <w:rsid w:val="00964382"/>
    <w:rsid w:val="009649A7"/>
    <w:rsid w:val="00964AA1"/>
    <w:rsid w:val="00966D51"/>
    <w:rsid w:val="00967179"/>
    <w:rsid w:val="00967588"/>
    <w:rsid w:val="0096799F"/>
    <w:rsid w:val="00967F9D"/>
    <w:rsid w:val="00970305"/>
    <w:rsid w:val="00970A70"/>
    <w:rsid w:val="00971085"/>
    <w:rsid w:val="00971783"/>
    <w:rsid w:val="009718E9"/>
    <w:rsid w:val="00971BAA"/>
    <w:rsid w:val="00972078"/>
    <w:rsid w:val="009720E0"/>
    <w:rsid w:val="009733CC"/>
    <w:rsid w:val="00973677"/>
    <w:rsid w:val="0097380D"/>
    <w:rsid w:val="009746C3"/>
    <w:rsid w:val="0097617C"/>
    <w:rsid w:val="009766B0"/>
    <w:rsid w:val="009767E4"/>
    <w:rsid w:val="00976A06"/>
    <w:rsid w:val="00976CC6"/>
    <w:rsid w:val="00977032"/>
    <w:rsid w:val="009770FF"/>
    <w:rsid w:val="00977156"/>
    <w:rsid w:val="009774B4"/>
    <w:rsid w:val="009776FD"/>
    <w:rsid w:val="00977F67"/>
    <w:rsid w:val="0098027F"/>
    <w:rsid w:val="00980E02"/>
    <w:rsid w:val="009811F5"/>
    <w:rsid w:val="009814DE"/>
    <w:rsid w:val="00981DE0"/>
    <w:rsid w:val="00981ECF"/>
    <w:rsid w:val="00982497"/>
    <w:rsid w:val="00983218"/>
    <w:rsid w:val="00983438"/>
    <w:rsid w:val="00983671"/>
    <w:rsid w:val="009838D7"/>
    <w:rsid w:val="00983AB3"/>
    <w:rsid w:val="00984222"/>
    <w:rsid w:val="00984428"/>
    <w:rsid w:val="0098479D"/>
    <w:rsid w:val="0098541D"/>
    <w:rsid w:val="0098578D"/>
    <w:rsid w:val="00985B30"/>
    <w:rsid w:val="00985BF0"/>
    <w:rsid w:val="00986042"/>
    <w:rsid w:val="00986326"/>
    <w:rsid w:val="009866D7"/>
    <w:rsid w:val="00986F6A"/>
    <w:rsid w:val="0098795C"/>
    <w:rsid w:val="00987DA2"/>
    <w:rsid w:val="0099060F"/>
    <w:rsid w:val="009907E4"/>
    <w:rsid w:val="00990819"/>
    <w:rsid w:val="009908C1"/>
    <w:rsid w:val="00990AEB"/>
    <w:rsid w:val="00990BB7"/>
    <w:rsid w:val="00990D40"/>
    <w:rsid w:val="0099137E"/>
    <w:rsid w:val="0099238E"/>
    <w:rsid w:val="009926E3"/>
    <w:rsid w:val="00992D18"/>
    <w:rsid w:val="0099314B"/>
    <w:rsid w:val="00993675"/>
    <w:rsid w:val="00993868"/>
    <w:rsid w:val="00993926"/>
    <w:rsid w:val="0099399F"/>
    <w:rsid w:val="0099494B"/>
    <w:rsid w:val="00995284"/>
    <w:rsid w:val="00996558"/>
    <w:rsid w:val="00996925"/>
    <w:rsid w:val="00996A0D"/>
    <w:rsid w:val="00996D80"/>
    <w:rsid w:val="00996DEB"/>
    <w:rsid w:val="00997A94"/>
    <w:rsid w:val="00997F95"/>
    <w:rsid w:val="009A0018"/>
    <w:rsid w:val="009A02D0"/>
    <w:rsid w:val="009A051F"/>
    <w:rsid w:val="009A0C6A"/>
    <w:rsid w:val="009A1316"/>
    <w:rsid w:val="009A1354"/>
    <w:rsid w:val="009A193D"/>
    <w:rsid w:val="009A1E58"/>
    <w:rsid w:val="009A24C7"/>
    <w:rsid w:val="009A28C0"/>
    <w:rsid w:val="009A2C95"/>
    <w:rsid w:val="009A2CE5"/>
    <w:rsid w:val="009A33C4"/>
    <w:rsid w:val="009A3518"/>
    <w:rsid w:val="009A3930"/>
    <w:rsid w:val="009A48C5"/>
    <w:rsid w:val="009A54B9"/>
    <w:rsid w:val="009A5702"/>
    <w:rsid w:val="009A6487"/>
    <w:rsid w:val="009A6E24"/>
    <w:rsid w:val="009A70BD"/>
    <w:rsid w:val="009A7270"/>
    <w:rsid w:val="009A7285"/>
    <w:rsid w:val="009A73BC"/>
    <w:rsid w:val="009A7DAA"/>
    <w:rsid w:val="009B03F6"/>
    <w:rsid w:val="009B10ED"/>
    <w:rsid w:val="009B1234"/>
    <w:rsid w:val="009B1971"/>
    <w:rsid w:val="009B1F21"/>
    <w:rsid w:val="009B2067"/>
    <w:rsid w:val="009B2EA0"/>
    <w:rsid w:val="009B302F"/>
    <w:rsid w:val="009B3B47"/>
    <w:rsid w:val="009B3EB7"/>
    <w:rsid w:val="009B3F34"/>
    <w:rsid w:val="009B3F90"/>
    <w:rsid w:val="009B3FE4"/>
    <w:rsid w:val="009B40A8"/>
    <w:rsid w:val="009B4184"/>
    <w:rsid w:val="009B424E"/>
    <w:rsid w:val="009B45F7"/>
    <w:rsid w:val="009B46AC"/>
    <w:rsid w:val="009B4E3A"/>
    <w:rsid w:val="009B5035"/>
    <w:rsid w:val="009B53BB"/>
    <w:rsid w:val="009B54D2"/>
    <w:rsid w:val="009B59A4"/>
    <w:rsid w:val="009B5EE2"/>
    <w:rsid w:val="009B625B"/>
    <w:rsid w:val="009B62C7"/>
    <w:rsid w:val="009B62D7"/>
    <w:rsid w:val="009B6B48"/>
    <w:rsid w:val="009B6C7F"/>
    <w:rsid w:val="009B7334"/>
    <w:rsid w:val="009B749E"/>
    <w:rsid w:val="009B7DDD"/>
    <w:rsid w:val="009C00D7"/>
    <w:rsid w:val="009C0621"/>
    <w:rsid w:val="009C12A1"/>
    <w:rsid w:val="009C1436"/>
    <w:rsid w:val="009C199F"/>
    <w:rsid w:val="009C1B8E"/>
    <w:rsid w:val="009C1C65"/>
    <w:rsid w:val="009C2AD1"/>
    <w:rsid w:val="009C30AF"/>
    <w:rsid w:val="009C3239"/>
    <w:rsid w:val="009C3365"/>
    <w:rsid w:val="009C36A5"/>
    <w:rsid w:val="009C3854"/>
    <w:rsid w:val="009C3CF8"/>
    <w:rsid w:val="009C4BFD"/>
    <w:rsid w:val="009C4F94"/>
    <w:rsid w:val="009C5100"/>
    <w:rsid w:val="009C53C8"/>
    <w:rsid w:val="009C60E3"/>
    <w:rsid w:val="009C6DD6"/>
    <w:rsid w:val="009C70B2"/>
    <w:rsid w:val="009C7126"/>
    <w:rsid w:val="009C73E1"/>
    <w:rsid w:val="009C790C"/>
    <w:rsid w:val="009C7A8D"/>
    <w:rsid w:val="009C7B48"/>
    <w:rsid w:val="009C7BB3"/>
    <w:rsid w:val="009D032C"/>
    <w:rsid w:val="009D0460"/>
    <w:rsid w:val="009D04E1"/>
    <w:rsid w:val="009D0521"/>
    <w:rsid w:val="009D061D"/>
    <w:rsid w:val="009D0ADC"/>
    <w:rsid w:val="009D0DF4"/>
    <w:rsid w:val="009D0F56"/>
    <w:rsid w:val="009D1077"/>
    <w:rsid w:val="009D1424"/>
    <w:rsid w:val="009D148B"/>
    <w:rsid w:val="009D17EC"/>
    <w:rsid w:val="009D1915"/>
    <w:rsid w:val="009D1C0A"/>
    <w:rsid w:val="009D23C5"/>
    <w:rsid w:val="009D26DC"/>
    <w:rsid w:val="009D311F"/>
    <w:rsid w:val="009D33AE"/>
    <w:rsid w:val="009D38AA"/>
    <w:rsid w:val="009D3AEC"/>
    <w:rsid w:val="009D3C1C"/>
    <w:rsid w:val="009D3F40"/>
    <w:rsid w:val="009D3F5D"/>
    <w:rsid w:val="009D40A6"/>
    <w:rsid w:val="009D47DC"/>
    <w:rsid w:val="009D4BC6"/>
    <w:rsid w:val="009D50DF"/>
    <w:rsid w:val="009D57F5"/>
    <w:rsid w:val="009D5EBA"/>
    <w:rsid w:val="009D60E3"/>
    <w:rsid w:val="009D60F4"/>
    <w:rsid w:val="009D62A4"/>
    <w:rsid w:val="009D699E"/>
    <w:rsid w:val="009D6E84"/>
    <w:rsid w:val="009D6EAB"/>
    <w:rsid w:val="009D754B"/>
    <w:rsid w:val="009D7C4E"/>
    <w:rsid w:val="009E02A4"/>
    <w:rsid w:val="009E044C"/>
    <w:rsid w:val="009E06A6"/>
    <w:rsid w:val="009E0B31"/>
    <w:rsid w:val="009E0D1C"/>
    <w:rsid w:val="009E12EB"/>
    <w:rsid w:val="009E19D7"/>
    <w:rsid w:val="009E22B6"/>
    <w:rsid w:val="009E2531"/>
    <w:rsid w:val="009E2616"/>
    <w:rsid w:val="009E2E2F"/>
    <w:rsid w:val="009E2E5B"/>
    <w:rsid w:val="009E3555"/>
    <w:rsid w:val="009E3CC3"/>
    <w:rsid w:val="009E3CDB"/>
    <w:rsid w:val="009E436C"/>
    <w:rsid w:val="009E4C81"/>
    <w:rsid w:val="009E51AB"/>
    <w:rsid w:val="009E557C"/>
    <w:rsid w:val="009E568C"/>
    <w:rsid w:val="009E5913"/>
    <w:rsid w:val="009E5EC8"/>
    <w:rsid w:val="009E6102"/>
    <w:rsid w:val="009E652F"/>
    <w:rsid w:val="009E66EF"/>
    <w:rsid w:val="009E69A8"/>
    <w:rsid w:val="009E6C25"/>
    <w:rsid w:val="009E7285"/>
    <w:rsid w:val="009E7A7C"/>
    <w:rsid w:val="009E7FAB"/>
    <w:rsid w:val="009F0161"/>
    <w:rsid w:val="009F0683"/>
    <w:rsid w:val="009F0DD4"/>
    <w:rsid w:val="009F133F"/>
    <w:rsid w:val="009F14B7"/>
    <w:rsid w:val="009F1DDD"/>
    <w:rsid w:val="009F24B3"/>
    <w:rsid w:val="009F2A79"/>
    <w:rsid w:val="009F2CC3"/>
    <w:rsid w:val="009F2CD8"/>
    <w:rsid w:val="009F2FA5"/>
    <w:rsid w:val="009F3265"/>
    <w:rsid w:val="009F4297"/>
    <w:rsid w:val="009F459D"/>
    <w:rsid w:val="009F4AE8"/>
    <w:rsid w:val="009F4EFC"/>
    <w:rsid w:val="009F4FB0"/>
    <w:rsid w:val="009F52A5"/>
    <w:rsid w:val="009F58D7"/>
    <w:rsid w:val="009F5F14"/>
    <w:rsid w:val="009F6AC9"/>
    <w:rsid w:val="009F6CA7"/>
    <w:rsid w:val="009F6E90"/>
    <w:rsid w:val="009F6FAA"/>
    <w:rsid w:val="009F75A2"/>
    <w:rsid w:val="00A0046E"/>
    <w:rsid w:val="00A00838"/>
    <w:rsid w:val="00A00967"/>
    <w:rsid w:val="00A01F0B"/>
    <w:rsid w:val="00A020AA"/>
    <w:rsid w:val="00A025E0"/>
    <w:rsid w:val="00A02B30"/>
    <w:rsid w:val="00A02E24"/>
    <w:rsid w:val="00A0344A"/>
    <w:rsid w:val="00A04935"/>
    <w:rsid w:val="00A051FB"/>
    <w:rsid w:val="00A0634A"/>
    <w:rsid w:val="00A06C89"/>
    <w:rsid w:val="00A06F82"/>
    <w:rsid w:val="00A0708A"/>
    <w:rsid w:val="00A070CE"/>
    <w:rsid w:val="00A07368"/>
    <w:rsid w:val="00A07596"/>
    <w:rsid w:val="00A07BBC"/>
    <w:rsid w:val="00A07C48"/>
    <w:rsid w:val="00A07FAA"/>
    <w:rsid w:val="00A07FCC"/>
    <w:rsid w:val="00A10234"/>
    <w:rsid w:val="00A105A9"/>
    <w:rsid w:val="00A106D7"/>
    <w:rsid w:val="00A108DE"/>
    <w:rsid w:val="00A117DB"/>
    <w:rsid w:val="00A11E11"/>
    <w:rsid w:val="00A127B4"/>
    <w:rsid w:val="00A12C40"/>
    <w:rsid w:val="00A130D9"/>
    <w:rsid w:val="00A132E5"/>
    <w:rsid w:val="00A135A0"/>
    <w:rsid w:val="00A13A2F"/>
    <w:rsid w:val="00A13CEB"/>
    <w:rsid w:val="00A14416"/>
    <w:rsid w:val="00A145B8"/>
    <w:rsid w:val="00A1469A"/>
    <w:rsid w:val="00A14A00"/>
    <w:rsid w:val="00A14CBA"/>
    <w:rsid w:val="00A14EA6"/>
    <w:rsid w:val="00A1532A"/>
    <w:rsid w:val="00A1571F"/>
    <w:rsid w:val="00A15BCB"/>
    <w:rsid w:val="00A15C55"/>
    <w:rsid w:val="00A15C99"/>
    <w:rsid w:val="00A1612B"/>
    <w:rsid w:val="00A1662C"/>
    <w:rsid w:val="00A16638"/>
    <w:rsid w:val="00A173A4"/>
    <w:rsid w:val="00A17DEA"/>
    <w:rsid w:val="00A2020E"/>
    <w:rsid w:val="00A202D7"/>
    <w:rsid w:val="00A204E0"/>
    <w:rsid w:val="00A20D48"/>
    <w:rsid w:val="00A214F6"/>
    <w:rsid w:val="00A21A0E"/>
    <w:rsid w:val="00A21A6C"/>
    <w:rsid w:val="00A21D82"/>
    <w:rsid w:val="00A2209A"/>
    <w:rsid w:val="00A22721"/>
    <w:rsid w:val="00A22E7C"/>
    <w:rsid w:val="00A22FBE"/>
    <w:rsid w:val="00A23147"/>
    <w:rsid w:val="00A23B74"/>
    <w:rsid w:val="00A23C47"/>
    <w:rsid w:val="00A2402F"/>
    <w:rsid w:val="00A24657"/>
    <w:rsid w:val="00A247C6"/>
    <w:rsid w:val="00A249F6"/>
    <w:rsid w:val="00A2566D"/>
    <w:rsid w:val="00A25F4F"/>
    <w:rsid w:val="00A2603E"/>
    <w:rsid w:val="00A260C1"/>
    <w:rsid w:val="00A264F7"/>
    <w:rsid w:val="00A26885"/>
    <w:rsid w:val="00A27718"/>
    <w:rsid w:val="00A2787E"/>
    <w:rsid w:val="00A27CC8"/>
    <w:rsid w:val="00A27ECD"/>
    <w:rsid w:val="00A30564"/>
    <w:rsid w:val="00A305B5"/>
    <w:rsid w:val="00A306EF"/>
    <w:rsid w:val="00A30879"/>
    <w:rsid w:val="00A30DF1"/>
    <w:rsid w:val="00A312EF"/>
    <w:rsid w:val="00A32A5E"/>
    <w:rsid w:val="00A32E6A"/>
    <w:rsid w:val="00A32EB4"/>
    <w:rsid w:val="00A32F23"/>
    <w:rsid w:val="00A33027"/>
    <w:rsid w:val="00A333E6"/>
    <w:rsid w:val="00A33A45"/>
    <w:rsid w:val="00A33D0F"/>
    <w:rsid w:val="00A344CE"/>
    <w:rsid w:val="00A347DA"/>
    <w:rsid w:val="00A34DF1"/>
    <w:rsid w:val="00A34E7B"/>
    <w:rsid w:val="00A35F8A"/>
    <w:rsid w:val="00A361CD"/>
    <w:rsid w:val="00A36520"/>
    <w:rsid w:val="00A36626"/>
    <w:rsid w:val="00A36CC4"/>
    <w:rsid w:val="00A37197"/>
    <w:rsid w:val="00A37E8D"/>
    <w:rsid w:val="00A37FDA"/>
    <w:rsid w:val="00A401A8"/>
    <w:rsid w:val="00A40D41"/>
    <w:rsid w:val="00A40ECC"/>
    <w:rsid w:val="00A4116D"/>
    <w:rsid w:val="00A41496"/>
    <w:rsid w:val="00A41756"/>
    <w:rsid w:val="00A41F91"/>
    <w:rsid w:val="00A42273"/>
    <w:rsid w:val="00A422DF"/>
    <w:rsid w:val="00A4314C"/>
    <w:rsid w:val="00A432F9"/>
    <w:rsid w:val="00A433ED"/>
    <w:rsid w:val="00A4357F"/>
    <w:rsid w:val="00A438F8"/>
    <w:rsid w:val="00A43B61"/>
    <w:rsid w:val="00A43F37"/>
    <w:rsid w:val="00A441ED"/>
    <w:rsid w:val="00A44234"/>
    <w:rsid w:val="00A44A51"/>
    <w:rsid w:val="00A44B10"/>
    <w:rsid w:val="00A44B45"/>
    <w:rsid w:val="00A44F2D"/>
    <w:rsid w:val="00A45075"/>
    <w:rsid w:val="00A4527D"/>
    <w:rsid w:val="00A453B0"/>
    <w:rsid w:val="00A453C1"/>
    <w:rsid w:val="00A454D9"/>
    <w:rsid w:val="00A458D5"/>
    <w:rsid w:val="00A458E5"/>
    <w:rsid w:val="00A45953"/>
    <w:rsid w:val="00A46656"/>
    <w:rsid w:val="00A46A08"/>
    <w:rsid w:val="00A479A6"/>
    <w:rsid w:val="00A47D67"/>
    <w:rsid w:val="00A47DF2"/>
    <w:rsid w:val="00A47FE9"/>
    <w:rsid w:val="00A505A4"/>
    <w:rsid w:val="00A50984"/>
    <w:rsid w:val="00A50B0C"/>
    <w:rsid w:val="00A50C98"/>
    <w:rsid w:val="00A50DCF"/>
    <w:rsid w:val="00A513EE"/>
    <w:rsid w:val="00A51784"/>
    <w:rsid w:val="00A51C80"/>
    <w:rsid w:val="00A51D9F"/>
    <w:rsid w:val="00A524F5"/>
    <w:rsid w:val="00A528EB"/>
    <w:rsid w:val="00A52B29"/>
    <w:rsid w:val="00A52BAF"/>
    <w:rsid w:val="00A5300B"/>
    <w:rsid w:val="00A53456"/>
    <w:rsid w:val="00A536C3"/>
    <w:rsid w:val="00A53841"/>
    <w:rsid w:val="00A53A1C"/>
    <w:rsid w:val="00A53BE0"/>
    <w:rsid w:val="00A53D54"/>
    <w:rsid w:val="00A53EEB"/>
    <w:rsid w:val="00A54485"/>
    <w:rsid w:val="00A5450F"/>
    <w:rsid w:val="00A5491D"/>
    <w:rsid w:val="00A54D21"/>
    <w:rsid w:val="00A55030"/>
    <w:rsid w:val="00A5547F"/>
    <w:rsid w:val="00A55A54"/>
    <w:rsid w:val="00A5604F"/>
    <w:rsid w:val="00A560A9"/>
    <w:rsid w:val="00A560E3"/>
    <w:rsid w:val="00A569FD"/>
    <w:rsid w:val="00A56EA0"/>
    <w:rsid w:val="00A56F9B"/>
    <w:rsid w:val="00A5799B"/>
    <w:rsid w:val="00A57A92"/>
    <w:rsid w:val="00A57CEF"/>
    <w:rsid w:val="00A60886"/>
    <w:rsid w:val="00A609B4"/>
    <w:rsid w:val="00A60BEE"/>
    <w:rsid w:val="00A60D7C"/>
    <w:rsid w:val="00A60DE4"/>
    <w:rsid w:val="00A60FA7"/>
    <w:rsid w:val="00A61AC4"/>
    <w:rsid w:val="00A61EFD"/>
    <w:rsid w:val="00A622FE"/>
    <w:rsid w:val="00A62E23"/>
    <w:rsid w:val="00A62E29"/>
    <w:rsid w:val="00A630ED"/>
    <w:rsid w:val="00A63263"/>
    <w:rsid w:val="00A63544"/>
    <w:rsid w:val="00A63D79"/>
    <w:rsid w:val="00A63F43"/>
    <w:rsid w:val="00A63F70"/>
    <w:rsid w:val="00A64481"/>
    <w:rsid w:val="00A64795"/>
    <w:rsid w:val="00A64CA0"/>
    <w:rsid w:val="00A64FC2"/>
    <w:rsid w:val="00A65149"/>
    <w:rsid w:val="00A65523"/>
    <w:rsid w:val="00A65A1C"/>
    <w:rsid w:val="00A65D3C"/>
    <w:rsid w:val="00A6602A"/>
    <w:rsid w:val="00A660B0"/>
    <w:rsid w:val="00A6656F"/>
    <w:rsid w:val="00A674F0"/>
    <w:rsid w:val="00A67C5F"/>
    <w:rsid w:val="00A67CDD"/>
    <w:rsid w:val="00A7090C"/>
    <w:rsid w:val="00A70E5D"/>
    <w:rsid w:val="00A70F63"/>
    <w:rsid w:val="00A713B3"/>
    <w:rsid w:val="00A717C7"/>
    <w:rsid w:val="00A71B26"/>
    <w:rsid w:val="00A72FBB"/>
    <w:rsid w:val="00A730AF"/>
    <w:rsid w:val="00A73D97"/>
    <w:rsid w:val="00A745D6"/>
    <w:rsid w:val="00A74DD7"/>
    <w:rsid w:val="00A75B24"/>
    <w:rsid w:val="00A75C38"/>
    <w:rsid w:val="00A75DF0"/>
    <w:rsid w:val="00A75E38"/>
    <w:rsid w:val="00A75E7C"/>
    <w:rsid w:val="00A75EF3"/>
    <w:rsid w:val="00A75F57"/>
    <w:rsid w:val="00A766C8"/>
    <w:rsid w:val="00A77172"/>
    <w:rsid w:val="00A77490"/>
    <w:rsid w:val="00A776A5"/>
    <w:rsid w:val="00A77C40"/>
    <w:rsid w:val="00A77FC3"/>
    <w:rsid w:val="00A80275"/>
    <w:rsid w:val="00A80C1F"/>
    <w:rsid w:val="00A80F6B"/>
    <w:rsid w:val="00A8131A"/>
    <w:rsid w:val="00A818E5"/>
    <w:rsid w:val="00A819FE"/>
    <w:rsid w:val="00A821EA"/>
    <w:rsid w:val="00A82374"/>
    <w:rsid w:val="00A82DCE"/>
    <w:rsid w:val="00A831DD"/>
    <w:rsid w:val="00A83C3B"/>
    <w:rsid w:val="00A83DAB"/>
    <w:rsid w:val="00A84612"/>
    <w:rsid w:val="00A85059"/>
    <w:rsid w:val="00A85936"/>
    <w:rsid w:val="00A859A2"/>
    <w:rsid w:val="00A85AC5"/>
    <w:rsid w:val="00A85C75"/>
    <w:rsid w:val="00A8604E"/>
    <w:rsid w:val="00A8623D"/>
    <w:rsid w:val="00A868B8"/>
    <w:rsid w:val="00A871FC"/>
    <w:rsid w:val="00A87642"/>
    <w:rsid w:val="00A87ACA"/>
    <w:rsid w:val="00A87EE7"/>
    <w:rsid w:val="00A90D3C"/>
    <w:rsid w:val="00A913BE"/>
    <w:rsid w:val="00A9141D"/>
    <w:rsid w:val="00A914A3"/>
    <w:rsid w:val="00A918A2"/>
    <w:rsid w:val="00A91BE2"/>
    <w:rsid w:val="00A91CF1"/>
    <w:rsid w:val="00A9231F"/>
    <w:rsid w:val="00A9329F"/>
    <w:rsid w:val="00A93866"/>
    <w:rsid w:val="00A939D7"/>
    <w:rsid w:val="00A9409D"/>
    <w:rsid w:val="00A94553"/>
    <w:rsid w:val="00A9482D"/>
    <w:rsid w:val="00A94F27"/>
    <w:rsid w:val="00A957F2"/>
    <w:rsid w:val="00A965B3"/>
    <w:rsid w:val="00A967E8"/>
    <w:rsid w:val="00A9782F"/>
    <w:rsid w:val="00A978D9"/>
    <w:rsid w:val="00A978FE"/>
    <w:rsid w:val="00AA0DE2"/>
    <w:rsid w:val="00AA1784"/>
    <w:rsid w:val="00AA1E7D"/>
    <w:rsid w:val="00AA1ED1"/>
    <w:rsid w:val="00AA215C"/>
    <w:rsid w:val="00AA290E"/>
    <w:rsid w:val="00AA2D70"/>
    <w:rsid w:val="00AA2F55"/>
    <w:rsid w:val="00AA313D"/>
    <w:rsid w:val="00AA39F6"/>
    <w:rsid w:val="00AA447E"/>
    <w:rsid w:val="00AA44DB"/>
    <w:rsid w:val="00AA4CC4"/>
    <w:rsid w:val="00AA4F63"/>
    <w:rsid w:val="00AA52DC"/>
    <w:rsid w:val="00AA57AF"/>
    <w:rsid w:val="00AA5829"/>
    <w:rsid w:val="00AA5DD3"/>
    <w:rsid w:val="00AA7307"/>
    <w:rsid w:val="00AA74FD"/>
    <w:rsid w:val="00AA7787"/>
    <w:rsid w:val="00AA7BAB"/>
    <w:rsid w:val="00AB085C"/>
    <w:rsid w:val="00AB096E"/>
    <w:rsid w:val="00AB1498"/>
    <w:rsid w:val="00AB1832"/>
    <w:rsid w:val="00AB1B0F"/>
    <w:rsid w:val="00AB1E51"/>
    <w:rsid w:val="00AB2642"/>
    <w:rsid w:val="00AB2B94"/>
    <w:rsid w:val="00AB30C3"/>
    <w:rsid w:val="00AB378B"/>
    <w:rsid w:val="00AB37D3"/>
    <w:rsid w:val="00AB4346"/>
    <w:rsid w:val="00AB4965"/>
    <w:rsid w:val="00AB4A26"/>
    <w:rsid w:val="00AB4A27"/>
    <w:rsid w:val="00AB56E9"/>
    <w:rsid w:val="00AB5C0F"/>
    <w:rsid w:val="00AB5F72"/>
    <w:rsid w:val="00AB61F0"/>
    <w:rsid w:val="00AC0090"/>
    <w:rsid w:val="00AC024E"/>
    <w:rsid w:val="00AC08FB"/>
    <w:rsid w:val="00AC0A1A"/>
    <w:rsid w:val="00AC0D42"/>
    <w:rsid w:val="00AC0DFF"/>
    <w:rsid w:val="00AC26C6"/>
    <w:rsid w:val="00AC2D09"/>
    <w:rsid w:val="00AC3575"/>
    <w:rsid w:val="00AC35C7"/>
    <w:rsid w:val="00AC362D"/>
    <w:rsid w:val="00AC3C6B"/>
    <w:rsid w:val="00AC40EF"/>
    <w:rsid w:val="00AC449A"/>
    <w:rsid w:val="00AC46B2"/>
    <w:rsid w:val="00AC59CE"/>
    <w:rsid w:val="00AC627B"/>
    <w:rsid w:val="00AC6AB4"/>
    <w:rsid w:val="00AC70E0"/>
    <w:rsid w:val="00AC720C"/>
    <w:rsid w:val="00AC7327"/>
    <w:rsid w:val="00AC765C"/>
    <w:rsid w:val="00AC7722"/>
    <w:rsid w:val="00AC7746"/>
    <w:rsid w:val="00AC7D63"/>
    <w:rsid w:val="00AC7D6E"/>
    <w:rsid w:val="00AD00EB"/>
    <w:rsid w:val="00AD0111"/>
    <w:rsid w:val="00AD0273"/>
    <w:rsid w:val="00AD0434"/>
    <w:rsid w:val="00AD04F9"/>
    <w:rsid w:val="00AD07C3"/>
    <w:rsid w:val="00AD0F3E"/>
    <w:rsid w:val="00AD0F8E"/>
    <w:rsid w:val="00AD14BE"/>
    <w:rsid w:val="00AD17ED"/>
    <w:rsid w:val="00AD22ED"/>
    <w:rsid w:val="00AD286C"/>
    <w:rsid w:val="00AD3372"/>
    <w:rsid w:val="00AD36D6"/>
    <w:rsid w:val="00AD38DD"/>
    <w:rsid w:val="00AD4852"/>
    <w:rsid w:val="00AD4B84"/>
    <w:rsid w:val="00AD50BD"/>
    <w:rsid w:val="00AD579C"/>
    <w:rsid w:val="00AD5AB0"/>
    <w:rsid w:val="00AD5AD4"/>
    <w:rsid w:val="00AD5D56"/>
    <w:rsid w:val="00AD5FC1"/>
    <w:rsid w:val="00AD6292"/>
    <w:rsid w:val="00AD7017"/>
    <w:rsid w:val="00AD77C7"/>
    <w:rsid w:val="00AD7A22"/>
    <w:rsid w:val="00AE02CE"/>
    <w:rsid w:val="00AE0EE2"/>
    <w:rsid w:val="00AE1062"/>
    <w:rsid w:val="00AE12A6"/>
    <w:rsid w:val="00AE19CA"/>
    <w:rsid w:val="00AE22D7"/>
    <w:rsid w:val="00AE24DC"/>
    <w:rsid w:val="00AE2BB4"/>
    <w:rsid w:val="00AE3276"/>
    <w:rsid w:val="00AE359A"/>
    <w:rsid w:val="00AE3A58"/>
    <w:rsid w:val="00AE3A7F"/>
    <w:rsid w:val="00AE3E47"/>
    <w:rsid w:val="00AE3F24"/>
    <w:rsid w:val="00AE44F5"/>
    <w:rsid w:val="00AE494B"/>
    <w:rsid w:val="00AE4C0E"/>
    <w:rsid w:val="00AE518E"/>
    <w:rsid w:val="00AE586E"/>
    <w:rsid w:val="00AE5A9A"/>
    <w:rsid w:val="00AE5DE9"/>
    <w:rsid w:val="00AE732E"/>
    <w:rsid w:val="00AE77D5"/>
    <w:rsid w:val="00AE7ACB"/>
    <w:rsid w:val="00AE7B7B"/>
    <w:rsid w:val="00AF091C"/>
    <w:rsid w:val="00AF0946"/>
    <w:rsid w:val="00AF0C9A"/>
    <w:rsid w:val="00AF0E32"/>
    <w:rsid w:val="00AF103A"/>
    <w:rsid w:val="00AF1AD6"/>
    <w:rsid w:val="00AF1C7E"/>
    <w:rsid w:val="00AF1DAB"/>
    <w:rsid w:val="00AF263B"/>
    <w:rsid w:val="00AF2999"/>
    <w:rsid w:val="00AF2B1B"/>
    <w:rsid w:val="00AF2BF2"/>
    <w:rsid w:val="00AF32D6"/>
    <w:rsid w:val="00AF393C"/>
    <w:rsid w:val="00AF3CF9"/>
    <w:rsid w:val="00AF4022"/>
    <w:rsid w:val="00AF4FD0"/>
    <w:rsid w:val="00AF53D9"/>
    <w:rsid w:val="00AF572B"/>
    <w:rsid w:val="00AF5813"/>
    <w:rsid w:val="00AF5A17"/>
    <w:rsid w:val="00AF62C5"/>
    <w:rsid w:val="00AF6456"/>
    <w:rsid w:val="00AF6D1E"/>
    <w:rsid w:val="00AF6E75"/>
    <w:rsid w:val="00AF7229"/>
    <w:rsid w:val="00AF7264"/>
    <w:rsid w:val="00AF7AC6"/>
    <w:rsid w:val="00AF7F5D"/>
    <w:rsid w:val="00AF7F71"/>
    <w:rsid w:val="00B007E8"/>
    <w:rsid w:val="00B008EE"/>
    <w:rsid w:val="00B01515"/>
    <w:rsid w:val="00B0173C"/>
    <w:rsid w:val="00B017DC"/>
    <w:rsid w:val="00B0183B"/>
    <w:rsid w:val="00B022A8"/>
    <w:rsid w:val="00B02629"/>
    <w:rsid w:val="00B032C7"/>
    <w:rsid w:val="00B0332B"/>
    <w:rsid w:val="00B03695"/>
    <w:rsid w:val="00B0380C"/>
    <w:rsid w:val="00B03A5B"/>
    <w:rsid w:val="00B03B36"/>
    <w:rsid w:val="00B03E9B"/>
    <w:rsid w:val="00B04B17"/>
    <w:rsid w:val="00B04E67"/>
    <w:rsid w:val="00B0519E"/>
    <w:rsid w:val="00B0599A"/>
    <w:rsid w:val="00B065AF"/>
    <w:rsid w:val="00B06889"/>
    <w:rsid w:val="00B06ACA"/>
    <w:rsid w:val="00B0705A"/>
    <w:rsid w:val="00B0719B"/>
    <w:rsid w:val="00B07795"/>
    <w:rsid w:val="00B07D26"/>
    <w:rsid w:val="00B07F35"/>
    <w:rsid w:val="00B07FEC"/>
    <w:rsid w:val="00B106B6"/>
    <w:rsid w:val="00B107CB"/>
    <w:rsid w:val="00B1097B"/>
    <w:rsid w:val="00B10CA2"/>
    <w:rsid w:val="00B1113C"/>
    <w:rsid w:val="00B115F5"/>
    <w:rsid w:val="00B11662"/>
    <w:rsid w:val="00B1173D"/>
    <w:rsid w:val="00B121DE"/>
    <w:rsid w:val="00B1272C"/>
    <w:rsid w:val="00B133F9"/>
    <w:rsid w:val="00B13707"/>
    <w:rsid w:val="00B138E8"/>
    <w:rsid w:val="00B139DD"/>
    <w:rsid w:val="00B13FBD"/>
    <w:rsid w:val="00B141CB"/>
    <w:rsid w:val="00B142AC"/>
    <w:rsid w:val="00B14800"/>
    <w:rsid w:val="00B14A09"/>
    <w:rsid w:val="00B14F68"/>
    <w:rsid w:val="00B1508D"/>
    <w:rsid w:val="00B15683"/>
    <w:rsid w:val="00B156C4"/>
    <w:rsid w:val="00B165A5"/>
    <w:rsid w:val="00B166E1"/>
    <w:rsid w:val="00B1766B"/>
    <w:rsid w:val="00B17C63"/>
    <w:rsid w:val="00B20535"/>
    <w:rsid w:val="00B20651"/>
    <w:rsid w:val="00B20ECB"/>
    <w:rsid w:val="00B214B0"/>
    <w:rsid w:val="00B22523"/>
    <w:rsid w:val="00B2262C"/>
    <w:rsid w:val="00B22650"/>
    <w:rsid w:val="00B229F7"/>
    <w:rsid w:val="00B22D29"/>
    <w:rsid w:val="00B22D5E"/>
    <w:rsid w:val="00B22DEF"/>
    <w:rsid w:val="00B23AC0"/>
    <w:rsid w:val="00B23C6B"/>
    <w:rsid w:val="00B240C2"/>
    <w:rsid w:val="00B2421A"/>
    <w:rsid w:val="00B2442D"/>
    <w:rsid w:val="00B24AEA"/>
    <w:rsid w:val="00B25335"/>
    <w:rsid w:val="00B25786"/>
    <w:rsid w:val="00B258D0"/>
    <w:rsid w:val="00B25940"/>
    <w:rsid w:val="00B25D1C"/>
    <w:rsid w:val="00B25D54"/>
    <w:rsid w:val="00B25DD9"/>
    <w:rsid w:val="00B261F6"/>
    <w:rsid w:val="00B26A8F"/>
    <w:rsid w:val="00B27074"/>
    <w:rsid w:val="00B2719F"/>
    <w:rsid w:val="00B275C1"/>
    <w:rsid w:val="00B27610"/>
    <w:rsid w:val="00B2780A"/>
    <w:rsid w:val="00B300C0"/>
    <w:rsid w:val="00B300C3"/>
    <w:rsid w:val="00B307D3"/>
    <w:rsid w:val="00B30B2A"/>
    <w:rsid w:val="00B30EA6"/>
    <w:rsid w:val="00B311CA"/>
    <w:rsid w:val="00B315C2"/>
    <w:rsid w:val="00B31D12"/>
    <w:rsid w:val="00B31D99"/>
    <w:rsid w:val="00B31FBC"/>
    <w:rsid w:val="00B32393"/>
    <w:rsid w:val="00B323B0"/>
    <w:rsid w:val="00B328B3"/>
    <w:rsid w:val="00B33793"/>
    <w:rsid w:val="00B33F4D"/>
    <w:rsid w:val="00B340C7"/>
    <w:rsid w:val="00B348AC"/>
    <w:rsid w:val="00B34CEA"/>
    <w:rsid w:val="00B34D0D"/>
    <w:rsid w:val="00B34E15"/>
    <w:rsid w:val="00B350CB"/>
    <w:rsid w:val="00B355A2"/>
    <w:rsid w:val="00B356C1"/>
    <w:rsid w:val="00B362E5"/>
    <w:rsid w:val="00B36AAB"/>
    <w:rsid w:val="00B36FC5"/>
    <w:rsid w:val="00B371A7"/>
    <w:rsid w:val="00B3723D"/>
    <w:rsid w:val="00B374FF"/>
    <w:rsid w:val="00B4021D"/>
    <w:rsid w:val="00B404E4"/>
    <w:rsid w:val="00B40A5B"/>
    <w:rsid w:val="00B41DD3"/>
    <w:rsid w:val="00B4240C"/>
    <w:rsid w:val="00B431DD"/>
    <w:rsid w:val="00B4335D"/>
    <w:rsid w:val="00B43433"/>
    <w:rsid w:val="00B434E0"/>
    <w:rsid w:val="00B44A6F"/>
    <w:rsid w:val="00B44ABB"/>
    <w:rsid w:val="00B44E7F"/>
    <w:rsid w:val="00B45AD7"/>
    <w:rsid w:val="00B45C8A"/>
    <w:rsid w:val="00B45F2D"/>
    <w:rsid w:val="00B4626F"/>
    <w:rsid w:val="00B46F06"/>
    <w:rsid w:val="00B46F29"/>
    <w:rsid w:val="00B476D5"/>
    <w:rsid w:val="00B47BFB"/>
    <w:rsid w:val="00B47E04"/>
    <w:rsid w:val="00B51C5A"/>
    <w:rsid w:val="00B5241E"/>
    <w:rsid w:val="00B52AD8"/>
    <w:rsid w:val="00B5334A"/>
    <w:rsid w:val="00B54420"/>
    <w:rsid w:val="00B552BF"/>
    <w:rsid w:val="00B55431"/>
    <w:rsid w:val="00B55488"/>
    <w:rsid w:val="00B559C3"/>
    <w:rsid w:val="00B55C54"/>
    <w:rsid w:val="00B55C62"/>
    <w:rsid w:val="00B55D50"/>
    <w:rsid w:val="00B5671E"/>
    <w:rsid w:val="00B56823"/>
    <w:rsid w:val="00B57BDC"/>
    <w:rsid w:val="00B60E3F"/>
    <w:rsid w:val="00B6103E"/>
    <w:rsid w:val="00B615FA"/>
    <w:rsid w:val="00B61630"/>
    <w:rsid w:val="00B61ABC"/>
    <w:rsid w:val="00B62592"/>
    <w:rsid w:val="00B626C3"/>
    <w:rsid w:val="00B626E0"/>
    <w:rsid w:val="00B628A4"/>
    <w:rsid w:val="00B62954"/>
    <w:rsid w:val="00B62A09"/>
    <w:rsid w:val="00B6391D"/>
    <w:rsid w:val="00B63FB7"/>
    <w:rsid w:val="00B641B1"/>
    <w:rsid w:val="00B65415"/>
    <w:rsid w:val="00B65538"/>
    <w:rsid w:val="00B65BEF"/>
    <w:rsid w:val="00B65CEA"/>
    <w:rsid w:val="00B6654E"/>
    <w:rsid w:val="00B665A9"/>
    <w:rsid w:val="00B66964"/>
    <w:rsid w:val="00B66975"/>
    <w:rsid w:val="00B66BEA"/>
    <w:rsid w:val="00B66C73"/>
    <w:rsid w:val="00B66DBF"/>
    <w:rsid w:val="00B671B1"/>
    <w:rsid w:val="00B67249"/>
    <w:rsid w:val="00B7005A"/>
    <w:rsid w:val="00B7077D"/>
    <w:rsid w:val="00B70849"/>
    <w:rsid w:val="00B7092D"/>
    <w:rsid w:val="00B70D26"/>
    <w:rsid w:val="00B721B3"/>
    <w:rsid w:val="00B723D6"/>
    <w:rsid w:val="00B725FD"/>
    <w:rsid w:val="00B72818"/>
    <w:rsid w:val="00B72A43"/>
    <w:rsid w:val="00B72D24"/>
    <w:rsid w:val="00B72D6E"/>
    <w:rsid w:val="00B72DD6"/>
    <w:rsid w:val="00B734FB"/>
    <w:rsid w:val="00B73F4E"/>
    <w:rsid w:val="00B740DB"/>
    <w:rsid w:val="00B74864"/>
    <w:rsid w:val="00B74BA3"/>
    <w:rsid w:val="00B75224"/>
    <w:rsid w:val="00B75D5B"/>
    <w:rsid w:val="00B76045"/>
    <w:rsid w:val="00B76064"/>
    <w:rsid w:val="00B77564"/>
    <w:rsid w:val="00B77774"/>
    <w:rsid w:val="00B77CC3"/>
    <w:rsid w:val="00B800A9"/>
    <w:rsid w:val="00B80B12"/>
    <w:rsid w:val="00B80B4F"/>
    <w:rsid w:val="00B80C10"/>
    <w:rsid w:val="00B80C83"/>
    <w:rsid w:val="00B810C4"/>
    <w:rsid w:val="00B810CC"/>
    <w:rsid w:val="00B8144E"/>
    <w:rsid w:val="00B82342"/>
    <w:rsid w:val="00B824BE"/>
    <w:rsid w:val="00B82732"/>
    <w:rsid w:val="00B82EB1"/>
    <w:rsid w:val="00B833EA"/>
    <w:rsid w:val="00B8378F"/>
    <w:rsid w:val="00B83839"/>
    <w:rsid w:val="00B84063"/>
    <w:rsid w:val="00B84094"/>
    <w:rsid w:val="00B84A99"/>
    <w:rsid w:val="00B84C6B"/>
    <w:rsid w:val="00B84C91"/>
    <w:rsid w:val="00B85AD0"/>
    <w:rsid w:val="00B86421"/>
    <w:rsid w:val="00B8741B"/>
    <w:rsid w:val="00B87B29"/>
    <w:rsid w:val="00B87F01"/>
    <w:rsid w:val="00B9014F"/>
    <w:rsid w:val="00B90594"/>
    <w:rsid w:val="00B905C6"/>
    <w:rsid w:val="00B906CC"/>
    <w:rsid w:val="00B90E36"/>
    <w:rsid w:val="00B91187"/>
    <w:rsid w:val="00B91BCC"/>
    <w:rsid w:val="00B91D7F"/>
    <w:rsid w:val="00B92189"/>
    <w:rsid w:val="00B922C8"/>
    <w:rsid w:val="00B92DC1"/>
    <w:rsid w:val="00B92DE5"/>
    <w:rsid w:val="00B934AF"/>
    <w:rsid w:val="00B934E5"/>
    <w:rsid w:val="00B93A72"/>
    <w:rsid w:val="00B9404C"/>
    <w:rsid w:val="00B94879"/>
    <w:rsid w:val="00B94BF8"/>
    <w:rsid w:val="00B9575E"/>
    <w:rsid w:val="00B95B01"/>
    <w:rsid w:val="00B96299"/>
    <w:rsid w:val="00B965E9"/>
    <w:rsid w:val="00B967F9"/>
    <w:rsid w:val="00B968F6"/>
    <w:rsid w:val="00B975B5"/>
    <w:rsid w:val="00B976CE"/>
    <w:rsid w:val="00B97998"/>
    <w:rsid w:val="00B97CB0"/>
    <w:rsid w:val="00B97DE5"/>
    <w:rsid w:val="00BA1329"/>
    <w:rsid w:val="00BA13C3"/>
    <w:rsid w:val="00BA18C9"/>
    <w:rsid w:val="00BA1A72"/>
    <w:rsid w:val="00BA1BCF"/>
    <w:rsid w:val="00BA1BED"/>
    <w:rsid w:val="00BA1D38"/>
    <w:rsid w:val="00BA2105"/>
    <w:rsid w:val="00BA2267"/>
    <w:rsid w:val="00BA274D"/>
    <w:rsid w:val="00BA2897"/>
    <w:rsid w:val="00BA28C8"/>
    <w:rsid w:val="00BA2C39"/>
    <w:rsid w:val="00BA361A"/>
    <w:rsid w:val="00BA3EFA"/>
    <w:rsid w:val="00BA407D"/>
    <w:rsid w:val="00BA4433"/>
    <w:rsid w:val="00BA483A"/>
    <w:rsid w:val="00BA4F42"/>
    <w:rsid w:val="00BA58BD"/>
    <w:rsid w:val="00BA5C83"/>
    <w:rsid w:val="00BA5D8A"/>
    <w:rsid w:val="00BA5F0D"/>
    <w:rsid w:val="00BA6C48"/>
    <w:rsid w:val="00BA7608"/>
    <w:rsid w:val="00BA7C89"/>
    <w:rsid w:val="00BA7CB1"/>
    <w:rsid w:val="00BA7EE0"/>
    <w:rsid w:val="00BB0965"/>
    <w:rsid w:val="00BB0FCA"/>
    <w:rsid w:val="00BB170C"/>
    <w:rsid w:val="00BB2275"/>
    <w:rsid w:val="00BB2540"/>
    <w:rsid w:val="00BB2997"/>
    <w:rsid w:val="00BB2B91"/>
    <w:rsid w:val="00BB2DDE"/>
    <w:rsid w:val="00BB2DF6"/>
    <w:rsid w:val="00BB3B41"/>
    <w:rsid w:val="00BB4045"/>
    <w:rsid w:val="00BB42A8"/>
    <w:rsid w:val="00BB471A"/>
    <w:rsid w:val="00BB502A"/>
    <w:rsid w:val="00BB5518"/>
    <w:rsid w:val="00BB5F45"/>
    <w:rsid w:val="00BB6A1F"/>
    <w:rsid w:val="00BB6AD3"/>
    <w:rsid w:val="00BB6EED"/>
    <w:rsid w:val="00BB7CBB"/>
    <w:rsid w:val="00BB7DA4"/>
    <w:rsid w:val="00BC09A8"/>
    <w:rsid w:val="00BC0B98"/>
    <w:rsid w:val="00BC0BFF"/>
    <w:rsid w:val="00BC12FF"/>
    <w:rsid w:val="00BC1894"/>
    <w:rsid w:val="00BC189B"/>
    <w:rsid w:val="00BC2151"/>
    <w:rsid w:val="00BC2528"/>
    <w:rsid w:val="00BC27B6"/>
    <w:rsid w:val="00BC3AB7"/>
    <w:rsid w:val="00BC3ED9"/>
    <w:rsid w:val="00BC4682"/>
    <w:rsid w:val="00BC4A27"/>
    <w:rsid w:val="00BC4B2C"/>
    <w:rsid w:val="00BC4B33"/>
    <w:rsid w:val="00BC4EEA"/>
    <w:rsid w:val="00BC5019"/>
    <w:rsid w:val="00BC55DF"/>
    <w:rsid w:val="00BC567F"/>
    <w:rsid w:val="00BC57D3"/>
    <w:rsid w:val="00BC5E6E"/>
    <w:rsid w:val="00BC6664"/>
    <w:rsid w:val="00BC6AD7"/>
    <w:rsid w:val="00BC6BAE"/>
    <w:rsid w:val="00BC6C05"/>
    <w:rsid w:val="00BC6CF5"/>
    <w:rsid w:val="00BC6FBD"/>
    <w:rsid w:val="00BC6FCD"/>
    <w:rsid w:val="00BC707C"/>
    <w:rsid w:val="00BC782F"/>
    <w:rsid w:val="00BC78F8"/>
    <w:rsid w:val="00BC7CEB"/>
    <w:rsid w:val="00BD0EB2"/>
    <w:rsid w:val="00BD0EB7"/>
    <w:rsid w:val="00BD0FF6"/>
    <w:rsid w:val="00BD1235"/>
    <w:rsid w:val="00BD148C"/>
    <w:rsid w:val="00BD1959"/>
    <w:rsid w:val="00BD1F85"/>
    <w:rsid w:val="00BD21F6"/>
    <w:rsid w:val="00BD2972"/>
    <w:rsid w:val="00BD2D2A"/>
    <w:rsid w:val="00BD2DAD"/>
    <w:rsid w:val="00BD32B9"/>
    <w:rsid w:val="00BD337B"/>
    <w:rsid w:val="00BD338A"/>
    <w:rsid w:val="00BD39DB"/>
    <w:rsid w:val="00BD3B14"/>
    <w:rsid w:val="00BD420A"/>
    <w:rsid w:val="00BD55DF"/>
    <w:rsid w:val="00BD5B41"/>
    <w:rsid w:val="00BD5DC0"/>
    <w:rsid w:val="00BD5E68"/>
    <w:rsid w:val="00BD607D"/>
    <w:rsid w:val="00BD61E9"/>
    <w:rsid w:val="00BD6303"/>
    <w:rsid w:val="00BD64B2"/>
    <w:rsid w:val="00BD6A25"/>
    <w:rsid w:val="00BD6CA4"/>
    <w:rsid w:val="00BD733B"/>
    <w:rsid w:val="00BD7386"/>
    <w:rsid w:val="00BD79AB"/>
    <w:rsid w:val="00BD7AE3"/>
    <w:rsid w:val="00BD7DFD"/>
    <w:rsid w:val="00BE04B4"/>
    <w:rsid w:val="00BE10B0"/>
    <w:rsid w:val="00BE223B"/>
    <w:rsid w:val="00BE231B"/>
    <w:rsid w:val="00BE2405"/>
    <w:rsid w:val="00BE2683"/>
    <w:rsid w:val="00BE287B"/>
    <w:rsid w:val="00BE396F"/>
    <w:rsid w:val="00BE3ADC"/>
    <w:rsid w:val="00BE3AFD"/>
    <w:rsid w:val="00BE3D57"/>
    <w:rsid w:val="00BE42CF"/>
    <w:rsid w:val="00BE4552"/>
    <w:rsid w:val="00BE4DCD"/>
    <w:rsid w:val="00BE5434"/>
    <w:rsid w:val="00BE56F5"/>
    <w:rsid w:val="00BE581A"/>
    <w:rsid w:val="00BE5D92"/>
    <w:rsid w:val="00BE5E18"/>
    <w:rsid w:val="00BE644E"/>
    <w:rsid w:val="00BE659B"/>
    <w:rsid w:val="00BE6B10"/>
    <w:rsid w:val="00BE7D30"/>
    <w:rsid w:val="00BEC8D8"/>
    <w:rsid w:val="00BF049F"/>
    <w:rsid w:val="00BF09F8"/>
    <w:rsid w:val="00BF0B04"/>
    <w:rsid w:val="00BF0D87"/>
    <w:rsid w:val="00BF0E5B"/>
    <w:rsid w:val="00BF1240"/>
    <w:rsid w:val="00BF1500"/>
    <w:rsid w:val="00BF1E2F"/>
    <w:rsid w:val="00BF217C"/>
    <w:rsid w:val="00BF26F9"/>
    <w:rsid w:val="00BF29FD"/>
    <w:rsid w:val="00BF2D97"/>
    <w:rsid w:val="00BF3DC9"/>
    <w:rsid w:val="00BF4AD7"/>
    <w:rsid w:val="00BF4EB8"/>
    <w:rsid w:val="00BF4F32"/>
    <w:rsid w:val="00BF4FD9"/>
    <w:rsid w:val="00BF5236"/>
    <w:rsid w:val="00BF53DD"/>
    <w:rsid w:val="00BF5864"/>
    <w:rsid w:val="00BF5896"/>
    <w:rsid w:val="00BF58BC"/>
    <w:rsid w:val="00BF5A7F"/>
    <w:rsid w:val="00BF5B83"/>
    <w:rsid w:val="00BF5CB2"/>
    <w:rsid w:val="00BF61E4"/>
    <w:rsid w:val="00BF62C5"/>
    <w:rsid w:val="00BF6C68"/>
    <w:rsid w:val="00BF6E44"/>
    <w:rsid w:val="00BF713E"/>
    <w:rsid w:val="00BF776C"/>
    <w:rsid w:val="00BF78B2"/>
    <w:rsid w:val="00C001E7"/>
    <w:rsid w:val="00C0105C"/>
    <w:rsid w:val="00C01638"/>
    <w:rsid w:val="00C018F5"/>
    <w:rsid w:val="00C02386"/>
    <w:rsid w:val="00C02508"/>
    <w:rsid w:val="00C033FA"/>
    <w:rsid w:val="00C040D1"/>
    <w:rsid w:val="00C04B54"/>
    <w:rsid w:val="00C04F24"/>
    <w:rsid w:val="00C0590E"/>
    <w:rsid w:val="00C05B0C"/>
    <w:rsid w:val="00C05D47"/>
    <w:rsid w:val="00C061E5"/>
    <w:rsid w:val="00C06373"/>
    <w:rsid w:val="00C064B3"/>
    <w:rsid w:val="00C06573"/>
    <w:rsid w:val="00C067B0"/>
    <w:rsid w:val="00C069A7"/>
    <w:rsid w:val="00C06C7B"/>
    <w:rsid w:val="00C077AF"/>
    <w:rsid w:val="00C07A06"/>
    <w:rsid w:val="00C102B5"/>
    <w:rsid w:val="00C10DA3"/>
    <w:rsid w:val="00C110B8"/>
    <w:rsid w:val="00C112F0"/>
    <w:rsid w:val="00C12524"/>
    <w:rsid w:val="00C125AF"/>
    <w:rsid w:val="00C12AF3"/>
    <w:rsid w:val="00C12D32"/>
    <w:rsid w:val="00C13AF0"/>
    <w:rsid w:val="00C13B27"/>
    <w:rsid w:val="00C13E1C"/>
    <w:rsid w:val="00C13EFE"/>
    <w:rsid w:val="00C14FB2"/>
    <w:rsid w:val="00C155FE"/>
    <w:rsid w:val="00C15D35"/>
    <w:rsid w:val="00C16FE9"/>
    <w:rsid w:val="00C1743E"/>
    <w:rsid w:val="00C1773E"/>
    <w:rsid w:val="00C177CC"/>
    <w:rsid w:val="00C20193"/>
    <w:rsid w:val="00C20A1B"/>
    <w:rsid w:val="00C2106B"/>
    <w:rsid w:val="00C21B23"/>
    <w:rsid w:val="00C21B79"/>
    <w:rsid w:val="00C21C1C"/>
    <w:rsid w:val="00C21E3E"/>
    <w:rsid w:val="00C22798"/>
    <w:rsid w:val="00C22A38"/>
    <w:rsid w:val="00C23102"/>
    <w:rsid w:val="00C23571"/>
    <w:rsid w:val="00C240F0"/>
    <w:rsid w:val="00C24328"/>
    <w:rsid w:val="00C2469C"/>
    <w:rsid w:val="00C247D7"/>
    <w:rsid w:val="00C24ED5"/>
    <w:rsid w:val="00C25252"/>
    <w:rsid w:val="00C25389"/>
    <w:rsid w:val="00C259BC"/>
    <w:rsid w:val="00C259E9"/>
    <w:rsid w:val="00C25C40"/>
    <w:rsid w:val="00C25DA2"/>
    <w:rsid w:val="00C25FFB"/>
    <w:rsid w:val="00C261A9"/>
    <w:rsid w:val="00C269E3"/>
    <w:rsid w:val="00C27151"/>
    <w:rsid w:val="00C27650"/>
    <w:rsid w:val="00C27A4F"/>
    <w:rsid w:val="00C27CD3"/>
    <w:rsid w:val="00C27D0E"/>
    <w:rsid w:val="00C27F1D"/>
    <w:rsid w:val="00C27F4A"/>
    <w:rsid w:val="00C30597"/>
    <w:rsid w:val="00C305EB"/>
    <w:rsid w:val="00C31B51"/>
    <w:rsid w:val="00C32099"/>
    <w:rsid w:val="00C3215A"/>
    <w:rsid w:val="00C3231D"/>
    <w:rsid w:val="00C33600"/>
    <w:rsid w:val="00C33F1F"/>
    <w:rsid w:val="00C33F58"/>
    <w:rsid w:val="00C34047"/>
    <w:rsid w:val="00C342B1"/>
    <w:rsid w:val="00C3499E"/>
    <w:rsid w:val="00C3561F"/>
    <w:rsid w:val="00C35828"/>
    <w:rsid w:val="00C35CDF"/>
    <w:rsid w:val="00C3634E"/>
    <w:rsid w:val="00C36399"/>
    <w:rsid w:val="00C36913"/>
    <w:rsid w:val="00C36D63"/>
    <w:rsid w:val="00C37789"/>
    <w:rsid w:val="00C37EEB"/>
    <w:rsid w:val="00C400C9"/>
    <w:rsid w:val="00C41307"/>
    <w:rsid w:val="00C4140E"/>
    <w:rsid w:val="00C417FB"/>
    <w:rsid w:val="00C4241B"/>
    <w:rsid w:val="00C42A7F"/>
    <w:rsid w:val="00C42B7D"/>
    <w:rsid w:val="00C43529"/>
    <w:rsid w:val="00C43AB9"/>
    <w:rsid w:val="00C43BF3"/>
    <w:rsid w:val="00C442A4"/>
    <w:rsid w:val="00C447B2"/>
    <w:rsid w:val="00C44A21"/>
    <w:rsid w:val="00C456A1"/>
    <w:rsid w:val="00C4595C"/>
    <w:rsid w:val="00C4597B"/>
    <w:rsid w:val="00C45C3C"/>
    <w:rsid w:val="00C45D12"/>
    <w:rsid w:val="00C45E8B"/>
    <w:rsid w:val="00C46101"/>
    <w:rsid w:val="00C470C4"/>
    <w:rsid w:val="00C4730F"/>
    <w:rsid w:val="00C477AC"/>
    <w:rsid w:val="00C47A6D"/>
    <w:rsid w:val="00C47DB1"/>
    <w:rsid w:val="00C50031"/>
    <w:rsid w:val="00C500C2"/>
    <w:rsid w:val="00C520A9"/>
    <w:rsid w:val="00C523B9"/>
    <w:rsid w:val="00C5289C"/>
    <w:rsid w:val="00C528EA"/>
    <w:rsid w:val="00C528FF"/>
    <w:rsid w:val="00C529BB"/>
    <w:rsid w:val="00C52A78"/>
    <w:rsid w:val="00C52E75"/>
    <w:rsid w:val="00C530A3"/>
    <w:rsid w:val="00C535D1"/>
    <w:rsid w:val="00C537E5"/>
    <w:rsid w:val="00C538C7"/>
    <w:rsid w:val="00C53A54"/>
    <w:rsid w:val="00C5419B"/>
    <w:rsid w:val="00C547B4"/>
    <w:rsid w:val="00C54BDA"/>
    <w:rsid w:val="00C54C2E"/>
    <w:rsid w:val="00C551CB"/>
    <w:rsid w:val="00C55447"/>
    <w:rsid w:val="00C55C99"/>
    <w:rsid w:val="00C56BC5"/>
    <w:rsid w:val="00C56BFA"/>
    <w:rsid w:val="00C56C99"/>
    <w:rsid w:val="00C56F35"/>
    <w:rsid w:val="00C56F61"/>
    <w:rsid w:val="00C5751F"/>
    <w:rsid w:val="00C5763E"/>
    <w:rsid w:val="00C577EE"/>
    <w:rsid w:val="00C57AC7"/>
    <w:rsid w:val="00C57B66"/>
    <w:rsid w:val="00C57B88"/>
    <w:rsid w:val="00C57F01"/>
    <w:rsid w:val="00C57F30"/>
    <w:rsid w:val="00C6056D"/>
    <w:rsid w:val="00C60AB9"/>
    <w:rsid w:val="00C60AC5"/>
    <w:rsid w:val="00C61275"/>
    <w:rsid w:val="00C6146F"/>
    <w:rsid w:val="00C61A16"/>
    <w:rsid w:val="00C61EC1"/>
    <w:rsid w:val="00C62260"/>
    <w:rsid w:val="00C6273F"/>
    <w:rsid w:val="00C631F4"/>
    <w:rsid w:val="00C63573"/>
    <w:rsid w:val="00C635AE"/>
    <w:rsid w:val="00C63DEF"/>
    <w:rsid w:val="00C642DD"/>
    <w:rsid w:val="00C64AB0"/>
    <w:rsid w:val="00C64C0F"/>
    <w:rsid w:val="00C64DAE"/>
    <w:rsid w:val="00C65D40"/>
    <w:rsid w:val="00C6633C"/>
    <w:rsid w:val="00C66B0F"/>
    <w:rsid w:val="00C673D6"/>
    <w:rsid w:val="00C6751C"/>
    <w:rsid w:val="00C67616"/>
    <w:rsid w:val="00C6797F"/>
    <w:rsid w:val="00C67BD0"/>
    <w:rsid w:val="00C7004C"/>
    <w:rsid w:val="00C70101"/>
    <w:rsid w:val="00C701A0"/>
    <w:rsid w:val="00C710C6"/>
    <w:rsid w:val="00C713D5"/>
    <w:rsid w:val="00C722E4"/>
    <w:rsid w:val="00C73081"/>
    <w:rsid w:val="00C73219"/>
    <w:rsid w:val="00C732AE"/>
    <w:rsid w:val="00C73308"/>
    <w:rsid w:val="00C73AB4"/>
    <w:rsid w:val="00C7442E"/>
    <w:rsid w:val="00C7472E"/>
    <w:rsid w:val="00C74C50"/>
    <w:rsid w:val="00C750AE"/>
    <w:rsid w:val="00C75149"/>
    <w:rsid w:val="00C755D6"/>
    <w:rsid w:val="00C75633"/>
    <w:rsid w:val="00C76116"/>
    <w:rsid w:val="00C7625F"/>
    <w:rsid w:val="00C76384"/>
    <w:rsid w:val="00C766E8"/>
    <w:rsid w:val="00C76AAA"/>
    <w:rsid w:val="00C77126"/>
    <w:rsid w:val="00C772C8"/>
    <w:rsid w:val="00C77484"/>
    <w:rsid w:val="00C7768F"/>
    <w:rsid w:val="00C7793C"/>
    <w:rsid w:val="00C77F99"/>
    <w:rsid w:val="00C8023C"/>
    <w:rsid w:val="00C80D05"/>
    <w:rsid w:val="00C80D9E"/>
    <w:rsid w:val="00C8132E"/>
    <w:rsid w:val="00C81BA7"/>
    <w:rsid w:val="00C81E2C"/>
    <w:rsid w:val="00C8214B"/>
    <w:rsid w:val="00C821C8"/>
    <w:rsid w:val="00C821FC"/>
    <w:rsid w:val="00C8235F"/>
    <w:rsid w:val="00C823D1"/>
    <w:rsid w:val="00C82E12"/>
    <w:rsid w:val="00C82F29"/>
    <w:rsid w:val="00C8325A"/>
    <w:rsid w:val="00C832C8"/>
    <w:rsid w:val="00C8378D"/>
    <w:rsid w:val="00C83919"/>
    <w:rsid w:val="00C84475"/>
    <w:rsid w:val="00C848B9"/>
    <w:rsid w:val="00C85133"/>
    <w:rsid w:val="00C851B1"/>
    <w:rsid w:val="00C85424"/>
    <w:rsid w:val="00C85D6F"/>
    <w:rsid w:val="00C8681D"/>
    <w:rsid w:val="00C8707B"/>
    <w:rsid w:val="00C870E1"/>
    <w:rsid w:val="00C87534"/>
    <w:rsid w:val="00C87840"/>
    <w:rsid w:val="00C87CBD"/>
    <w:rsid w:val="00C87F35"/>
    <w:rsid w:val="00C9045E"/>
    <w:rsid w:val="00C9089A"/>
    <w:rsid w:val="00C90C59"/>
    <w:rsid w:val="00C9122C"/>
    <w:rsid w:val="00C91C54"/>
    <w:rsid w:val="00C9268C"/>
    <w:rsid w:val="00C92978"/>
    <w:rsid w:val="00C92B7A"/>
    <w:rsid w:val="00C92D23"/>
    <w:rsid w:val="00C93263"/>
    <w:rsid w:val="00C93335"/>
    <w:rsid w:val="00C93373"/>
    <w:rsid w:val="00C93766"/>
    <w:rsid w:val="00C93857"/>
    <w:rsid w:val="00C93B82"/>
    <w:rsid w:val="00C94A3E"/>
    <w:rsid w:val="00C94AD1"/>
    <w:rsid w:val="00C9566F"/>
    <w:rsid w:val="00C958EC"/>
    <w:rsid w:val="00C962AE"/>
    <w:rsid w:val="00C96414"/>
    <w:rsid w:val="00C96810"/>
    <w:rsid w:val="00C9681E"/>
    <w:rsid w:val="00C9721F"/>
    <w:rsid w:val="00C972AA"/>
    <w:rsid w:val="00C97369"/>
    <w:rsid w:val="00C9771F"/>
    <w:rsid w:val="00C97752"/>
    <w:rsid w:val="00C97B47"/>
    <w:rsid w:val="00CA0144"/>
    <w:rsid w:val="00CA04CC"/>
    <w:rsid w:val="00CA0A95"/>
    <w:rsid w:val="00CA0E63"/>
    <w:rsid w:val="00CA102A"/>
    <w:rsid w:val="00CA12AA"/>
    <w:rsid w:val="00CA15E6"/>
    <w:rsid w:val="00CA175D"/>
    <w:rsid w:val="00CA1EC2"/>
    <w:rsid w:val="00CA2AA3"/>
    <w:rsid w:val="00CA2C51"/>
    <w:rsid w:val="00CA347D"/>
    <w:rsid w:val="00CA34E9"/>
    <w:rsid w:val="00CA35CE"/>
    <w:rsid w:val="00CA3763"/>
    <w:rsid w:val="00CA3890"/>
    <w:rsid w:val="00CA46C5"/>
    <w:rsid w:val="00CA46E0"/>
    <w:rsid w:val="00CA4F56"/>
    <w:rsid w:val="00CA5048"/>
    <w:rsid w:val="00CA51C4"/>
    <w:rsid w:val="00CA56F1"/>
    <w:rsid w:val="00CA5717"/>
    <w:rsid w:val="00CA5776"/>
    <w:rsid w:val="00CA5A23"/>
    <w:rsid w:val="00CA61CD"/>
    <w:rsid w:val="00CA62DC"/>
    <w:rsid w:val="00CA6422"/>
    <w:rsid w:val="00CA6C0C"/>
    <w:rsid w:val="00CA711C"/>
    <w:rsid w:val="00CAE7A4"/>
    <w:rsid w:val="00CB058E"/>
    <w:rsid w:val="00CB097F"/>
    <w:rsid w:val="00CB0DB4"/>
    <w:rsid w:val="00CB0E66"/>
    <w:rsid w:val="00CB126D"/>
    <w:rsid w:val="00CB1796"/>
    <w:rsid w:val="00CB199C"/>
    <w:rsid w:val="00CB1DF4"/>
    <w:rsid w:val="00CB1E6F"/>
    <w:rsid w:val="00CB22CD"/>
    <w:rsid w:val="00CB2C75"/>
    <w:rsid w:val="00CB3034"/>
    <w:rsid w:val="00CB3EDF"/>
    <w:rsid w:val="00CB42CE"/>
    <w:rsid w:val="00CB438E"/>
    <w:rsid w:val="00CB440D"/>
    <w:rsid w:val="00CB4639"/>
    <w:rsid w:val="00CB46FE"/>
    <w:rsid w:val="00CB4BD2"/>
    <w:rsid w:val="00CB516B"/>
    <w:rsid w:val="00CB578C"/>
    <w:rsid w:val="00CB5F78"/>
    <w:rsid w:val="00CB613B"/>
    <w:rsid w:val="00CB616A"/>
    <w:rsid w:val="00CB63F7"/>
    <w:rsid w:val="00CB662A"/>
    <w:rsid w:val="00CB6843"/>
    <w:rsid w:val="00CB692E"/>
    <w:rsid w:val="00CB6BE2"/>
    <w:rsid w:val="00CB6BF8"/>
    <w:rsid w:val="00CB72D4"/>
    <w:rsid w:val="00CB7609"/>
    <w:rsid w:val="00CB788A"/>
    <w:rsid w:val="00CB78E1"/>
    <w:rsid w:val="00CC0144"/>
    <w:rsid w:val="00CC0BF0"/>
    <w:rsid w:val="00CC0D81"/>
    <w:rsid w:val="00CC1073"/>
    <w:rsid w:val="00CC107C"/>
    <w:rsid w:val="00CC161A"/>
    <w:rsid w:val="00CC1659"/>
    <w:rsid w:val="00CC1B3F"/>
    <w:rsid w:val="00CC1B75"/>
    <w:rsid w:val="00CC1BA7"/>
    <w:rsid w:val="00CC1BEA"/>
    <w:rsid w:val="00CC1C15"/>
    <w:rsid w:val="00CC2070"/>
    <w:rsid w:val="00CC20C5"/>
    <w:rsid w:val="00CC24BA"/>
    <w:rsid w:val="00CC2879"/>
    <w:rsid w:val="00CC314C"/>
    <w:rsid w:val="00CC3299"/>
    <w:rsid w:val="00CC372A"/>
    <w:rsid w:val="00CC3C73"/>
    <w:rsid w:val="00CC408C"/>
    <w:rsid w:val="00CC49B5"/>
    <w:rsid w:val="00CC4E18"/>
    <w:rsid w:val="00CC5039"/>
    <w:rsid w:val="00CC547B"/>
    <w:rsid w:val="00CC5B2D"/>
    <w:rsid w:val="00CC5C11"/>
    <w:rsid w:val="00CC6220"/>
    <w:rsid w:val="00CC6225"/>
    <w:rsid w:val="00CC643E"/>
    <w:rsid w:val="00CC645C"/>
    <w:rsid w:val="00CC65C5"/>
    <w:rsid w:val="00CC6E85"/>
    <w:rsid w:val="00CC6FFE"/>
    <w:rsid w:val="00CC7432"/>
    <w:rsid w:val="00CC76DF"/>
    <w:rsid w:val="00CC7787"/>
    <w:rsid w:val="00CC78D7"/>
    <w:rsid w:val="00CD0145"/>
    <w:rsid w:val="00CD054F"/>
    <w:rsid w:val="00CD07E9"/>
    <w:rsid w:val="00CD0BB3"/>
    <w:rsid w:val="00CD0D7D"/>
    <w:rsid w:val="00CD1801"/>
    <w:rsid w:val="00CD1E49"/>
    <w:rsid w:val="00CD23EF"/>
    <w:rsid w:val="00CD25D3"/>
    <w:rsid w:val="00CD2BAF"/>
    <w:rsid w:val="00CD2CB2"/>
    <w:rsid w:val="00CD360E"/>
    <w:rsid w:val="00CD3826"/>
    <w:rsid w:val="00CD3D96"/>
    <w:rsid w:val="00CD41EB"/>
    <w:rsid w:val="00CD443D"/>
    <w:rsid w:val="00CD4625"/>
    <w:rsid w:val="00CD4C20"/>
    <w:rsid w:val="00CD50CA"/>
    <w:rsid w:val="00CD5679"/>
    <w:rsid w:val="00CD5EB0"/>
    <w:rsid w:val="00CD6591"/>
    <w:rsid w:val="00CD6761"/>
    <w:rsid w:val="00CD68A2"/>
    <w:rsid w:val="00CD68C9"/>
    <w:rsid w:val="00CD6D43"/>
    <w:rsid w:val="00CD71B6"/>
    <w:rsid w:val="00CD71D8"/>
    <w:rsid w:val="00CD7F08"/>
    <w:rsid w:val="00CE031A"/>
    <w:rsid w:val="00CE05CE"/>
    <w:rsid w:val="00CE0985"/>
    <w:rsid w:val="00CE1433"/>
    <w:rsid w:val="00CE16A0"/>
    <w:rsid w:val="00CE1886"/>
    <w:rsid w:val="00CE1CAF"/>
    <w:rsid w:val="00CE1FC9"/>
    <w:rsid w:val="00CE2E16"/>
    <w:rsid w:val="00CE3163"/>
    <w:rsid w:val="00CE336D"/>
    <w:rsid w:val="00CE413B"/>
    <w:rsid w:val="00CE4200"/>
    <w:rsid w:val="00CE429B"/>
    <w:rsid w:val="00CE43F6"/>
    <w:rsid w:val="00CE46D0"/>
    <w:rsid w:val="00CE4E71"/>
    <w:rsid w:val="00CE500F"/>
    <w:rsid w:val="00CE510D"/>
    <w:rsid w:val="00CE5432"/>
    <w:rsid w:val="00CE549B"/>
    <w:rsid w:val="00CE54D1"/>
    <w:rsid w:val="00CE5559"/>
    <w:rsid w:val="00CE5986"/>
    <w:rsid w:val="00CE5C08"/>
    <w:rsid w:val="00CE5D87"/>
    <w:rsid w:val="00CE60B4"/>
    <w:rsid w:val="00CE61A0"/>
    <w:rsid w:val="00CE68CE"/>
    <w:rsid w:val="00CE6CEB"/>
    <w:rsid w:val="00CE7088"/>
    <w:rsid w:val="00CE74E5"/>
    <w:rsid w:val="00CE7C00"/>
    <w:rsid w:val="00CE7D6F"/>
    <w:rsid w:val="00CF01F3"/>
    <w:rsid w:val="00CF191E"/>
    <w:rsid w:val="00CF1ED7"/>
    <w:rsid w:val="00CF24A3"/>
    <w:rsid w:val="00CF2B1D"/>
    <w:rsid w:val="00CF2D3A"/>
    <w:rsid w:val="00CF3268"/>
    <w:rsid w:val="00CF37A1"/>
    <w:rsid w:val="00CF3C97"/>
    <w:rsid w:val="00CF42C8"/>
    <w:rsid w:val="00CF45A9"/>
    <w:rsid w:val="00CF461A"/>
    <w:rsid w:val="00CF47F3"/>
    <w:rsid w:val="00CF4938"/>
    <w:rsid w:val="00CF49E1"/>
    <w:rsid w:val="00CF5116"/>
    <w:rsid w:val="00CF52DF"/>
    <w:rsid w:val="00CF52F2"/>
    <w:rsid w:val="00CF5BBD"/>
    <w:rsid w:val="00CF5BC4"/>
    <w:rsid w:val="00CF6115"/>
    <w:rsid w:val="00CF6480"/>
    <w:rsid w:val="00CF704A"/>
    <w:rsid w:val="00CF74C2"/>
    <w:rsid w:val="00D00410"/>
    <w:rsid w:val="00D00683"/>
    <w:rsid w:val="00D0080E"/>
    <w:rsid w:val="00D00857"/>
    <w:rsid w:val="00D00A6F"/>
    <w:rsid w:val="00D00B66"/>
    <w:rsid w:val="00D00B74"/>
    <w:rsid w:val="00D00E01"/>
    <w:rsid w:val="00D016FF"/>
    <w:rsid w:val="00D01AE1"/>
    <w:rsid w:val="00D01E32"/>
    <w:rsid w:val="00D01E8D"/>
    <w:rsid w:val="00D03498"/>
    <w:rsid w:val="00D0407B"/>
    <w:rsid w:val="00D04159"/>
    <w:rsid w:val="00D04488"/>
    <w:rsid w:val="00D04E9B"/>
    <w:rsid w:val="00D0549B"/>
    <w:rsid w:val="00D0582C"/>
    <w:rsid w:val="00D05A9D"/>
    <w:rsid w:val="00D05BB5"/>
    <w:rsid w:val="00D0623D"/>
    <w:rsid w:val="00D062F0"/>
    <w:rsid w:val="00D06D44"/>
    <w:rsid w:val="00D072B4"/>
    <w:rsid w:val="00D0739E"/>
    <w:rsid w:val="00D0758E"/>
    <w:rsid w:val="00D07688"/>
    <w:rsid w:val="00D076E4"/>
    <w:rsid w:val="00D10203"/>
    <w:rsid w:val="00D10237"/>
    <w:rsid w:val="00D10795"/>
    <w:rsid w:val="00D10B80"/>
    <w:rsid w:val="00D10E35"/>
    <w:rsid w:val="00D11026"/>
    <w:rsid w:val="00D11E53"/>
    <w:rsid w:val="00D1217A"/>
    <w:rsid w:val="00D1269C"/>
    <w:rsid w:val="00D12774"/>
    <w:rsid w:val="00D12BA6"/>
    <w:rsid w:val="00D12E0E"/>
    <w:rsid w:val="00D1405F"/>
    <w:rsid w:val="00D141C2"/>
    <w:rsid w:val="00D1426B"/>
    <w:rsid w:val="00D1506F"/>
    <w:rsid w:val="00D150D1"/>
    <w:rsid w:val="00D15DED"/>
    <w:rsid w:val="00D16AA5"/>
    <w:rsid w:val="00D16ADA"/>
    <w:rsid w:val="00D16B6F"/>
    <w:rsid w:val="00D16D0C"/>
    <w:rsid w:val="00D16F48"/>
    <w:rsid w:val="00D1704B"/>
    <w:rsid w:val="00D174F3"/>
    <w:rsid w:val="00D17886"/>
    <w:rsid w:val="00D178F4"/>
    <w:rsid w:val="00D179DE"/>
    <w:rsid w:val="00D17A14"/>
    <w:rsid w:val="00D20521"/>
    <w:rsid w:val="00D20583"/>
    <w:rsid w:val="00D206DA"/>
    <w:rsid w:val="00D208BF"/>
    <w:rsid w:val="00D20CAE"/>
    <w:rsid w:val="00D20E46"/>
    <w:rsid w:val="00D21BE1"/>
    <w:rsid w:val="00D21D48"/>
    <w:rsid w:val="00D2282A"/>
    <w:rsid w:val="00D22831"/>
    <w:rsid w:val="00D228AB"/>
    <w:rsid w:val="00D22DDE"/>
    <w:rsid w:val="00D22EFB"/>
    <w:rsid w:val="00D230AD"/>
    <w:rsid w:val="00D2312D"/>
    <w:rsid w:val="00D23F02"/>
    <w:rsid w:val="00D24DDA"/>
    <w:rsid w:val="00D24E32"/>
    <w:rsid w:val="00D2579A"/>
    <w:rsid w:val="00D25C1E"/>
    <w:rsid w:val="00D25CD3"/>
    <w:rsid w:val="00D260B7"/>
    <w:rsid w:val="00D26518"/>
    <w:rsid w:val="00D269DA"/>
    <w:rsid w:val="00D26E9E"/>
    <w:rsid w:val="00D275AE"/>
    <w:rsid w:val="00D27890"/>
    <w:rsid w:val="00D279C3"/>
    <w:rsid w:val="00D27A62"/>
    <w:rsid w:val="00D27D9D"/>
    <w:rsid w:val="00D300AA"/>
    <w:rsid w:val="00D30181"/>
    <w:rsid w:val="00D301CC"/>
    <w:rsid w:val="00D305AC"/>
    <w:rsid w:val="00D30909"/>
    <w:rsid w:val="00D30BCF"/>
    <w:rsid w:val="00D30D13"/>
    <w:rsid w:val="00D30F8B"/>
    <w:rsid w:val="00D31081"/>
    <w:rsid w:val="00D3132D"/>
    <w:rsid w:val="00D323AD"/>
    <w:rsid w:val="00D32EA3"/>
    <w:rsid w:val="00D33119"/>
    <w:rsid w:val="00D33326"/>
    <w:rsid w:val="00D337BA"/>
    <w:rsid w:val="00D339CE"/>
    <w:rsid w:val="00D339F0"/>
    <w:rsid w:val="00D340FB"/>
    <w:rsid w:val="00D349B4"/>
    <w:rsid w:val="00D356EC"/>
    <w:rsid w:val="00D35889"/>
    <w:rsid w:val="00D35B06"/>
    <w:rsid w:val="00D35B76"/>
    <w:rsid w:val="00D35D67"/>
    <w:rsid w:val="00D35FFA"/>
    <w:rsid w:val="00D36DC2"/>
    <w:rsid w:val="00D372C8"/>
    <w:rsid w:val="00D37761"/>
    <w:rsid w:val="00D40147"/>
    <w:rsid w:val="00D40158"/>
    <w:rsid w:val="00D40495"/>
    <w:rsid w:val="00D40D2B"/>
    <w:rsid w:val="00D40D78"/>
    <w:rsid w:val="00D41046"/>
    <w:rsid w:val="00D4193F"/>
    <w:rsid w:val="00D419A1"/>
    <w:rsid w:val="00D42459"/>
    <w:rsid w:val="00D42468"/>
    <w:rsid w:val="00D43632"/>
    <w:rsid w:val="00D439A5"/>
    <w:rsid w:val="00D43C26"/>
    <w:rsid w:val="00D43D17"/>
    <w:rsid w:val="00D43E6B"/>
    <w:rsid w:val="00D44BB5"/>
    <w:rsid w:val="00D44D02"/>
    <w:rsid w:val="00D44DC3"/>
    <w:rsid w:val="00D455D3"/>
    <w:rsid w:val="00D46569"/>
    <w:rsid w:val="00D469AA"/>
    <w:rsid w:val="00D5023F"/>
    <w:rsid w:val="00D511A7"/>
    <w:rsid w:val="00D51235"/>
    <w:rsid w:val="00D51269"/>
    <w:rsid w:val="00D51902"/>
    <w:rsid w:val="00D51FC1"/>
    <w:rsid w:val="00D5242D"/>
    <w:rsid w:val="00D52B2E"/>
    <w:rsid w:val="00D52DAA"/>
    <w:rsid w:val="00D53A9E"/>
    <w:rsid w:val="00D53CB8"/>
    <w:rsid w:val="00D54BF8"/>
    <w:rsid w:val="00D54D9F"/>
    <w:rsid w:val="00D54F7B"/>
    <w:rsid w:val="00D54FB1"/>
    <w:rsid w:val="00D5500D"/>
    <w:rsid w:val="00D5541D"/>
    <w:rsid w:val="00D55811"/>
    <w:rsid w:val="00D559CA"/>
    <w:rsid w:val="00D55FA4"/>
    <w:rsid w:val="00D56510"/>
    <w:rsid w:val="00D56C9A"/>
    <w:rsid w:val="00D56CB2"/>
    <w:rsid w:val="00D56F7F"/>
    <w:rsid w:val="00D56F81"/>
    <w:rsid w:val="00D57141"/>
    <w:rsid w:val="00D573B5"/>
    <w:rsid w:val="00D57F3A"/>
    <w:rsid w:val="00D607DE"/>
    <w:rsid w:val="00D6081A"/>
    <w:rsid w:val="00D60976"/>
    <w:rsid w:val="00D612F1"/>
    <w:rsid w:val="00D61C2F"/>
    <w:rsid w:val="00D61CF7"/>
    <w:rsid w:val="00D62056"/>
    <w:rsid w:val="00D62390"/>
    <w:rsid w:val="00D62399"/>
    <w:rsid w:val="00D62660"/>
    <w:rsid w:val="00D62DAE"/>
    <w:rsid w:val="00D62E03"/>
    <w:rsid w:val="00D63526"/>
    <w:rsid w:val="00D63911"/>
    <w:rsid w:val="00D63B84"/>
    <w:rsid w:val="00D63BCB"/>
    <w:rsid w:val="00D63C28"/>
    <w:rsid w:val="00D64208"/>
    <w:rsid w:val="00D64B6A"/>
    <w:rsid w:val="00D654AC"/>
    <w:rsid w:val="00D65554"/>
    <w:rsid w:val="00D656D8"/>
    <w:rsid w:val="00D657F5"/>
    <w:rsid w:val="00D65931"/>
    <w:rsid w:val="00D65C8B"/>
    <w:rsid w:val="00D66A6D"/>
    <w:rsid w:val="00D66CBB"/>
    <w:rsid w:val="00D67D35"/>
    <w:rsid w:val="00D67E5A"/>
    <w:rsid w:val="00D705FB"/>
    <w:rsid w:val="00D7077A"/>
    <w:rsid w:val="00D70792"/>
    <w:rsid w:val="00D7088B"/>
    <w:rsid w:val="00D70A8E"/>
    <w:rsid w:val="00D70D57"/>
    <w:rsid w:val="00D719A3"/>
    <w:rsid w:val="00D71C4C"/>
    <w:rsid w:val="00D72308"/>
    <w:rsid w:val="00D72906"/>
    <w:rsid w:val="00D7368B"/>
    <w:rsid w:val="00D73B93"/>
    <w:rsid w:val="00D73C19"/>
    <w:rsid w:val="00D73D91"/>
    <w:rsid w:val="00D740BF"/>
    <w:rsid w:val="00D74311"/>
    <w:rsid w:val="00D745C8"/>
    <w:rsid w:val="00D74A4D"/>
    <w:rsid w:val="00D74C70"/>
    <w:rsid w:val="00D75B93"/>
    <w:rsid w:val="00D75F99"/>
    <w:rsid w:val="00D76C10"/>
    <w:rsid w:val="00D77510"/>
    <w:rsid w:val="00D7775A"/>
    <w:rsid w:val="00D8055E"/>
    <w:rsid w:val="00D807A6"/>
    <w:rsid w:val="00D80A8D"/>
    <w:rsid w:val="00D81705"/>
    <w:rsid w:val="00D81BB2"/>
    <w:rsid w:val="00D81C31"/>
    <w:rsid w:val="00D82092"/>
    <w:rsid w:val="00D8241A"/>
    <w:rsid w:val="00D8253B"/>
    <w:rsid w:val="00D8279B"/>
    <w:rsid w:val="00D82BE8"/>
    <w:rsid w:val="00D82CCC"/>
    <w:rsid w:val="00D82ED5"/>
    <w:rsid w:val="00D83818"/>
    <w:rsid w:val="00D843BD"/>
    <w:rsid w:val="00D84625"/>
    <w:rsid w:val="00D8466A"/>
    <w:rsid w:val="00D8470B"/>
    <w:rsid w:val="00D84DAD"/>
    <w:rsid w:val="00D84F8E"/>
    <w:rsid w:val="00D850B1"/>
    <w:rsid w:val="00D851E2"/>
    <w:rsid w:val="00D85B26"/>
    <w:rsid w:val="00D85C0D"/>
    <w:rsid w:val="00D85DC5"/>
    <w:rsid w:val="00D860B9"/>
    <w:rsid w:val="00D860F1"/>
    <w:rsid w:val="00D8627A"/>
    <w:rsid w:val="00D86402"/>
    <w:rsid w:val="00D86AF8"/>
    <w:rsid w:val="00D86CB1"/>
    <w:rsid w:val="00D872FC"/>
    <w:rsid w:val="00D8787A"/>
    <w:rsid w:val="00D87D6B"/>
    <w:rsid w:val="00D90F09"/>
    <w:rsid w:val="00D91378"/>
    <w:rsid w:val="00D91404"/>
    <w:rsid w:val="00D92148"/>
    <w:rsid w:val="00D921F9"/>
    <w:rsid w:val="00D929CB"/>
    <w:rsid w:val="00D93682"/>
    <w:rsid w:val="00D93B9A"/>
    <w:rsid w:val="00D9418B"/>
    <w:rsid w:val="00D9446B"/>
    <w:rsid w:val="00D94646"/>
    <w:rsid w:val="00D94A2C"/>
    <w:rsid w:val="00D94AA6"/>
    <w:rsid w:val="00D94B87"/>
    <w:rsid w:val="00D953EF"/>
    <w:rsid w:val="00D955C1"/>
    <w:rsid w:val="00D95D47"/>
    <w:rsid w:val="00D96911"/>
    <w:rsid w:val="00D96E13"/>
    <w:rsid w:val="00D972C5"/>
    <w:rsid w:val="00DA01E8"/>
    <w:rsid w:val="00DA0339"/>
    <w:rsid w:val="00DA0AD6"/>
    <w:rsid w:val="00DA0B48"/>
    <w:rsid w:val="00DA1690"/>
    <w:rsid w:val="00DA1E5F"/>
    <w:rsid w:val="00DA1F8D"/>
    <w:rsid w:val="00DA1FCA"/>
    <w:rsid w:val="00DA21C8"/>
    <w:rsid w:val="00DA2322"/>
    <w:rsid w:val="00DA2422"/>
    <w:rsid w:val="00DA2720"/>
    <w:rsid w:val="00DA286B"/>
    <w:rsid w:val="00DA3B2F"/>
    <w:rsid w:val="00DA3C38"/>
    <w:rsid w:val="00DA3DA3"/>
    <w:rsid w:val="00DA43AE"/>
    <w:rsid w:val="00DA4548"/>
    <w:rsid w:val="00DA457F"/>
    <w:rsid w:val="00DA4688"/>
    <w:rsid w:val="00DA4B40"/>
    <w:rsid w:val="00DA4DE0"/>
    <w:rsid w:val="00DA5253"/>
    <w:rsid w:val="00DA54FA"/>
    <w:rsid w:val="00DA629F"/>
    <w:rsid w:val="00DA62BC"/>
    <w:rsid w:val="00DA7016"/>
    <w:rsid w:val="00DA7CEB"/>
    <w:rsid w:val="00DA7E4F"/>
    <w:rsid w:val="00DB0129"/>
    <w:rsid w:val="00DB0AC6"/>
    <w:rsid w:val="00DB0D10"/>
    <w:rsid w:val="00DB118E"/>
    <w:rsid w:val="00DB1362"/>
    <w:rsid w:val="00DB13AE"/>
    <w:rsid w:val="00DB15FA"/>
    <w:rsid w:val="00DB19D9"/>
    <w:rsid w:val="00DB1E8E"/>
    <w:rsid w:val="00DB21D9"/>
    <w:rsid w:val="00DB237D"/>
    <w:rsid w:val="00DB273B"/>
    <w:rsid w:val="00DB2933"/>
    <w:rsid w:val="00DB2A0F"/>
    <w:rsid w:val="00DB2D45"/>
    <w:rsid w:val="00DB2F46"/>
    <w:rsid w:val="00DB3188"/>
    <w:rsid w:val="00DB32CD"/>
    <w:rsid w:val="00DB3534"/>
    <w:rsid w:val="00DB38BA"/>
    <w:rsid w:val="00DB3C3C"/>
    <w:rsid w:val="00DB3D60"/>
    <w:rsid w:val="00DB467A"/>
    <w:rsid w:val="00DB467C"/>
    <w:rsid w:val="00DB479A"/>
    <w:rsid w:val="00DB492F"/>
    <w:rsid w:val="00DB4B87"/>
    <w:rsid w:val="00DB5D36"/>
    <w:rsid w:val="00DB5F89"/>
    <w:rsid w:val="00DB612D"/>
    <w:rsid w:val="00DB6BB4"/>
    <w:rsid w:val="00DB6C14"/>
    <w:rsid w:val="00DB6E86"/>
    <w:rsid w:val="00DB7408"/>
    <w:rsid w:val="00DB7699"/>
    <w:rsid w:val="00DB7B2E"/>
    <w:rsid w:val="00DC0765"/>
    <w:rsid w:val="00DC0B9A"/>
    <w:rsid w:val="00DC11AF"/>
    <w:rsid w:val="00DC1532"/>
    <w:rsid w:val="00DC18F1"/>
    <w:rsid w:val="00DC1D87"/>
    <w:rsid w:val="00DC2124"/>
    <w:rsid w:val="00DC2813"/>
    <w:rsid w:val="00DC28E5"/>
    <w:rsid w:val="00DC362D"/>
    <w:rsid w:val="00DC478F"/>
    <w:rsid w:val="00DC4872"/>
    <w:rsid w:val="00DC50D7"/>
    <w:rsid w:val="00DC597C"/>
    <w:rsid w:val="00DC5BF8"/>
    <w:rsid w:val="00DC5F23"/>
    <w:rsid w:val="00DC652B"/>
    <w:rsid w:val="00DC65DC"/>
    <w:rsid w:val="00DC6CC9"/>
    <w:rsid w:val="00DC77B5"/>
    <w:rsid w:val="00DC7FA6"/>
    <w:rsid w:val="00DCFB86"/>
    <w:rsid w:val="00DD05F6"/>
    <w:rsid w:val="00DD07E6"/>
    <w:rsid w:val="00DD0C1A"/>
    <w:rsid w:val="00DD16C8"/>
    <w:rsid w:val="00DD20C4"/>
    <w:rsid w:val="00DD226B"/>
    <w:rsid w:val="00DD29D6"/>
    <w:rsid w:val="00DD2CFC"/>
    <w:rsid w:val="00DD3218"/>
    <w:rsid w:val="00DD3B13"/>
    <w:rsid w:val="00DD3B18"/>
    <w:rsid w:val="00DD3C0B"/>
    <w:rsid w:val="00DD4274"/>
    <w:rsid w:val="00DD4651"/>
    <w:rsid w:val="00DD4D8C"/>
    <w:rsid w:val="00DD5610"/>
    <w:rsid w:val="00DD5A4C"/>
    <w:rsid w:val="00DD5CBC"/>
    <w:rsid w:val="00DD5E4C"/>
    <w:rsid w:val="00DD673F"/>
    <w:rsid w:val="00DD6BCF"/>
    <w:rsid w:val="00DD6FD6"/>
    <w:rsid w:val="00DD74F9"/>
    <w:rsid w:val="00DD755A"/>
    <w:rsid w:val="00DD7EA4"/>
    <w:rsid w:val="00DE02F6"/>
    <w:rsid w:val="00DE0D72"/>
    <w:rsid w:val="00DE10AD"/>
    <w:rsid w:val="00DE1E6B"/>
    <w:rsid w:val="00DE1EC2"/>
    <w:rsid w:val="00DE21FB"/>
    <w:rsid w:val="00DE257A"/>
    <w:rsid w:val="00DE29C5"/>
    <w:rsid w:val="00DE2ED8"/>
    <w:rsid w:val="00DE3072"/>
    <w:rsid w:val="00DE4546"/>
    <w:rsid w:val="00DE4756"/>
    <w:rsid w:val="00DE47D2"/>
    <w:rsid w:val="00DE4AAD"/>
    <w:rsid w:val="00DE4AF8"/>
    <w:rsid w:val="00DE4EE8"/>
    <w:rsid w:val="00DE5119"/>
    <w:rsid w:val="00DE54D1"/>
    <w:rsid w:val="00DE58BD"/>
    <w:rsid w:val="00DE58CF"/>
    <w:rsid w:val="00DE5F09"/>
    <w:rsid w:val="00DE5F96"/>
    <w:rsid w:val="00DE6325"/>
    <w:rsid w:val="00DE7051"/>
    <w:rsid w:val="00DE7124"/>
    <w:rsid w:val="00DE7667"/>
    <w:rsid w:val="00DE7991"/>
    <w:rsid w:val="00DE7B10"/>
    <w:rsid w:val="00DE7B97"/>
    <w:rsid w:val="00DE7D11"/>
    <w:rsid w:val="00DF0153"/>
    <w:rsid w:val="00DF07B1"/>
    <w:rsid w:val="00DF0D2F"/>
    <w:rsid w:val="00DF103F"/>
    <w:rsid w:val="00DF19CC"/>
    <w:rsid w:val="00DF1DE0"/>
    <w:rsid w:val="00DF2062"/>
    <w:rsid w:val="00DF256A"/>
    <w:rsid w:val="00DF25FD"/>
    <w:rsid w:val="00DF2BBF"/>
    <w:rsid w:val="00DF2C02"/>
    <w:rsid w:val="00DF349D"/>
    <w:rsid w:val="00DF4276"/>
    <w:rsid w:val="00DF42EC"/>
    <w:rsid w:val="00DF4C0A"/>
    <w:rsid w:val="00DF4F52"/>
    <w:rsid w:val="00DF52D9"/>
    <w:rsid w:val="00DF5BAF"/>
    <w:rsid w:val="00DF5C2E"/>
    <w:rsid w:val="00DF67C7"/>
    <w:rsid w:val="00DF6B8D"/>
    <w:rsid w:val="00DF6F74"/>
    <w:rsid w:val="00DF77A9"/>
    <w:rsid w:val="00DF7F9C"/>
    <w:rsid w:val="00E0043A"/>
    <w:rsid w:val="00E0172F"/>
    <w:rsid w:val="00E019A4"/>
    <w:rsid w:val="00E01A1E"/>
    <w:rsid w:val="00E01CE9"/>
    <w:rsid w:val="00E0270B"/>
    <w:rsid w:val="00E02830"/>
    <w:rsid w:val="00E02BF2"/>
    <w:rsid w:val="00E03028"/>
    <w:rsid w:val="00E03A63"/>
    <w:rsid w:val="00E03A6C"/>
    <w:rsid w:val="00E03AAD"/>
    <w:rsid w:val="00E03D56"/>
    <w:rsid w:val="00E04719"/>
    <w:rsid w:val="00E04D7D"/>
    <w:rsid w:val="00E050DE"/>
    <w:rsid w:val="00E051C3"/>
    <w:rsid w:val="00E05AB6"/>
    <w:rsid w:val="00E05EB4"/>
    <w:rsid w:val="00E05FDA"/>
    <w:rsid w:val="00E067A2"/>
    <w:rsid w:val="00E06D3C"/>
    <w:rsid w:val="00E07D58"/>
    <w:rsid w:val="00E1012C"/>
    <w:rsid w:val="00E1023A"/>
    <w:rsid w:val="00E10C05"/>
    <w:rsid w:val="00E11113"/>
    <w:rsid w:val="00E1116E"/>
    <w:rsid w:val="00E112B4"/>
    <w:rsid w:val="00E11382"/>
    <w:rsid w:val="00E117E2"/>
    <w:rsid w:val="00E1231B"/>
    <w:rsid w:val="00E12820"/>
    <w:rsid w:val="00E12E5E"/>
    <w:rsid w:val="00E131A7"/>
    <w:rsid w:val="00E1336B"/>
    <w:rsid w:val="00E138EC"/>
    <w:rsid w:val="00E146CE"/>
    <w:rsid w:val="00E14E95"/>
    <w:rsid w:val="00E14EE2"/>
    <w:rsid w:val="00E156CC"/>
    <w:rsid w:val="00E15770"/>
    <w:rsid w:val="00E1580E"/>
    <w:rsid w:val="00E16290"/>
    <w:rsid w:val="00E167C6"/>
    <w:rsid w:val="00E16EA4"/>
    <w:rsid w:val="00E1701D"/>
    <w:rsid w:val="00E1702E"/>
    <w:rsid w:val="00E177A2"/>
    <w:rsid w:val="00E17AFA"/>
    <w:rsid w:val="00E2007A"/>
    <w:rsid w:val="00E20503"/>
    <w:rsid w:val="00E20CC0"/>
    <w:rsid w:val="00E20D79"/>
    <w:rsid w:val="00E20FFD"/>
    <w:rsid w:val="00E21769"/>
    <w:rsid w:val="00E21A05"/>
    <w:rsid w:val="00E21B1C"/>
    <w:rsid w:val="00E21DD7"/>
    <w:rsid w:val="00E220F8"/>
    <w:rsid w:val="00E22364"/>
    <w:rsid w:val="00E2266C"/>
    <w:rsid w:val="00E22A9B"/>
    <w:rsid w:val="00E23837"/>
    <w:rsid w:val="00E239AC"/>
    <w:rsid w:val="00E23B9C"/>
    <w:rsid w:val="00E23D6C"/>
    <w:rsid w:val="00E23E7D"/>
    <w:rsid w:val="00E24522"/>
    <w:rsid w:val="00E24DD4"/>
    <w:rsid w:val="00E255D0"/>
    <w:rsid w:val="00E25AF7"/>
    <w:rsid w:val="00E264D5"/>
    <w:rsid w:val="00E27B93"/>
    <w:rsid w:val="00E27D01"/>
    <w:rsid w:val="00E27D1D"/>
    <w:rsid w:val="00E30266"/>
    <w:rsid w:val="00E30313"/>
    <w:rsid w:val="00E30319"/>
    <w:rsid w:val="00E3038F"/>
    <w:rsid w:val="00E30E8F"/>
    <w:rsid w:val="00E31C2E"/>
    <w:rsid w:val="00E322AA"/>
    <w:rsid w:val="00E32395"/>
    <w:rsid w:val="00E326C5"/>
    <w:rsid w:val="00E328E5"/>
    <w:rsid w:val="00E3299B"/>
    <w:rsid w:val="00E329AA"/>
    <w:rsid w:val="00E32AE3"/>
    <w:rsid w:val="00E32C3B"/>
    <w:rsid w:val="00E32C75"/>
    <w:rsid w:val="00E33107"/>
    <w:rsid w:val="00E33390"/>
    <w:rsid w:val="00E33BA9"/>
    <w:rsid w:val="00E34103"/>
    <w:rsid w:val="00E341A9"/>
    <w:rsid w:val="00E343EB"/>
    <w:rsid w:val="00E35127"/>
    <w:rsid w:val="00E35A69"/>
    <w:rsid w:val="00E35D84"/>
    <w:rsid w:val="00E35EF1"/>
    <w:rsid w:val="00E3649B"/>
    <w:rsid w:val="00E379F0"/>
    <w:rsid w:val="00E37CB6"/>
    <w:rsid w:val="00E37E51"/>
    <w:rsid w:val="00E37EEE"/>
    <w:rsid w:val="00E400E3"/>
    <w:rsid w:val="00E40B1C"/>
    <w:rsid w:val="00E413CD"/>
    <w:rsid w:val="00E4197C"/>
    <w:rsid w:val="00E41DB3"/>
    <w:rsid w:val="00E42071"/>
    <w:rsid w:val="00E4218D"/>
    <w:rsid w:val="00E42A8E"/>
    <w:rsid w:val="00E42BCB"/>
    <w:rsid w:val="00E43383"/>
    <w:rsid w:val="00E435AF"/>
    <w:rsid w:val="00E438C3"/>
    <w:rsid w:val="00E43935"/>
    <w:rsid w:val="00E43C29"/>
    <w:rsid w:val="00E43EC0"/>
    <w:rsid w:val="00E44052"/>
    <w:rsid w:val="00E4458F"/>
    <w:rsid w:val="00E44864"/>
    <w:rsid w:val="00E44C55"/>
    <w:rsid w:val="00E458A5"/>
    <w:rsid w:val="00E45BF0"/>
    <w:rsid w:val="00E46267"/>
    <w:rsid w:val="00E46574"/>
    <w:rsid w:val="00E46723"/>
    <w:rsid w:val="00E46AD5"/>
    <w:rsid w:val="00E477F9"/>
    <w:rsid w:val="00E47A96"/>
    <w:rsid w:val="00E47E27"/>
    <w:rsid w:val="00E47F51"/>
    <w:rsid w:val="00E506E6"/>
    <w:rsid w:val="00E516A5"/>
    <w:rsid w:val="00E51B36"/>
    <w:rsid w:val="00E51DBB"/>
    <w:rsid w:val="00E52826"/>
    <w:rsid w:val="00E52D7D"/>
    <w:rsid w:val="00E5388E"/>
    <w:rsid w:val="00E54081"/>
    <w:rsid w:val="00E543BD"/>
    <w:rsid w:val="00E54CB8"/>
    <w:rsid w:val="00E54FE3"/>
    <w:rsid w:val="00E55798"/>
    <w:rsid w:val="00E55A8D"/>
    <w:rsid w:val="00E55DDC"/>
    <w:rsid w:val="00E567B6"/>
    <w:rsid w:val="00E56A47"/>
    <w:rsid w:val="00E56C9D"/>
    <w:rsid w:val="00E56DC2"/>
    <w:rsid w:val="00E5721E"/>
    <w:rsid w:val="00E57D1A"/>
    <w:rsid w:val="00E57FCB"/>
    <w:rsid w:val="00E60410"/>
    <w:rsid w:val="00E60DBF"/>
    <w:rsid w:val="00E60DC5"/>
    <w:rsid w:val="00E60F72"/>
    <w:rsid w:val="00E61542"/>
    <w:rsid w:val="00E6192B"/>
    <w:rsid w:val="00E61B5A"/>
    <w:rsid w:val="00E61FEF"/>
    <w:rsid w:val="00E62145"/>
    <w:rsid w:val="00E62235"/>
    <w:rsid w:val="00E62371"/>
    <w:rsid w:val="00E6279B"/>
    <w:rsid w:val="00E62978"/>
    <w:rsid w:val="00E634EC"/>
    <w:rsid w:val="00E63504"/>
    <w:rsid w:val="00E63BDA"/>
    <w:rsid w:val="00E6407A"/>
    <w:rsid w:val="00E6422F"/>
    <w:rsid w:val="00E64937"/>
    <w:rsid w:val="00E649FE"/>
    <w:rsid w:val="00E64B7F"/>
    <w:rsid w:val="00E64CEA"/>
    <w:rsid w:val="00E650F2"/>
    <w:rsid w:val="00E6524A"/>
    <w:rsid w:val="00E6535F"/>
    <w:rsid w:val="00E65AC2"/>
    <w:rsid w:val="00E65E41"/>
    <w:rsid w:val="00E65F95"/>
    <w:rsid w:val="00E665DF"/>
    <w:rsid w:val="00E66618"/>
    <w:rsid w:val="00E6697D"/>
    <w:rsid w:val="00E6733C"/>
    <w:rsid w:val="00E67D63"/>
    <w:rsid w:val="00E705FE"/>
    <w:rsid w:val="00E70A96"/>
    <w:rsid w:val="00E70AF2"/>
    <w:rsid w:val="00E70F89"/>
    <w:rsid w:val="00E713D1"/>
    <w:rsid w:val="00E714EC"/>
    <w:rsid w:val="00E71798"/>
    <w:rsid w:val="00E71A27"/>
    <w:rsid w:val="00E71C05"/>
    <w:rsid w:val="00E71FFF"/>
    <w:rsid w:val="00E7211A"/>
    <w:rsid w:val="00E72656"/>
    <w:rsid w:val="00E72CE3"/>
    <w:rsid w:val="00E72E66"/>
    <w:rsid w:val="00E7323C"/>
    <w:rsid w:val="00E7324B"/>
    <w:rsid w:val="00E73377"/>
    <w:rsid w:val="00E73CE7"/>
    <w:rsid w:val="00E73CFC"/>
    <w:rsid w:val="00E73E7A"/>
    <w:rsid w:val="00E74138"/>
    <w:rsid w:val="00E74533"/>
    <w:rsid w:val="00E7479B"/>
    <w:rsid w:val="00E74D12"/>
    <w:rsid w:val="00E755A3"/>
    <w:rsid w:val="00E7613A"/>
    <w:rsid w:val="00E76251"/>
    <w:rsid w:val="00E76DB9"/>
    <w:rsid w:val="00E7743B"/>
    <w:rsid w:val="00E77856"/>
    <w:rsid w:val="00E77BFD"/>
    <w:rsid w:val="00E77F63"/>
    <w:rsid w:val="00E803BE"/>
    <w:rsid w:val="00E8068C"/>
    <w:rsid w:val="00E80A20"/>
    <w:rsid w:val="00E80F21"/>
    <w:rsid w:val="00E80F6F"/>
    <w:rsid w:val="00E80F73"/>
    <w:rsid w:val="00E810C8"/>
    <w:rsid w:val="00E81117"/>
    <w:rsid w:val="00E812F0"/>
    <w:rsid w:val="00E81365"/>
    <w:rsid w:val="00E814FB"/>
    <w:rsid w:val="00E838DC"/>
    <w:rsid w:val="00E83996"/>
    <w:rsid w:val="00E83A37"/>
    <w:rsid w:val="00E84390"/>
    <w:rsid w:val="00E84BF2"/>
    <w:rsid w:val="00E84F2B"/>
    <w:rsid w:val="00E850B7"/>
    <w:rsid w:val="00E851F3"/>
    <w:rsid w:val="00E854DF"/>
    <w:rsid w:val="00E854FD"/>
    <w:rsid w:val="00E85745"/>
    <w:rsid w:val="00E85783"/>
    <w:rsid w:val="00E862C3"/>
    <w:rsid w:val="00E86305"/>
    <w:rsid w:val="00E865D2"/>
    <w:rsid w:val="00E867B8"/>
    <w:rsid w:val="00E867EA"/>
    <w:rsid w:val="00E868BD"/>
    <w:rsid w:val="00E8794D"/>
    <w:rsid w:val="00E87A00"/>
    <w:rsid w:val="00E87B8F"/>
    <w:rsid w:val="00E905A8"/>
    <w:rsid w:val="00E9094A"/>
    <w:rsid w:val="00E910A8"/>
    <w:rsid w:val="00E91722"/>
    <w:rsid w:val="00E9235A"/>
    <w:rsid w:val="00E927B1"/>
    <w:rsid w:val="00E92A67"/>
    <w:rsid w:val="00E92C47"/>
    <w:rsid w:val="00E93016"/>
    <w:rsid w:val="00E930EE"/>
    <w:rsid w:val="00E932F5"/>
    <w:rsid w:val="00E93AC1"/>
    <w:rsid w:val="00E940B0"/>
    <w:rsid w:val="00E9434C"/>
    <w:rsid w:val="00E949D8"/>
    <w:rsid w:val="00E94D12"/>
    <w:rsid w:val="00E951D0"/>
    <w:rsid w:val="00E95A3F"/>
    <w:rsid w:val="00E95A8A"/>
    <w:rsid w:val="00E961FB"/>
    <w:rsid w:val="00E96E7D"/>
    <w:rsid w:val="00E96E9F"/>
    <w:rsid w:val="00E970D4"/>
    <w:rsid w:val="00EA014D"/>
    <w:rsid w:val="00EA0205"/>
    <w:rsid w:val="00EA0C71"/>
    <w:rsid w:val="00EA1041"/>
    <w:rsid w:val="00EA12E7"/>
    <w:rsid w:val="00EA1C4B"/>
    <w:rsid w:val="00EA1DED"/>
    <w:rsid w:val="00EA27F4"/>
    <w:rsid w:val="00EA2813"/>
    <w:rsid w:val="00EA2B2D"/>
    <w:rsid w:val="00EA2C41"/>
    <w:rsid w:val="00EA2DCE"/>
    <w:rsid w:val="00EA32B6"/>
    <w:rsid w:val="00EA334A"/>
    <w:rsid w:val="00EA3792"/>
    <w:rsid w:val="00EA46CB"/>
    <w:rsid w:val="00EA5ABA"/>
    <w:rsid w:val="00EA5D82"/>
    <w:rsid w:val="00EA6019"/>
    <w:rsid w:val="00EA6342"/>
    <w:rsid w:val="00EA6AB6"/>
    <w:rsid w:val="00EA6D49"/>
    <w:rsid w:val="00EA6D92"/>
    <w:rsid w:val="00EA72CC"/>
    <w:rsid w:val="00EA7CAC"/>
    <w:rsid w:val="00EA7EC7"/>
    <w:rsid w:val="00EB045F"/>
    <w:rsid w:val="00EB04A1"/>
    <w:rsid w:val="00EB0C15"/>
    <w:rsid w:val="00EB1369"/>
    <w:rsid w:val="00EB151B"/>
    <w:rsid w:val="00EB294C"/>
    <w:rsid w:val="00EB33B9"/>
    <w:rsid w:val="00EB33D0"/>
    <w:rsid w:val="00EB3A2E"/>
    <w:rsid w:val="00EB404C"/>
    <w:rsid w:val="00EB4315"/>
    <w:rsid w:val="00EB4582"/>
    <w:rsid w:val="00EB574D"/>
    <w:rsid w:val="00EB588B"/>
    <w:rsid w:val="00EB5B4C"/>
    <w:rsid w:val="00EB5CFC"/>
    <w:rsid w:val="00EB5F00"/>
    <w:rsid w:val="00EB62E8"/>
    <w:rsid w:val="00EB6533"/>
    <w:rsid w:val="00EB6B06"/>
    <w:rsid w:val="00EB6C0F"/>
    <w:rsid w:val="00EB6C90"/>
    <w:rsid w:val="00EB76B9"/>
    <w:rsid w:val="00EB7729"/>
    <w:rsid w:val="00EB785C"/>
    <w:rsid w:val="00EB79C4"/>
    <w:rsid w:val="00EB7BA8"/>
    <w:rsid w:val="00EC06F9"/>
    <w:rsid w:val="00EC0AF2"/>
    <w:rsid w:val="00EC17E2"/>
    <w:rsid w:val="00EC186C"/>
    <w:rsid w:val="00EC1B72"/>
    <w:rsid w:val="00EC1D7C"/>
    <w:rsid w:val="00EC1F55"/>
    <w:rsid w:val="00EC2269"/>
    <w:rsid w:val="00EC265F"/>
    <w:rsid w:val="00EC3490"/>
    <w:rsid w:val="00EC3C09"/>
    <w:rsid w:val="00EC3C29"/>
    <w:rsid w:val="00EC3D66"/>
    <w:rsid w:val="00EC3F1C"/>
    <w:rsid w:val="00EC4182"/>
    <w:rsid w:val="00EC4204"/>
    <w:rsid w:val="00EC4361"/>
    <w:rsid w:val="00EC457D"/>
    <w:rsid w:val="00EC45D5"/>
    <w:rsid w:val="00EC486A"/>
    <w:rsid w:val="00EC4DD2"/>
    <w:rsid w:val="00EC4DE0"/>
    <w:rsid w:val="00EC5F92"/>
    <w:rsid w:val="00EC5F9F"/>
    <w:rsid w:val="00EC64D5"/>
    <w:rsid w:val="00EC71B9"/>
    <w:rsid w:val="00EC7423"/>
    <w:rsid w:val="00ED005B"/>
    <w:rsid w:val="00ED07D7"/>
    <w:rsid w:val="00ED0A7C"/>
    <w:rsid w:val="00ED0AF2"/>
    <w:rsid w:val="00ED0C2F"/>
    <w:rsid w:val="00ED1132"/>
    <w:rsid w:val="00ED11F5"/>
    <w:rsid w:val="00ED14CF"/>
    <w:rsid w:val="00ED1721"/>
    <w:rsid w:val="00ED1F00"/>
    <w:rsid w:val="00ED22E8"/>
    <w:rsid w:val="00ED26EB"/>
    <w:rsid w:val="00ED2970"/>
    <w:rsid w:val="00ED29D2"/>
    <w:rsid w:val="00ED29F9"/>
    <w:rsid w:val="00ED2C15"/>
    <w:rsid w:val="00ED3ED4"/>
    <w:rsid w:val="00ED495F"/>
    <w:rsid w:val="00ED5086"/>
    <w:rsid w:val="00ED51AA"/>
    <w:rsid w:val="00ED5476"/>
    <w:rsid w:val="00ED5B78"/>
    <w:rsid w:val="00ED5E84"/>
    <w:rsid w:val="00ED5F15"/>
    <w:rsid w:val="00ED658F"/>
    <w:rsid w:val="00ED6CEE"/>
    <w:rsid w:val="00ED7117"/>
    <w:rsid w:val="00ED74CD"/>
    <w:rsid w:val="00ED7BF6"/>
    <w:rsid w:val="00ED7DFE"/>
    <w:rsid w:val="00EE00CF"/>
    <w:rsid w:val="00EE0B4F"/>
    <w:rsid w:val="00EE13B9"/>
    <w:rsid w:val="00EE1542"/>
    <w:rsid w:val="00EE160D"/>
    <w:rsid w:val="00EE194B"/>
    <w:rsid w:val="00EE1E6A"/>
    <w:rsid w:val="00EE20BD"/>
    <w:rsid w:val="00EE2184"/>
    <w:rsid w:val="00EE2205"/>
    <w:rsid w:val="00EE2989"/>
    <w:rsid w:val="00EE2EE1"/>
    <w:rsid w:val="00EE3211"/>
    <w:rsid w:val="00EE387E"/>
    <w:rsid w:val="00EE3E6A"/>
    <w:rsid w:val="00EE3EA2"/>
    <w:rsid w:val="00EE3F0C"/>
    <w:rsid w:val="00EE4986"/>
    <w:rsid w:val="00EE4B49"/>
    <w:rsid w:val="00EE5B64"/>
    <w:rsid w:val="00EE5DD1"/>
    <w:rsid w:val="00EE5EE3"/>
    <w:rsid w:val="00EE6170"/>
    <w:rsid w:val="00EE6377"/>
    <w:rsid w:val="00EE6948"/>
    <w:rsid w:val="00EE6B52"/>
    <w:rsid w:val="00EE6CE2"/>
    <w:rsid w:val="00EE6E23"/>
    <w:rsid w:val="00EE6F70"/>
    <w:rsid w:val="00EE745E"/>
    <w:rsid w:val="00EE7AF9"/>
    <w:rsid w:val="00EF015A"/>
    <w:rsid w:val="00EF017D"/>
    <w:rsid w:val="00EF054B"/>
    <w:rsid w:val="00EF0841"/>
    <w:rsid w:val="00EF08A3"/>
    <w:rsid w:val="00EF091A"/>
    <w:rsid w:val="00EF09CF"/>
    <w:rsid w:val="00EF09E6"/>
    <w:rsid w:val="00EF1F80"/>
    <w:rsid w:val="00EF1FF8"/>
    <w:rsid w:val="00EF220B"/>
    <w:rsid w:val="00EF2354"/>
    <w:rsid w:val="00EF31DE"/>
    <w:rsid w:val="00EF3407"/>
    <w:rsid w:val="00EF350B"/>
    <w:rsid w:val="00EF380D"/>
    <w:rsid w:val="00EF3C1C"/>
    <w:rsid w:val="00EF4036"/>
    <w:rsid w:val="00EF4240"/>
    <w:rsid w:val="00EF481F"/>
    <w:rsid w:val="00EF4C5F"/>
    <w:rsid w:val="00EF4FD4"/>
    <w:rsid w:val="00EF5513"/>
    <w:rsid w:val="00EF5AC6"/>
    <w:rsid w:val="00EF5C70"/>
    <w:rsid w:val="00EF5F23"/>
    <w:rsid w:val="00EF5FCE"/>
    <w:rsid w:val="00EF635B"/>
    <w:rsid w:val="00EF6512"/>
    <w:rsid w:val="00EF7B70"/>
    <w:rsid w:val="00F00103"/>
    <w:rsid w:val="00F00291"/>
    <w:rsid w:val="00F005D6"/>
    <w:rsid w:val="00F00853"/>
    <w:rsid w:val="00F00BC0"/>
    <w:rsid w:val="00F01084"/>
    <w:rsid w:val="00F012F3"/>
    <w:rsid w:val="00F01324"/>
    <w:rsid w:val="00F018B9"/>
    <w:rsid w:val="00F0195D"/>
    <w:rsid w:val="00F01BB8"/>
    <w:rsid w:val="00F01E7D"/>
    <w:rsid w:val="00F02B02"/>
    <w:rsid w:val="00F02EE3"/>
    <w:rsid w:val="00F035D9"/>
    <w:rsid w:val="00F04691"/>
    <w:rsid w:val="00F049B5"/>
    <w:rsid w:val="00F04FD1"/>
    <w:rsid w:val="00F05017"/>
    <w:rsid w:val="00F0516F"/>
    <w:rsid w:val="00F054F0"/>
    <w:rsid w:val="00F05726"/>
    <w:rsid w:val="00F05B24"/>
    <w:rsid w:val="00F06119"/>
    <w:rsid w:val="00F06B5C"/>
    <w:rsid w:val="00F07151"/>
    <w:rsid w:val="00F075B6"/>
    <w:rsid w:val="00F075F0"/>
    <w:rsid w:val="00F07640"/>
    <w:rsid w:val="00F10C1B"/>
    <w:rsid w:val="00F10CCC"/>
    <w:rsid w:val="00F10D25"/>
    <w:rsid w:val="00F11993"/>
    <w:rsid w:val="00F127A7"/>
    <w:rsid w:val="00F12F48"/>
    <w:rsid w:val="00F1306C"/>
    <w:rsid w:val="00F130F7"/>
    <w:rsid w:val="00F13196"/>
    <w:rsid w:val="00F13463"/>
    <w:rsid w:val="00F145FC"/>
    <w:rsid w:val="00F14874"/>
    <w:rsid w:val="00F14D51"/>
    <w:rsid w:val="00F14E0C"/>
    <w:rsid w:val="00F14E96"/>
    <w:rsid w:val="00F14FFF"/>
    <w:rsid w:val="00F1514E"/>
    <w:rsid w:val="00F1616A"/>
    <w:rsid w:val="00F16725"/>
    <w:rsid w:val="00F16816"/>
    <w:rsid w:val="00F172F3"/>
    <w:rsid w:val="00F17D37"/>
    <w:rsid w:val="00F20473"/>
    <w:rsid w:val="00F2082D"/>
    <w:rsid w:val="00F20D62"/>
    <w:rsid w:val="00F20DAA"/>
    <w:rsid w:val="00F21274"/>
    <w:rsid w:val="00F21F1A"/>
    <w:rsid w:val="00F22787"/>
    <w:rsid w:val="00F2297C"/>
    <w:rsid w:val="00F22C06"/>
    <w:rsid w:val="00F22F3F"/>
    <w:rsid w:val="00F230A3"/>
    <w:rsid w:val="00F23722"/>
    <w:rsid w:val="00F23934"/>
    <w:rsid w:val="00F23CE4"/>
    <w:rsid w:val="00F23E4F"/>
    <w:rsid w:val="00F24916"/>
    <w:rsid w:val="00F24A9A"/>
    <w:rsid w:val="00F257D6"/>
    <w:rsid w:val="00F2597C"/>
    <w:rsid w:val="00F25A0F"/>
    <w:rsid w:val="00F25E95"/>
    <w:rsid w:val="00F25EDB"/>
    <w:rsid w:val="00F26259"/>
    <w:rsid w:val="00F262E0"/>
    <w:rsid w:val="00F26E55"/>
    <w:rsid w:val="00F27106"/>
    <w:rsid w:val="00F27A9D"/>
    <w:rsid w:val="00F303B8"/>
    <w:rsid w:val="00F308EF"/>
    <w:rsid w:val="00F311B2"/>
    <w:rsid w:val="00F3148A"/>
    <w:rsid w:val="00F31687"/>
    <w:rsid w:val="00F319B4"/>
    <w:rsid w:val="00F32572"/>
    <w:rsid w:val="00F32CF3"/>
    <w:rsid w:val="00F3347C"/>
    <w:rsid w:val="00F336F6"/>
    <w:rsid w:val="00F34E2E"/>
    <w:rsid w:val="00F355E1"/>
    <w:rsid w:val="00F3566C"/>
    <w:rsid w:val="00F35A3B"/>
    <w:rsid w:val="00F35AB3"/>
    <w:rsid w:val="00F35F53"/>
    <w:rsid w:val="00F360B6"/>
    <w:rsid w:val="00F3642F"/>
    <w:rsid w:val="00F3648E"/>
    <w:rsid w:val="00F36A66"/>
    <w:rsid w:val="00F36CF3"/>
    <w:rsid w:val="00F37032"/>
    <w:rsid w:val="00F37546"/>
    <w:rsid w:val="00F375C2"/>
    <w:rsid w:val="00F37C9E"/>
    <w:rsid w:val="00F409D9"/>
    <w:rsid w:val="00F417CD"/>
    <w:rsid w:val="00F41D48"/>
    <w:rsid w:val="00F41E51"/>
    <w:rsid w:val="00F42B37"/>
    <w:rsid w:val="00F42D30"/>
    <w:rsid w:val="00F43296"/>
    <w:rsid w:val="00F43382"/>
    <w:rsid w:val="00F43791"/>
    <w:rsid w:val="00F43AC0"/>
    <w:rsid w:val="00F43ED7"/>
    <w:rsid w:val="00F44074"/>
    <w:rsid w:val="00F4430E"/>
    <w:rsid w:val="00F44662"/>
    <w:rsid w:val="00F44A7D"/>
    <w:rsid w:val="00F45131"/>
    <w:rsid w:val="00F4538C"/>
    <w:rsid w:val="00F45635"/>
    <w:rsid w:val="00F4586C"/>
    <w:rsid w:val="00F460BD"/>
    <w:rsid w:val="00F463DC"/>
    <w:rsid w:val="00F46C27"/>
    <w:rsid w:val="00F46E3E"/>
    <w:rsid w:val="00F47019"/>
    <w:rsid w:val="00F47070"/>
    <w:rsid w:val="00F47AB4"/>
    <w:rsid w:val="00F47B21"/>
    <w:rsid w:val="00F5029B"/>
    <w:rsid w:val="00F50BC8"/>
    <w:rsid w:val="00F51B2D"/>
    <w:rsid w:val="00F51D60"/>
    <w:rsid w:val="00F520A3"/>
    <w:rsid w:val="00F53A65"/>
    <w:rsid w:val="00F53D0D"/>
    <w:rsid w:val="00F543F0"/>
    <w:rsid w:val="00F546FA"/>
    <w:rsid w:val="00F547B2"/>
    <w:rsid w:val="00F54AD7"/>
    <w:rsid w:val="00F54C73"/>
    <w:rsid w:val="00F54FC5"/>
    <w:rsid w:val="00F54FD8"/>
    <w:rsid w:val="00F551AE"/>
    <w:rsid w:val="00F5542D"/>
    <w:rsid w:val="00F55B59"/>
    <w:rsid w:val="00F55E00"/>
    <w:rsid w:val="00F560D5"/>
    <w:rsid w:val="00F56373"/>
    <w:rsid w:val="00F57592"/>
    <w:rsid w:val="00F575BA"/>
    <w:rsid w:val="00F57838"/>
    <w:rsid w:val="00F57BC5"/>
    <w:rsid w:val="00F60852"/>
    <w:rsid w:val="00F60929"/>
    <w:rsid w:val="00F609B9"/>
    <w:rsid w:val="00F60BE7"/>
    <w:rsid w:val="00F60C39"/>
    <w:rsid w:val="00F61885"/>
    <w:rsid w:val="00F620AA"/>
    <w:rsid w:val="00F62C80"/>
    <w:rsid w:val="00F63367"/>
    <w:rsid w:val="00F635F6"/>
    <w:rsid w:val="00F63869"/>
    <w:rsid w:val="00F63C10"/>
    <w:rsid w:val="00F64E6B"/>
    <w:rsid w:val="00F65238"/>
    <w:rsid w:val="00F654D2"/>
    <w:rsid w:val="00F65513"/>
    <w:rsid w:val="00F658AA"/>
    <w:rsid w:val="00F65AB3"/>
    <w:rsid w:val="00F65E37"/>
    <w:rsid w:val="00F6613C"/>
    <w:rsid w:val="00F67159"/>
    <w:rsid w:val="00F672E3"/>
    <w:rsid w:val="00F67375"/>
    <w:rsid w:val="00F67638"/>
    <w:rsid w:val="00F67829"/>
    <w:rsid w:val="00F67BC1"/>
    <w:rsid w:val="00F67E44"/>
    <w:rsid w:val="00F67F81"/>
    <w:rsid w:val="00F70338"/>
    <w:rsid w:val="00F707F1"/>
    <w:rsid w:val="00F70DF0"/>
    <w:rsid w:val="00F712DA"/>
    <w:rsid w:val="00F72186"/>
    <w:rsid w:val="00F721DA"/>
    <w:rsid w:val="00F727A3"/>
    <w:rsid w:val="00F728B8"/>
    <w:rsid w:val="00F73048"/>
    <w:rsid w:val="00F7371A"/>
    <w:rsid w:val="00F738E7"/>
    <w:rsid w:val="00F74AAD"/>
    <w:rsid w:val="00F74AC2"/>
    <w:rsid w:val="00F75321"/>
    <w:rsid w:val="00F755E1"/>
    <w:rsid w:val="00F757BC"/>
    <w:rsid w:val="00F758B6"/>
    <w:rsid w:val="00F75F9C"/>
    <w:rsid w:val="00F7632E"/>
    <w:rsid w:val="00F76946"/>
    <w:rsid w:val="00F76DC1"/>
    <w:rsid w:val="00F77820"/>
    <w:rsid w:val="00F77871"/>
    <w:rsid w:val="00F77CF2"/>
    <w:rsid w:val="00F805CD"/>
    <w:rsid w:val="00F8099E"/>
    <w:rsid w:val="00F809BD"/>
    <w:rsid w:val="00F80B38"/>
    <w:rsid w:val="00F81359"/>
    <w:rsid w:val="00F81BB5"/>
    <w:rsid w:val="00F8341D"/>
    <w:rsid w:val="00F83627"/>
    <w:rsid w:val="00F83682"/>
    <w:rsid w:val="00F839AB"/>
    <w:rsid w:val="00F84664"/>
    <w:rsid w:val="00F847E1"/>
    <w:rsid w:val="00F84B0D"/>
    <w:rsid w:val="00F853FA"/>
    <w:rsid w:val="00F8574D"/>
    <w:rsid w:val="00F8576A"/>
    <w:rsid w:val="00F85A94"/>
    <w:rsid w:val="00F85EF1"/>
    <w:rsid w:val="00F861A5"/>
    <w:rsid w:val="00F874FC"/>
    <w:rsid w:val="00F87A85"/>
    <w:rsid w:val="00F902C4"/>
    <w:rsid w:val="00F903D0"/>
    <w:rsid w:val="00F907B0"/>
    <w:rsid w:val="00F90E2E"/>
    <w:rsid w:val="00F9139D"/>
    <w:rsid w:val="00F918D2"/>
    <w:rsid w:val="00F91B13"/>
    <w:rsid w:val="00F91C3A"/>
    <w:rsid w:val="00F92405"/>
    <w:rsid w:val="00F933E3"/>
    <w:rsid w:val="00F934AF"/>
    <w:rsid w:val="00F93D4E"/>
    <w:rsid w:val="00F9457E"/>
    <w:rsid w:val="00F95727"/>
    <w:rsid w:val="00F9582C"/>
    <w:rsid w:val="00F961AB"/>
    <w:rsid w:val="00F9629B"/>
    <w:rsid w:val="00F96BF1"/>
    <w:rsid w:val="00F96C59"/>
    <w:rsid w:val="00F96F89"/>
    <w:rsid w:val="00F97A87"/>
    <w:rsid w:val="00FA01ED"/>
    <w:rsid w:val="00FA0979"/>
    <w:rsid w:val="00FA0E3C"/>
    <w:rsid w:val="00FA177A"/>
    <w:rsid w:val="00FA1A3A"/>
    <w:rsid w:val="00FA22BB"/>
    <w:rsid w:val="00FA2472"/>
    <w:rsid w:val="00FA2D3B"/>
    <w:rsid w:val="00FA317D"/>
    <w:rsid w:val="00FA3327"/>
    <w:rsid w:val="00FA343A"/>
    <w:rsid w:val="00FA3731"/>
    <w:rsid w:val="00FA3929"/>
    <w:rsid w:val="00FA3B70"/>
    <w:rsid w:val="00FA3E1C"/>
    <w:rsid w:val="00FA3ECD"/>
    <w:rsid w:val="00FA4A56"/>
    <w:rsid w:val="00FA542A"/>
    <w:rsid w:val="00FA55DC"/>
    <w:rsid w:val="00FA58B8"/>
    <w:rsid w:val="00FA5DCF"/>
    <w:rsid w:val="00FA62B6"/>
    <w:rsid w:val="00FA6489"/>
    <w:rsid w:val="00FA67E2"/>
    <w:rsid w:val="00FA71EE"/>
    <w:rsid w:val="00FA7478"/>
    <w:rsid w:val="00FA74D4"/>
    <w:rsid w:val="00FA7E7D"/>
    <w:rsid w:val="00FB07AF"/>
    <w:rsid w:val="00FB07FF"/>
    <w:rsid w:val="00FB0BC2"/>
    <w:rsid w:val="00FB1432"/>
    <w:rsid w:val="00FB1756"/>
    <w:rsid w:val="00FB17B8"/>
    <w:rsid w:val="00FB184D"/>
    <w:rsid w:val="00FB1A54"/>
    <w:rsid w:val="00FB1D40"/>
    <w:rsid w:val="00FB20C2"/>
    <w:rsid w:val="00FB2355"/>
    <w:rsid w:val="00FB24D0"/>
    <w:rsid w:val="00FB28F0"/>
    <w:rsid w:val="00FB2A13"/>
    <w:rsid w:val="00FB2D39"/>
    <w:rsid w:val="00FB2E83"/>
    <w:rsid w:val="00FB336E"/>
    <w:rsid w:val="00FB3D05"/>
    <w:rsid w:val="00FB5092"/>
    <w:rsid w:val="00FB53FE"/>
    <w:rsid w:val="00FB54C1"/>
    <w:rsid w:val="00FB5C1D"/>
    <w:rsid w:val="00FB626F"/>
    <w:rsid w:val="00FB6825"/>
    <w:rsid w:val="00FB6CC5"/>
    <w:rsid w:val="00FB7191"/>
    <w:rsid w:val="00FB79BF"/>
    <w:rsid w:val="00FB7B56"/>
    <w:rsid w:val="00FB7B59"/>
    <w:rsid w:val="00FC05B6"/>
    <w:rsid w:val="00FC0672"/>
    <w:rsid w:val="00FC0940"/>
    <w:rsid w:val="00FC0EBF"/>
    <w:rsid w:val="00FC2105"/>
    <w:rsid w:val="00FC247D"/>
    <w:rsid w:val="00FC2AA5"/>
    <w:rsid w:val="00FC2AB7"/>
    <w:rsid w:val="00FC2EC7"/>
    <w:rsid w:val="00FC358E"/>
    <w:rsid w:val="00FC3B95"/>
    <w:rsid w:val="00FC3D9E"/>
    <w:rsid w:val="00FC3E12"/>
    <w:rsid w:val="00FC446B"/>
    <w:rsid w:val="00FC466F"/>
    <w:rsid w:val="00FC4683"/>
    <w:rsid w:val="00FC4A3C"/>
    <w:rsid w:val="00FC56A0"/>
    <w:rsid w:val="00FC65DD"/>
    <w:rsid w:val="00FC6657"/>
    <w:rsid w:val="00FC67B2"/>
    <w:rsid w:val="00FC6D66"/>
    <w:rsid w:val="00FC7655"/>
    <w:rsid w:val="00FC7BA2"/>
    <w:rsid w:val="00FD0876"/>
    <w:rsid w:val="00FD1091"/>
    <w:rsid w:val="00FD1131"/>
    <w:rsid w:val="00FD1C74"/>
    <w:rsid w:val="00FD218A"/>
    <w:rsid w:val="00FD2217"/>
    <w:rsid w:val="00FD2747"/>
    <w:rsid w:val="00FD2894"/>
    <w:rsid w:val="00FD2925"/>
    <w:rsid w:val="00FD31DA"/>
    <w:rsid w:val="00FD31F0"/>
    <w:rsid w:val="00FD388F"/>
    <w:rsid w:val="00FD38B0"/>
    <w:rsid w:val="00FD39B2"/>
    <w:rsid w:val="00FD39D3"/>
    <w:rsid w:val="00FD3C17"/>
    <w:rsid w:val="00FD3C8F"/>
    <w:rsid w:val="00FD3DD2"/>
    <w:rsid w:val="00FD3E6E"/>
    <w:rsid w:val="00FD4592"/>
    <w:rsid w:val="00FD461E"/>
    <w:rsid w:val="00FD4821"/>
    <w:rsid w:val="00FD4ACC"/>
    <w:rsid w:val="00FD59F4"/>
    <w:rsid w:val="00FD615E"/>
    <w:rsid w:val="00FD6253"/>
    <w:rsid w:val="00FD6425"/>
    <w:rsid w:val="00FD6EB0"/>
    <w:rsid w:val="00FD6F9E"/>
    <w:rsid w:val="00FD71D8"/>
    <w:rsid w:val="00FD71F4"/>
    <w:rsid w:val="00FD726A"/>
    <w:rsid w:val="00FD74DC"/>
    <w:rsid w:val="00FD76E0"/>
    <w:rsid w:val="00FD775A"/>
    <w:rsid w:val="00FD78E5"/>
    <w:rsid w:val="00FE0613"/>
    <w:rsid w:val="00FE0C89"/>
    <w:rsid w:val="00FE1489"/>
    <w:rsid w:val="00FE177B"/>
    <w:rsid w:val="00FE1CA1"/>
    <w:rsid w:val="00FE1EC2"/>
    <w:rsid w:val="00FE1F38"/>
    <w:rsid w:val="00FE216B"/>
    <w:rsid w:val="00FE3CD1"/>
    <w:rsid w:val="00FE3F93"/>
    <w:rsid w:val="00FE47C2"/>
    <w:rsid w:val="00FE51EB"/>
    <w:rsid w:val="00FE576F"/>
    <w:rsid w:val="00FE5995"/>
    <w:rsid w:val="00FE5B55"/>
    <w:rsid w:val="00FE628F"/>
    <w:rsid w:val="00FE7BFC"/>
    <w:rsid w:val="00FF0AC6"/>
    <w:rsid w:val="00FF0B22"/>
    <w:rsid w:val="00FF12F8"/>
    <w:rsid w:val="00FF132E"/>
    <w:rsid w:val="00FF1B00"/>
    <w:rsid w:val="00FF1CD3"/>
    <w:rsid w:val="00FF2130"/>
    <w:rsid w:val="00FF21E7"/>
    <w:rsid w:val="00FF2E18"/>
    <w:rsid w:val="00FF39BA"/>
    <w:rsid w:val="00FF3BD1"/>
    <w:rsid w:val="00FF45BA"/>
    <w:rsid w:val="00FF492F"/>
    <w:rsid w:val="00FF4A13"/>
    <w:rsid w:val="00FF4D9D"/>
    <w:rsid w:val="00FF4F40"/>
    <w:rsid w:val="00FF539B"/>
    <w:rsid w:val="00FF6608"/>
    <w:rsid w:val="00FF6870"/>
    <w:rsid w:val="00FF6AA6"/>
    <w:rsid w:val="00FF6FD7"/>
    <w:rsid w:val="00FF71B7"/>
    <w:rsid w:val="00FF735F"/>
    <w:rsid w:val="00FF7A3F"/>
    <w:rsid w:val="0110A35B"/>
    <w:rsid w:val="013859AA"/>
    <w:rsid w:val="0160D570"/>
    <w:rsid w:val="0173A39B"/>
    <w:rsid w:val="0175C246"/>
    <w:rsid w:val="01778682"/>
    <w:rsid w:val="0178FB79"/>
    <w:rsid w:val="017A14EE"/>
    <w:rsid w:val="01A5B682"/>
    <w:rsid w:val="01A5EE36"/>
    <w:rsid w:val="01C86776"/>
    <w:rsid w:val="01D3DD21"/>
    <w:rsid w:val="01DF704A"/>
    <w:rsid w:val="01F357F7"/>
    <w:rsid w:val="01F84D41"/>
    <w:rsid w:val="01FB6138"/>
    <w:rsid w:val="02068B71"/>
    <w:rsid w:val="0214D7DD"/>
    <w:rsid w:val="024170DC"/>
    <w:rsid w:val="02586F8C"/>
    <w:rsid w:val="02820C6B"/>
    <w:rsid w:val="0283069E"/>
    <w:rsid w:val="02907E56"/>
    <w:rsid w:val="02A352EB"/>
    <w:rsid w:val="02BB0577"/>
    <w:rsid w:val="02BC1956"/>
    <w:rsid w:val="02C7FB6E"/>
    <w:rsid w:val="02D5BA93"/>
    <w:rsid w:val="02E0F3CC"/>
    <w:rsid w:val="02F5A813"/>
    <w:rsid w:val="030D4930"/>
    <w:rsid w:val="0315E54F"/>
    <w:rsid w:val="03237FB8"/>
    <w:rsid w:val="032B140C"/>
    <w:rsid w:val="03344ECE"/>
    <w:rsid w:val="036EBE62"/>
    <w:rsid w:val="03904C65"/>
    <w:rsid w:val="039C01C6"/>
    <w:rsid w:val="039DC904"/>
    <w:rsid w:val="03A6AF5E"/>
    <w:rsid w:val="03C86370"/>
    <w:rsid w:val="03E07888"/>
    <w:rsid w:val="03E333E1"/>
    <w:rsid w:val="03F60100"/>
    <w:rsid w:val="04003315"/>
    <w:rsid w:val="04029290"/>
    <w:rsid w:val="042A482A"/>
    <w:rsid w:val="04306797"/>
    <w:rsid w:val="043243E9"/>
    <w:rsid w:val="0441D9AD"/>
    <w:rsid w:val="0461505A"/>
    <w:rsid w:val="047CC42D"/>
    <w:rsid w:val="04A6F9FC"/>
    <w:rsid w:val="04AF035F"/>
    <w:rsid w:val="04B03E7C"/>
    <w:rsid w:val="04C94420"/>
    <w:rsid w:val="04CAAA17"/>
    <w:rsid w:val="04D54ECE"/>
    <w:rsid w:val="0501F329"/>
    <w:rsid w:val="0513F54C"/>
    <w:rsid w:val="051EA9CA"/>
    <w:rsid w:val="052FEE03"/>
    <w:rsid w:val="05599CA9"/>
    <w:rsid w:val="056BBE10"/>
    <w:rsid w:val="057AE367"/>
    <w:rsid w:val="05AB8079"/>
    <w:rsid w:val="05DE90F1"/>
    <w:rsid w:val="05E199E4"/>
    <w:rsid w:val="0605365D"/>
    <w:rsid w:val="0611823A"/>
    <w:rsid w:val="06169724"/>
    <w:rsid w:val="0630C622"/>
    <w:rsid w:val="06678F65"/>
    <w:rsid w:val="06708643"/>
    <w:rsid w:val="0676E838"/>
    <w:rsid w:val="067CEE26"/>
    <w:rsid w:val="0685F7EC"/>
    <w:rsid w:val="069FE807"/>
    <w:rsid w:val="06A54A06"/>
    <w:rsid w:val="06AA8F13"/>
    <w:rsid w:val="06B46C1F"/>
    <w:rsid w:val="06B7E832"/>
    <w:rsid w:val="06C8A927"/>
    <w:rsid w:val="06E7AE25"/>
    <w:rsid w:val="06FA18FE"/>
    <w:rsid w:val="071A28FD"/>
    <w:rsid w:val="071EBBED"/>
    <w:rsid w:val="072ED29B"/>
    <w:rsid w:val="072F75BA"/>
    <w:rsid w:val="07557729"/>
    <w:rsid w:val="075D2EFA"/>
    <w:rsid w:val="0763A91E"/>
    <w:rsid w:val="076CDEA6"/>
    <w:rsid w:val="0779BEBC"/>
    <w:rsid w:val="078602E5"/>
    <w:rsid w:val="078A43D2"/>
    <w:rsid w:val="078B48A0"/>
    <w:rsid w:val="07901833"/>
    <w:rsid w:val="07AE6669"/>
    <w:rsid w:val="07B82901"/>
    <w:rsid w:val="07DABB9B"/>
    <w:rsid w:val="07E0B500"/>
    <w:rsid w:val="07EE5885"/>
    <w:rsid w:val="08232A22"/>
    <w:rsid w:val="082B963B"/>
    <w:rsid w:val="084AACAD"/>
    <w:rsid w:val="085FE3B5"/>
    <w:rsid w:val="0860992D"/>
    <w:rsid w:val="088969C0"/>
    <w:rsid w:val="088D9871"/>
    <w:rsid w:val="089C98F5"/>
    <w:rsid w:val="08AE8023"/>
    <w:rsid w:val="08B5C63E"/>
    <w:rsid w:val="08B6ADE9"/>
    <w:rsid w:val="08DF6E76"/>
    <w:rsid w:val="08E9B1CC"/>
    <w:rsid w:val="08ED50A7"/>
    <w:rsid w:val="08F96C12"/>
    <w:rsid w:val="091C2A81"/>
    <w:rsid w:val="094EE018"/>
    <w:rsid w:val="09701609"/>
    <w:rsid w:val="09722594"/>
    <w:rsid w:val="0983AF9F"/>
    <w:rsid w:val="0985D43F"/>
    <w:rsid w:val="098DB544"/>
    <w:rsid w:val="09BE630B"/>
    <w:rsid w:val="09BF6ED4"/>
    <w:rsid w:val="09C07716"/>
    <w:rsid w:val="09C0DD80"/>
    <w:rsid w:val="0A1CEBBD"/>
    <w:rsid w:val="0A25D417"/>
    <w:rsid w:val="0A26FD16"/>
    <w:rsid w:val="0A3AA3E9"/>
    <w:rsid w:val="0A420371"/>
    <w:rsid w:val="0A5217EC"/>
    <w:rsid w:val="0A63548F"/>
    <w:rsid w:val="0A68BF8B"/>
    <w:rsid w:val="0AA5BF6B"/>
    <w:rsid w:val="0AB20214"/>
    <w:rsid w:val="0AC0A217"/>
    <w:rsid w:val="0AC0E006"/>
    <w:rsid w:val="0AC37029"/>
    <w:rsid w:val="0ACA03DF"/>
    <w:rsid w:val="0AE28063"/>
    <w:rsid w:val="0AECE6BF"/>
    <w:rsid w:val="0AF85A68"/>
    <w:rsid w:val="0B3D6C0C"/>
    <w:rsid w:val="0B3DF3D4"/>
    <w:rsid w:val="0B6FE0D2"/>
    <w:rsid w:val="0B917065"/>
    <w:rsid w:val="0B92A3C3"/>
    <w:rsid w:val="0BA71D0D"/>
    <w:rsid w:val="0BAEFCCC"/>
    <w:rsid w:val="0BB227A3"/>
    <w:rsid w:val="0BC392F1"/>
    <w:rsid w:val="0BCBFE41"/>
    <w:rsid w:val="0BD4A8FD"/>
    <w:rsid w:val="0BD4EE05"/>
    <w:rsid w:val="0C020B62"/>
    <w:rsid w:val="0C1FF0BE"/>
    <w:rsid w:val="0C29E8E4"/>
    <w:rsid w:val="0C2ED2CD"/>
    <w:rsid w:val="0C3598FB"/>
    <w:rsid w:val="0C399E63"/>
    <w:rsid w:val="0C420909"/>
    <w:rsid w:val="0C5060AE"/>
    <w:rsid w:val="0C541015"/>
    <w:rsid w:val="0C643C09"/>
    <w:rsid w:val="0C6C453E"/>
    <w:rsid w:val="0C7A7E58"/>
    <w:rsid w:val="0C874B23"/>
    <w:rsid w:val="0C8A0772"/>
    <w:rsid w:val="0C9B2C6F"/>
    <w:rsid w:val="0CB918C9"/>
    <w:rsid w:val="0CD3339E"/>
    <w:rsid w:val="0CE40EFC"/>
    <w:rsid w:val="0CE43B7F"/>
    <w:rsid w:val="0CF9DAE3"/>
    <w:rsid w:val="0CFEA520"/>
    <w:rsid w:val="0D104B51"/>
    <w:rsid w:val="0D23EDDE"/>
    <w:rsid w:val="0D31AAB3"/>
    <w:rsid w:val="0D31C1A8"/>
    <w:rsid w:val="0D377036"/>
    <w:rsid w:val="0D38A9BE"/>
    <w:rsid w:val="0D3C2CFD"/>
    <w:rsid w:val="0D598650"/>
    <w:rsid w:val="0D5DE560"/>
    <w:rsid w:val="0D604824"/>
    <w:rsid w:val="0D62B5F4"/>
    <w:rsid w:val="0D68A365"/>
    <w:rsid w:val="0D6D6DCA"/>
    <w:rsid w:val="0D8F4811"/>
    <w:rsid w:val="0D90709A"/>
    <w:rsid w:val="0D9F966C"/>
    <w:rsid w:val="0DAE6F66"/>
    <w:rsid w:val="0DC25BB2"/>
    <w:rsid w:val="0DD957C2"/>
    <w:rsid w:val="0DDFB21E"/>
    <w:rsid w:val="0DE5F2EA"/>
    <w:rsid w:val="0DEE9CC3"/>
    <w:rsid w:val="0E07CEF8"/>
    <w:rsid w:val="0E0C923B"/>
    <w:rsid w:val="0E1D8918"/>
    <w:rsid w:val="0E2BE7FA"/>
    <w:rsid w:val="0E35F040"/>
    <w:rsid w:val="0E6D41FE"/>
    <w:rsid w:val="0E70903E"/>
    <w:rsid w:val="0E8EC811"/>
    <w:rsid w:val="0EB02973"/>
    <w:rsid w:val="0EB840FF"/>
    <w:rsid w:val="0EBCDB74"/>
    <w:rsid w:val="0EC67A19"/>
    <w:rsid w:val="0ED284F2"/>
    <w:rsid w:val="0EDEB46D"/>
    <w:rsid w:val="0EE361DB"/>
    <w:rsid w:val="0EEC66AA"/>
    <w:rsid w:val="0EFE8655"/>
    <w:rsid w:val="0F12889C"/>
    <w:rsid w:val="0F1DCD21"/>
    <w:rsid w:val="0F216CBC"/>
    <w:rsid w:val="0F52BE05"/>
    <w:rsid w:val="0F63423A"/>
    <w:rsid w:val="0F63BBE3"/>
    <w:rsid w:val="0F6CD668"/>
    <w:rsid w:val="0F9069B0"/>
    <w:rsid w:val="0FB58438"/>
    <w:rsid w:val="0FD5E200"/>
    <w:rsid w:val="0FD7912E"/>
    <w:rsid w:val="0FE0F6DE"/>
    <w:rsid w:val="0FFAD651"/>
    <w:rsid w:val="1009BBF2"/>
    <w:rsid w:val="10164604"/>
    <w:rsid w:val="10258533"/>
    <w:rsid w:val="103B0869"/>
    <w:rsid w:val="104FB893"/>
    <w:rsid w:val="105203B4"/>
    <w:rsid w:val="1053D04D"/>
    <w:rsid w:val="106F771E"/>
    <w:rsid w:val="1072E21C"/>
    <w:rsid w:val="1081CD22"/>
    <w:rsid w:val="108DBE1B"/>
    <w:rsid w:val="1098A894"/>
    <w:rsid w:val="10AD2A69"/>
    <w:rsid w:val="10C02EE0"/>
    <w:rsid w:val="10D9443C"/>
    <w:rsid w:val="10DC74F2"/>
    <w:rsid w:val="10EEFE71"/>
    <w:rsid w:val="1102A352"/>
    <w:rsid w:val="1106D5C9"/>
    <w:rsid w:val="112BFE91"/>
    <w:rsid w:val="11481962"/>
    <w:rsid w:val="1148C6D5"/>
    <w:rsid w:val="1148E594"/>
    <w:rsid w:val="114D3B40"/>
    <w:rsid w:val="11548EF0"/>
    <w:rsid w:val="1165B2E9"/>
    <w:rsid w:val="11679BEC"/>
    <w:rsid w:val="118E75A1"/>
    <w:rsid w:val="11932CEB"/>
    <w:rsid w:val="11942C9E"/>
    <w:rsid w:val="11A5569A"/>
    <w:rsid w:val="11AB2573"/>
    <w:rsid w:val="11B75035"/>
    <w:rsid w:val="11B80B11"/>
    <w:rsid w:val="11BA51F2"/>
    <w:rsid w:val="11C63E6E"/>
    <w:rsid w:val="11CA0F4C"/>
    <w:rsid w:val="11F47C36"/>
    <w:rsid w:val="1220569E"/>
    <w:rsid w:val="1222900E"/>
    <w:rsid w:val="123977D9"/>
    <w:rsid w:val="123C4586"/>
    <w:rsid w:val="123CF53F"/>
    <w:rsid w:val="1244C144"/>
    <w:rsid w:val="128F35AC"/>
    <w:rsid w:val="12978976"/>
    <w:rsid w:val="129EB9D4"/>
    <w:rsid w:val="12A4772A"/>
    <w:rsid w:val="12AA1D3E"/>
    <w:rsid w:val="12B0B315"/>
    <w:rsid w:val="12F03137"/>
    <w:rsid w:val="131C6CDE"/>
    <w:rsid w:val="132914D4"/>
    <w:rsid w:val="1332B33B"/>
    <w:rsid w:val="1332D6EA"/>
    <w:rsid w:val="134291DB"/>
    <w:rsid w:val="1343F0DF"/>
    <w:rsid w:val="134994DB"/>
    <w:rsid w:val="135091D3"/>
    <w:rsid w:val="136FCFFB"/>
    <w:rsid w:val="13753CDD"/>
    <w:rsid w:val="138A0ED0"/>
    <w:rsid w:val="13AA3E42"/>
    <w:rsid w:val="13AE3BDE"/>
    <w:rsid w:val="13E7B35B"/>
    <w:rsid w:val="1408A397"/>
    <w:rsid w:val="141505CA"/>
    <w:rsid w:val="141AAA00"/>
    <w:rsid w:val="142582F0"/>
    <w:rsid w:val="142B060D"/>
    <w:rsid w:val="14457E74"/>
    <w:rsid w:val="1463940B"/>
    <w:rsid w:val="146A09A5"/>
    <w:rsid w:val="1488B2EB"/>
    <w:rsid w:val="1495A91A"/>
    <w:rsid w:val="1499D790"/>
    <w:rsid w:val="14A47097"/>
    <w:rsid w:val="14C5B8D9"/>
    <w:rsid w:val="14CDFF9D"/>
    <w:rsid w:val="14DD421F"/>
    <w:rsid w:val="14EAD3DF"/>
    <w:rsid w:val="1514D171"/>
    <w:rsid w:val="1531EAE1"/>
    <w:rsid w:val="1535DECB"/>
    <w:rsid w:val="154ED14D"/>
    <w:rsid w:val="155AB8F1"/>
    <w:rsid w:val="1578CF68"/>
    <w:rsid w:val="159089F7"/>
    <w:rsid w:val="159C13A6"/>
    <w:rsid w:val="15B7A2CD"/>
    <w:rsid w:val="15CC636C"/>
    <w:rsid w:val="15DD5E6A"/>
    <w:rsid w:val="16003FBB"/>
    <w:rsid w:val="16019A80"/>
    <w:rsid w:val="16134EF3"/>
    <w:rsid w:val="16284886"/>
    <w:rsid w:val="16289087"/>
    <w:rsid w:val="16490A4A"/>
    <w:rsid w:val="164D8E69"/>
    <w:rsid w:val="164E5563"/>
    <w:rsid w:val="1650108A"/>
    <w:rsid w:val="1656CA15"/>
    <w:rsid w:val="16617325"/>
    <w:rsid w:val="16658396"/>
    <w:rsid w:val="1673C4B5"/>
    <w:rsid w:val="1675B361"/>
    <w:rsid w:val="16A31734"/>
    <w:rsid w:val="16B2A061"/>
    <w:rsid w:val="16B86F05"/>
    <w:rsid w:val="16D4E3EE"/>
    <w:rsid w:val="16D8048F"/>
    <w:rsid w:val="16EC615B"/>
    <w:rsid w:val="170294A4"/>
    <w:rsid w:val="17040894"/>
    <w:rsid w:val="17119432"/>
    <w:rsid w:val="171D9A81"/>
    <w:rsid w:val="1734C518"/>
    <w:rsid w:val="1739C930"/>
    <w:rsid w:val="17460F43"/>
    <w:rsid w:val="1762A03A"/>
    <w:rsid w:val="1763769E"/>
    <w:rsid w:val="1768D588"/>
    <w:rsid w:val="177948C3"/>
    <w:rsid w:val="178A2025"/>
    <w:rsid w:val="1796D9FD"/>
    <w:rsid w:val="179962BE"/>
    <w:rsid w:val="179BCC13"/>
    <w:rsid w:val="17AC1602"/>
    <w:rsid w:val="17C52A36"/>
    <w:rsid w:val="17CB63EB"/>
    <w:rsid w:val="17E98755"/>
    <w:rsid w:val="17F5A9DA"/>
    <w:rsid w:val="17FDCB5D"/>
    <w:rsid w:val="18018610"/>
    <w:rsid w:val="1808E33D"/>
    <w:rsid w:val="182ED80A"/>
    <w:rsid w:val="1858CDB5"/>
    <w:rsid w:val="18593F22"/>
    <w:rsid w:val="186BA8C8"/>
    <w:rsid w:val="186FF9A5"/>
    <w:rsid w:val="189DCA1F"/>
    <w:rsid w:val="18B03655"/>
    <w:rsid w:val="18D48502"/>
    <w:rsid w:val="18E9309A"/>
    <w:rsid w:val="18FE546D"/>
    <w:rsid w:val="1902F8EC"/>
    <w:rsid w:val="191168D4"/>
    <w:rsid w:val="1916EFE4"/>
    <w:rsid w:val="194173DD"/>
    <w:rsid w:val="194BD648"/>
    <w:rsid w:val="19549324"/>
    <w:rsid w:val="196C7D97"/>
    <w:rsid w:val="196DE5D0"/>
    <w:rsid w:val="196F1F58"/>
    <w:rsid w:val="19827660"/>
    <w:rsid w:val="19880AE6"/>
    <w:rsid w:val="19992B8E"/>
    <w:rsid w:val="199A9C04"/>
    <w:rsid w:val="199EB53B"/>
    <w:rsid w:val="19A6F2FE"/>
    <w:rsid w:val="19BDB02B"/>
    <w:rsid w:val="19C1C189"/>
    <w:rsid w:val="19D9275A"/>
    <w:rsid w:val="19DD727C"/>
    <w:rsid w:val="19EAFDD3"/>
    <w:rsid w:val="1A083B0A"/>
    <w:rsid w:val="1A14AE43"/>
    <w:rsid w:val="1A18C652"/>
    <w:rsid w:val="1A5D597C"/>
    <w:rsid w:val="1A7169F2"/>
    <w:rsid w:val="1A90D2D3"/>
    <w:rsid w:val="1AC15C2A"/>
    <w:rsid w:val="1ACA1692"/>
    <w:rsid w:val="1AE659B4"/>
    <w:rsid w:val="1AF8A7AB"/>
    <w:rsid w:val="1AFD4D40"/>
    <w:rsid w:val="1B17F8E5"/>
    <w:rsid w:val="1B19D652"/>
    <w:rsid w:val="1B2834B9"/>
    <w:rsid w:val="1B3FFF04"/>
    <w:rsid w:val="1B6D540B"/>
    <w:rsid w:val="1BA90E4A"/>
    <w:rsid w:val="1BB57308"/>
    <w:rsid w:val="1BC03DA7"/>
    <w:rsid w:val="1BD055EF"/>
    <w:rsid w:val="1BE3609A"/>
    <w:rsid w:val="1BEBBBC2"/>
    <w:rsid w:val="1BF0D7DA"/>
    <w:rsid w:val="1BF586FE"/>
    <w:rsid w:val="1C08C98D"/>
    <w:rsid w:val="1C0D3A53"/>
    <w:rsid w:val="1C19720A"/>
    <w:rsid w:val="1C4E2CC7"/>
    <w:rsid w:val="1C4EF190"/>
    <w:rsid w:val="1C53A1B8"/>
    <w:rsid w:val="1C7A1D41"/>
    <w:rsid w:val="1C7B1341"/>
    <w:rsid w:val="1C7BA7B6"/>
    <w:rsid w:val="1C829773"/>
    <w:rsid w:val="1CBA743D"/>
    <w:rsid w:val="1CBC6D86"/>
    <w:rsid w:val="1CCCE71F"/>
    <w:rsid w:val="1D07143F"/>
    <w:rsid w:val="1D249301"/>
    <w:rsid w:val="1D2B52CC"/>
    <w:rsid w:val="1D31D006"/>
    <w:rsid w:val="1D4676B8"/>
    <w:rsid w:val="1D5B3DF2"/>
    <w:rsid w:val="1D6FD981"/>
    <w:rsid w:val="1D7EF82D"/>
    <w:rsid w:val="1DA6D144"/>
    <w:rsid w:val="1DDEC02C"/>
    <w:rsid w:val="1DFB2BA7"/>
    <w:rsid w:val="1E0D5ABB"/>
    <w:rsid w:val="1E16F7B0"/>
    <w:rsid w:val="1E3467DD"/>
    <w:rsid w:val="1E4067B4"/>
    <w:rsid w:val="1E444A84"/>
    <w:rsid w:val="1E72C766"/>
    <w:rsid w:val="1E9A56CB"/>
    <w:rsid w:val="1EB0B517"/>
    <w:rsid w:val="1EB3CA10"/>
    <w:rsid w:val="1EB8946F"/>
    <w:rsid w:val="1EBD9B95"/>
    <w:rsid w:val="1EC1C533"/>
    <w:rsid w:val="1ECAA887"/>
    <w:rsid w:val="1ED56882"/>
    <w:rsid w:val="1ED77E48"/>
    <w:rsid w:val="1EEE767E"/>
    <w:rsid w:val="1F068296"/>
    <w:rsid w:val="1F24AF48"/>
    <w:rsid w:val="1F7AA37B"/>
    <w:rsid w:val="1F7C8657"/>
    <w:rsid w:val="1F8F73D0"/>
    <w:rsid w:val="1FC2995F"/>
    <w:rsid w:val="1FCBD047"/>
    <w:rsid w:val="1FD3EB86"/>
    <w:rsid w:val="1FD63867"/>
    <w:rsid w:val="1FD675D0"/>
    <w:rsid w:val="1FD8CD89"/>
    <w:rsid w:val="1FDDB591"/>
    <w:rsid w:val="1FE70426"/>
    <w:rsid w:val="20029417"/>
    <w:rsid w:val="20036B2D"/>
    <w:rsid w:val="200E96C5"/>
    <w:rsid w:val="2015D19C"/>
    <w:rsid w:val="201F02A3"/>
    <w:rsid w:val="2025ABAD"/>
    <w:rsid w:val="203389EC"/>
    <w:rsid w:val="2058CE9B"/>
    <w:rsid w:val="2066DECF"/>
    <w:rsid w:val="2089C982"/>
    <w:rsid w:val="20929066"/>
    <w:rsid w:val="20CFC14C"/>
    <w:rsid w:val="20CFC9E0"/>
    <w:rsid w:val="20D0B773"/>
    <w:rsid w:val="2103720D"/>
    <w:rsid w:val="210EC0C3"/>
    <w:rsid w:val="2125D39B"/>
    <w:rsid w:val="212BC888"/>
    <w:rsid w:val="214393BD"/>
    <w:rsid w:val="214D3D5D"/>
    <w:rsid w:val="215DB056"/>
    <w:rsid w:val="215DCFD0"/>
    <w:rsid w:val="217B2235"/>
    <w:rsid w:val="21CA7F43"/>
    <w:rsid w:val="21D921A4"/>
    <w:rsid w:val="21EDD69E"/>
    <w:rsid w:val="21F8E52E"/>
    <w:rsid w:val="220740C4"/>
    <w:rsid w:val="221A6F96"/>
    <w:rsid w:val="222DE77E"/>
    <w:rsid w:val="22479FCC"/>
    <w:rsid w:val="2256E778"/>
    <w:rsid w:val="2257189B"/>
    <w:rsid w:val="22585A4C"/>
    <w:rsid w:val="226F1208"/>
    <w:rsid w:val="227334CF"/>
    <w:rsid w:val="227A0517"/>
    <w:rsid w:val="227B05F9"/>
    <w:rsid w:val="22B96DF5"/>
    <w:rsid w:val="22BDE2A2"/>
    <w:rsid w:val="22C99137"/>
    <w:rsid w:val="22D38E7E"/>
    <w:rsid w:val="22E0F4DF"/>
    <w:rsid w:val="22E92DD7"/>
    <w:rsid w:val="23384887"/>
    <w:rsid w:val="233BB6C1"/>
    <w:rsid w:val="234D66E4"/>
    <w:rsid w:val="237BE8A9"/>
    <w:rsid w:val="23816BF3"/>
    <w:rsid w:val="23859342"/>
    <w:rsid w:val="23980C21"/>
    <w:rsid w:val="239DEF88"/>
    <w:rsid w:val="23B0BBAE"/>
    <w:rsid w:val="23BA57F4"/>
    <w:rsid w:val="23BD252B"/>
    <w:rsid w:val="23DA384F"/>
    <w:rsid w:val="23DC7262"/>
    <w:rsid w:val="23F9171E"/>
    <w:rsid w:val="241FEF60"/>
    <w:rsid w:val="243DD9CC"/>
    <w:rsid w:val="2441019E"/>
    <w:rsid w:val="244A706A"/>
    <w:rsid w:val="245F20E7"/>
    <w:rsid w:val="2466753A"/>
    <w:rsid w:val="246B048B"/>
    <w:rsid w:val="246D0FE6"/>
    <w:rsid w:val="2471E295"/>
    <w:rsid w:val="24919958"/>
    <w:rsid w:val="249DCB74"/>
    <w:rsid w:val="24E9B892"/>
    <w:rsid w:val="24FB6360"/>
    <w:rsid w:val="2502A423"/>
    <w:rsid w:val="25042053"/>
    <w:rsid w:val="250799BD"/>
    <w:rsid w:val="25146AC8"/>
    <w:rsid w:val="25313B96"/>
    <w:rsid w:val="253B92E8"/>
    <w:rsid w:val="2586FAEF"/>
    <w:rsid w:val="2594CCFF"/>
    <w:rsid w:val="25A61034"/>
    <w:rsid w:val="25A6C5F8"/>
    <w:rsid w:val="25D7403E"/>
    <w:rsid w:val="25DADFF9"/>
    <w:rsid w:val="260F3264"/>
    <w:rsid w:val="261B5C9E"/>
    <w:rsid w:val="26259556"/>
    <w:rsid w:val="26276807"/>
    <w:rsid w:val="264EF6EF"/>
    <w:rsid w:val="2651034A"/>
    <w:rsid w:val="2655A443"/>
    <w:rsid w:val="267984D9"/>
    <w:rsid w:val="267D8C44"/>
    <w:rsid w:val="268EB461"/>
    <w:rsid w:val="2695FEDE"/>
    <w:rsid w:val="26AF5BD1"/>
    <w:rsid w:val="26B9B988"/>
    <w:rsid w:val="26BD77C5"/>
    <w:rsid w:val="26C04554"/>
    <w:rsid w:val="26E25509"/>
    <w:rsid w:val="26F21E2F"/>
    <w:rsid w:val="26F71E2C"/>
    <w:rsid w:val="26FCE427"/>
    <w:rsid w:val="2709B9B5"/>
    <w:rsid w:val="270B813D"/>
    <w:rsid w:val="271D74B2"/>
    <w:rsid w:val="271DAC1F"/>
    <w:rsid w:val="27244266"/>
    <w:rsid w:val="272BCB6F"/>
    <w:rsid w:val="2746A5F2"/>
    <w:rsid w:val="2747BF8E"/>
    <w:rsid w:val="278F6B2A"/>
    <w:rsid w:val="27997275"/>
    <w:rsid w:val="279C9619"/>
    <w:rsid w:val="27ACADAC"/>
    <w:rsid w:val="27B594DF"/>
    <w:rsid w:val="27C22DA2"/>
    <w:rsid w:val="27CA6A55"/>
    <w:rsid w:val="27DA538F"/>
    <w:rsid w:val="27F73D50"/>
    <w:rsid w:val="27FD79EE"/>
    <w:rsid w:val="2800B6EB"/>
    <w:rsid w:val="280CAF23"/>
    <w:rsid w:val="280E47CE"/>
    <w:rsid w:val="2811F3DD"/>
    <w:rsid w:val="28356652"/>
    <w:rsid w:val="28452B3E"/>
    <w:rsid w:val="2861623E"/>
    <w:rsid w:val="28647DDB"/>
    <w:rsid w:val="28652153"/>
    <w:rsid w:val="28693EF1"/>
    <w:rsid w:val="286E6776"/>
    <w:rsid w:val="288907BA"/>
    <w:rsid w:val="28988319"/>
    <w:rsid w:val="28B19AA1"/>
    <w:rsid w:val="28B528AA"/>
    <w:rsid w:val="28B78347"/>
    <w:rsid w:val="28BD3733"/>
    <w:rsid w:val="28D294FE"/>
    <w:rsid w:val="28E9384D"/>
    <w:rsid w:val="28FC247D"/>
    <w:rsid w:val="29067854"/>
    <w:rsid w:val="2933107C"/>
    <w:rsid w:val="2936DA6D"/>
    <w:rsid w:val="294947B7"/>
    <w:rsid w:val="294EEDB2"/>
    <w:rsid w:val="295055ED"/>
    <w:rsid w:val="2952185B"/>
    <w:rsid w:val="2984BF93"/>
    <w:rsid w:val="29ADF9B0"/>
    <w:rsid w:val="29BCD78C"/>
    <w:rsid w:val="29C3E390"/>
    <w:rsid w:val="29FBB071"/>
    <w:rsid w:val="29FE716B"/>
    <w:rsid w:val="29FFFDBE"/>
    <w:rsid w:val="2A0C328F"/>
    <w:rsid w:val="2A0E3395"/>
    <w:rsid w:val="2A0E7340"/>
    <w:rsid w:val="2A1ECE42"/>
    <w:rsid w:val="2A4A43D4"/>
    <w:rsid w:val="2A57F888"/>
    <w:rsid w:val="2A66923A"/>
    <w:rsid w:val="2A696147"/>
    <w:rsid w:val="2A874F11"/>
    <w:rsid w:val="2AB4CCC4"/>
    <w:rsid w:val="2AC31E19"/>
    <w:rsid w:val="2ACDD579"/>
    <w:rsid w:val="2AD2DAD1"/>
    <w:rsid w:val="2AD436DB"/>
    <w:rsid w:val="2AE17ABD"/>
    <w:rsid w:val="2AE8FDA0"/>
    <w:rsid w:val="2AEBECA7"/>
    <w:rsid w:val="2AF3A042"/>
    <w:rsid w:val="2B026E41"/>
    <w:rsid w:val="2B255EC1"/>
    <w:rsid w:val="2B43599C"/>
    <w:rsid w:val="2B480B33"/>
    <w:rsid w:val="2B7CE6CE"/>
    <w:rsid w:val="2B81E3B8"/>
    <w:rsid w:val="2B8C1EB6"/>
    <w:rsid w:val="2B8F0D0E"/>
    <w:rsid w:val="2B8FBDD8"/>
    <w:rsid w:val="2B91631B"/>
    <w:rsid w:val="2B9A41CC"/>
    <w:rsid w:val="2B9C1E9D"/>
    <w:rsid w:val="2BA22445"/>
    <w:rsid w:val="2BA60838"/>
    <w:rsid w:val="2BB0DED1"/>
    <w:rsid w:val="2BBDC4DE"/>
    <w:rsid w:val="2BC4027B"/>
    <w:rsid w:val="2BD5263E"/>
    <w:rsid w:val="2BDBAF98"/>
    <w:rsid w:val="2BDE0D1F"/>
    <w:rsid w:val="2BEC7809"/>
    <w:rsid w:val="2BFB1B36"/>
    <w:rsid w:val="2C0A35C0"/>
    <w:rsid w:val="2C0D39CD"/>
    <w:rsid w:val="2C162E4D"/>
    <w:rsid w:val="2C22BA5F"/>
    <w:rsid w:val="2C260411"/>
    <w:rsid w:val="2C3835AF"/>
    <w:rsid w:val="2C47151D"/>
    <w:rsid w:val="2C6E7B2F"/>
    <w:rsid w:val="2C817D8E"/>
    <w:rsid w:val="2C83B155"/>
    <w:rsid w:val="2C865B8E"/>
    <w:rsid w:val="2C958EB3"/>
    <w:rsid w:val="2CC09C89"/>
    <w:rsid w:val="2CCD93CC"/>
    <w:rsid w:val="2CFF7404"/>
    <w:rsid w:val="2D04206E"/>
    <w:rsid w:val="2D09AB49"/>
    <w:rsid w:val="2D2298CA"/>
    <w:rsid w:val="2D242A39"/>
    <w:rsid w:val="2D389276"/>
    <w:rsid w:val="2D496C47"/>
    <w:rsid w:val="2D5E29B9"/>
    <w:rsid w:val="2D71B0D2"/>
    <w:rsid w:val="2D876F29"/>
    <w:rsid w:val="2D8B5F38"/>
    <w:rsid w:val="2DAEFDBB"/>
    <w:rsid w:val="2DC86F71"/>
    <w:rsid w:val="2DD8E3F6"/>
    <w:rsid w:val="2DF22562"/>
    <w:rsid w:val="2E16326B"/>
    <w:rsid w:val="2E2906FD"/>
    <w:rsid w:val="2E3894C1"/>
    <w:rsid w:val="2E409030"/>
    <w:rsid w:val="2E510785"/>
    <w:rsid w:val="2E6FB68D"/>
    <w:rsid w:val="2E79B01E"/>
    <w:rsid w:val="2E7E84A5"/>
    <w:rsid w:val="2E85ED6D"/>
    <w:rsid w:val="2E9A3CB8"/>
    <w:rsid w:val="2E9BA498"/>
    <w:rsid w:val="2EA05C1D"/>
    <w:rsid w:val="2EBE1D77"/>
    <w:rsid w:val="2ED09B34"/>
    <w:rsid w:val="2ED3558C"/>
    <w:rsid w:val="2ED72E21"/>
    <w:rsid w:val="2EDB057A"/>
    <w:rsid w:val="2EFC5CEA"/>
    <w:rsid w:val="2F0E679C"/>
    <w:rsid w:val="2F0FF23A"/>
    <w:rsid w:val="2F2C8304"/>
    <w:rsid w:val="2F30AFBB"/>
    <w:rsid w:val="2F442710"/>
    <w:rsid w:val="2F6E3ACD"/>
    <w:rsid w:val="2F9026C9"/>
    <w:rsid w:val="2F91970E"/>
    <w:rsid w:val="2F957FD6"/>
    <w:rsid w:val="2FB24B6C"/>
    <w:rsid w:val="2FB9CD31"/>
    <w:rsid w:val="2FC68E16"/>
    <w:rsid w:val="2FDE415C"/>
    <w:rsid w:val="2FE78B17"/>
    <w:rsid w:val="3005687F"/>
    <w:rsid w:val="300F9BDF"/>
    <w:rsid w:val="301D9D3A"/>
    <w:rsid w:val="301E644C"/>
    <w:rsid w:val="30233E92"/>
    <w:rsid w:val="30360D19"/>
    <w:rsid w:val="3060CDC1"/>
    <w:rsid w:val="3067279A"/>
    <w:rsid w:val="30689D58"/>
    <w:rsid w:val="30704A16"/>
    <w:rsid w:val="307F274E"/>
    <w:rsid w:val="30C63FDB"/>
    <w:rsid w:val="30D9598A"/>
    <w:rsid w:val="30E27C09"/>
    <w:rsid w:val="30FFEEF1"/>
    <w:rsid w:val="31100404"/>
    <w:rsid w:val="3126A8C5"/>
    <w:rsid w:val="313934B3"/>
    <w:rsid w:val="31664639"/>
    <w:rsid w:val="31726512"/>
    <w:rsid w:val="31753102"/>
    <w:rsid w:val="3178C636"/>
    <w:rsid w:val="31A7574F"/>
    <w:rsid w:val="31C52EF7"/>
    <w:rsid w:val="31C56800"/>
    <w:rsid w:val="31D1DD7A"/>
    <w:rsid w:val="31E752BF"/>
    <w:rsid w:val="31F93FC3"/>
    <w:rsid w:val="3207E578"/>
    <w:rsid w:val="32114F42"/>
    <w:rsid w:val="3238E17B"/>
    <w:rsid w:val="323F3191"/>
    <w:rsid w:val="3252E401"/>
    <w:rsid w:val="32614BD4"/>
    <w:rsid w:val="327B263E"/>
    <w:rsid w:val="327C6F24"/>
    <w:rsid w:val="3280630A"/>
    <w:rsid w:val="328434CB"/>
    <w:rsid w:val="32889FA5"/>
    <w:rsid w:val="32B43725"/>
    <w:rsid w:val="32E8874B"/>
    <w:rsid w:val="331C4856"/>
    <w:rsid w:val="333BB4C1"/>
    <w:rsid w:val="334552BF"/>
    <w:rsid w:val="3356CD60"/>
    <w:rsid w:val="336F7EDB"/>
    <w:rsid w:val="337D6FEC"/>
    <w:rsid w:val="337E3D61"/>
    <w:rsid w:val="33AB55F3"/>
    <w:rsid w:val="33AE01A1"/>
    <w:rsid w:val="33B14E6D"/>
    <w:rsid w:val="33B8EE5E"/>
    <w:rsid w:val="33CA84A2"/>
    <w:rsid w:val="33CDDD7C"/>
    <w:rsid w:val="33DE14E1"/>
    <w:rsid w:val="33E9587A"/>
    <w:rsid w:val="33EBA2D0"/>
    <w:rsid w:val="33F5A114"/>
    <w:rsid w:val="33F7D1EF"/>
    <w:rsid w:val="33F9155F"/>
    <w:rsid w:val="34118631"/>
    <w:rsid w:val="34160968"/>
    <w:rsid w:val="341D352B"/>
    <w:rsid w:val="343D02B3"/>
    <w:rsid w:val="3440BA55"/>
    <w:rsid w:val="34469F04"/>
    <w:rsid w:val="34486977"/>
    <w:rsid w:val="34679033"/>
    <w:rsid w:val="346E8F7E"/>
    <w:rsid w:val="3475F16F"/>
    <w:rsid w:val="3480333A"/>
    <w:rsid w:val="3481B13B"/>
    <w:rsid w:val="3483F366"/>
    <w:rsid w:val="34BD8516"/>
    <w:rsid w:val="34D13B26"/>
    <w:rsid w:val="34D96F88"/>
    <w:rsid w:val="34E1A2EC"/>
    <w:rsid w:val="34E2B9A1"/>
    <w:rsid w:val="34FC3214"/>
    <w:rsid w:val="354AEE69"/>
    <w:rsid w:val="357EFF35"/>
    <w:rsid w:val="359A339A"/>
    <w:rsid w:val="35A68DED"/>
    <w:rsid w:val="35B9D201"/>
    <w:rsid w:val="35BDFF74"/>
    <w:rsid w:val="35DC00DE"/>
    <w:rsid w:val="35F44C2D"/>
    <w:rsid w:val="3600C88E"/>
    <w:rsid w:val="36027384"/>
    <w:rsid w:val="3614485D"/>
    <w:rsid w:val="362CA62E"/>
    <w:rsid w:val="363A06F7"/>
    <w:rsid w:val="363FED9D"/>
    <w:rsid w:val="364C3759"/>
    <w:rsid w:val="365E9C3A"/>
    <w:rsid w:val="3668BBEE"/>
    <w:rsid w:val="3673545B"/>
    <w:rsid w:val="36742CB9"/>
    <w:rsid w:val="367AF09D"/>
    <w:rsid w:val="3682E450"/>
    <w:rsid w:val="368C2640"/>
    <w:rsid w:val="368C6A24"/>
    <w:rsid w:val="369F43B6"/>
    <w:rsid w:val="36A6564A"/>
    <w:rsid w:val="36C1AFDC"/>
    <w:rsid w:val="36C58750"/>
    <w:rsid w:val="36DF9ADA"/>
    <w:rsid w:val="36F1A603"/>
    <w:rsid w:val="37154720"/>
    <w:rsid w:val="37253ADD"/>
    <w:rsid w:val="372F7C13"/>
    <w:rsid w:val="3748A470"/>
    <w:rsid w:val="375BB6BA"/>
    <w:rsid w:val="375C792F"/>
    <w:rsid w:val="377E80CD"/>
    <w:rsid w:val="379B09CE"/>
    <w:rsid w:val="37A09A94"/>
    <w:rsid w:val="37AA2927"/>
    <w:rsid w:val="37BF5BE0"/>
    <w:rsid w:val="37D78981"/>
    <w:rsid w:val="37DB2F45"/>
    <w:rsid w:val="37DE175E"/>
    <w:rsid w:val="380C560B"/>
    <w:rsid w:val="38353569"/>
    <w:rsid w:val="385CAED8"/>
    <w:rsid w:val="386E10ED"/>
    <w:rsid w:val="38A0A851"/>
    <w:rsid w:val="38A26C8D"/>
    <w:rsid w:val="38AC87AA"/>
    <w:rsid w:val="38B29D0B"/>
    <w:rsid w:val="38CE11C6"/>
    <w:rsid w:val="38DC8ACD"/>
    <w:rsid w:val="391E9A3A"/>
    <w:rsid w:val="39329B9F"/>
    <w:rsid w:val="3934C3A1"/>
    <w:rsid w:val="393C9573"/>
    <w:rsid w:val="396EB73D"/>
    <w:rsid w:val="397201DC"/>
    <w:rsid w:val="39743087"/>
    <w:rsid w:val="3975B296"/>
    <w:rsid w:val="397A733C"/>
    <w:rsid w:val="398A8FF4"/>
    <w:rsid w:val="3990F639"/>
    <w:rsid w:val="39CDD818"/>
    <w:rsid w:val="39D67996"/>
    <w:rsid w:val="39E22586"/>
    <w:rsid w:val="39EB8E3B"/>
    <w:rsid w:val="39EC30FD"/>
    <w:rsid w:val="3A03885A"/>
    <w:rsid w:val="3A13DA40"/>
    <w:rsid w:val="3A1E5F8C"/>
    <w:rsid w:val="3A38A6F2"/>
    <w:rsid w:val="3A446AF4"/>
    <w:rsid w:val="3A4C42A2"/>
    <w:rsid w:val="3A4DD43E"/>
    <w:rsid w:val="3A4FA243"/>
    <w:rsid w:val="3A56A408"/>
    <w:rsid w:val="3A671373"/>
    <w:rsid w:val="3A7D9B3D"/>
    <w:rsid w:val="3A999C9A"/>
    <w:rsid w:val="3A9FCCE6"/>
    <w:rsid w:val="3AEBDACC"/>
    <w:rsid w:val="3AEC5885"/>
    <w:rsid w:val="3B0867A9"/>
    <w:rsid w:val="3B0D30CC"/>
    <w:rsid w:val="3B13999A"/>
    <w:rsid w:val="3B281D87"/>
    <w:rsid w:val="3B324191"/>
    <w:rsid w:val="3B3A8C7A"/>
    <w:rsid w:val="3B3F8EF5"/>
    <w:rsid w:val="3B5CE824"/>
    <w:rsid w:val="3B6AB3B2"/>
    <w:rsid w:val="3B6D23CA"/>
    <w:rsid w:val="3B73BA14"/>
    <w:rsid w:val="3B9820B4"/>
    <w:rsid w:val="3BB01245"/>
    <w:rsid w:val="3BBDCD31"/>
    <w:rsid w:val="3BDE1D98"/>
    <w:rsid w:val="3BF76FFE"/>
    <w:rsid w:val="3C2970BE"/>
    <w:rsid w:val="3C510918"/>
    <w:rsid w:val="3C5199FC"/>
    <w:rsid w:val="3C65392E"/>
    <w:rsid w:val="3C770F9A"/>
    <w:rsid w:val="3C7D0CC2"/>
    <w:rsid w:val="3C8A8180"/>
    <w:rsid w:val="3C8C8C7F"/>
    <w:rsid w:val="3C90BFB6"/>
    <w:rsid w:val="3CA65D48"/>
    <w:rsid w:val="3CB2E82A"/>
    <w:rsid w:val="3CB5AD7C"/>
    <w:rsid w:val="3CE31B4C"/>
    <w:rsid w:val="3CECE0B5"/>
    <w:rsid w:val="3D122317"/>
    <w:rsid w:val="3D4FE990"/>
    <w:rsid w:val="3D6BE9A4"/>
    <w:rsid w:val="3DADA528"/>
    <w:rsid w:val="3DB8EFCB"/>
    <w:rsid w:val="3DB9B589"/>
    <w:rsid w:val="3DC0AE2F"/>
    <w:rsid w:val="3DC29D40"/>
    <w:rsid w:val="3DD01B5F"/>
    <w:rsid w:val="3DFC79F9"/>
    <w:rsid w:val="3E13F810"/>
    <w:rsid w:val="3E231FA6"/>
    <w:rsid w:val="3E24B09C"/>
    <w:rsid w:val="3E30BD0F"/>
    <w:rsid w:val="3E44A70C"/>
    <w:rsid w:val="3E45FE8D"/>
    <w:rsid w:val="3E571E10"/>
    <w:rsid w:val="3E6C24DF"/>
    <w:rsid w:val="3E971E39"/>
    <w:rsid w:val="3E986CD3"/>
    <w:rsid w:val="3E991489"/>
    <w:rsid w:val="3E997598"/>
    <w:rsid w:val="3EB08EEE"/>
    <w:rsid w:val="3EB129D1"/>
    <w:rsid w:val="3EBE8BC8"/>
    <w:rsid w:val="3ED63C3A"/>
    <w:rsid w:val="3EE47554"/>
    <w:rsid w:val="3EF64816"/>
    <w:rsid w:val="3EFB0C7E"/>
    <w:rsid w:val="3F07ADDE"/>
    <w:rsid w:val="3F0FE74C"/>
    <w:rsid w:val="3F24BA6E"/>
    <w:rsid w:val="3F42CF34"/>
    <w:rsid w:val="3F726B15"/>
    <w:rsid w:val="3F737EDB"/>
    <w:rsid w:val="3F7F982B"/>
    <w:rsid w:val="3F8D9C11"/>
    <w:rsid w:val="3F9CD9F0"/>
    <w:rsid w:val="3FBCBFE6"/>
    <w:rsid w:val="3FC47F8D"/>
    <w:rsid w:val="3FF77EA4"/>
    <w:rsid w:val="3FFDB8D7"/>
    <w:rsid w:val="4004E39B"/>
    <w:rsid w:val="402EA6E4"/>
    <w:rsid w:val="405A3DCE"/>
    <w:rsid w:val="407B7FD0"/>
    <w:rsid w:val="407C679D"/>
    <w:rsid w:val="407F2277"/>
    <w:rsid w:val="40838368"/>
    <w:rsid w:val="40943049"/>
    <w:rsid w:val="409E7592"/>
    <w:rsid w:val="409F140E"/>
    <w:rsid w:val="40D796A8"/>
    <w:rsid w:val="40D84CA9"/>
    <w:rsid w:val="40FB7328"/>
    <w:rsid w:val="4102C383"/>
    <w:rsid w:val="41081065"/>
    <w:rsid w:val="4108FA65"/>
    <w:rsid w:val="41221180"/>
    <w:rsid w:val="415070ED"/>
    <w:rsid w:val="4154A7C1"/>
    <w:rsid w:val="41611C1C"/>
    <w:rsid w:val="416D55D9"/>
    <w:rsid w:val="416FC48A"/>
    <w:rsid w:val="4176FDE0"/>
    <w:rsid w:val="41B574CF"/>
    <w:rsid w:val="41B68C6F"/>
    <w:rsid w:val="41B69E2A"/>
    <w:rsid w:val="41C092E1"/>
    <w:rsid w:val="41C5689F"/>
    <w:rsid w:val="41CEEAF5"/>
    <w:rsid w:val="42011952"/>
    <w:rsid w:val="420E9A3F"/>
    <w:rsid w:val="42171312"/>
    <w:rsid w:val="421E6989"/>
    <w:rsid w:val="422CC97E"/>
    <w:rsid w:val="423DCD55"/>
    <w:rsid w:val="42589F58"/>
    <w:rsid w:val="42647D70"/>
    <w:rsid w:val="426BDE00"/>
    <w:rsid w:val="4277E422"/>
    <w:rsid w:val="42978894"/>
    <w:rsid w:val="42A1A35C"/>
    <w:rsid w:val="42E0129C"/>
    <w:rsid w:val="42E1E39C"/>
    <w:rsid w:val="42FF60A7"/>
    <w:rsid w:val="42FF77CD"/>
    <w:rsid w:val="4300481F"/>
    <w:rsid w:val="43110FDA"/>
    <w:rsid w:val="431FFCFE"/>
    <w:rsid w:val="432EC42F"/>
    <w:rsid w:val="4333615B"/>
    <w:rsid w:val="433CBE00"/>
    <w:rsid w:val="4344CF1F"/>
    <w:rsid w:val="4346D61C"/>
    <w:rsid w:val="434A65E6"/>
    <w:rsid w:val="436F5975"/>
    <w:rsid w:val="43723792"/>
    <w:rsid w:val="43792198"/>
    <w:rsid w:val="4380F2BB"/>
    <w:rsid w:val="4386F9C9"/>
    <w:rsid w:val="439AF982"/>
    <w:rsid w:val="43ABADB9"/>
    <w:rsid w:val="43B4F667"/>
    <w:rsid w:val="43BAB9FE"/>
    <w:rsid w:val="43BE1DE2"/>
    <w:rsid w:val="43C0501F"/>
    <w:rsid w:val="43D0F290"/>
    <w:rsid w:val="43E68070"/>
    <w:rsid w:val="4403BE4F"/>
    <w:rsid w:val="4411D604"/>
    <w:rsid w:val="441388B3"/>
    <w:rsid w:val="4413B483"/>
    <w:rsid w:val="441E9960"/>
    <w:rsid w:val="44239565"/>
    <w:rsid w:val="44260254"/>
    <w:rsid w:val="44338CE4"/>
    <w:rsid w:val="443943FA"/>
    <w:rsid w:val="444AA13C"/>
    <w:rsid w:val="444E3CBB"/>
    <w:rsid w:val="4481E7C6"/>
    <w:rsid w:val="449330E8"/>
    <w:rsid w:val="44979E64"/>
    <w:rsid w:val="449EE78D"/>
    <w:rsid w:val="44A47D0B"/>
    <w:rsid w:val="44B01512"/>
    <w:rsid w:val="44B8CD25"/>
    <w:rsid w:val="44B9F899"/>
    <w:rsid w:val="44BF8A7C"/>
    <w:rsid w:val="44C4E978"/>
    <w:rsid w:val="44DAC2A5"/>
    <w:rsid w:val="44EB2D65"/>
    <w:rsid w:val="44ED1591"/>
    <w:rsid w:val="450101ED"/>
    <w:rsid w:val="4503C474"/>
    <w:rsid w:val="45326A50"/>
    <w:rsid w:val="4537B992"/>
    <w:rsid w:val="455F473E"/>
    <w:rsid w:val="4567EC31"/>
    <w:rsid w:val="45858EDD"/>
    <w:rsid w:val="458805E8"/>
    <w:rsid w:val="458AC584"/>
    <w:rsid w:val="45C1722B"/>
    <w:rsid w:val="45CE197E"/>
    <w:rsid w:val="45E4704A"/>
    <w:rsid w:val="45F4A9E5"/>
    <w:rsid w:val="45FE1C48"/>
    <w:rsid w:val="461D9FDE"/>
    <w:rsid w:val="4620AB91"/>
    <w:rsid w:val="463CF62B"/>
    <w:rsid w:val="4669D40F"/>
    <w:rsid w:val="4675DD42"/>
    <w:rsid w:val="46846A12"/>
    <w:rsid w:val="46868B95"/>
    <w:rsid w:val="46956A64"/>
    <w:rsid w:val="469F06E1"/>
    <w:rsid w:val="46B7443A"/>
    <w:rsid w:val="46BAB0EB"/>
    <w:rsid w:val="46E7E309"/>
    <w:rsid w:val="46EE3CC9"/>
    <w:rsid w:val="47063BB4"/>
    <w:rsid w:val="470955DE"/>
    <w:rsid w:val="47136927"/>
    <w:rsid w:val="47296491"/>
    <w:rsid w:val="472BBE8F"/>
    <w:rsid w:val="473B6483"/>
    <w:rsid w:val="473EE30D"/>
    <w:rsid w:val="47456558"/>
    <w:rsid w:val="47459FDD"/>
    <w:rsid w:val="474699B4"/>
    <w:rsid w:val="474AC805"/>
    <w:rsid w:val="47668DAF"/>
    <w:rsid w:val="4768F817"/>
    <w:rsid w:val="4769013B"/>
    <w:rsid w:val="476A7A15"/>
    <w:rsid w:val="4771377E"/>
    <w:rsid w:val="4775E2F2"/>
    <w:rsid w:val="4776132A"/>
    <w:rsid w:val="47A255B4"/>
    <w:rsid w:val="47AA718E"/>
    <w:rsid w:val="47B62E6E"/>
    <w:rsid w:val="47B836F3"/>
    <w:rsid w:val="47B9854D"/>
    <w:rsid w:val="47C5073C"/>
    <w:rsid w:val="47CBB097"/>
    <w:rsid w:val="47CFB1CF"/>
    <w:rsid w:val="47D45E22"/>
    <w:rsid w:val="47E104C2"/>
    <w:rsid w:val="47E4D428"/>
    <w:rsid w:val="47E591F8"/>
    <w:rsid w:val="47E74366"/>
    <w:rsid w:val="47EBB3D4"/>
    <w:rsid w:val="47EDF998"/>
    <w:rsid w:val="47EE5AFD"/>
    <w:rsid w:val="47EF4A17"/>
    <w:rsid w:val="4825628B"/>
    <w:rsid w:val="482DE598"/>
    <w:rsid w:val="4836A08D"/>
    <w:rsid w:val="4843BAE1"/>
    <w:rsid w:val="485BF09E"/>
    <w:rsid w:val="48603408"/>
    <w:rsid w:val="4863C7ED"/>
    <w:rsid w:val="48724EFA"/>
    <w:rsid w:val="48918F05"/>
    <w:rsid w:val="48AB2E2B"/>
    <w:rsid w:val="48C6D9C4"/>
    <w:rsid w:val="48C8A0B7"/>
    <w:rsid w:val="48DC5526"/>
    <w:rsid w:val="49045045"/>
    <w:rsid w:val="4909D89A"/>
    <w:rsid w:val="4913224A"/>
    <w:rsid w:val="491A0606"/>
    <w:rsid w:val="4920D68C"/>
    <w:rsid w:val="49537337"/>
    <w:rsid w:val="4956B1B5"/>
    <w:rsid w:val="49606075"/>
    <w:rsid w:val="49676A47"/>
    <w:rsid w:val="497195E6"/>
    <w:rsid w:val="49719EB6"/>
    <w:rsid w:val="498686F1"/>
    <w:rsid w:val="4991B836"/>
    <w:rsid w:val="499B3384"/>
    <w:rsid w:val="49A1E96B"/>
    <w:rsid w:val="49A4D952"/>
    <w:rsid w:val="49A6BFDE"/>
    <w:rsid w:val="49A8369B"/>
    <w:rsid w:val="49A8F8C2"/>
    <w:rsid w:val="49BF9F87"/>
    <w:rsid w:val="49C594B1"/>
    <w:rsid w:val="49E626B7"/>
    <w:rsid w:val="49E7CD41"/>
    <w:rsid w:val="49FF5140"/>
    <w:rsid w:val="4A113D51"/>
    <w:rsid w:val="4A22C7B8"/>
    <w:rsid w:val="4A31A7D6"/>
    <w:rsid w:val="4A3DEC9A"/>
    <w:rsid w:val="4A77989F"/>
    <w:rsid w:val="4A7BC1C8"/>
    <w:rsid w:val="4A861C01"/>
    <w:rsid w:val="4AB39695"/>
    <w:rsid w:val="4AC186DA"/>
    <w:rsid w:val="4AC92C03"/>
    <w:rsid w:val="4AE28636"/>
    <w:rsid w:val="4B00F95A"/>
    <w:rsid w:val="4B17C481"/>
    <w:rsid w:val="4B1F6389"/>
    <w:rsid w:val="4B2102B6"/>
    <w:rsid w:val="4B21925E"/>
    <w:rsid w:val="4B27C943"/>
    <w:rsid w:val="4B43C47D"/>
    <w:rsid w:val="4B4CB1AA"/>
    <w:rsid w:val="4B668F35"/>
    <w:rsid w:val="4B8AE80C"/>
    <w:rsid w:val="4BA93AAE"/>
    <w:rsid w:val="4BBB9B93"/>
    <w:rsid w:val="4BD5CE25"/>
    <w:rsid w:val="4BD68FE4"/>
    <w:rsid w:val="4BDBA0BC"/>
    <w:rsid w:val="4BF8BF54"/>
    <w:rsid w:val="4BFE4CA5"/>
    <w:rsid w:val="4BFF2FAB"/>
    <w:rsid w:val="4C0457FA"/>
    <w:rsid w:val="4C23C3D8"/>
    <w:rsid w:val="4C342E71"/>
    <w:rsid w:val="4C6F9D85"/>
    <w:rsid w:val="4C746B96"/>
    <w:rsid w:val="4C9B371A"/>
    <w:rsid w:val="4C9E1DC7"/>
    <w:rsid w:val="4CB54535"/>
    <w:rsid w:val="4CBE7F5D"/>
    <w:rsid w:val="4CC416AA"/>
    <w:rsid w:val="4CC841E1"/>
    <w:rsid w:val="4CCB2486"/>
    <w:rsid w:val="4CD727D7"/>
    <w:rsid w:val="4CE5B06B"/>
    <w:rsid w:val="4D0C996E"/>
    <w:rsid w:val="4D0CE7AA"/>
    <w:rsid w:val="4D14FDA4"/>
    <w:rsid w:val="4D347EA2"/>
    <w:rsid w:val="4D42B7D7"/>
    <w:rsid w:val="4D5585EC"/>
    <w:rsid w:val="4D5A41D6"/>
    <w:rsid w:val="4D8056CF"/>
    <w:rsid w:val="4D8A6E05"/>
    <w:rsid w:val="4DB65F24"/>
    <w:rsid w:val="4DBB391C"/>
    <w:rsid w:val="4DBE7FD4"/>
    <w:rsid w:val="4DBFAFB0"/>
    <w:rsid w:val="4DD2FEA9"/>
    <w:rsid w:val="4DEB52C8"/>
    <w:rsid w:val="4DF33DB3"/>
    <w:rsid w:val="4E119738"/>
    <w:rsid w:val="4E3F9ABE"/>
    <w:rsid w:val="4E716D94"/>
    <w:rsid w:val="4E8AD83F"/>
    <w:rsid w:val="4E967598"/>
    <w:rsid w:val="4EAE59BC"/>
    <w:rsid w:val="4ED668DC"/>
    <w:rsid w:val="4EE3C089"/>
    <w:rsid w:val="4EE663F6"/>
    <w:rsid w:val="4EF51D5A"/>
    <w:rsid w:val="4F22C55D"/>
    <w:rsid w:val="4F265955"/>
    <w:rsid w:val="4F33CF64"/>
    <w:rsid w:val="4F3F76EB"/>
    <w:rsid w:val="4F4B2B50"/>
    <w:rsid w:val="4F6A3A8A"/>
    <w:rsid w:val="4F79D844"/>
    <w:rsid w:val="4F959AC5"/>
    <w:rsid w:val="4FA11EE2"/>
    <w:rsid w:val="4FBE8074"/>
    <w:rsid w:val="4FC3493C"/>
    <w:rsid w:val="4FC5157B"/>
    <w:rsid w:val="4FD442C3"/>
    <w:rsid w:val="4FD9D30F"/>
    <w:rsid w:val="4FE712A3"/>
    <w:rsid w:val="4FEF73C8"/>
    <w:rsid w:val="4FFA5BFC"/>
    <w:rsid w:val="5010F9E0"/>
    <w:rsid w:val="502621DF"/>
    <w:rsid w:val="5027A070"/>
    <w:rsid w:val="5034B420"/>
    <w:rsid w:val="50397116"/>
    <w:rsid w:val="503D8973"/>
    <w:rsid w:val="503FBC08"/>
    <w:rsid w:val="506B9EB2"/>
    <w:rsid w:val="50841107"/>
    <w:rsid w:val="508B3FF5"/>
    <w:rsid w:val="5091A8C6"/>
    <w:rsid w:val="50CDA5FD"/>
    <w:rsid w:val="50DAE047"/>
    <w:rsid w:val="50E416F0"/>
    <w:rsid w:val="50EB3AC7"/>
    <w:rsid w:val="510FFD25"/>
    <w:rsid w:val="511A4B24"/>
    <w:rsid w:val="512E0081"/>
    <w:rsid w:val="51330CC6"/>
    <w:rsid w:val="5135A5BE"/>
    <w:rsid w:val="513BB32B"/>
    <w:rsid w:val="515F0CD3"/>
    <w:rsid w:val="5168E939"/>
    <w:rsid w:val="5169288A"/>
    <w:rsid w:val="5170AD16"/>
    <w:rsid w:val="51744EBE"/>
    <w:rsid w:val="517E5F70"/>
    <w:rsid w:val="5188B056"/>
    <w:rsid w:val="51890A22"/>
    <w:rsid w:val="51B2703C"/>
    <w:rsid w:val="51B70A97"/>
    <w:rsid w:val="51BD7149"/>
    <w:rsid w:val="51C1DD64"/>
    <w:rsid w:val="51CF2B42"/>
    <w:rsid w:val="51D82FE2"/>
    <w:rsid w:val="51DAE8D9"/>
    <w:rsid w:val="520A8901"/>
    <w:rsid w:val="5210B0C5"/>
    <w:rsid w:val="52155432"/>
    <w:rsid w:val="52213DF5"/>
    <w:rsid w:val="522C5C55"/>
    <w:rsid w:val="52499C2F"/>
    <w:rsid w:val="5249AF5D"/>
    <w:rsid w:val="524E28F8"/>
    <w:rsid w:val="524F127B"/>
    <w:rsid w:val="525A05CC"/>
    <w:rsid w:val="5261362A"/>
    <w:rsid w:val="526AEF33"/>
    <w:rsid w:val="5270EB63"/>
    <w:rsid w:val="527A9AE6"/>
    <w:rsid w:val="528A5902"/>
    <w:rsid w:val="529C34B8"/>
    <w:rsid w:val="52F54105"/>
    <w:rsid w:val="52F5DC87"/>
    <w:rsid w:val="52FA42BF"/>
    <w:rsid w:val="530832F0"/>
    <w:rsid w:val="530C0B3F"/>
    <w:rsid w:val="530E7F5E"/>
    <w:rsid w:val="532FF61F"/>
    <w:rsid w:val="5333582E"/>
    <w:rsid w:val="533FF48A"/>
    <w:rsid w:val="5344F19E"/>
    <w:rsid w:val="534DC38C"/>
    <w:rsid w:val="5358ABE4"/>
    <w:rsid w:val="535F5C98"/>
    <w:rsid w:val="5362ED1A"/>
    <w:rsid w:val="538A0FCB"/>
    <w:rsid w:val="538E7BBF"/>
    <w:rsid w:val="53907600"/>
    <w:rsid w:val="53A2521B"/>
    <w:rsid w:val="53A8D18D"/>
    <w:rsid w:val="53BF7D2C"/>
    <w:rsid w:val="53C1192E"/>
    <w:rsid w:val="53D7B8D2"/>
    <w:rsid w:val="53E45F54"/>
    <w:rsid w:val="53EC8C63"/>
    <w:rsid w:val="541C4FD6"/>
    <w:rsid w:val="5426CA05"/>
    <w:rsid w:val="542C0709"/>
    <w:rsid w:val="5430301E"/>
    <w:rsid w:val="544D995E"/>
    <w:rsid w:val="545A0563"/>
    <w:rsid w:val="545FDB38"/>
    <w:rsid w:val="54619A2A"/>
    <w:rsid w:val="5461A1C1"/>
    <w:rsid w:val="5467EAE4"/>
    <w:rsid w:val="546D4680"/>
    <w:rsid w:val="5471DAD0"/>
    <w:rsid w:val="547E1341"/>
    <w:rsid w:val="5483E89A"/>
    <w:rsid w:val="549AC377"/>
    <w:rsid w:val="549C8757"/>
    <w:rsid w:val="54CD0BEF"/>
    <w:rsid w:val="54D97BE4"/>
    <w:rsid w:val="54F4C10B"/>
    <w:rsid w:val="54F89B68"/>
    <w:rsid w:val="54FBAF46"/>
    <w:rsid w:val="55061A37"/>
    <w:rsid w:val="550C3E81"/>
    <w:rsid w:val="550D0197"/>
    <w:rsid w:val="551D9B40"/>
    <w:rsid w:val="5538C50E"/>
    <w:rsid w:val="554442C3"/>
    <w:rsid w:val="5566A5CC"/>
    <w:rsid w:val="55680FB8"/>
    <w:rsid w:val="556CA15D"/>
    <w:rsid w:val="55742567"/>
    <w:rsid w:val="5589A24C"/>
    <w:rsid w:val="5591468C"/>
    <w:rsid w:val="559FF8CE"/>
    <w:rsid w:val="55A1C9B5"/>
    <w:rsid w:val="55AB0C87"/>
    <w:rsid w:val="55C5C626"/>
    <w:rsid w:val="55D9D7BE"/>
    <w:rsid w:val="560171A4"/>
    <w:rsid w:val="5601E05D"/>
    <w:rsid w:val="560A6693"/>
    <w:rsid w:val="560EAC0C"/>
    <w:rsid w:val="56133B51"/>
    <w:rsid w:val="5636F961"/>
    <w:rsid w:val="5640A66F"/>
    <w:rsid w:val="5645126A"/>
    <w:rsid w:val="5645B528"/>
    <w:rsid w:val="5649DFBA"/>
    <w:rsid w:val="56507523"/>
    <w:rsid w:val="56658A93"/>
    <w:rsid w:val="56672A49"/>
    <w:rsid w:val="56746234"/>
    <w:rsid w:val="567536BA"/>
    <w:rsid w:val="56946476"/>
    <w:rsid w:val="56B37BB4"/>
    <w:rsid w:val="56C78823"/>
    <w:rsid w:val="56DB60B8"/>
    <w:rsid w:val="56E81536"/>
    <w:rsid w:val="56ED8B40"/>
    <w:rsid w:val="56EF405E"/>
    <w:rsid w:val="56FE2453"/>
    <w:rsid w:val="56FF4DAD"/>
    <w:rsid w:val="570AFBC5"/>
    <w:rsid w:val="572488C9"/>
    <w:rsid w:val="574A7F6E"/>
    <w:rsid w:val="575EF276"/>
    <w:rsid w:val="576ECD20"/>
    <w:rsid w:val="5784B758"/>
    <w:rsid w:val="5798FD99"/>
    <w:rsid w:val="57A2C07F"/>
    <w:rsid w:val="5810B46B"/>
    <w:rsid w:val="58170D5F"/>
    <w:rsid w:val="58199A47"/>
    <w:rsid w:val="583074B7"/>
    <w:rsid w:val="5837A1E6"/>
    <w:rsid w:val="5850A352"/>
    <w:rsid w:val="585DAF72"/>
    <w:rsid w:val="5869BF7A"/>
    <w:rsid w:val="586D2F98"/>
    <w:rsid w:val="586FA8C2"/>
    <w:rsid w:val="5885F662"/>
    <w:rsid w:val="58971D68"/>
    <w:rsid w:val="58990622"/>
    <w:rsid w:val="589C0002"/>
    <w:rsid w:val="58A17126"/>
    <w:rsid w:val="58A28423"/>
    <w:rsid w:val="58AE5123"/>
    <w:rsid w:val="58B4133E"/>
    <w:rsid w:val="58B878C9"/>
    <w:rsid w:val="58B8CDA6"/>
    <w:rsid w:val="58BE1EAE"/>
    <w:rsid w:val="58BFFD86"/>
    <w:rsid w:val="58C674FC"/>
    <w:rsid w:val="58E3B04F"/>
    <w:rsid w:val="58E5E77B"/>
    <w:rsid w:val="590F3C26"/>
    <w:rsid w:val="591D30EA"/>
    <w:rsid w:val="5937D9CA"/>
    <w:rsid w:val="5965CDDC"/>
    <w:rsid w:val="596A93FE"/>
    <w:rsid w:val="596FF87A"/>
    <w:rsid w:val="5971A58D"/>
    <w:rsid w:val="5973E99D"/>
    <w:rsid w:val="5973F1CF"/>
    <w:rsid w:val="597CDA65"/>
    <w:rsid w:val="5999B688"/>
    <w:rsid w:val="599BEC8B"/>
    <w:rsid w:val="59A4BC97"/>
    <w:rsid w:val="59E48D71"/>
    <w:rsid w:val="59F0E443"/>
    <w:rsid w:val="59FBE987"/>
    <w:rsid w:val="5A067276"/>
    <w:rsid w:val="5A0B7923"/>
    <w:rsid w:val="5A0F4C93"/>
    <w:rsid w:val="5A21ACF1"/>
    <w:rsid w:val="5A2CCE29"/>
    <w:rsid w:val="5A329AF7"/>
    <w:rsid w:val="5A3BC41B"/>
    <w:rsid w:val="5A433A6F"/>
    <w:rsid w:val="5A508805"/>
    <w:rsid w:val="5A83B9FF"/>
    <w:rsid w:val="5A93920E"/>
    <w:rsid w:val="5AA91543"/>
    <w:rsid w:val="5AB39449"/>
    <w:rsid w:val="5AC76C91"/>
    <w:rsid w:val="5ACF1CBC"/>
    <w:rsid w:val="5AE978BD"/>
    <w:rsid w:val="5AF32418"/>
    <w:rsid w:val="5B12478A"/>
    <w:rsid w:val="5B4329A0"/>
    <w:rsid w:val="5B526DEC"/>
    <w:rsid w:val="5B6169EC"/>
    <w:rsid w:val="5B7691E6"/>
    <w:rsid w:val="5B7B2398"/>
    <w:rsid w:val="5B7D3489"/>
    <w:rsid w:val="5B9D27CD"/>
    <w:rsid w:val="5B9EC5F3"/>
    <w:rsid w:val="5BAE02E6"/>
    <w:rsid w:val="5BB979FF"/>
    <w:rsid w:val="5BD2B7B6"/>
    <w:rsid w:val="5BD7947C"/>
    <w:rsid w:val="5BE05D3F"/>
    <w:rsid w:val="5BE7DF90"/>
    <w:rsid w:val="5BEEF3D7"/>
    <w:rsid w:val="5BF3246F"/>
    <w:rsid w:val="5BFFF76F"/>
    <w:rsid w:val="5C200E9A"/>
    <w:rsid w:val="5C22EDE4"/>
    <w:rsid w:val="5C476EF1"/>
    <w:rsid w:val="5C558971"/>
    <w:rsid w:val="5C63B7E8"/>
    <w:rsid w:val="5C6A8F8D"/>
    <w:rsid w:val="5C6B140F"/>
    <w:rsid w:val="5C7DF40B"/>
    <w:rsid w:val="5CA2E3A9"/>
    <w:rsid w:val="5CA3ECF8"/>
    <w:rsid w:val="5CA88D32"/>
    <w:rsid w:val="5CBA3800"/>
    <w:rsid w:val="5CBFEB0A"/>
    <w:rsid w:val="5CC40DEA"/>
    <w:rsid w:val="5CCCAF55"/>
    <w:rsid w:val="5CD30AF1"/>
    <w:rsid w:val="5CE665CD"/>
    <w:rsid w:val="5CF749E1"/>
    <w:rsid w:val="5D0B60AF"/>
    <w:rsid w:val="5D334660"/>
    <w:rsid w:val="5D379861"/>
    <w:rsid w:val="5D47B46A"/>
    <w:rsid w:val="5D47BCA7"/>
    <w:rsid w:val="5D91EE1D"/>
    <w:rsid w:val="5D971873"/>
    <w:rsid w:val="5DA6F809"/>
    <w:rsid w:val="5DA79B98"/>
    <w:rsid w:val="5DA89E8E"/>
    <w:rsid w:val="5DB23E6D"/>
    <w:rsid w:val="5DB3D0DB"/>
    <w:rsid w:val="5DCA1AAC"/>
    <w:rsid w:val="5DE72F61"/>
    <w:rsid w:val="5DFB04B5"/>
    <w:rsid w:val="5E0C7F56"/>
    <w:rsid w:val="5E116ACD"/>
    <w:rsid w:val="5E1C21AD"/>
    <w:rsid w:val="5E297F36"/>
    <w:rsid w:val="5E3D8ECC"/>
    <w:rsid w:val="5E4013B4"/>
    <w:rsid w:val="5E445D93"/>
    <w:rsid w:val="5E726CC7"/>
    <w:rsid w:val="5E7C41E1"/>
    <w:rsid w:val="5EA0E714"/>
    <w:rsid w:val="5EBCC713"/>
    <w:rsid w:val="5ED96FA6"/>
    <w:rsid w:val="5EE4A2EF"/>
    <w:rsid w:val="5EECEF64"/>
    <w:rsid w:val="5EF34422"/>
    <w:rsid w:val="5EF77BAA"/>
    <w:rsid w:val="5F11063E"/>
    <w:rsid w:val="5F340E64"/>
    <w:rsid w:val="5F42C86A"/>
    <w:rsid w:val="5F57A09E"/>
    <w:rsid w:val="5F5AF52C"/>
    <w:rsid w:val="5F83E26C"/>
    <w:rsid w:val="5F8B7712"/>
    <w:rsid w:val="5F8CBBF9"/>
    <w:rsid w:val="5F8CE05A"/>
    <w:rsid w:val="5F9BE4A8"/>
    <w:rsid w:val="5FB334DD"/>
    <w:rsid w:val="5FD3913C"/>
    <w:rsid w:val="5FDB8DBA"/>
    <w:rsid w:val="5FE515DB"/>
    <w:rsid w:val="5FF4F3B0"/>
    <w:rsid w:val="5FFBAD87"/>
    <w:rsid w:val="6004F06F"/>
    <w:rsid w:val="600B2E0F"/>
    <w:rsid w:val="6029E249"/>
    <w:rsid w:val="602C36F4"/>
    <w:rsid w:val="602D5A27"/>
    <w:rsid w:val="603F820C"/>
    <w:rsid w:val="60434F9D"/>
    <w:rsid w:val="60495446"/>
    <w:rsid w:val="60930CE5"/>
    <w:rsid w:val="60C06059"/>
    <w:rsid w:val="60D984ED"/>
    <w:rsid w:val="60EB4E08"/>
    <w:rsid w:val="60FA1F98"/>
    <w:rsid w:val="61192F94"/>
    <w:rsid w:val="612A5BF9"/>
    <w:rsid w:val="613C353A"/>
    <w:rsid w:val="615522FA"/>
    <w:rsid w:val="6170DFC1"/>
    <w:rsid w:val="617C2473"/>
    <w:rsid w:val="619B9390"/>
    <w:rsid w:val="61AD9AF1"/>
    <w:rsid w:val="61AEFAD5"/>
    <w:rsid w:val="61B7453C"/>
    <w:rsid w:val="62060DD8"/>
    <w:rsid w:val="621B9E9E"/>
    <w:rsid w:val="62213829"/>
    <w:rsid w:val="62438B1A"/>
    <w:rsid w:val="62620A5C"/>
    <w:rsid w:val="627C0321"/>
    <w:rsid w:val="629600D3"/>
    <w:rsid w:val="62AC3392"/>
    <w:rsid w:val="62C10644"/>
    <w:rsid w:val="62CF59BF"/>
    <w:rsid w:val="62DDA897"/>
    <w:rsid w:val="62E18843"/>
    <w:rsid w:val="62F7D8A1"/>
    <w:rsid w:val="6308E093"/>
    <w:rsid w:val="631613E1"/>
    <w:rsid w:val="6367CCAB"/>
    <w:rsid w:val="63764DED"/>
    <w:rsid w:val="63B1A6AC"/>
    <w:rsid w:val="63BCC8F8"/>
    <w:rsid w:val="63C7E5AE"/>
    <w:rsid w:val="63E5A638"/>
    <w:rsid w:val="63E98611"/>
    <w:rsid w:val="63EC1FA9"/>
    <w:rsid w:val="64018347"/>
    <w:rsid w:val="64059A8E"/>
    <w:rsid w:val="64085B27"/>
    <w:rsid w:val="641C15B0"/>
    <w:rsid w:val="6420E32A"/>
    <w:rsid w:val="6421B382"/>
    <w:rsid w:val="644448A5"/>
    <w:rsid w:val="644D82F9"/>
    <w:rsid w:val="64516B7F"/>
    <w:rsid w:val="64517036"/>
    <w:rsid w:val="646C082B"/>
    <w:rsid w:val="646FFD36"/>
    <w:rsid w:val="647DB88F"/>
    <w:rsid w:val="64A246F1"/>
    <w:rsid w:val="64A6ADAB"/>
    <w:rsid w:val="64B32944"/>
    <w:rsid w:val="64B3C535"/>
    <w:rsid w:val="65059D49"/>
    <w:rsid w:val="65074696"/>
    <w:rsid w:val="650CD199"/>
    <w:rsid w:val="650F5AFE"/>
    <w:rsid w:val="6510FAF1"/>
    <w:rsid w:val="651CA8DC"/>
    <w:rsid w:val="6525668B"/>
    <w:rsid w:val="6533BA6D"/>
    <w:rsid w:val="6555BFAE"/>
    <w:rsid w:val="65687293"/>
    <w:rsid w:val="656CC037"/>
    <w:rsid w:val="656E109D"/>
    <w:rsid w:val="6574BC16"/>
    <w:rsid w:val="6583AB34"/>
    <w:rsid w:val="65AB4226"/>
    <w:rsid w:val="65B55F1B"/>
    <w:rsid w:val="65B69377"/>
    <w:rsid w:val="65C9D08A"/>
    <w:rsid w:val="65D544DD"/>
    <w:rsid w:val="65DD2D0E"/>
    <w:rsid w:val="65E32360"/>
    <w:rsid w:val="65EF1B7C"/>
    <w:rsid w:val="65F4BCBF"/>
    <w:rsid w:val="66092274"/>
    <w:rsid w:val="6618BB89"/>
    <w:rsid w:val="66305E7A"/>
    <w:rsid w:val="663CEE66"/>
    <w:rsid w:val="66523AC2"/>
    <w:rsid w:val="665DA4C6"/>
    <w:rsid w:val="66614736"/>
    <w:rsid w:val="66693E40"/>
    <w:rsid w:val="66764C20"/>
    <w:rsid w:val="667BA6E5"/>
    <w:rsid w:val="669C2281"/>
    <w:rsid w:val="669F6D6D"/>
    <w:rsid w:val="66B8BCF2"/>
    <w:rsid w:val="66F6C616"/>
    <w:rsid w:val="66FCCEE0"/>
    <w:rsid w:val="66FDAF97"/>
    <w:rsid w:val="670EEA01"/>
    <w:rsid w:val="67275C1B"/>
    <w:rsid w:val="673FD422"/>
    <w:rsid w:val="674E4107"/>
    <w:rsid w:val="675440B3"/>
    <w:rsid w:val="67546D42"/>
    <w:rsid w:val="677B4647"/>
    <w:rsid w:val="67947767"/>
    <w:rsid w:val="67957924"/>
    <w:rsid w:val="679FBBEC"/>
    <w:rsid w:val="67A82C72"/>
    <w:rsid w:val="67ABA1FE"/>
    <w:rsid w:val="67B59556"/>
    <w:rsid w:val="67BFEC19"/>
    <w:rsid w:val="67ED5E25"/>
    <w:rsid w:val="67ED790E"/>
    <w:rsid w:val="680663DE"/>
    <w:rsid w:val="6812587B"/>
    <w:rsid w:val="6817356B"/>
    <w:rsid w:val="683E0C9B"/>
    <w:rsid w:val="68537031"/>
    <w:rsid w:val="685671F3"/>
    <w:rsid w:val="688A2126"/>
    <w:rsid w:val="68919670"/>
    <w:rsid w:val="689882F7"/>
    <w:rsid w:val="68AF0920"/>
    <w:rsid w:val="68AFA040"/>
    <w:rsid w:val="68B469A5"/>
    <w:rsid w:val="68D9B4DD"/>
    <w:rsid w:val="68F84207"/>
    <w:rsid w:val="68FAFE24"/>
    <w:rsid w:val="68FB24F5"/>
    <w:rsid w:val="68FB49D5"/>
    <w:rsid w:val="692C77C9"/>
    <w:rsid w:val="692DA485"/>
    <w:rsid w:val="6934F11F"/>
    <w:rsid w:val="695DCBAF"/>
    <w:rsid w:val="6973A637"/>
    <w:rsid w:val="6998E7F8"/>
    <w:rsid w:val="69A0A19E"/>
    <w:rsid w:val="69C26B14"/>
    <w:rsid w:val="69D71791"/>
    <w:rsid w:val="69DB1085"/>
    <w:rsid w:val="69DF067C"/>
    <w:rsid w:val="69E068EB"/>
    <w:rsid w:val="69F21B8F"/>
    <w:rsid w:val="69FDB0F9"/>
    <w:rsid w:val="6A13B3EC"/>
    <w:rsid w:val="6A58A0A2"/>
    <w:rsid w:val="6A5E10A1"/>
    <w:rsid w:val="6A6B4B86"/>
    <w:rsid w:val="6A854CD7"/>
    <w:rsid w:val="6A941268"/>
    <w:rsid w:val="6A984D5C"/>
    <w:rsid w:val="6A9D8283"/>
    <w:rsid w:val="6AA835F5"/>
    <w:rsid w:val="6AB6C03A"/>
    <w:rsid w:val="6AC173DE"/>
    <w:rsid w:val="6AC98415"/>
    <w:rsid w:val="6ACBBD0A"/>
    <w:rsid w:val="6AD4FA82"/>
    <w:rsid w:val="6AD75CAE"/>
    <w:rsid w:val="6AE342C0"/>
    <w:rsid w:val="6AFB50D1"/>
    <w:rsid w:val="6B13748D"/>
    <w:rsid w:val="6B2677C0"/>
    <w:rsid w:val="6B2D7FFA"/>
    <w:rsid w:val="6B30886F"/>
    <w:rsid w:val="6B344D0A"/>
    <w:rsid w:val="6B5E3B75"/>
    <w:rsid w:val="6B6B3BDE"/>
    <w:rsid w:val="6B77E7B8"/>
    <w:rsid w:val="6B8BD5CA"/>
    <w:rsid w:val="6BCF9194"/>
    <w:rsid w:val="6BD47654"/>
    <w:rsid w:val="6BD49B4D"/>
    <w:rsid w:val="6BEC0A67"/>
    <w:rsid w:val="6BF7A90F"/>
    <w:rsid w:val="6C06C5C9"/>
    <w:rsid w:val="6C09E4AB"/>
    <w:rsid w:val="6C1A83AA"/>
    <w:rsid w:val="6C4518CD"/>
    <w:rsid w:val="6C791E0B"/>
    <w:rsid w:val="6CACB62F"/>
    <w:rsid w:val="6CB2AF96"/>
    <w:rsid w:val="6CB6F50E"/>
    <w:rsid w:val="6CC1DC9F"/>
    <w:rsid w:val="6CCE7241"/>
    <w:rsid w:val="6CCEDDC8"/>
    <w:rsid w:val="6CF83941"/>
    <w:rsid w:val="6D018505"/>
    <w:rsid w:val="6D071768"/>
    <w:rsid w:val="6D09313F"/>
    <w:rsid w:val="6D1769FB"/>
    <w:rsid w:val="6D1CC448"/>
    <w:rsid w:val="6D1E2635"/>
    <w:rsid w:val="6D29B961"/>
    <w:rsid w:val="6D43C405"/>
    <w:rsid w:val="6D498E18"/>
    <w:rsid w:val="6D5F1C48"/>
    <w:rsid w:val="6D645B71"/>
    <w:rsid w:val="6D68601C"/>
    <w:rsid w:val="6DA22FB2"/>
    <w:rsid w:val="6DDD002A"/>
    <w:rsid w:val="6DEFAD32"/>
    <w:rsid w:val="6DF914A0"/>
    <w:rsid w:val="6E02A568"/>
    <w:rsid w:val="6E08539E"/>
    <w:rsid w:val="6E25FBB4"/>
    <w:rsid w:val="6E337EA3"/>
    <w:rsid w:val="6E45383C"/>
    <w:rsid w:val="6E576F64"/>
    <w:rsid w:val="6E5C1BB2"/>
    <w:rsid w:val="6E6FEBE0"/>
    <w:rsid w:val="6E7743B5"/>
    <w:rsid w:val="6E9425C2"/>
    <w:rsid w:val="6EC3B111"/>
    <w:rsid w:val="6ED9C9A9"/>
    <w:rsid w:val="6EDFC3E3"/>
    <w:rsid w:val="6EEC458F"/>
    <w:rsid w:val="6EEF698E"/>
    <w:rsid w:val="6EFB4E6A"/>
    <w:rsid w:val="6F159685"/>
    <w:rsid w:val="6F1A3D96"/>
    <w:rsid w:val="6F32C559"/>
    <w:rsid w:val="6F67838B"/>
    <w:rsid w:val="6F89F00D"/>
    <w:rsid w:val="6F9E4245"/>
    <w:rsid w:val="6FCDCDA5"/>
    <w:rsid w:val="6FD4B4CB"/>
    <w:rsid w:val="6FE14992"/>
    <w:rsid w:val="6FE55512"/>
    <w:rsid w:val="6FF9DC5A"/>
    <w:rsid w:val="6FFDFAF4"/>
    <w:rsid w:val="70044203"/>
    <w:rsid w:val="70124E2C"/>
    <w:rsid w:val="7018B5AB"/>
    <w:rsid w:val="7020102A"/>
    <w:rsid w:val="702972BF"/>
    <w:rsid w:val="702C0614"/>
    <w:rsid w:val="7043A0B6"/>
    <w:rsid w:val="704E70BD"/>
    <w:rsid w:val="70819BD8"/>
    <w:rsid w:val="70896105"/>
    <w:rsid w:val="7092B3B8"/>
    <w:rsid w:val="709B2166"/>
    <w:rsid w:val="709E854A"/>
    <w:rsid w:val="70A5CB65"/>
    <w:rsid w:val="70B0F63F"/>
    <w:rsid w:val="70B3A25A"/>
    <w:rsid w:val="70B44D7D"/>
    <w:rsid w:val="70B60DF7"/>
    <w:rsid w:val="70BA99C4"/>
    <w:rsid w:val="70D5AC74"/>
    <w:rsid w:val="70D9AE78"/>
    <w:rsid w:val="71083AAC"/>
    <w:rsid w:val="710CEC8A"/>
    <w:rsid w:val="7122AC51"/>
    <w:rsid w:val="712F1E1E"/>
    <w:rsid w:val="714C8EA2"/>
    <w:rsid w:val="7175C414"/>
    <w:rsid w:val="71955B81"/>
    <w:rsid w:val="719D1504"/>
    <w:rsid w:val="71A01264"/>
    <w:rsid w:val="71A78CA2"/>
    <w:rsid w:val="71AB780B"/>
    <w:rsid w:val="71FB174E"/>
    <w:rsid w:val="71FB51D3"/>
    <w:rsid w:val="72251659"/>
    <w:rsid w:val="72582DF7"/>
    <w:rsid w:val="726A6A68"/>
    <w:rsid w:val="726ED4EE"/>
    <w:rsid w:val="727BC178"/>
    <w:rsid w:val="729C46CB"/>
    <w:rsid w:val="72D5EC69"/>
    <w:rsid w:val="72F1273D"/>
    <w:rsid w:val="72F6E3DF"/>
    <w:rsid w:val="72F8CFF3"/>
    <w:rsid w:val="7338046B"/>
    <w:rsid w:val="73446B33"/>
    <w:rsid w:val="735CC11B"/>
    <w:rsid w:val="735DF452"/>
    <w:rsid w:val="73764DC3"/>
    <w:rsid w:val="73800ED1"/>
    <w:rsid w:val="738B80CF"/>
    <w:rsid w:val="738CE168"/>
    <w:rsid w:val="73B8285F"/>
    <w:rsid w:val="73CFB7FC"/>
    <w:rsid w:val="73D10F37"/>
    <w:rsid w:val="73EBDF89"/>
    <w:rsid w:val="73EF9842"/>
    <w:rsid w:val="740255C7"/>
    <w:rsid w:val="74056710"/>
    <w:rsid w:val="740CAAB4"/>
    <w:rsid w:val="742B948D"/>
    <w:rsid w:val="74786997"/>
    <w:rsid w:val="74791520"/>
    <w:rsid w:val="7483B3A1"/>
    <w:rsid w:val="74CB49C5"/>
    <w:rsid w:val="74D8C278"/>
    <w:rsid w:val="7500ACBD"/>
    <w:rsid w:val="75198FB3"/>
    <w:rsid w:val="7519CA38"/>
    <w:rsid w:val="751A913E"/>
    <w:rsid w:val="751B5AA5"/>
    <w:rsid w:val="752AAEF0"/>
    <w:rsid w:val="7537E018"/>
    <w:rsid w:val="7561E4CE"/>
    <w:rsid w:val="759C5446"/>
    <w:rsid w:val="75A0C7FB"/>
    <w:rsid w:val="75A2A8EE"/>
    <w:rsid w:val="75B0FF25"/>
    <w:rsid w:val="75B237A3"/>
    <w:rsid w:val="75BCE25C"/>
    <w:rsid w:val="75CFB2EE"/>
    <w:rsid w:val="75EA6CD1"/>
    <w:rsid w:val="7604E6B4"/>
    <w:rsid w:val="7620E91C"/>
    <w:rsid w:val="76396F8A"/>
    <w:rsid w:val="763E4F67"/>
    <w:rsid w:val="765E4D04"/>
    <w:rsid w:val="7661C389"/>
    <w:rsid w:val="766EC892"/>
    <w:rsid w:val="76707A94"/>
    <w:rsid w:val="76927DAF"/>
    <w:rsid w:val="76B657D3"/>
    <w:rsid w:val="76BF6662"/>
    <w:rsid w:val="76C29537"/>
    <w:rsid w:val="76C4879C"/>
    <w:rsid w:val="76F26619"/>
    <w:rsid w:val="76F4A9EB"/>
    <w:rsid w:val="76F7747B"/>
    <w:rsid w:val="76FBE48C"/>
    <w:rsid w:val="770518EC"/>
    <w:rsid w:val="7709E765"/>
    <w:rsid w:val="770A00DF"/>
    <w:rsid w:val="770B7E3E"/>
    <w:rsid w:val="7719AAEF"/>
    <w:rsid w:val="774ACF3F"/>
    <w:rsid w:val="774F2D16"/>
    <w:rsid w:val="775F87A8"/>
    <w:rsid w:val="7772850D"/>
    <w:rsid w:val="777C8D65"/>
    <w:rsid w:val="77A13581"/>
    <w:rsid w:val="77C3086C"/>
    <w:rsid w:val="77D64EAB"/>
    <w:rsid w:val="77D6DE8C"/>
    <w:rsid w:val="77F9A7B5"/>
    <w:rsid w:val="7800ACD3"/>
    <w:rsid w:val="780D95EC"/>
    <w:rsid w:val="7819930F"/>
    <w:rsid w:val="783A9239"/>
    <w:rsid w:val="784A3BA9"/>
    <w:rsid w:val="789DC531"/>
    <w:rsid w:val="78BC0824"/>
    <w:rsid w:val="78C14DD8"/>
    <w:rsid w:val="78C1F825"/>
    <w:rsid w:val="78D63801"/>
    <w:rsid w:val="78ED5F2E"/>
    <w:rsid w:val="78F8AB5E"/>
    <w:rsid w:val="78F8D32E"/>
    <w:rsid w:val="79037AE8"/>
    <w:rsid w:val="7908C853"/>
    <w:rsid w:val="79277B3B"/>
    <w:rsid w:val="792D64F3"/>
    <w:rsid w:val="7937E66E"/>
    <w:rsid w:val="79452DED"/>
    <w:rsid w:val="7949ED0F"/>
    <w:rsid w:val="795ED8CD"/>
    <w:rsid w:val="797C25F3"/>
    <w:rsid w:val="798C9144"/>
    <w:rsid w:val="79A1838E"/>
    <w:rsid w:val="79B09B41"/>
    <w:rsid w:val="79CAED4D"/>
    <w:rsid w:val="79D3B2FC"/>
    <w:rsid w:val="79DA6910"/>
    <w:rsid w:val="79E67A7D"/>
    <w:rsid w:val="79EC69B2"/>
    <w:rsid w:val="79F703AD"/>
    <w:rsid w:val="7A156FD8"/>
    <w:rsid w:val="7A18BD0D"/>
    <w:rsid w:val="7A19FC80"/>
    <w:rsid w:val="7A24D696"/>
    <w:rsid w:val="7A4E2CAE"/>
    <w:rsid w:val="7A6617E3"/>
    <w:rsid w:val="7A6D8C2B"/>
    <w:rsid w:val="7AD56AEE"/>
    <w:rsid w:val="7AD57909"/>
    <w:rsid w:val="7AD62732"/>
    <w:rsid w:val="7ADA4917"/>
    <w:rsid w:val="7ADC03D8"/>
    <w:rsid w:val="7AEB13A0"/>
    <w:rsid w:val="7AEF3219"/>
    <w:rsid w:val="7B10ECAD"/>
    <w:rsid w:val="7B16DB43"/>
    <w:rsid w:val="7B3630CB"/>
    <w:rsid w:val="7B467CCD"/>
    <w:rsid w:val="7B607825"/>
    <w:rsid w:val="7B661157"/>
    <w:rsid w:val="7B76DD00"/>
    <w:rsid w:val="7B771550"/>
    <w:rsid w:val="7B790623"/>
    <w:rsid w:val="7BA51E8E"/>
    <w:rsid w:val="7BC1C614"/>
    <w:rsid w:val="7BCD5B88"/>
    <w:rsid w:val="7BD73996"/>
    <w:rsid w:val="7BDAC9E1"/>
    <w:rsid w:val="7BDC5634"/>
    <w:rsid w:val="7BF4CCFB"/>
    <w:rsid w:val="7C27D7B9"/>
    <w:rsid w:val="7C47EE41"/>
    <w:rsid w:val="7C5F5F31"/>
    <w:rsid w:val="7C70B575"/>
    <w:rsid w:val="7C9BEAFD"/>
    <w:rsid w:val="7CA52C96"/>
    <w:rsid w:val="7CBC58B7"/>
    <w:rsid w:val="7CCDFF2F"/>
    <w:rsid w:val="7CD6649C"/>
    <w:rsid w:val="7CDB4BFB"/>
    <w:rsid w:val="7CE76BD9"/>
    <w:rsid w:val="7CF3D160"/>
    <w:rsid w:val="7CFFB67E"/>
    <w:rsid w:val="7D0AEAB2"/>
    <w:rsid w:val="7D1ECF76"/>
    <w:rsid w:val="7D2BE29A"/>
    <w:rsid w:val="7D488B02"/>
    <w:rsid w:val="7D5A0230"/>
    <w:rsid w:val="7D5B7D00"/>
    <w:rsid w:val="7D689ABA"/>
    <w:rsid w:val="7D792446"/>
    <w:rsid w:val="7D8C181A"/>
    <w:rsid w:val="7DAE91FE"/>
    <w:rsid w:val="7E01A7AE"/>
    <w:rsid w:val="7E1DC20F"/>
    <w:rsid w:val="7E2618E3"/>
    <w:rsid w:val="7E2E6B10"/>
    <w:rsid w:val="7E32FE83"/>
    <w:rsid w:val="7E33BEA4"/>
    <w:rsid w:val="7E40B389"/>
    <w:rsid w:val="7E815879"/>
    <w:rsid w:val="7EAC0867"/>
    <w:rsid w:val="7EC661E6"/>
    <w:rsid w:val="7EC890A2"/>
    <w:rsid w:val="7ED15E7E"/>
    <w:rsid w:val="7ED3ED64"/>
    <w:rsid w:val="7EECDE54"/>
    <w:rsid w:val="7EFB3806"/>
    <w:rsid w:val="7F0EEC8D"/>
    <w:rsid w:val="7F2C0FFE"/>
    <w:rsid w:val="7F6F117D"/>
    <w:rsid w:val="7F8916D2"/>
    <w:rsid w:val="7F904809"/>
    <w:rsid w:val="7F94BA2A"/>
    <w:rsid w:val="7F9D0819"/>
    <w:rsid w:val="7FA846F7"/>
    <w:rsid w:val="7FB46F71"/>
    <w:rsid w:val="7FB4F269"/>
    <w:rsid w:val="7FBA7461"/>
    <w:rsid w:val="7FC16D63"/>
    <w:rsid w:val="7FC4E827"/>
    <w:rsid w:val="7FCECDF4"/>
    <w:rsid w:val="7FDDD2A0"/>
    <w:rsid w:val="7FE3691E"/>
    <w:rsid w:val="7FE8DC1D"/>
    <w:rsid w:val="7FED5F1E"/>
    <w:rsid w:val="7FEEF0DA"/>
    <w:rsid w:val="7FFB3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5FCE"/>
  <w15:chartTrackingRefBased/>
  <w15:docId w15:val="{D7C41355-CC62-4C22-887F-CB6140CF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F2"/>
    <w:rPr>
      <w:rFonts w:ascii="Calibri" w:eastAsia="Calibri" w:hAnsi="Calibri" w:cs="Times New Roman"/>
    </w:rPr>
  </w:style>
  <w:style w:type="paragraph" w:styleId="Heading1">
    <w:name w:val="heading 1"/>
    <w:basedOn w:val="Normal"/>
    <w:next w:val="Normal"/>
    <w:link w:val="Heading1Char"/>
    <w:uiPriority w:val="99"/>
    <w:qFormat/>
    <w:rsid w:val="003F11C3"/>
    <w:pPr>
      <w:keepNext/>
      <w:keepLines/>
      <w:numPr>
        <w:numId w:val="1"/>
      </w:numPr>
      <w:shd w:val="clear" w:color="auto" w:fill="FFFFFF" w:themeFill="background1"/>
      <w:spacing w:before="480" w:after="0"/>
      <w:outlineLvl w:val="0"/>
    </w:pPr>
    <w:rPr>
      <w:rFonts w:eastAsia="Times New Roman"/>
      <w:b/>
      <w:bCs/>
      <w:color w:val="1F497D"/>
      <w:sz w:val="36"/>
      <w:szCs w:val="28"/>
    </w:rPr>
  </w:style>
  <w:style w:type="paragraph" w:styleId="Heading2">
    <w:name w:val="heading 2"/>
    <w:basedOn w:val="Normal"/>
    <w:next w:val="Normal"/>
    <w:link w:val="Heading2Char"/>
    <w:uiPriority w:val="99"/>
    <w:qFormat/>
    <w:rsid w:val="00600F8E"/>
    <w:pPr>
      <w:keepNext/>
      <w:keepLines/>
      <w:numPr>
        <w:ilvl w:val="1"/>
        <w:numId w:val="1"/>
      </w:numPr>
      <w:spacing w:before="200" w:after="0"/>
      <w:outlineLvl w:val="1"/>
    </w:pPr>
    <w:rPr>
      <w:rFonts w:asciiTheme="minorHAnsi" w:eastAsia="Times New Roman" w:hAnsiTheme="minorHAnsi"/>
      <w:b/>
      <w:bCs/>
      <w:color w:val="1F497D"/>
      <w:sz w:val="28"/>
      <w:szCs w:val="26"/>
    </w:rPr>
  </w:style>
  <w:style w:type="paragraph" w:styleId="Heading3">
    <w:name w:val="heading 3"/>
    <w:basedOn w:val="Normal"/>
    <w:next w:val="Normal"/>
    <w:link w:val="Heading3Char"/>
    <w:uiPriority w:val="99"/>
    <w:qFormat/>
    <w:rsid w:val="00292B08"/>
    <w:pPr>
      <w:keepNext/>
      <w:keepLines/>
      <w:spacing w:before="200" w:after="0"/>
      <w:ind w:left="144" w:hanging="144"/>
      <w:outlineLvl w:val="2"/>
    </w:pPr>
    <w:rPr>
      <w:rFonts w:eastAsia="Times New Roman"/>
      <w:b/>
      <w:bCs/>
      <w:color w:val="1F497D"/>
      <w:sz w:val="24"/>
    </w:rPr>
  </w:style>
  <w:style w:type="paragraph" w:styleId="Heading4">
    <w:name w:val="heading 4"/>
    <w:basedOn w:val="Normal"/>
    <w:next w:val="Normal"/>
    <w:link w:val="Heading4Char"/>
    <w:uiPriority w:val="99"/>
    <w:qFormat/>
    <w:rsid w:val="002A2A25"/>
    <w:pPr>
      <w:keepNext/>
      <w:keepLines/>
      <w:numPr>
        <w:ilvl w:val="3"/>
        <w:numId w:val="1"/>
      </w:numPr>
      <w:spacing w:before="200" w:after="0"/>
      <w:outlineLvl w:val="3"/>
    </w:pPr>
    <w:rPr>
      <w:rFonts w:ascii="Cambria" w:eastAsia="Times New Roman" w:hAnsi="Cambria"/>
      <w:b/>
      <w:bCs/>
      <w:iCs/>
      <w:sz w:val="20"/>
      <w:u w:val="single"/>
    </w:rPr>
  </w:style>
  <w:style w:type="paragraph" w:styleId="Heading5">
    <w:name w:val="heading 5"/>
    <w:basedOn w:val="Normal"/>
    <w:next w:val="NormalIndent"/>
    <w:link w:val="Heading5Char"/>
    <w:uiPriority w:val="99"/>
    <w:qFormat/>
    <w:rsid w:val="002A2A25"/>
    <w:pPr>
      <w:keepNext/>
      <w:keepLines/>
      <w:numPr>
        <w:ilvl w:val="4"/>
        <w:numId w:val="1"/>
      </w:numPr>
      <w:spacing w:before="200" w:after="0"/>
      <w:outlineLvl w:val="4"/>
    </w:pPr>
    <w:rPr>
      <w:rFonts w:ascii="Cambria" w:eastAsia="Times New Roman" w:hAnsi="Cambria"/>
      <w:color w:val="243F60"/>
    </w:rPr>
  </w:style>
  <w:style w:type="paragraph" w:styleId="Heading7">
    <w:name w:val="heading 7"/>
    <w:basedOn w:val="Normal"/>
    <w:next w:val="Normal"/>
    <w:link w:val="Heading7Char"/>
    <w:unhideWhenUsed/>
    <w:qFormat/>
    <w:rsid w:val="002A2A2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A2A2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A2A2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11C3"/>
    <w:rPr>
      <w:rFonts w:ascii="Calibri" w:eastAsia="Times New Roman" w:hAnsi="Calibri" w:cs="Times New Roman"/>
      <w:b/>
      <w:bCs/>
      <w:color w:val="1F497D"/>
      <w:sz w:val="36"/>
      <w:szCs w:val="28"/>
      <w:shd w:val="clear" w:color="auto" w:fill="FFFFFF" w:themeFill="background1"/>
    </w:rPr>
  </w:style>
  <w:style w:type="character" w:customStyle="1" w:styleId="Heading2Char">
    <w:name w:val="Heading 2 Char"/>
    <w:basedOn w:val="DefaultParagraphFont"/>
    <w:link w:val="Heading2"/>
    <w:uiPriority w:val="99"/>
    <w:rsid w:val="00600F8E"/>
    <w:rPr>
      <w:rFonts w:eastAsia="Times New Roman" w:cs="Times New Roman"/>
      <w:b/>
      <w:bCs/>
      <w:color w:val="1F497D"/>
      <w:sz w:val="28"/>
      <w:szCs w:val="26"/>
    </w:rPr>
  </w:style>
  <w:style w:type="character" w:customStyle="1" w:styleId="Heading3Char">
    <w:name w:val="Heading 3 Char"/>
    <w:basedOn w:val="DefaultParagraphFont"/>
    <w:link w:val="Heading3"/>
    <w:uiPriority w:val="99"/>
    <w:rsid w:val="00292B08"/>
    <w:rPr>
      <w:rFonts w:ascii="Calibri" w:eastAsia="Times New Roman" w:hAnsi="Calibri" w:cs="Times New Roman"/>
      <w:b/>
      <w:bCs/>
      <w:color w:val="1F497D"/>
      <w:sz w:val="24"/>
    </w:rPr>
  </w:style>
  <w:style w:type="character" w:customStyle="1" w:styleId="Heading4Char">
    <w:name w:val="Heading 4 Char"/>
    <w:basedOn w:val="DefaultParagraphFont"/>
    <w:link w:val="Heading4"/>
    <w:uiPriority w:val="99"/>
    <w:rsid w:val="002A2A25"/>
    <w:rPr>
      <w:rFonts w:ascii="Cambria" w:eastAsia="Times New Roman" w:hAnsi="Cambria" w:cs="Times New Roman"/>
      <w:b/>
      <w:bCs/>
      <w:iCs/>
      <w:sz w:val="20"/>
      <w:u w:val="single"/>
    </w:rPr>
  </w:style>
  <w:style w:type="character" w:customStyle="1" w:styleId="Heading5Char">
    <w:name w:val="Heading 5 Char"/>
    <w:basedOn w:val="DefaultParagraphFont"/>
    <w:link w:val="Heading5"/>
    <w:uiPriority w:val="99"/>
    <w:rsid w:val="002A2A25"/>
    <w:rPr>
      <w:rFonts w:ascii="Cambria" w:eastAsia="Times New Roman" w:hAnsi="Cambria" w:cs="Times New Roman"/>
      <w:color w:val="243F60"/>
    </w:rPr>
  </w:style>
  <w:style w:type="character" w:customStyle="1" w:styleId="Heading7Char">
    <w:name w:val="Heading 7 Char"/>
    <w:basedOn w:val="DefaultParagraphFont"/>
    <w:link w:val="Heading7"/>
    <w:rsid w:val="002A2A2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2A2A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2A2A25"/>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qFormat/>
    <w:rsid w:val="002A2A25"/>
    <w:pPr>
      <w:outlineLvl w:val="9"/>
    </w:pPr>
    <w:rPr>
      <w:lang w:eastAsia="ja-JP"/>
    </w:rPr>
  </w:style>
  <w:style w:type="paragraph" w:styleId="TOC1">
    <w:name w:val="toc 1"/>
    <w:basedOn w:val="Normal"/>
    <w:next w:val="Normal"/>
    <w:autoRedefine/>
    <w:uiPriority w:val="39"/>
    <w:rsid w:val="008E1E7A"/>
    <w:pPr>
      <w:tabs>
        <w:tab w:val="right" w:leader="dot" w:pos="9350"/>
      </w:tabs>
      <w:spacing w:after="100"/>
    </w:pPr>
  </w:style>
  <w:style w:type="paragraph" w:styleId="TOC2">
    <w:name w:val="toc 2"/>
    <w:basedOn w:val="Normal"/>
    <w:next w:val="Normal"/>
    <w:autoRedefine/>
    <w:uiPriority w:val="39"/>
    <w:rsid w:val="00DD74F9"/>
    <w:pPr>
      <w:tabs>
        <w:tab w:val="right" w:leader="dot" w:pos="9350"/>
      </w:tabs>
      <w:spacing w:after="100"/>
      <w:ind w:left="220"/>
    </w:pPr>
  </w:style>
  <w:style w:type="character" w:styleId="Hyperlink">
    <w:name w:val="Hyperlink"/>
    <w:uiPriority w:val="99"/>
    <w:rsid w:val="002A2A25"/>
    <w:rPr>
      <w:rFonts w:cs="Times New Roman"/>
      <w:color w:val="0000FF"/>
      <w:u w:val="single"/>
    </w:rPr>
  </w:style>
  <w:style w:type="paragraph" w:styleId="NormalIndent">
    <w:name w:val="Normal Indent"/>
    <w:basedOn w:val="Normal"/>
    <w:uiPriority w:val="99"/>
    <w:semiHidden/>
    <w:unhideWhenUsed/>
    <w:rsid w:val="002A2A25"/>
    <w:pPr>
      <w:ind w:left="720"/>
    </w:pPr>
  </w:style>
  <w:style w:type="character" w:styleId="CommentReference">
    <w:name w:val="annotation reference"/>
    <w:basedOn w:val="DefaultParagraphFont"/>
    <w:uiPriority w:val="99"/>
    <w:semiHidden/>
    <w:unhideWhenUsed/>
    <w:rsid w:val="00D93B9A"/>
    <w:rPr>
      <w:sz w:val="16"/>
      <w:szCs w:val="16"/>
    </w:rPr>
  </w:style>
  <w:style w:type="paragraph" w:styleId="CommentText">
    <w:name w:val="annotation text"/>
    <w:basedOn w:val="Normal"/>
    <w:link w:val="CommentTextChar"/>
    <w:uiPriority w:val="99"/>
    <w:unhideWhenUsed/>
    <w:rsid w:val="00D93B9A"/>
    <w:rPr>
      <w:sz w:val="20"/>
      <w:szCs w:val="20"/>
    </w:rPr>
  </w:style>
  <w:style w:type="character" w:customStyle="1" w:styleId="CommentTextChar">
    <w:name w:val="Comment Text Char"/>
    <w:basedOn w:val="DefaultParagraphFont"/>
    <w:link w:val="CommentText"/>
    <w:uiPriority w:val="99"/>
    <w:rsid w:val="00D93B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B9A"/>
    <w:rPr>
      <w:b/>
      <w:bCs/>
    </w:rPr>
  </w:style>
  <w:style w:type="character" w:customStyle="1" w:styleId="CommentSubjectChar">
    <w:name w:val="Comment Subject Char"/>
    <w:basedOn w:val="CommentTextChar"/>
    <w:link w:val="CommentSubject"/>
    <w:uiPriority w:val="99"/>
    <w:semiHidden/>
    <w:rsid w:val="00D93B9A"/>
    <w:rPr>
      <w:rFonts w:ascii="Calibri" w:eastAsia="Calibri" w:hAnsi="Calibri" w:cs="Times New Roman"/>
      <w:b/>
      <w:bCs/>
      <w:sz w:val="20"/>
      <w:szCs w:val="20"/>
    </w:rPr>
  </w:style>
  <w:style w:type="table" w:styleId="TableGrid">
    <w:name w:val="Table Grid"/>
    <w:basedOn w:val="TableNormal"/>
    <w:uiPriority w:val="39"/>
    <w:rsid w:val="00646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BF1E2F"/>
    <w:pPr>
      <w:spacing w:before="100" w:beforeAutospacing="1" w:after="100" w:afterAutospacing="1"/>
    </w:pPr>
    <w:rPr>
      <w:rFonts w:ascii="Times New Roman" w:eastAsia="Times New Roman" w:hAnsi="Times New Roman"/>
      <w:sz w:val="24"/>
      <w:szCs w:val="24"/>
    </w:rPr>
  </w:style>
  <w:style w:type="paragraph" w:styleId="FootnoteText">
    <w:name w:val="footnote text"/>
    <w:basedOn w:val="Normal"/>
    <w:link w:val="FootnoteTextChar"/>
    <w:uiPriority w:val="99"/>
    <w:rsid w:val="00BF1E2F"/>
    <w:pPr>
      <w:spacing w:after="0"/>
    </w:pPr>
    <w:rPr>
      <w:sz w:val="20"/>
      <w:szCs w:val="20"/>
    </w:rPr>
  </w:style>
  <w:style w:type="character" w:customStyle="1" w:styleId="FootnoteTextChar">
    <w:name w:val="Footnote Text Char"/>
    <w:basedOn w:val="DefaultParagraphFont"/>
    <w:link w:val="FootnoteText"/>
    <w:uiPriority w:val="99"/>
    <w:rsid w:val="00BF1E2F"/>
    <w:rPr>
      <w:rFonts w:ascii="Calibri" w:eastAsia="Calibri" w:hAnsi="Calibri" w:cs="Times New Roman"/>
      <w:sz w:val="20"/>
      <w:szCs w:val="20"/>
    </w:rPr>
  </w:style>
  <w:style w:type="character" w:styleId="FootnoteReference">
    <w:name w:val="footnote reference"/>
    <w:uiPriority w:val="99"/>
    <w:rsid w:val="00BF1E2F"/>
    <w:rPr>
      <w:rFonts w:cs="Times New Roman"/>
      <w:vertAlign w:val="superscript"/>
    </w:rPr>
  </w:style>
  <w:style w:type="paragraph" w:styleId="ListBullet2">
    <w:name w:val="List Bullet 2"/>
    <w:basedOn w:val="Normal"/>
    <w:uiPriority w:val="99"/>
    <w:rsid w:val="00BF1E2F"/>
    <w:pPr>
      <w:numPr>
        <w:numId w:val="2"/>
      </w:numPr>
      <w:contextualSpacing/>
    </w:pPr>
    <w:rPr>
      <w:sz w:val="20"/>
    </w:rPr>
  </w:style>
  <w:style w:type="paragraph" w:styleId="Caption">
    <w:name w:val="caption"/>
    <w:basedOn w:val="Normal"/>
    <w:next w:val="Normal"/>
    <w:uiPriority w:val="99"/>
    <w:qFormat/>
    <w:rsid w:val="00BF1E2F"/>
    <w:rPr>
      <w:b/>
      <w:bCs/>
      <w:color w:val="4F81BD"/>
      <w:sz w:val="24"/>
      <w:szCs w:val="18"/>
    </w:rPr>
  </w:style>
  <w:style w:type="paragraph" w:styleId="ListParagraph">
    <w:name w:val="List Paragraph"/>
    <w:aliases w:val="Alpha List Paragraph,List Paragraph1"/>
    <w:basedOn w:val="Normal"/>
    <w:link w:val="ListParagraphChar"/>
    <w:uiPriority w:val="34"/>
    <w:qFormat/>
    <w:rsid w:val="00BF1E2F"/>
    <w:pPr>
      <w:ind w:left="720"/>
      <w:contextualSpacing/>
    </w:pPr>
  </w:style>
  <w:style w:type="character" w:styleId="IntenseEmphasis">
    <w:name w:val="Intense Emphasis"/>
    <w:uiPriority w:val="21"/>
    <w:qFormat/>
    <w:rsid w:val="00BF1E2F"/>
    <w:rPr>
      <w:rFonts w:asciiTheme="minorHAnsi" w:hAnsiTheme="minorHAnsi"/>
      <w:b/>
      <w:bCs/>
      <w:i/>
      <w:iCs/>
      <w:color w:val="4F81BD"/>
    </w:rPr>
  </w:style>
  <w:style w:type="table" w:customStyle="1" w:styleId="TableGrid2">
    <w:name w:val="Table Grid2"/>
    <w:basedOn w:val="TableNormal"/>
    <w:next w:val="TableGrid"/>
    <w:uiPriority w:val="59"/>
    <w:rsid w:val="002C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C51"/>
    <w:pPr>
      <w:tabs>
        <w:tab w:val="center" w:pos="4680"/>
        <w:tab w:val="right" w:pos="9360"/>
      </w:tabs>
      <w:spacing w:after="0"/>
    </w:pPr>
  </w:style>
  <w:style w:type="character" w:customStyle="1" w:styleId="HeaderChar">
    <w:name w:val="Header Char"/>
    <w:basedOn w:val="DefaultParagraphFont"/>
    <w:link w:val="Header"/>
    <w:uiPriority w:val="99"/>
    <w:rsid w:val="00CA2C51"/>
    <w:rPr>
      <w:rFonts w:ascii="Calibri" w:eastAsia="Calibri" w:hAnsi="Calibri" w:cs="Times New Roman"/>
    </w:rPr>
  </w:style>
  <w:style w:type="paragraph" w:styleId="Footer">
    <w:name w:val="footer"/>
    <w:basedOn w:val="Normal"/>
    <w:link w:val="FooterChar"/>
    <w:uiPriority w:val="99"/>
    <w:unhideWhenUsed/>
    <w:rsid w:val="00CA2C51"/>
    <w:pPr>
      <w:tabs>
        <w:tab w:val="center" w:pos="4680"/>
        <w:tab w:val="right" w:pos="9360"/>
      </w:tabs>
      <w:spacing w:after="0"/>
    </w:pPr>
  </w:style>
  <w:style w:type="character" w:customStyle="1" w:styleId="FooterChar">
    <w:name w:val="Footer Char"/>
    <w:basedOn w:val="DefaultParagraphFont"/>
    <w:link w:val="Footer"/>
    <w:uiPriority w:val="99"/>
    <w:rsid w:val="00CA2C51"/>
    <w:rPr>
      <w:rFonts w:ascii="Calibri" w:eastAsia="Calibri" w:hAnsi="Calibri" w:cs="Times New Roman"/>
    </w:rPr>
  </w:style>
  <w:style w:type="character" w:styleId="Strong">
    <w:name w:val="Strong"/>
    <w:basedOn w:val="DefaultParagraphFont"/>
    <w:uiPriority w:val="22"/>
    <w:qFormat/>
    <w:rsid w:val="00C750AE"/>
    <w:rPr>
      <w:b/>
      <w:bCs/>
    </w:rPr>
  </w:style>
  <w:style w:type="paragraph" w:styleId="TOC3">
    <w:name w:val="toc 3"/>
    <w:basedOn w:val="Normal"/>
    <w:next w:val="Normal"/>
    <w:autoRedefine/>
    <w:uiPriority w:val="39"/>
    <w:unhideWhenUsed/>
    <w:rsid w:val="00142A4B"/>
    <w:pPr>
      <w:tabs>
        <w:tab w:val="right" w:leader="dot" w:pos="9350"/>
      </w:tabs>
      <w:spacing w:after="100"/>
      <w:ind w:left="440"/>
    </w:pPr>
  </w:style>
  <w:style w:type="character" w:customStyle="1" w:styleId="normaltextrun">
    <w:name w:val="normaltextrun"/>
    <w:basedOn w:val="DefaultParagraphFont"/>
    <w:rsid w:val="00940003"/>
  </w:style>
  <w:style w:type="character" w:customStyle="1" w:styleId="eop">
    <w:name w:val="eop"/>
    <w:basedOn w:val="DefaultParagraphFont"/>
    <w:rsid w:val="00940003"/>
  </w:style>
  <w:style w:type="paragraph" w:customStyle="1" w:styleId="paragraph">
    <w:name w:val="paragraph"/>
    <w:basedOn w:val="Normal"/>
    <w:rsid w:val="00940003"/>
    <w:pPr>
      <w:spacing w:before="100" w:beforeAutospacing="1" w:after="100" w:afterAutospacing="1"/>
    </w:pPr>
    <w:rPr>
      <w:rFonts w:ascii="Times New Roman" w:eastAsia="Times New Roman" w:hAnsi="Times New Roman"/>
      <w:sz w:val="24"/>
      <w:szCs w:val="24"/>
    </w:rPr>
  </w:style>
  <w:style w:type="character" w:customStyle="1" w:styleId="scxw42376151">
    <w:name w:val="scxw42376151"/>
    <w:basedOn w:val="DefaultParagraphFont"/>
    <w:rsid w:val="00AD5AB0"/>
  </w:style>
  <w:style w:type="character" w:customStyle="1" w:styleId="findhit">
    <w:name w:val="findhit"/>
    <w:basedOn w:val="DefaultParagraphFont"/>
    <w:rsid w:val="00AD5AB0"/>
  </w:style>
  <w:style w:type="paragraph" w:styleId="Revision">
    <w:name w:val="Revision"/>
    <w:hidden/>
    <w:uiPriority w:val="99"/>
    <w:semiHidden/>
    <w:rsid w:val="002E17F4"/>
    <w:pPr>
      <w:spacing w:after="0"/>
    </w:pPr>
    <w:rPr>
      <w:rFonts w:ascii="Calibri" w:eastAsia="Calibri" w:hAnsi="Calibri" w:cs="Times New Roman"/>
    </w:rPr>
  </w:style>
  <w:style w:type="paragraph" w:styleId="Subtitle">
    <w:name w:val="Subtitle"/>
    <w:basedOn w:val="Normal"/>
    <w:next w:val="Normal"/>
    <w:link w:val="SubtitleChar"/>
    <w:uiPriority w:val="11"/>
    <w:qFormat/>
    <w:rsid w:val="008E2C9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E2C9A"/>
    <w:rPr>
      <w:rFonts w:eastAsiaTheme="minorEastAsia"/>
      <w:color w:val="5A5A5A" w:themeColor="text1" w:themeTint="A5"/>
      <w:spacing w:val="15"/>
    </w:rPr>
  </w:style>
  <w:style w:type="paragraph" w:styleId="Quote">
    <w:name w:val="Quote"/>
    <w:basedOn w:val="Normal"/>
    <w:next w:val="Normal"/>
    <w:link w:val="QuoteChar"/>
    <w:uiPriority w:val="29"/>
    <w:qFormat/>
    <w:rsid w:val="005C23A0"/>
    <w:pPr>
      <w:spacing w:before="200" w:after="160" w:line="259" w:lineRule="auto"/>
      <w:ind w:left="864" w:right="864"/>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5C23A0"/>
    <w:rPr>
      <w:i/>
      <w:iCs/>
      <w:color w:val="404040" w:themeColor="text1" w:themeTint="BF"/>
      <w:sz w:val="24"/>
    </w:rPr>
  </w:style>
  <w:style w:type="character" w:customStyle="1" w:styleId="spellingerror">
    <w:name w:val="spellingerror"/>
    <w:basedOn w:val="DefaultParagraphFont"/>
    <w:rsid w:val="00AE7ACB"/>
  </w:style>
  <w:style w:type="character" w:customStyle="1" w:styleId="contextualspellingandgrammarerror">
    <w:name w:val="contextualspellingandgrammarerror"/>
    <w:basedOn w:val="DefaultParagraphFont"/>
    <w:rsid w:val="00F00BC0"/>
  </w:style>
  <w:style w:type="character" w:customStyle="1" w:styleId="font361">
    <w:name w:val="font361"/>
    <w:basedOn w:val="DefaultParagraphFont"/>
    <w:rsid w:val="007B199C"/>
    <w:rPr>
      <w:rFonts w:ascii="Calibri" w:hAnsi="Calibri" w:cs="Calibri" w:hint="default"/>
      <w:b/>
      <w:bCs/>
      <w:i w:val="0"/>
      <w:iCs w:val="0"/>
      <w:strike w:val="0"/>
      <w:dstrike w:val="0"/>
      <w:color w:val="FF0000"/>
      <w:sz w:val="22"/>
      <w:szCs w:val="22"/>
      <w:u w:val="none"/>
      <w:effect w:val="none"/>
    </w:rPr>
  </w:style>
  <w:style w:type="table" w:customStyle="1" w:styleId="GridTable6Colorful1">
    <w:name w:val="Grid Table 6 Colorful1"/>
    <w:basedOn w:val="TableNormal"/>
    <w:uiPriority w:val="51"/>
    <w:rsid w:val="00A458D5"/>
    <w:pPr>
      <w:spacing w:after="0"/>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SubtleEmphasis">
    <w:name w:val="Subtle Emphasis"/>
    <w:basedOn w:val="DefaultParagraphFont"/>
    <w:uiPriority w:val="19"/>
    <w:qFormat/>
    <w:rsid w:val="009069AE"/>
    <w:rPr>
      <w:b/>
      <w:i/>
      <w:iCs/>
      <w:color w:val="1F497D"/>
    </w:rPr>
  </w:style>
  <w:style w:type="character" w:styleId="IntenseReference">
    <w:name w:val="Intense Reference"/>
    <w:basedOn w:val="DefaultParagraphFont"/>
    <w:uiPriority w:val="32"/>
    <w:qFormat/>
    <w:rsid w:val="00F902C4"/>
    <w:rPr>
      <w:b/>
      <w:bCs/>
      <w:smallCaps/>
      <w:color w:val="4472C4" w:themeColor="accent1"/>
      <w:spacing w:val="5"/>
    </w:rPr>
  </w:style>
  <w:style w:type="character" w:styleId="Emphasis">
    <w:name w:val="Emphasis"/>
    <w:basedOn w:val="DefaultParagraphFont"/>
    <w:uiPriority w:val="20"/>
    <w:qFormat/>
    <w:rsid w:val="00F902C4"/>
    <w:rPr>
      <w:i/>
      <w:iCs/>
    </w:rPr>
  </w:style>
  <w:style w:type="table" w:customStyle="1" w:styleId="TableGrid1">
    <w:name w:val="Table Grid1"/>
    <w:basedOn w:val="TableNormal"/>
    <w:next w:val="TableGrid"/>
    <w:uiPriority w:val="39"/>
    <w:rsid w:val="00FA3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B7191"/>
    <w:pPr>
      <w:spacing w:after="0"/>
    </w:pPr>
    <w:rPr>
      <w:rFonts w:ascii="Calibri" w:eastAsia="Calibri" w:hAnsi="Calibri"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C05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86"/>
    <w:rPr>
      <w:rFonts w:ascii="Segoe UI" w:eastAsia="Calibri" w:hAnsi="Segoe UI" w:cs="Segoe UI"/>
      <w:sz w:val="18"/>
      <w:szCs w:val="18"/>
    </w:rPr>
  </w:style>
  <w:style w:type="character" w:customStyle="1" w:styleId="ListParagraphChar">
    <w:name w:val="List Paragraph Char"/>
    <w:aliases w:val="Alpha List Paragraph Char,List Paragraph1 Char"/>
    <w:link w:val="ListParagraph"/>
    <w:uiPriority w:val="34"/>
    <w:locked/>
    <w:rsid w:val="006E3E34"/>
    <w:rPr>
      <w:rFonts w:ascii="Calibri" w:eastAsia="Calibri" w:hAnsi="Calibri" w:cs="Times New Roman"/>
    </w:rPr>
  </w:style>
  <w:style w:type="paragraph" w:customStyle="1" w:styleId="ListBullet1">
    <w:name w:val="List Bullet 1"/>
    <w:basedOn w:val="ListBullet4"/>
    <w:uiPriority w:val="99"/>
    <w:rsid w:val="000235E9"/>
    <w:pPr>
      <w:numPr>
        <w:numId w:val="8"/>
      </w:numPr>
      <w:tabs>
        <w:tab w:val="num" w:pos="360"/>
      </w:tabs>
      <w:spacing w:after="0" w:line="240" w:lineRule="auto"/>
    </w:pPr>
    <w:rPr>
      <w:rFonts w:ascii="Calibri" w:eastAsia="Calibri" w:hAnsi="Calibri" w:cs="Calibri"/>
      <w:color w:val="000000"/>
      <w:sz w:val="20"/>
      <w:szCs w:val="20"/>
    </w:rPr>
  </w:style>
  <w:style w:type="paragraph" w:styleId="ListBullet4">
    <w:name w:val="List Bullet 4"/>
    <w:basedOn w:val="Normal"/>
    <w:uiPriority w:val="99"/>
    <w:semiHidden/>
    <w:unhideWhenUsed/>
    <w:rsid w:val="000235E9"/>
    <w:pPr>
      <w:numPr>
        <w:numId w:val="7"/>
      </w:numPr>
      <w:spacing w:after="160" w:line="259" w:lineRule="auto"/>
      <w:contextualSpacing/>
    </w:pPr>
    <w:rPr>
      <w:rFonts w:asciiTheme="minorHAnsi" w:eastAsiaTheme="minorHAnsi" w:hAnsiTheme="minorHAnsi" w:cstheme="minorBidi"/>
    </w:rPr>
  </w:style>
  <w:style w:type="table" w:styleId="GridTable5Dark-Accent5">
    <w:name w:val="Grid Table 5 Dark Accent 5"/>
    <w:basedOn w:val="TableNormal"/>
    <w:uiPriority w:val="50"/>
    <w:rsid w:val="0080275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802755"/>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1">
    <w:name w:val="Grid Table 7 Colorful Accent 1"/>
    <w:basedOn w:val="TableNormal"/>
    <w:uiPriority w:val="52"/>
    <w:rsid w:val="008059B7"/>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8059B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basedOn w:val="DefaultParagraphFont"/>
    <w:uiPriority w:val="99"/>
    <w:semiHidden/>
    <w:unhideWhenUsed/>
    <w:rsid w:val="00916F7C"/>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F809BD"/>
    <w:pPr>
      <w:autoSpaceDE w:val="0"/>
      <w:autoSpaceDN w:val="0"/>
      <w:adjustRightInd w:val="0"/>
      <w:spacing w:after="0"/>
    </w:pPr>
    <w:rPr>
      <w:rFonts w:ascii="Arial" w:hAnsi="Arial" w:cs="Arial"/>
      <w:color w:val="000000"/>
      <w:sz w:val="24"/>
      <w:szCs w:val="24"/>
    </w:rPr>
  </w:style>
  <w:style w:type="paragraph" w:customStyle="1" w:styleId="xmsolistparagraph">
    <w:name w:val="x_msolistparagraph"/>
    <w:basedOn w:val="Normal"/>
    <w:rsid w:val="0083006D"/>
    <w:pPr>
      <w:spacing w:before="100" w:beforeAutospacing="1" w:after="100" w:afterAutospacing="1"/>
    </w:pPr>
    <w:rPr>
      <w:rFonts w:eastAsiaTheme="minorHAnsi" w:cs="Calibri"/>
    </w:rPr>
  </w:style>
  <w:style w:type="character" w:styleId="UnresolvedMention">
    <w:name w:val="Unresolved Mention"/>
    <w:basedOn w:val="DefaultParagraphFont"/>
    <w:uiPriority w:val="99"/>
    <w:unhideWhenUsed/>
    <w:rsid w:val="00D8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4805">
      <w:bodyDiv w:val="1"/>
      <w:marLeft w:val="0"/>
      <w:marRight w:val="0"/>
      <w:marTop w:val="0"/>
      <w:marBottom w:val="0"/>
      <w:divBdr>
        <w:top w:val="none" w:sz="0" w:space="0" w:color="auto"/>
        <w:left w:val="none" w:sz="0" w:space="0" w:color="auto"/>
        <w:bottom w:val="none" w:sz="0" w:space="0" w:color="auto"/>
        <w:right w:val="none" w:sz="0" w:space="0" w:color="auto"/>
      </w:divBdr>
      <w:divsChild>
        <w:div w:id="54790250">
          <w:marLeft w:val="1440"/>
          <w:marRight w:val="0"/>
          <w:marTop w:val="0"/>
          <w:marBottom w:val="0"/>
          <w:divBdr>
            <w:top w:val="none" w:sz="0" w:space="0" w:color="auto"/>
            <w:left w:val="none" w:sz="0" w:space="0" w:color="auto"/>
            <w:bottom w:val="none" w:sz="0" w:space="0" w:color="auto"/>
            <w:right w:val="none" w:sz="0" w:space="0" w:color="auto"/>
          </w:divBdr>
        </w:div>
        <w:div w:id="157965255">
          <w:marLeft w:val="1354"/>
          <w:marRight w:val="0"/>
          <w:marTop w:val="0"/>
          <w:marBottom w:val="0"/>
          <w:divBdr>
            <w:top w:val="none" w:sz="0" w:space="0" w:color="auto"/>
            <w:left w:val="none" w:sz="0" w:space="0" w:color="auto"/>
            <w:bottom w:val="none" w:sz="0" w:space="0" w:color="auto"/>
            <w:right w:val="none" w:sz="0" w:space="0" w:color="auto"/>
          </w:divBdr>
        </w:div>
        <w:div w:id="239995018">
          <w:marLeft w:val="1354"/>
          <w:marRight w:val="0"/>
          <w:marTop w:val="0"/>
          <w:marBottom w:val="0"/>
          <w:divBdr>
            <w:top w:val="none" w:sz="0" w:space="0" w:color="auto"/>
            <w:left w:val="none" w:sz="0" w:space="0" w:color="auto"/>
            <w:bottom w:val="none" w:sz="0" w:space="0" w:color="auto"/>
            <w:right w:val="none" w:sz="0" w:space="0" w:color="auto"/>
          </w:divBdr>
        </w:div>
        <w:div w:id="400636677">
          <w:marLeft w:val="1440"/>
          <w:marRight w:val="0"/>
          <w:marTop w:val="0"/>
          <w:marBottom w:val="0"/>
          <w:divBdr>
            <w:top w:val="none" w:sz="0" w:space="0" w:color="auto"/>
            <w:left w:val="none" w:sz="0" w:space="0" w:color="auto"/>
            <w:bottom w:val="none" w:sz="0" w:space="0" w:color="auto"/>
            <w:right w:val="none" w:sz="0" w:space="0" w:color="auto"/>
          </w:divBdr>
        </w:div>
        <w:div w:id="727847312">
          <w:marLeft w:val="1354"/>
          <w:marRight w:val="0"/>
          <w:marTop w:val="0"/>
          <w:marBottom w:val="0"/>
          <w:divBdr>
            <w:top w:val="none" w:sz="0" w:space="0" w:color="auto"/>
            <w:left w:val="none" w:sz="0" w:space="0" w:color="auto"/>
            <w:bottom w:val="none" w:sz="0" w:space="0" w:color="auto"/>
            <w:right w:val="none" w:sz="0" w:space="0" w:color="auto"/>
          </w:divBdr>
        </w:div>
        <w:div w:id="773791362">
          <w:marLeft w:val="1440"/>
          <w:marRight w:val="0"/>
          <w:marTop w:val="0"/>
          <w:marBottom w:val="0"/>
          <w:divBdr>
            <w:top w:val="none" w:sz="0" w:space="0" w:color="auto"/>
            <w:left w:val="none" w:sz="0" w:space="0" w:color="auto"/>
            <w:bottom w:val="none" w:sz="0" w:space="0" w:color="auto"/>
            <w:right w:val="none" w:sz="0" w:space="0" w:color="auto"/>
          </w:divBdr>
        </w:div>
        <w:div w:id="1165903085">
          <w:marLeft w:val="1440"/>
          <w:marRight w:val="0"/>
          <w:marTop w:val="0"/>
          <w:marBottom w:val="0"/>
          <w:divBdr>
            <w:top w:val="none" w:sz="0" w:space="0" w:color="auto"/>
            <w:left w:val="none" w:sz="0" w:space="0" w:color="auto"/>
            <w:bottom w:val="none" w:sz="0" w:space="0" w:color="auto"/>
            <w:right w:val="none" w:sz="0" w:space="0" w:color="auto"/>
          </w:divBdr>
        </w:div>
        <w:div w:id="1259174137">
          <w:marLeft w:val="1354"/>
          <w:marRight w:val="0"/>
          <w:marTop w:val="0"/>
          <w:marBottom w:val="0"/>
          <w:divBdr>
            <w:top w:val="none" w:sz="0" w:space="0" w:color="auto"/>
            <w:left w:val="none" w:sz="0" w:space="0" w:color="auto"/>
            <w:bottom w:val="none" w:sz="0" w:space="0" w:color="auto"/>
            <w:right w:val="none" w:sz="0" w:space="0" w:color="auto"/>
          </w:divBdr>
        </w:div>
        <w:div w:id="1511677892">
          <w:marLeft w:val="1354"/>
          <w:marRight w:val="0"/>
          <w:marTop w:val="0"/>
          <w:marBottom w:val="0"/>
          <w:divBdr>
            <w:top w:val="none" w:sz="0" w:space="0" w:color="auto"/>
            <w:left w:val="none" w:sz="0" w:space="0" w:color="auto"/>
            <w:bottom w:val="none" w:sz="0" w:space="0" w:color="auto"/>
            <w:right w:val="none" w:sz="0" w:space="0" w:color="auto"/>
          </w:divBdr>
        </w:div>
        <w:div w:id="1704670035">
          <w:marLeft w:val="1440"/>
          <w:marRight w:val="0"/>
          <w:marTop w:val="0"/>
          <w:marBottom w:val="0"/>
          <w:divBdr>
            <w:top w:val="none" w:sz="0" w:space="0" w:color="auto"/>
            <w:left w:val="none" w:sz="0" w:space="0" w:color="auto"/>
            <w:bottom w:val="none" w:sz="0" w:space="0" w:color="auto"/>
            <w:right w:val="none" w:sz="0" w:space="0" w:color="auto"/>
          </w:divBdr>
        </w:div>
      </w:divsChild>
    </w:div>
    <w:div w:id="45958791">
      <w:bodyDiv w:val="1"/>
      <w:marLeft w:val="0"/>
      <w:marRight w:val="0"/>
      <w:marTop w:val="0"/>
      <w:marBottom w:val="0"/>
      <w:divBdr>
        <w:top w:val="none" w:sz="0" w:space="0" w:color="auto"/>
        <w:left w:val="none" w:sz="0" w:space="0" w:color="auto"/>
        <w:bottom w:val="none" w:sz="0" w:space="0" w:color="auto"/>
        <w:right w:val="none" w:sz="0" w:space="0" w:color="auto"/>
      </w:divBdr>
    </w:div>
    <w:div w:id="52966414">
      <w:bodyDiv w:val="1"/>
      <w:marLeft w:val="0"/>
      <w:marRight w:val="0"/>
      <w:marTop w:val="0"/>
      <w:marBottom w:val="0"/>
      <w:divBdr>
        <w:top w:val="none" w:sz="0" w:space="0" w:color="auto"/>
        <w:left w:val="none" w:sz="0" w:space="0" w:color="auto"/>
        <w:bottom w:val="none" w:sz="0" w:space="0" w:color="auto"/>
        <w:right w:val="none" w:sz="0" w:space="0" w:color="auto"/>
      </w:divBdr>
    </w:div>
    <w:div w:id="59906478">
      <w:bodyDiv w:val="1"/>
      <w:marLeft w:val="0"/>
      <w:marRight w:val="0"/>
      <w:marTop w:val="0"/>
      <w:marBottom w:val="0"/>
      <w:divBdr>
        <w:top w:val="none" w:sz="0" w:space="0" w:color="auto"/>
        <w:left w:val="none" w:sz="0" w:space="0" w:color="auto"/>
        <w:bottom w:val="none" w:sz="0" w:space="0" w:color="auto"/>
        <w:right w:val="none" w:sz="0" w:space="0" w:color="auto"/>
      </w:divBdr>
    </w:div>
    <w:div w:id="66072548">
      <w:bodyDiv w:val="1"/>
      <w:marLeft w:val="0"/>
      <w:marRight w:val="0"/>
      <w:marTop w:val="0"/>
      <w:marBottom w:val="0"/>
      <w:divBdr>
        <w:top w:val="none" w:sz="0" w:space="0" w:color="auto"/>
        <w:left w:val="none" w:sz="0" w:space="0" w:color="auto"/>
        <w:bottom w:val="none" w:sz="0" w:space="0" w:color="auto"/>
        <w:right w:val="none" w:sz="0" w:space="0" w:color="auto"/>
      </w:divBdr>
    </w:div>
    <w:div w:id="86538880">
      <w:bodyDiv w:val="1"/>
      <w:marLeft w:val="0"/>
      <w:marRight w:val="0"/>
      <w:marTop w:val="0"/>
      <w:marBottom w:val="0"/>
      <w:divBdr>
        <w:top w:val="none" w:sz="0" w:space="0" w:color="auto"/>
        <w:left w:val="none" w:sz="0" w:space="0" w:color="auto"/>
        <w:bottom w:val="none" w:sz="0" w:space="0" w:color="auto"/>
        <w:right w:val="none" w:sz="0" w:space="0" w:color="auto"/>
      </w:divBdr>
      <w:divsChild>
        <w:div w:id="38358643">
          <w:marLeft w:val="0"/>
          <w:marRight w:val="0"/>
          <w:marTop w:val="0"/>
          <w:marBottom w:val="0"/>
          <w:divBdr>
            <w:top w:val="none" w:sz="0" w:space="0" w:color="auto"/>
            <w:left w:val="none" w:sz="0" w:space="0" w:color="auto"/>
            <w:bottom w:val="none" w:sz="0" w:space="0" w:color="auto"/>
            <w:right w:val="none" w:sz="0" w:space="0" w:color="auto"/>
          </w:divBdr>
          <w:divsChild>
            <w:div w:id="2125422452">
              <w:marLeft w:val="0"/>
              <w:marRight w:val="0"/>
              <w:marTop w:val="0"/>
              <w:marBottom w:val="0"/>
              <w:divBdr>
                <w:top w:val="none" w:sz="0" w:space="0" w:color="auto"/>
                <w:left w:val="none" w:sz="0" w:space="0" w:color="auto"/>
                <w:bottom w:val="none" w:sz="0" w:space="0" w:color="auto"/>
                <w:right w:val="none" w:sz="0" w:space="0" w:color="auto"/>
              </w:divBdr>
            </w:div>
          </w:divsChild>
        </w:div>
        <w:div w:id="127826008">
          <w:marLeft w:val="0"/>
          <w:marRight w:val="0"/>
          <w:marTop w:val="0"/>
          <w:marBottom w:val="0"/>
          <w:divBdr>
            <w:top w:val="none" w:sz="0" w:space="0" w:color="auto"/>
            <w:left w:val="none" w:sz="0" w:space="0" w:color="auto"/>
            <w:bottom w:val="none" w:sz="0" w:space="0" w:color="auto"/>
            <w:right w:val="none" w:sz="0" w:space="0" w:color="auto"/>
          </w:divBdr>
          <w:divsChild>
            <w:div w:id="1199398088">
              <w:marLeft w:val="0"/>
              <w:marRight w:val="0"/>
              <w:marTop w:val="0"/>
              <w:marBottom w:val="0"/>
              <w:divBdr>
                <w:top w:val="none" w:sz="0" w:space="0" w:color="auto"/>
                <w:left w:val="none" w:sz="0" w:space="0" w:color="auto"/>
                <w:bottom w:val="none" w:sz="0" w:space="0" w:color="auto"/>
                <w:right w:val="none" w:sz="0" w:space="0" w:color="auto"/>
              </w:divBdr>
            </w:div>
            <w:div w:id="1801459516">
              <w:marLeft w:val="0"/>
              <w:marRight w:val="0"/>
              <w:marTop w:val="0"/>
              <w:marBottom w:val="0"/>
              <w:divBdr>
                <w:top w:val="none" w:sz="0" w:space="0" w:color="auto"/>
                <w:left w:val="none" w:sz="0" w:space="0" w:color="auto"/>
                <w:bottom w:val="none" w:sz="0" w:space="0" w:color="auto"/>
                <w:right w:val="none" w:sz="0" w:space="0" w:color="auto"/>
              </w:divBdr>
            </w:div>
            <w:div w:id="1966735779">
              <w:marLeft w:val="0"/>
              <w:marRight w:val="0"/>
              <w:marTop w:val="0"/>
              <w:marBottom w:val="0"/>
              <w:divBdr>
                <w:top w:val="none" w:sz="0" w:space="0" w:color="auto"/>
                <w:left w:val="none" w:sz="0" w:space="0" w:color="auto"/>
                <w:bottom w:val="none" w:sz="0" w:space="0" w:color="auto"/>
                <w:right w:val="none" w:sz="0" w:space="0" w:color="auto"/>
              </w:divBdr>
            </w:div>
          </w:divsChild>
        </w:div>
        <w:div w:id="136073680">
          <w:marLeft w:val="0"/>
          <w:marRight w:val="0"/>
          <w:marTop w:val="0"/>
          <w:marBottom w:val="0"/>
          <w:divBdr>
            <w:top w:val="none" w:sz="0" w:space="0" w:color="auto"/>
            <w:left w:val="none" w:sz="0" w:space="0" w:color="auto"/>
            <w:bottom w:val="none" w:sz="0" w:space="0" w:color="auto"/>
            <w:right w:val="none" w:sz="0" w:space="0" w:color="auto"/>
          </w:divBdr>
          <w:divsChild>
            <w:div w:id="1182428533">
              <w:marLeft w:val="0"/>
              <w:marRight w:val="0"/>
              <w:marTop w:val="0"/>
              <w:marBottom w:val="0"/>
              <w:divBdr>
                <w:top w:val="none" w:sz="0" w:space="0" w:color="auto"/>
                <w:left w:val="none" w:sz="0" w:space="0" w:color="auto"/>
                <w:bottom w:val="none" w:sz="0" w:space="0" w:color="auto"/>
                <w:right w:val="none" w:sz="0" w:space="0" w:color="auto"/>
              </w:divBdr>
            </w:div>
            <w:div w:id="1563523514">
              <w:marLeft w:val="0"/>
              <w:marRight w:val="0"/>
              <w:marTop w:val="0"/>
              <w:marBottom w:val="0"/>
              <w:divBdr>
                <w:top w:val="none" w:sz="0" w:space="0" w:color="auto"/>
                <w:left w:val="none" w:sz="0" w:space="0" w:color="auto"/>
                <w:bottom w:val="none" w:sz="0" w:space="0" w:color="auto"/>
                <w:right w:val="none" w:sz="0" w:space="0" w:color="auto"/>
              </w:divBdr>
            </w:div>
          </w:divsChild>
        </w:div>
        <w:div w:id="246421766">
          <w:marLeft w:val="0"/>
          <w:marRight w:val="0"/>
          <w:marTop w:val="0"/>
          <w:marBottom w:val="0"/>
          <w:divBdr>
            <w:top w:val="none" w:sz="0" w:space="0" w:color="auto"/>
            <w:left w:val="none" w:sz="0" w:space="0" w:color="auto"/>
            <w:bottom w:val="none" w:sz="0" w:space="0" w:color="auto"/>
            <w:right w:val="none" w:sz="0" w:space="0" w:color="auto"/>
          </w:divBdr>
          <w:divsChild>
            <w:div w:id="599607245">
              <w:marLeft w:val="0"/>
              <w:marRight w:val="0"/>
              <w:marTop w:val="0"/>
              <w:marBottom w:val="0"/>
              <w:divBdr>
                <w:top w:val="none" w:sz="0" w:space="0" w:color="auto"/>
                <w:left w:val="none" w:sz="0" w:space="0" w:color="auto"/>
                <w:bottom w:val="none" w:sz="0" w:space="0" w:color="auto"/>
                <w:right w:val="none" w:sz="0" w:space="0" w:color="auto"/>
              </w:divBdr>
            </w:div>
            <w:div w:id="700974805">
              <w:marLeft w:val="0"/>
              <w:marRight w:val="0"/>
              <w:marTop w:val="0"/>
              <w:marBottom w:val="0"/>
              <w:divBdr>
                <w:top w:val="none" w:sz="0" w:space="0" w:color="auto"/>
                <w:left w:val="none" w:sz="0" w:space="0" w:color="auto"/>
                <w:bottom w:val="none" w:sz="0" w:space="0" w:color="auto"/>
                <w:right w:val="none" w:sz="0" w:space="0" w:color="auto"/>
              </w:divBdr>
            </w:div>
            <w:div w:id="964385481">
              <w:marLeft w:val="0"/>
              <w:marRight w:val="0"/>
              <w:marTop w:val="0"/>
              <w:marBottom w:val="0"/>
              <w:divBdr>
                <w:top w:val="none" w:sz="0" w:space="0" w:color="auto"/>
                <w:left w:val="none" w:sz="0" w:space="0" w:color="auto"/>
                <w:bottom w:val="none" w:sz="0" w:space="0" w:color="auto"/>
                <w:right w:val="none" w:sz="0" w:space="0" w:color="auto"/>
              </w:divBdr>
            </w:div>
            <w:div w:id="1775636178">
              <w:marLeft w:val="0"/>
              <w:marRight w:val="0"/>
              <w:marTop w:val="0"/>
              <w:marBottom w:val="0"/>
              <w:divBdr>
                <w:top w:val="none" w:sz="0" w:space="0" w:color="auto"/>
                <w:left w:val="none" w:sz="0" w:space="0" w:color="auto"/>
                <w:bottom w:val="none" w:sz="0" w:space="0" w:color="auto"/>
                <w:right w:val="none" w:sz="0" w:space="0" w:color="auto"/>
              </w:divBdr>
            </w:div>
          </w:divsChild>
        </w:div>
        <w:div w:id="353656871">
          <w:marLeft w:val="0"/>
          <w:marRight w:val="0"/>
          <w:marTop w:val="0"/>
          <w:marBottom w:val="0"/>
          <w:divBdr>
            <w:top w:val="none" w:sz="0" w:space="0" w:color="auto"/>
            <w:left w:val="none" w:sz="0" w:space="0" w:color="auto"/>
            <w:bottom w:val="none" w:sz="0" w:space="0" w:color="auto"/>
            <w:right w:val="none" w:sz="0" w:space="0" w:color="auto"/>
          </w:divBdr>
          <w:divsChild>
            <w:div w:id="1287346838">
              <w:marLeft w:val="0"/>
              <w:marRight w:val="0"/>
              <w:marTop w:val="0"/>
              <w:marBottom w:val="0"/>
              <w:divBdr>
                <w:top w:val="none" w:sz="0" w:space="0" w:color="auto"/>
                <w:left w:val="none" w:sz="0" w:space="0" w:color="auto"/>
                <w:bottom w:val="none" w:sz="0" w:space="0" w:color="auto"/>
                <w:right w:val="none" w:sz="0" w:space="0" w:color="auto"/>
              </w:divBdr>
            </w:div>
            <w:div w:id="1436095897">
              <w:marLeft w:val="0"/>
              <w:marRight w:val="0"/>
              <w:marTop w:val="0"/>
              <w:marBottom w:val="0"/>
              <w:divBdr>
                <w:top w:val="none" w:sz="0" w:space="0" w:color="auto"/>
                <w:left w:val="none" w:sz="0" w:space="0" w:color="auto"/>
                <w:bottom w:val="none" w:sz="0" w:space="0" w:color="auto"/>
                <w:right w:val="none" w:sz="0" w:space="0" w:color="auto"/>
              </w:divBdr>
            </w:div>
            <w:div w:id="1624340594">
              <w:marLeft w:val="0"/>
              <w:marRight w:val="0"/>
              <w:marTop w:val="0"/>
              <w:marBottom w:val="0"/>
              <w:divBdr>
                <w:top w:val="none" w:sz="0" w:space="0" w:color="auto"/>
                <w:left w:val="none" w:sz="0" w:space="0" w:color="auto"/>
                <w:bottom w:val="none" w:sz="0" w:space="0" w:color="auto"/>
                <w:right w:val="none" w:sz="0" w:space="0" w:color="auto"/>
              </w:divBdr>
            </w:div>
          </w:divsChild>
        </w:div>
        <w:div w:id="449787539">
          <w:marLeft w:val="0"/>
          <w:marRight w:val="0"/>
          <w:marTop w:val="0"/>
          <w:marBottom w:val="0"/>
          <w:divBdr>
            <w:top w:val="none" w:sz="0" w:space="0" w:color="auto"/>
            <w:left w:val="none" w:sz="0" w:space="0" w:color="auto"/>
            <w:bottom w:val="none" w:sz="0" w:space="0" w:color="auto"/>
            <w:right w:val="none" w:sz="0" w:space="0" w:color="auto"/>
          </w:divBdr>
          <w:divsChild>
            <w:div w:id="585771665">
              <w:marLeft w:val="0"/>
              <w:marRight w:val="0"/>
              <w:marTop w:val="0"/>
              <w:marBottom w:val="0"/>
              <w:divBdr>
                <w:top w:val="none" w:sz="0" w:space="0" w:color="auto"/>
                <w:left w:val="none" w:sz="0" w:space="0" w:color="auto"/>
                <w:bottom w:val="none" w:sz="0" w:space="0" w:color="auto"/>
                <w:right w:val="none" w:sz="0" w:space="0" w:color="auto"/>
              </w:divBdr>
            </w:div>
            <w:div w:id="799303933">
              <w:marLeft w:val="0"/>
              <w:marRight w:val="0"/>
              <w:marTop w:val="0"/>
              <w:marBottom w:val="0"/>
              <w:divBdr>
                <w:top w:val="none" w:sz="0" w:space="0" w:color="auto"/>
                <w:left w:val="none" w:sz="0" w:space="0" w:color="auto"/>
                <w:bottom w:val="none" w:sz="0" w:space="0" w:color="auto"/>
                <w:right w:val="none" w:sz="0" w:space="0" w:color="auto"/>
              </w:divBdr>
            </w:div>
            <w:div w:id="1169908840">
              <w:marLeft w:val="0"/>
              <w:marRight w:val="0"/>
              <w:marTop w:val="0"/>
              <w:marBottom w:val="0"/>
              <w:divBdr>
                <w:top w:val="none" w:sz="0" w:space="0" w:color="auto"/>
                <w:left w:val="none" w:sz="0" w:space="0" w:color="auto"/>
                <w:bottom w:val="none" w:sz="0" w:space="0" w:color="auto"/>
                <w:right w:val="none" w:sz="0" w:space="0" w:color="auto"/>
              </w:divBdr>
            </w:div>
            <w:div w:id="1651179972">
              <w:marLeft w:val="0"/>
              <w:marRight w:val="0"/>
              <w:marTop w:val="0"/>
              <w:marBottom w:val="0"/>
              <w:divBdr>
                <w:top w:val="none" w:sz="0" w:space="0" w:color="auto"/>
                <w:left w:val="none" w:sz="0" w:space="0" w:color="auto"/>
                <w:bottom w:val="none" w:sz="0" w:space="0" w:color="auto"/>
                <w:right w:val="none" w:sz="0" w:space="0" w:color="auto"/>
              </w:divBdr>
            </w:div>
          </w:divsChild>
        </w:div>
        <w:div w:id="593517429">
          <w:marLeft w:val="0"/>
          <w:marRight w:val="0"/>
          <w:marTop w:val="0"/>
          <w:marBottom w:val="0"/>
          <w:divBdr>
            <w:top w:val="none" w:sz="0" w:space="0" w:color="auto"/>
            <w:left w:val="none" w:sz="0" w:space="0" w:color="auto"/>
            <w:bottom w:val="none" w:sz="0" w:space="0" w:color="auto"/>
            <w:right w:val="none" w:sz="0" w:space="0" w:color="auto"/>
          </w:divBdr>
          <w:divsChild>
            <w:div w:id="600190370">
              <w:marLeft w:val="0"/>
              <w:marRight w:val="0"/>
              <w:marTop w:val="0"/>
              <w:marBottom w:val="0"/>
              <w:divBdr>
                <w:top w:val="none" w:sz="0" w:space="0" w:color="auto"/>
                <w:left w:val="none" w:sz="0" w:space="0" w:color="auto"/>
                <w:bottom w:val="none" w:sz="0" w:space="0" w:color="auto"/>
                <w:right w:val="none" w:sz="0" w:space="0" w:color="auto"/>
              </w:divBdr>
            </w:div>
          </w:divsChild>
        </w:div>
        <w:div w:id="690767900">
          <w:marLeft w:val="0"/>
          <w:marRight w:val="0"/>
          <w:marTop w:val="0"/>
          <w:marBottom w:val="0"/>
          <w:divBdr>
            <w:top w:val="none" w:sz="0" w:space="0" w:color="auto"/>
            <w:left w:val="none" w:sz="0" w:space="0" w:color="auto"/>
            <w:bottom w:val="none" w:sz="0" w:space="0" w:color="auto"/>
            <w:right w:val="none" w:sz="0" w:space="0" w:color="auto"/>
          </w:divBdr>
          <w:divsChild>
            <w:div w:id="1928534509">
              <w:marLeft w:val="0"/>
              <w:marRight w:val="0"/>
              <w:marTop w:val="0"/>
              <w:marBottom w:val="0"/>
              <w:divBdr>
                <w:top w:val="none" w:sz="0" w:space="0" w:color="auto"/>
                <w:left w:val="none" w:sz="0" w:space="0" w:color="auto"/>
                <w:bottom w:val="none" w:sz="0" w:space="0" w:color="auto"/>
                <w:right w:val="none" w:sz="0" w:space="0" w:color="auto"/>
              </w:divBdr>
            </w:div>
          </w:divsChild>
        </w:div>
        <w:div w:id="770777011">
          <w:marLeft w:val="0"/>
          <w:marRight w:val="0"/>
          <w:marTop w:val="0"/>
          <w:marBottom w:val="0"/>
          <w:divBdr>
            <w:top w:val="none" w:sz="0" w:space="0" w:color="auto"/>
            <w:left w:val="none" w:sz="0" w:space="0" w:color="auto"/>
            <w:bottom w:val="none" w:sz="0" w:space="0" w:color="auto"/>
            <w:right w:val="none" w:sz="0" w:space="0" w:color="auto"/>
          </w:divBdr>
          <w:divsChild>
            <w:div w:id="400367196">
              <w:marLeft w:val="0"/>
              <w:marRight w:val="0"/>
              <w:marTop w:val="0"/>
              <w:marBottom w:val="0"/>
              <w:divBdr>
                <w:top w:val="none" w:sz="0" w:space="0" w:color="auto"/>
                <w:left w:val="none" w:sz="0" w:space="0" w:color="auto"/>
                <w:bottom w:val="none" w:sz="0" w:space="0" w:color="auto"/>
                <w:right w:val="none" w:sz="0" w:space="0" w:color="auto"/>
              </w:divBdr>
            </w:div>
            <w:div w:id="1031033876">
              <w:marLeft w:val="0"/>
              <w:marRight w:val="0"/>
              <w:marTop w:val="0"/>
              <w:marBottom w:val="0"/>
              <w:divBdr>
                <w:top w:val="none" w:sz="0" w:space="0" w:color="auto"/>
                <w:left w:val="none" w:sz="0" w:space="0" w:color="auto"/>
                <w:bottom w:val="none" w:sz="0" w:space="0" w:color="auto"/>
                <w:right w:val="none" w:sz="0" w:space="0" w:color="auto"/>
              </w:divBdr>
            </w:div>
          </w:divsChild>
        </w:div>
        <w:div w:id="806700972">
          <w:marLeft w:val="0"/>
          <w:marRight w:val="0"/>
          <w:marTop w:val="0"/>
          <w:marBottom w:val="0"/>
          <w:divBdr>
            <w:top w:val="none" w:sz="0" w:space="0" w:color="auto"/>
            <w:left w:val="none" w:sz="0" w:space="0" w:color="auto"/>
            <w:bottom w:val="none" w:sz="0" w:space="0" w:color="auto"/>
            <w:right w:val="none" w:sz="0" w:space="0" w:color="auto"/>
          </w:divBdr>
          <w:divsChild>
            <w:div w:id="49311503">
              <w:marLeft w:val="0"/>
              <w:marRight w:val="0"/>
              <w:marTop w:val="0"/>
              <w:marBottom w:val="0"/>
              <w:divBdr>
                <w:top w:val="none" w:sz="0" w:space="0" w:color="auto"/>
                <w:left w:val="none" w:sz="0" w:space="0" w:color="auto"/>
                <w:bottom w:val="none" w:sz="0" w:space="0" w:color="auto"/>
                <w:right w:val="none" w:sz="0" w:space="0" w:color="auto"/>
              </w:divBdr>
            </w:div>
            <w:div w:id="918834331">
              <w:marLeft w:val="0"/>
              <w:marRight w:val="0"/>
              <w:marTop w:val="0"/>
              <w:marBottom w:val="0"/>
              <w:divBdr>
                <w:top w:val="none" w:sz="0" w:space="0" w:color="auto"/>
                <w:left w:val="none" w:sz="0" w:space="0" w:color="auto"/>
                <w:bottom w:val="none" w:sz="0" w:space="0" w:color="auto"/>
                <w:right w:val="none" w:sz="0" w:space="0" w:color="auto"/>
              </w:divBdr>
            </w:div>
          </w:divsChild>
        </w:div>
        <w:div w:id="870459231">
          <w:marLeft w:val="0"/>
          <w:marRight w:val="0"/>
          <w:marTop w:val="0"/>
          <w:marBottom w:val="0"/>
          <w:divBdr>
            <w:top w:val="none" w:sz="0" w:space="0" w:color="auto"/>
            <w:left w:val="none" w:sz="0" w:space="0" w:color="auto"/>
            <w:bottom w:val="none" w:sz="0" w:space="0" w:color="auto"/>
            <w:right w:val="none" w:sz="0" w:space="0" w:color="auto"/>
          </w:divBdr>
          <w:divsChild>
            <w:div w:id="366297982">
              <w:marLeft w:val="0"/>
              <w:marRight w:val="0"/>
              <w:marTop w:val="0"/>
              <w:marBottom w:val="0"/>
              <w:divBdr>
                <w:top w:val="none" w:sz="0" w:space="0" w:color="auto"/>
                <w:left w:val="none" w:sz="0" w:space="0" w:color="auto"/>
                <w:bottom w:val="none" w:sz="0" w:space="0" w:color="auto"/>
                <w:right w:val="none" w:sz="0" w:space="0" w:color="auto"/>
              </w:divBdr>
            </w:div>
            <w:div w:id="1199009734">
              <w:marLeft w:val="0"/>
              <w:marRight w:val="0"/>
              <w:marTop w:val="0"/>
              <w:marBottom w:val="0"/>
              <w:divBdr>
                <w:top w:val="none" w:sz="0" w:space="0" w:color="auto"/>
                <w:left w:val="none" w:sz="0" w:space="0" w:color="auto"/>
                <w:bottom w:val="none" w:sz="0" w:space="0" w:color="auto"/>
                <w:right w:val="none" w:sz="0" w:space="0" w:color="auto"/>
              </w:divBdr>
            </w:div>
          </w:divsChild>
        </w:div>
        <w:div w:id="946274609">
          <w:marLeft w:val="0"/>
          <w:marRight w:val="0"/>
          <w:marTop w:val="0"/>
          <w:marBottom w:val="0"/>
          <w:divBdr>
            <w:top w:val="none" w:sz="0" w:space="0" w:color="auto"/>
            <w:left w:val="none" w:sz="0" w:space="0" w:color="auto"/>
            <w:bottom w:val="none" w:sz="0" w:space="0" w:color="auto"/>
            <w:right w:val="none" w:sz="0" w:space="0" w:color="auto"/>
          </w:divBdr>
          <w:divsChild>
            <w:div w:id="60906821">
              <w:marLeft w:val="0"/>
              <w:marRight w:val="0"/>
              <w:marTop w:val="0"/>
              <w:marBottom w:val="0"/>
              <w:divBdr>
                <w:top w:val="none" w:sz="0" w:space="0" w:color="auto"/>
                <w:left w:val="none" w:sz="0" w:space="0" w:color="auto"/>
                <w:bottom w:val="none" w:sz="0" w:space="0" w:color="auto"/>
                <w:right w:val="none" w:sz="0" w:space="0" w:color="auto"/>
              </w:divBdr>
            </w:div>
          </w:divsChild>
        </w:div>
        <w:div w:id="1057166713">
          <w:marLeft w:val="0"/>
          <w:marRight w:val="0"/>
          <w:marTop w:val="0"/>
          <w:marBottom w:val="0"/>
          <w:divBdr>
            <w:top w:val="none" w:sz="0" w:space="0" w:color="auto"/>
            <w:left w:val="none" w:sz="0" w:space="0" w:color="auto"/>
            <w:bottom w:val="none" w:sz="0" w:space="0" w:color="auto"/>
            <w:right w:val="none" w:sz="0" w:space="0" w:color="auto"/>
          </w:divBdr>
          <w:divsChild>
            <w:div w:id="439956663">
              <w:marLeft w:val="0"/>
              <w:marRight w:val="0"/>
              <w:marTop w:val="0"/>
              <w:marBottom w:val="0"/>
              <w:divBdr>
                <w:top w:val="none" w:sz="0" w:space="0" w:color="auto"/>
                <w:left w:val="none" w:sz="0" w:space="0" w:color="auto"/>
                <w:bottom w:val="none" w:sz="0" w:space="0" w:color="auto"/>
                <w:right w:val="none" w:sz="0" w:space="0" w:color="auto"/>
              </w:divBdr>
            </w:div>
            <w:div w:id="775564167">
              <w:marLeft w:val="0"/>
              <w:marRight w:val="0"/>
              <w:marTop w:val="0"/>
              <w:marBottom w:val="0"/>
              <w:divBdr>
                <w:top w:val="none" w:sz="0" w:space="0" w:color="auto"/>
                <w:left w:val="none" w:sz="0" w:space="0" w:color="auto"/>
                <w:bottom w:val="none" w:sz="0" w:space="0" w:color="auto"/>
                <w:right w:val="none" w:sz="0" w:space="0" w:color="auto"/>
              </w:divBdr>
            </w:div>
            <w:div w:id="1076823409">
              <w:marLeft w:val="0"/>
              <w:marRight w:val="0"/>
              <w:marTop w:val="0"/>
              <w:marBottom w:val="0"/>
              <w:divBdr>
                <w:top w:val="none" w:sz="0" w:space="0" w:color="auto"/>
                <w:left w:val="none" w:sz="0" w:space="0" w:color="auto"/>
                <w:bottom w:val="none" w:sz="0" w:space="0" w:color="auto"/>
                <w:right w:val="none" w:sz="0" w:space="0" w:color="auto"/>
              </w:divBdr>
            </w:div>
            <w:div w:id="1456485949">
              <w:marLeft w:val="0"/>
              <w:marRight w:val="0"/>
              <w:marTop w:val="0"/>
              <w:marBottom w:val="0"/>
              <w:divBdr>
                <w:top w:val="none" w:sz="0" w:space="0" w:color="auto"/>
                <w:left w:val="none" w:sz="0" w:space="0" w:color="auto"/>
                <w:bottom w:val="none" w:sz="0" w:space="0" w:color="auto"/>
                <w:right w:val="none" w:sz="0" w:space="0" w:color="auto"/>
              </w:divBdr>
            </w:div>
            <w:div w:id="1523393323">
              <w:marLeft w:val="0"/>
              <w:marRight w:val="0"/>
              <w:marTop w:val="0"/>
              <w:marBottom w:val="0"/>
              <w:divBdr>
                <w:top w:val="none" w:sz="0" w:space="0" w:color="auto"/>
                <w:left w:val="none" w:sz="0" w:space="0" w:color="auto"/>
                <w:bottom w:val="none" w:sz="0" w:space="0" w:color="auto"/>
                <w:right w:val="none" w:sz="0" w:space="0" w:color="auto"/>
              </w:divBdr>
            </w:div>
            <w:div w:id="1783569946">
              <w:marLeft w:val="0"/>
              <w:marRight w:val="0"/>
              <w:marTop w:val="0"/>
              <w:marBottom w:val="0"/>
              <w:divBdr>
                <w:top w:val="none" w:sz="0" w:space="0" w:color="auto"/>
                <w:left w:val="none" w:sz="0" w:space="0" w:color="auto"/>
                <w:bottom w:val="none" w:sz="0" w:space="0" w:color="auto"/>
                <w:right w:val="none" w:sz="0" w:space="0" w:color="auto"/>
              </w:divBdr>
            </w:div>
            <w:div w:id="1784299425">
              <w:marLeft w:val="0"/>
              <w:marRight w:val="0"/>
              <w:marTop w:val="0"/>
              <w:marBottom w:val="0"/>
              <w:divBdr>
                <w:top w:val="none" w:sz="0" w:space="0" w:color="auto"/>
                <w:left w:val="none" w:sz="0" w:space="0" w:color="auto"/>
                <w:bottom w:val="none" w:sz="0" w:space="0" w:color="auto"/>
                <w:right w:val="none" w:sz="0" w:space="0" w:color="auto"/>
              </w:divBdr>
            </w:div>
            <w:div w:id="2062749172">
              <w:marLeft w:val="0"/>
              <w:marRight w:val="0"/>
              <w:marTop w:val="0"/>
              <w:marBottom w:val="0"/>
              <w:divBdr>
                <w:top w:val="none" w:sz="0" w:space="0" w:color="auto"/>
                <w:left w:val="none" w:sz="0" w:space="0" w:color="auto"/>
                <w:bottom w:val="none" w:sz="0" w:space="0" w:color="auto"/>
                <w:right w:val="none" w:sz="0" w:space="0" w:color="auto"/>
              </w:divBdr>
            </w:div>
          </w:divsChild>
        </w:div>
        <w:div w:id="1075005241">
          <w:marLeft w:val="0"/>
          <w:marRight w:val="0"/>
          <w:marTop w:val="0"/>
          <w:marBottom w:val="0"/>
          <w:divBdr>
            <w:top w:val="none" w:sz="0" w:space="0" w:color="auto"/>
            <w:left w:val="none" w:sz="0" w:space="0" w:color="auto"/>
            <w:bottom w:val="none" w:sz="0" w:space="0" w:color="auto"/>
            <w:right w:val="none" w:sz="0" w:space="0" w:color="auto"/>
          </w:divBdr>
          <w:divsChild>
            <w:div w:id="664824341">
              <w:marLeft w:val="0"/>
              <w:marRight w:val="0"/>
              <w:marTop w:val="0"/>
              <w:marBottom w:val="0"/>
              <w:divBdr>
                <w:top w:val="none" w:sz="0" w:space="0" w:color="auto"/>
                <w:left w:val="none" w:sz="0" w:space="0" w:color="auto"/>
                <w:bottom w:val="none" w:sz="0" w:space="0" w:color="auto"/>
                <w:right w:val="none" w:sz="0" w:space="0" w:color="auto"/>
              </w:divBdr>
            </w:div>
          </w:divsChild>
        </w:div>
        <w:div w:id="1080105977">
          <w:marLeft w:val="0"/>
          <w:marRight w:val="0"/>
          <w:marTop w:val="0"/>
          <w:marBottom w:val="0"/>
          <w:divBdr>
            <w:top w:val="none" w:sz="0" w:space="0" w:color="auto"/>
            <w:left w:val="none" w:sz="0" w:space="0" w:color="auto"/>
            <w:bottom w:val="none" w:sz="0" w:space="0" w:color="auto"/>
            <w:right w:val="none" w:sz="0" w:space="0" w:color="auto"/>
          </w:divBdr>
          <w:divsChild>
            <w:div w:id="1098645756">
              <w:marLeft w:val="0"/>
              <w:marRight w:val="0"/>
              <w:marTop w:val="0"/>
              <w:marBottom w:val="0"/>
              <w:divBdr>
                <w:top w:val="none" w:sz="0" w:space="0" w:color="auto"/>
                <w:left w:val="none" w:sz="0" w:space="0" w:color="auto"/>
                <w:bottom w:val="none" w:sz="0" w:space="0" w:color="auto"/>
                <w:right w:val="none" w:sz="0" w:space="0" w:color="auto"/>
              </w:divBdr>
            </w:div>
          </w:divsChild>
        </w:div>
        <w:div w:id="1269653022">
          <w:marLeft w:val="0"/>
          <w:marRight w:val="0"/>
          <w:marTop w:val="0"/>
          <w:marBottom w:val="0"/>
          <w:divBdr>
            <w:top w:val="none" w:sz="0" w:space="0" w:color="auto"/>
            <w:left w:val="none" w:sz="0" w:space="0" w:color="auto"/>
            <w:bottom w:val="none" w:sz="0" w:space="0" w:color="auto"/>
            <w:right w:val="none" w:sz="0" w:space="0" w:color="auto"/>
          </w:divBdr>
          <w:divsChild>
            <w:div w:id="138886190">
              <w:marLeft w:val="0"/>
              <w:marRight w:val="0"/>
              <w:marTop w:val="0"/>
              <w:marBottom w:val="0"/>
              <w:divBdr>
                <w:top w:val="none" w:sz="0" w:space="0" w:color="auto"/>
                <w:left w:val="none" w:sz="0" w:space="0" w:color="auto"/>
                <w:bottom w:val="none" w:sz="0" w:space="0" w:color="auto"/>
                <w:right w:val="none" w:sz="0" w:space="0" w:color="auto"/>
              </w:divBdr>
            </w:div>
          </w:divsChild>
        </w:div>
        <w:div w:id="1384328267">
          <w:marLeft w:val="0"/>
          <w:marRight w:val="0"/>
          <w:marTop w:val="0"/>
          <w:marBottom w:val="0"/>
          <w:divBdr>
            <w:top w:val="none" w:sz="0" w:space="0" w:color="auto"/>
            <w:left w:val="none" w:sz="0" w:space="0" w:color="auto"/>
            <w:bottom w:val="none" w:sz="0" w:space="0" w:color="auto"/>
            <w:right w:val="none" w:sz="0" w:space="0" w:color="auto"/>
          </w:divBdr>
          <w:divsChild>
            <w:div w:id="887495901">
              <w:marLeft w:val="0"/>
              <w:marRight w:val="0"/>
              <w:marTop w:val="0"/>
              <w:marBottom w:val="0"/>
              <w:divBdr>
                <w:top w:val="none" w:sz="0" w:space="0" w:color="auto"/>
                <w:left w:val="none" w:sz="0" w:space="0" w:color="auto"/>
                <w:bottom w:val="none" w:sz="0" w:space="0" w:color="auto"/>
                <w:right w:val="none" w:sz="0" w:space="0" w:color="auto"/>
              </w:divBdr>
            </w:div>
          </w:divsChild>
        </w:div>
        <w:div w:id="1613710862">
          <w:marLeft w:val="0"/>
          <w:marRight w:val="0"/>
          <w:marTop w:val="0"/>
          <w:marBottom w:val="0"/>
          <w:divBdr>
            <w:top w:val="none" w:sz="0" w:space="0" w:color="auto"/>
            <w:left w:val="none" w:sz="0" w:space="0" w:color="auto"/>
            <w:bottom w:val="none" w:sz="0" w:space="0" w:color="auto"/>
            <w:right w:val="none" w:sz="0" w:space="0" w:color="auto"/>
          </w:divBdr>
          <w:divsChild>
            <w:div w:id="1187255854">
              <w:marLeft w:val="0"/>
              <w:marRight w:val="0"/>
              <w:marTop w:val="0"/>
              <w:marBottom w:val="0"/>
              <w:divBdr>
                <w:top w:val="none" w:sz="0" w:space="0" w:color="auto"/>
                <w:left w:val="none" w:sz="0" w:space="0" w:color="auto"/>
                <w:bottom w:val="none" w:sz="0" w:space="0" w:color="auto"/>
                <w:right w:val="none" w:sz="0" w:space="0" w:color="auto"/>
              </w:divBdr>
            </w:div>
          </w:divsChild>
        </w:div>
        <w:div w:id="1839924752">
          <w:marLeft w:val="0"/>
          <w:marRight w:val="0"/>
          <w:marTop w:val="0"/>
          <w:marBottom w:val="0"/>
          <w:divBdr>
            <w:top w:val="none" w:sz="0" w:space="0" w:color="auto"/>
            <w:left w:val="none" w:sz="0" w:space="0" w:color="auto"/>
            <w:bottom w:val="none" w:sz="0" w:space="0" w:color="auto"/>
            <w:right w:val="none" w:sz="0" w:space="0" w:color="auto"/>
          </w:divBdr>
          <w:divsChild>
            <w:div w:id="349766560">
              <w:marLeft w:val="0"/>
              <w:marRight w:val="0"/>
              <w:marTop w:val="0"/>
              <w:marBottom w:val="0"/>
              <w:divBdr>
                <w:top w:val="none" w:sz="0" w:space="0" w:color="auto"/>
                <w:left w:val="none" w:sz="0" w:space="0" w:color="auto"/>
                <w:bottom w:val="none" w:sz="0" w:space="0" w:color="auto"/>
                <w:right w:val="none" w:sz="0" w:space="0" w:color="auto"/>
              </w:divBdr>
            </w:div>
            <w:div w:id="660349770">
              <w:marLeft w:val="0"/>
              <w:marRight w:val="0"/>
              <w:marTop w:val="0"/>
              <w:marBottom w:val="0"/>
              <w:divBdr>
                <w:top w:val="none" w:sz="0" w:space="0" w:color="auto"/>
                <w:left w:val="none" w:sz="0" w:space="0" w:color="auto"/>
                <w:bottom w:val="none" w:sz="0" w:space="0" w:color="auto"/>
                <w:right w:val="none" w:sz="0" w:space="0" w:color="auto"/>
              </w:divBdr>
            </w:div>
          </w:divsChild>
        </w:div>
        <w:div w:id="1983727267">
          <w:marLeft w:val="0"/>
          <w:marRight w:val="0"/>
          <w:marTop w:val="0"/>
          <w:marBottom w:val="0"/>
          <w:divBdr>
            <w:top w:val="none" w:sz="0" w:space="0" w:color="auto"/>
            <w:left w:val="none" w:sz="0" w:space="0" w:color="auto"/>
            <w:bottom w:val="none" w:sz="0" w:space="0" w:color="auto"/>
            <w:right w:val="none" w:sz="0" w:space="0" w:color="auto"/>
          </w:divBdr>
          <w:divsChild>
            <w:div w:id="72972967">
              <w:marLeft w:val="0"/>
              <w:marRight w:val="0"/>
              <w:marTop w:val="0"/>
              <w:marBottom w:val="0"/>
              <w:divBdr>
                <w:top w:val="none" w:sz="0" w:space="0" w:color="auto"/>
                <w:left w:val="none" w:sz="0" w:space="0" w:color="auto"/>
                <w:bottom w:val="none" w:sz="0" w:space="0" w:color="auto"/>
                <w:right w:val="none" w:sz="0" w:space="0" w:color="auto"/>
              </w:divBdr>
            </w:div>
            <w:div w:id="1091665157">
              <w:marLeft w:val="0"/>
              <w:marRight w:val="0"/>
              <w:marTop w:val="0"/>
              <w:marBottom w:val="0"/>
              <w:divBdr>
                <w:top w:val="none" w:sz="0" w:space="0" w:color="auto"/>
                <w:left w:val="none" w:sz="0" w:space="0" w:color="auto"/>
                <w:bottom w:val="none" w:sz="0" w:space="0" w:color="auto"/>
                <w:right w:val="none" w:sz="0" w:space="0" w:color="auto"/>
              </w:divBdr>
            </w:div>
            <w:div w:id="1163353728">
              <w:marLeft w:val="0"/>
              <w:marRight w:val="0"/>
              <w:marTop w:val="0"/>
              <w:marBottom w:val="0"/>
              <w:divBdr>
                <w:top w:val="none" w:sz="0" w:space="0" w:color="auto"/>
                <w:left w:val="none" w:sz="0" w:space="0" w:color="auto"/>
                <w:bottom w:val="none" w:sz="0" w:space="0" w:color="auto"/>
                <w:right w:val="none" w:sz="0" w:space="0" w:color="auto"/>
              </w:divBdr>
            </w:div>
            <w:div w:id="1686402616">
              <w:marLeft w:val="0"/>
              <w:marRight w:val="0"/>
              <w:marTop w:val="0"/>
              <w:marBottom w:val="0"/>
              <w:divBdr>
                <w:top w:val="none" w:sz="0" w:space="0" w:color="auto"/>
                <w:left w:val="none" w:sz="0" w:space="0" w:color="auto"/>
                <w:bottom w:val="none" w:sz="0" w:space="0" w:color="auto"/>
                <w:right w:val="none" w:sz="0" w:space="0" w:color="auto"/>
              </w:divBdr>
            </w:div>
            <w:div w:id="1743789590">
              <w:marLeft w:val="0"/>
              <w:marRight w:val="0"/>
              <w:marTop w:val="0"/>
              <w:marBottom w:val="0"/>
              <w:divBdr>
                <w:top w:val="none" w:sz="0" w:space="0" w:color="auto"/>
                <w:left w:val="none" w:sz="0" w:space="0" w:color="auto"/>
                <w:bottom w:val="none" w:sz="0" w:space="0" w:color="auto"/>
                <w:right w:val="none" w:sz="0" w:space="0" w:color="auto"/>
              </w:divBdr>
            </w:div>
            <w:div w:id="1912036255">
              <w:marLeft w:val="0"/>
              <w:marRight w:val="0"/>
              <w:marTop w:val="0"/>
              <w:marBottom w:val="0"/>
              <w:divBdr>
                <w:top w:val="none" w:sz="0" w:space="0" w:color="auto"/>
                <w:left w:val="none" w:sz="0" w:space="0" w:color="auto"/>
                <w:bottom w:val="none" w:sz="0" w:space="0" w:color="auto"/>
                <w:right w:val="none" w:sz="0" w:space="0" w:color="auto"/>
              </w:divBdr>
            </w:div>
          </w:divsChild>
        </w:div>
        <w:div w:id="2139638329">
          <w:marLeft w:val="0"/>
          <w:marRight w:val="0"/>
          <w:marTop w:val="0"/>
          <w:marBottom w:val="0"/>
          <w:divBdr>
            <w:top w:val="none" w:sz="0" w:space="0" w:color="auto"/>
            <w:left w:val="none" w:sz="0" w:space="0" w:color="auto"/>
            <w:bottom w:val="none" w:sz="0" w:space="0" w:color="auto"/>
            <w:right w:val="none" w:sz="0" w:space="0" w:color="auto"/>
          </w:divBdr>
          <w:divsChild>
            <w:div w:id="5373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7170">
      <w:bodyDiv w:val="1"/>
      <w:marLeft w:val="0"/>
      <w:marRight w:val="0"/>
      <w:marTop w:val="0"/>
      <w:marBottom w:val="0"/>
      <w:divBdr>
        <w:top w:val="none" w:sz="0" w:space="0" w:color="auto"/>
        <w:left w:val="none" w:sz="0" w:space="0" w:color="auto"/>
        <w:bottom w:val="none" w:sz="0" w:space="0" w:color="auto"/>
        <w:right w:val="none" w:sz="0" w:space="0" w:color="auto"/>
      </w:divBdr>
    </w:div>
    <w:div w:id="138618931">
      <w:bodyDiv w:val="1"/>
      <w:marLeft w:val="0"/>
      <w:marRight w:val="0"/>
      <w:marTop w:val="0"/>
      <w:marBottom w:val="0"/>
      <w:divBdr>
        <w:top w:val="none" w:sz="0" w:space="0" w:color="auto"/>
        <w:left w:val="none" w:sz="0" w:space="0" w:color="auto"/>
        <w:bottom w:val="none" w:sz="0" w:space="0" w:color="auto"/>
        <w:right w:val="none" w:sz="0" w:space="0" w:color="auto"/>
      </w:divBdr>
    </w:div>
    <w:div w:id="141389377">
      <w:bodyDiv w:val="1"/>
      <w:marLeft w:val="0"/>
      <w:marRight w:val="0"/>
      <w:marTop w:val="0"/>
      <w:marBottom w:val="0"/>
      <w:divBdr>
        <w:top w:val="none" w:sz="0" w:space="0" w:color="auto"/>
        <w:left w:val="none" w:sz="0" w:space="0" w:color="auto"/>
        <w:bottom w:val="none" w:sz="0" w:space="0" w:color="auto"/>
        <w:right w:val="none" w:sz="0" w:space="0" w:color="auto"/>
      </w:divBdr>
    </w:div>
    <w:div w:id="142088378">
      <w:bodyDiv w:val="1"/>
      <w:marLeft w:val="0"/>
      <w:marRight w:val="0"/>
      <w:marTop w:val="0"/>
      <w:marBottom w:val="0"/>
      <w:divBdr>
        <w:top w:val="none" w:sz="0" w:space="0" w:color="auto"/>
        <w:left w:val="none" w:sz="0" w:space="0" w:color="auto"/>
        <w:bottom w:val="none" w:sz="0" w:space="0" w:color="auto"/>
        <w:right w:val="none" w:sz="0" w:space="0" w:color="auto"/>
      </w:divBdr>
    </w:div>
    <w:div w:id="156001954">
      <w:bodyDiv w:val="1"/>
      <w:marLeft w:val="0"/>
      <w:marRight w:val="0"/>
      <w:marTop w:val="0"/>
      <w:marBottom w:val="0"/>
      <w:divBdr>
        <w:top w:val="none" w:sz="0" w:space="0" w:color="auto"/>
        <w:left w:val="none" w:sz="0" w:space="0" w:color="auto"/>
        <w:bottom w:val="none" w:sz="0" w:space="0" w:color="auto"/>
        <w:right w:val="none" w:sz="0" w:space="0" w:color="auto"/>
      </w:divBdr>
    </w:div>
    <w:div w:id="160127999">
      <w:bodyDiv w:val="1"/>
      <w:marLeft w:val="0"/>
      <w:marRight w:val="0"/>
      <w:marTop w:val="0"/>
      <w:marBottom w:val="0"/>
      <w:divBdr>
        <w:top w:val="none" w:sz="0" w:space="0" w:color="auto"/>
        <w:left w:val="none" w:sz="0" w:space="0" w:color="auto"/>
        <w:bottom w:val="none" w:sz="0" w:space="0" w:color="auto"/>
        <w:right w:val="none" w:sz="0" w:space="0" w:color="auto"/>
      </w:divBdr>
      <w:divsChild>
        <w:div w:id="48462752">
          <w:marLeft w:val="547"/>
          <w:marRight w:val="0"/>
          <w:marTop w:val="0"/>
          <w:marBottom w:val="120"/>
          <w:divBdr>
            <w:top w:val="none" w:sz="0" w:space="0" w:color="auto"/>
            <w:left w:val="none" w:sz="0" w:space="0" w:color="auto"/>
            <w:bottom w:val="none" w:sz="0" w:space="0" w:color="auto"/>
            <w:right w:val="none" w:sz="0" w:space="0" w:color="auto"/>
          </w:divBdr>
        </w:div>
        <w:div w:id="426459454">
          <w:marLeft w:val="547"/>
          <w:marRight w:val="0"/>
          <w:marTop w:val="0"/>
          <w:marBottom w:val="120"/>
          <w:divBdr>
            <w:top w:val="none" w:sz="0" w:space="0" w:color="auto"/>
            <w:left w:val="none" w:sz="0" w:space="0" w:color="auto"/>
            <w:bottom w:val="none" w:sz="0" w:space="0" w:color="auto"/>
            <w:right w:val="none" w:sz="0" w:space="0" w:color="auto"/>
          </w:divBdr>
        </w:div>
        <w:div w:id="472598240">
          <w:marLeft w:val="547"/>
          <w:marRight w:val="0"/>
          <w:marTop w:val="0"/>
          <w:marBottom w:val="120"/>
          <w:divBdr>
            <w:top w:val="none" w:sz="0" w:space="0" w:color="auto"/>
            <w:left w:val="none" w:sz="0" w:space="0" w:color="auto"/>
            <w:bottom w:val="none" w:sz="0" w:space="0" w:color="auto"/>
            <w:right w:val="none" w:sz="0" w:space="0" w:color="auto"/>
          </w:divBdr>
        </w:div>
        <w:div w:id="534196796">
          <w:marLeft w:val="547"/>
          <w:marRight w:val="0"/>
          <w:marTop w:val="0"/>
          <w:marBottom w:val="120"/>
          <w:divBdr>
            <w:top w:val="none" w:sz="0" w:space="0" w:color="auto"/>
            <w:left w:val="none" w:sz="0" w:space="0" w:color="auto"/>
            <w:bottom w:val="none" w:sz="0" w:space="0" w:color="auto"/>
            <w:right w:val="none" w:sz="0" w:space="0" w:color="auto"/>
          </w:divBdr>
        </w:div>
      </w:divsChild>
    </w:div>
    <w:div w:id="165757180">
      <w:bodyDiv w:val="1"/>
      <w:marLeft w:val="0"/>
      <w:marRight w:val="0"/>
      <w:marTop w:val="0"/>
      <w:marBottom w:val="0"/>
      <w:divBdr>
        <w:top w:val="none" w:sz="0" w:space="0" w:color="auto"/>
        <w:left w:val="none" w:sz="0" w:space="0" w:color="auto"/>
        <w:bottom w:val="none" w:sz="0" w:space="0" w:color="auto"/>
        <w:right w:val="none" w:sz="0" w:space="0" w:color="auto"/>
      </w:divBdr>
      <w:divsChild>
        <w:div w:id="201134062">
          <w:marLeft w:val="0"/>
          <w:marRight w:val="0"/>
          <w:marTop w:val="0"/>
          <w:marBottom w:val="0"/>
          <w:divBdr>
            <w:top w:val="none" w:sz="0" w:space="0" w:color="auto"/>
            <w:left w:val="none" w:sz="0" w:space="0" w:color="auto"/>
            <w:bottom w:val="none" w:sz="0" w:space="0" w:color="auto"/>
            <w:right w:val="none" w:sz="0" w:space="0" w:color="auto"/>
          </w:divBdr>
        </w:div>
        <w:div w:id="724256383">
          <w:marLeft w:val="0"/>
          <w:marRight w:val="0"/>
          <w:marTop w:val="0"/>
          <w:marBottom w:val="0"/>
          <w:divBdr>
            <w:top w:val="none" w:sz="0" w:space="0" w:color="auto"/>
            <w:left w:val="none" w:sz="0" w:space="0" w:color="auto"/>
            <w:bottom w:val="none" w:sz="0" w:space="0" w:color="auto"/>
            <w:right w:val="none" w:sz="0" w:space="0" w:color="auto"/>
          </w:divBdr>
        </w:div>
        <w:div w:id="913008230">
          <w:marLeft w:val="0"/>
          <w:marRight w:val="0"/>
          <w:marTop w:val="0"/>
          <w:marBottom w:val="0"/>
          <w:divBdr>
            <w:top w:val="none" w:sz="0" w:space="0" w:color="auto"/>
            <w:left w:val="none" w:sz="0" w:space="0" w:color="auto"/>
            <w:bottom w:val="none" w:sz="0" w:space="0" w:color="auto"/>
            <w:right w:val="none" w:sz="0" w:space="0" w:color="auto"/>
          </w:divBdr>
        </w:div>
        <w:div w:id="1549339715">
          <w:marLeft w:val="0"/>
          <w:marRight w:val="0"/>
          <w:marTop w:val="0"/>
          <w:marBottom w:val="0"/>
          <w:divBdr>
            <w:top w:val="none" w:sz="0" w:space="0" w:color="auto"/>
            <w:left w:val="none" w:sz="0" w:space="0" w:color="auto"/>
            <w:bottom w:val="none" w:sz="0" w:space="0" w:color="auto"/>
            <w:right w:val="none" w:sz="0" w:space="0" w:color="auto"/>
          </w:divBdr>
        </w:div>
      </w:divsChild>
    </w:div>
    <w:div w:id="178005458">
      <w:bodyDiv w:val="1"/>
      <w:marLeft w:val="0"/>
      <w:marRight w:val="0"/>
      <w:marTop w:val="0"/>
      <w:marBottom w:val="0"/>
      <w:divBdr>
        <w:top w:val="none" w:sz="0" w:space="0" w:color="auto"/>
        <w:left w:val="none" w:sz="0" w:space="0" w:color="auto"/>
        <w:bottom w:val="none" w:sz="0" w:space="0" w:color="auto"/>
        <w:right w:val="none" w:sz="0" w:space="0" w:color="auto"/>
      </w:divBdr>
      <w:divsChild>
        <w:div w:id="1903759068">
          <w:marLeft w:val="446"/>
          <w:marRight w:val="0"/>
          <w:marTop w:val="0"/>
          <w:marBottom w:val="40"/>
          <w:divBdr>
            <w:top w:val="none" w:sz="0" w:space="0" w:color="auto"/>
            <w:left w:val="none" w:sz="0" w:space="0" w:color="auto"/>
            <w:bottom w:val="none" w:sz="0" w:space="0" w:color="auto"/>
            <w:right w:val="none" w:sz="0" w:space="0" w:color="auto"/>
          </w:divBdr>
        </w:div>
      </w:divsChild>
    </w:div>
    <w:div w:id="184369621">
      <w:bodyDiv w:val="1"/>
      <w:marLeft w:val="0"/>
      <w:marRight w:val="0"/>
      <w:marTop w:val="0"/>
      <w:marBottom w:val="0"/>
      <w:divBdr>
        <w:top w:val="none" w:sz="0" w:space="0" w:color="auto"/>
        <w:left w:val="none" w:sz="0" w:space="0" w:color="auto"/>
        <w:bottom w:val="none" w:sz="0" w:space="0" w:color="auto"/>
        <w:right w:val="none" w:sz="0" w:space="0" w:color="auto"/>
      </w:divBdr>
    </w:div>
    <w:div w:id="189075675">
      <w:bodyDiv w:val="1"/>
      <w:marLeft w:val="0"/>
      <w:marRight w:val="0"/>
      <w:marTop w:val="0"/>
      <w:marBottom w:val="0"/>
      <w:divBdr>
        <w:top w:val="none" w:sz="0" w:space="0" w:color="auto"/>
        <w:left w:val="none" w:sz="0" w:space="0" w:color="auto"/>
        <w:bottom w:val="none" w:sz="0" w:space="0" w:color="auto"/>
        <w:right w:val="none" w:sz="0" w:space="0" w:color="auto"/>
      </w:divBdr>
      <w:divsChild>
        <w:div w:id="110515620">
          <w:marLeft w:val="547"/>
          <w:marRight w:val="0"/>
          <w:marTop w:val="0"/>
          <w:marBottom w:val="0"/>
          <w:divBdr>
            <w:top w:val="none" w:sz="0" w:space="0" w:color="auto"/>
            <w:left w:val="none" w:sz="0" w:space="0" w:color="auto"/>
            <w:bottom w:val="none" w:sz="0" w:space="0" w:color="auto"/>
            <w:right w:val="none" w:sz="0" w:space="0" w:color="auto"/>
          </w:divBdr>
        </w:div>
        <w:div w:id="300502916">
          <w:marLeft w:val="547"/>
          <w:marRight w:val="0"/>
          <w:marTop w:val="0"/>
          <w:marBottom w:val="0"/>
          <w:divBdr>
            <w:top w:val="none" w:sz="0" w:space="0" w:color="auto"/>
            <w:left w:val="none" w:sz="0" w:space="0" w:color="auto"/>
            <w:bottom w:val="none" w:sz="0" w:space="0" w:color="auto"/>
            <w:right w:val="none" w:sz="0" w:space="0" w:color="auto"/>
          </w:divBdr>
        </w:div>
      </w:divsChild>
    </w:div>
    <w:div w:id="204104276">
      <w:bodyDiv w:val="1"/>
      <w:marLeft w:val="0"/>
      <w:marRight w:val="0"/>
      <w:marTop w:val="0"/>
      <w:marBottom w:val="0"/>
      <w:divBdr>
        <w:top w:val="none" w:sz="0" w:space="0" w:color="auto"/>
        <w:left w:val="none" w:sz="0" w:space="0" w:color="auto"/>
        <w:bottom w:val="none" w:sz="0" w:space="0" w:color="auto"/>
        <w:right w:val="none" w:sz="0" w:space="0" w:color="auto"/>
      </w:divBdr>
      <w:divsChild>
        <w:div w:id="122888698">
          <w:marLeft w:val="0"/>
          <w:marRight w:val="0"/>
          <w:marTop w:val="0"/>
          <w:marBottom w:val="0"/>
          <w:divBdr>
            <w:top w:val="none" w:sz="0" w:space="0" w:color="auto"/>
            <w:left w:val="none" w:sz="0" w:space="0" w:color="auto"/>
            <w:bottom w:val="none" w:sz="0" w:space="0" w:color="auto"/>
            <w:right w:val="none" w:sz="0" w:space="0" w:color="auto"/>
          </w:divBdr>
        </w:div>
        <w:div w:id="425032087">
          <w:marLeft w:val="0"/>
          <w:marRight w:val="0"/>
          <w:marTop w:val="0"/>
          <w:marBottom w:val="0"/>
          <w:divBdr>
            <w:top w:val="none" w:sz="0" w:space="0" w:color="auto"/>
            <w:left w:val="none" w:sz="0" w:space="0" w:color="auto"/>
            <w:bottom w:val="none" w:sz="0" w:space="0" w:color="auto"/>
            <w:right w:val="none" w:sz="0" w:space="0" w:color="auto"/>
          </w:divBdr>
        </w:div>
        <w:div w:id="679508199">
          <w:marLeft w:val="0"/>
          <w:marRight w:val="0"/>
          <w:marTop w:val="0"/>
          <w:marBottom w:val="0"/>
          <w:divBdr>
            <w:top w:val="none" w:sz="0" w:space="0" w:color="auto"/>
            <w:left w:val="none" w:sz="0" w:space="0" w:color="auto"/>
            <w:bottom w:val="none" w:sz="0" w:space="0" w:color="auto"/>
            <w:right w:val="none" w:sz="0" w:space="0" w:color="auto"/>
          </w:divBdr>
          <w:divsChild>
            <w:div w:id="122046298">
              <w:marLeft w:val="0"/>
              <w:marRight w:val="0"/>
              <w:marTop w:val="0"/>
              <w:marBottom w:val="0"/>
              <w:divBdr>
                <w:top w:val="none" w:sz="0" w:space="0" w:color="auto"/>
                <w:left w:val="none" w:sz="0" w:space="0" w:color="auto"/>
                <w:bottom w:val="none" w:sz="0" w:space="0" w:color="auto"/>
                <w:right w:val="none" w:sz="0" w:space="0" w:color="auto"/>
              </w:divBdr>
            </w:div>
            <w:div w:id="1335454258">
              <w:marLeft w:val="0"/>
              <w:marRight w:val="0"/>
              <w:marTop w:val="0"/>
              <w:marBottom w:val="0"/>
              <w:divBdr>
                <w:top w:val="none" w:sz="0" w:space="0" w:color="auto"/>
                <w:left w:val="none" w:sz="0" w:space="0" w:color="auto"/>
                <w:bottom w:val="none" w:sz="0" w:space="0" w:color="auto"/>
                <w:right w:val="none" w:sz="0" w:space="0" w:color="auto"/>
              </w:divBdr>
            </w:div>
            <w:div w:id="1611161505">
              <w:marLeft w:val="0"/>
              <w:marRight w:val="0"/>
              <w:marTop w:val="0"/>
              <w:marBottom w:val="0"/>
              <w:divBdr>
                <w:top w:val="none" w:sz="0" w:space="0" w:color="auto"/>
                <w:left w:val="none" w:sz="0" w:space="0" w:color="auto"/>
                <w:bottom w:val="none" w:sz="0" w:space="0" w:color="auto"/>
                <w:right w:val="none" w:sz="0" w:space="0" w:color="auto"/>
              </w:divBdr>
            </w:div>
          </w:divsChild>
        </w:div>
        <w:div w:id="895240796">
          <w:marLeft w:val="0"/>
          <w:marRight w:val="0"/>
          <w:marTop w:val="0"/>
          <w:marBottom w:val="0"/>
          <w:divBdr>
            <w:top w:val="none" w:sz="0" w:space="0" w:color="auto"/>
            <w:left w:val="none" w:sz="0" w:space="0" w:color="auto"/>
            <w:bottom w:val="none" w:sz="0" w:space="0" w:color="auto"/>
            <w:right w:val="none" w:sz="0" w:space="0" w:color="auto"/>
          </w:divBdr>
        </w:div>
        <w:div w:id="1468162584">
          <w:marLeft w:val="0"/>
          <w:marRight w:val="0"/>
          <w:marTop w:val="0"/>
          <w:marBottom w:val="0"/>
          <w:divBdr>
            <w:top w:val="none" w:sz="0" w:space="0" w:color="auto"/>
            <w:left w:val="none" w:sz="0" w:space="0" w:color="auto"/>
            <w:bottom w:val="none" w:sz="0" w:space="0" w:color="auto"/>
            <w:right w:val="none" w:sz="0" w:space="0" w:color="auto"/>
          </w:divBdr>
        </w:div>
        <w:div w:id="1829666535">
          <w:marLeft w:val="0"/>
          <w:marRight w:val="0"/>
          <w:marTop w:val="0"/>
          <w:marBottom w:val="0"/>
          <w:divBdr>
            <w:top w:val="none" w:sz="0" w:space="0" w:color="auto"/>
            <w:left w:val="none" w:sz="0" w:space="0" w:color="auto"/>
            <w:bottom w:val="none" w:sz="0" w:space="0" w:color="auto"/>
            <w:right w:val="none" w:sz="0" w:space="0" w:color="auto"/>
          </w:divBdr>
        </w:div>
      </w:divsChild>
    </w:div>
    <w:div w:id="212497860">
      <w:bodyDiv w:val="1"/>
      <w:marLeft w:val="0"/>
      <w:marRight w:val="0"/>
      <w:marTop w:val="0"/>
      <w:marBottom w:val="0"/>
      <w:divBdr>
        <w:top w:val="none" w:sz="0" w:space="0" w:color="auto"/>
        <w:left w:val="none" w:sz="0" w:space="0" w:color="auto"/>
        <w:bottom w:val="none" w:sz="0" w:space="0" w:color="auto"/>
        <w:right w:val="none" w:sz="0" w:space="0" w:color="auto"/>
      </w:divBdr>
      <w:divsChild>
        <w:div w:id="12151562">
          <w:marLeft w:val="0"/>
          <w:marRight w:val="0"/>
          <w:marTop w:val="0"/>
          <w:marBottom w:val="0"/>
          <w:divBdr>
            <w:top w:val="none" w:sz="0" w:space="0" w:color="auto"/>
            <w:left w:val="none" w:sz="0" w:space="0" w:color="auto"/>
            <w:bottom w:val="none" w:sz="0" w:space="0" w:color="auto"/>
            <w:right w:val="none" w:sz="0" w:space="0" w:color="auto"/>
          </w:divBdr>
        </w:div>
      </w:divsChild>
    </w:div>
    <w:div w:id="231161182">
      <w:bodyDiv w:val="1"/>
      <w:marLeft w:val="0"/>
      <w:marRight w:val="0"/>
      <w:marTop w:val="0"/>
      <w:marBottom w:val="0"/>
      <w:divBdr>
        <w:top w:val="none" w:sz="0" w:space="0" w:color="auto"/>
        <w:left w:val="none" w:sz="0" w:space="0" w:color="auto"/>
        <w:bottom w:val="none" w:sz="0" w:space="0" w:color="auto"/>
        <w:right w:val="none" w:sz="0" w:space="0" w:color="auto"/>
      </w:divBdr>
      <w:divsChild>
        <w:div w:id="1107970617">
          <w:marLeft w:val="547"/>
          <w:marRight w:val="0"/>
          <w:marTop w:val="0"/>
          <w:marBottom w:val="0"/>
          <w:divBdr>
            <w:top w:val="none" w:sz="0" w:space="0" w:color="auto"/>
            <w:left w:val="none" w:sz="0" w:space="0" w:color="auto"/>
            <w:bottom w:val="none" w:sz="0" w:space="0" w:color="auto"/>
            <w:right w:val="none" w:sz="0" w:space="0" w:color="auto"/>
          </w:divBdr>
        </w:div>
      </w:divsChild>
    </w:div>
    <w:div w:id="234241364">
      <w:bodyDiv w:val="1"/>
      <w:marLeft w:val="0"/>
      <w:marRight w:val="0"/>
      <w:marTop w:val="0"/>
      <w:marBottom w:val="0"/>
      <w:divBdr>
        <w:top w:val="none" w:sz="0" w:space="0" w:color="auto"/>
        <w:left w:val="none" w:sz="0" w:space="0" w:color="auto"/>
        <w:bottom w:val="none" w:sz="0" w:space="0" w:color="auto"/>
        <w:right w:val="none" w:sz="0" w:space="0" w:color="auto"/>
      </w:divBdr>
    </w:div>
    <w:div w:id="239483095">
      <w:bodyDiv w:val="1"/>
      <w:marLeft w:val="0"/>
      <w:marRight w:val="0"/>
      <w:marTop w:val="0"/>
      <w:marBottom w:val="0"/>
      <w:divBdr>
        <w:top w:val="none" w:sz="0" w:space="0" w:color="auto"/>
        <w:left w:val="none" w:sz="0" w:space="0" w:color="auto"/>
        <w:bottom w:val="none" w:sz="0" w:space="0" w:color="auto"/>
        <w:right w:val="none" w:sz="0" w:space="0" w:color="auto"/>
      </w:divBdr>
    </w:div>
    <w:div w:id="239602551">
      <w:bodyDiv w:val="1"/>
      <w:marLeft w:val="0"/>
      <w:marRight w:val="0"/>
      <w:marTop w:val="0"/>
      <w:marBottom w:val="0"/>
      <w:divBdr>
        <w:top w:val="none" w:sz="0" w:space="0" w:color="auto"/>
        <w:left w:val="none" w:sz="0" w:space="0" w:color="auto"/>
        <w:bottom w:val="none" w:sz="0" w:space="0" w:color="auto"/>
        <w:right w:val="none" w:sz="0" w:space="0" w:color="auto"/>
      </w:divBdr>
    </w:div>
    <w:div w:id="280307012">
      <w:bodyDiv w:val="1"/>
      <w:marLeft w:val="0"/>
      <w:marRight w:val="0"/>
      <w:marTop w:val="0"/>
      <w:marBottom w:val="0"/>
      <w:divBdr>
        <w:top w:val="none" w:sz="0" w:space="0" w:color="auto"/>
        <w:left w:val="none" w:sz="0" w:space="0" w:color="auto"/>
        <w:bottom w:val="none" w:sz="0" w:space="0" w:color="auto"/>
        <w:right w:val="none" w:sz="0" w:space="0" w:color="auto"/>
      </w:divBdr>
      <w:divsChild>
        <w:div w:id="780877865">
          <w:marLeft w:val="446"/>
          <w:marRight w:val="0"/>
          <w:marTop w:val="0"/>
          <w:marBottom w:val="0"/>
          <w:divBdr>
            <w:top w:val="none" w:sz="0" w:space="0" w:color="auto"/>
            <w:left w:val="none" w:sz="0" w:space="0" w:color="auto"/>
            <w:bottom w:val="none" w:sz="0" w:space="0" w:color="auto"/>
            <w:right w:val="none" w:sz="0" w:space="0" w:color="auto"/>
          </w:divBdr>
        </w:div>
        <w:div w:id="899824543">
          <w:marLeft w:val="446"/>
          <w:marRight w:val="0"/>
          <w:marTop w:val="0"/>
          <w:marBottom w:val="0"/>
          <w:divBdr>
            <w:top w:val="none" w:sz="0" w:space="0" w:color="auto"/>
            <w:left w:val="none" w:sz="0" w:space="0" w:color="auto"/>
            <w:bottom w:val="none" w:sz="0" w:space="0" w:color="auto"/>
            <w:right w:val="none" w:sz="0" w:space="0" w:color="auto"/>
          </w:divBdr>
        </w:div>
        <w:div w:id="1245068979">
          <w:marLeft w:val="446"/>
          <w:marRight w:val="0"/>
          <w:marTop w:val="0"/>
          <w:marBottom w:val="0"/>
          <w:divBdr>
            <w:top w:val="none" w:sz="0" w:space="0" w:color="auto"/>
            <w:left w:val="none" w:sz="0" w:space="0" w:color="auto"/>
            <w:bottom w:val="none" w:sz="0" w:space="0" w:color="auto"/>
            <w:right w:val="none" w:sz="0" w:space="0" w:color="auto"/>
          </w:divBdr>
        </w:div>
        <w:div w:id="1991245871">
          <w:marLeft w:val="446"/>
          <w:marRight w:val="0"/>
          <w:marTop w:val="0"/>
          <w:marBottom w:val="0"/>
          <w:divBdr>
            <w:top w:val="none" w:sz="0" w:space="0" w:color="auto"/>
            <w:left w:val="none" w:sz="0" w:space="0" w:color="auto"/>
            <w:bottom w:val="none" w:sz="0" w:space="0" w:color="auto"/>
            <w:right w:val="none" w:sz="0" w:space="0" w:color="auto"/>
          </w:divBdr>
        </w:div>
      </w:divsChild>
    </w:div>
    <w:div w:id="283194501">
      <w:bodyDiv w:val="1"/>
      <w:marLeft w:val="0"/>
      <w:marRight w:val="0"/>
      <w:marTop w:val="0"/>
      <w:marBottom w:val="0"/>
      <w:divBdr>
        <w:top w:val="none" w:sz="0" w:space="0" w:color="auto"/>
        <w:left w:val="none" w:sz="0" w:space="0" w:color="auto"/>
        <w:bottom w:val="none" w:sz="0" w:space="0" w:color="auto"/>
        <w:right w:val="none" w:sz="0" w:space="0" w:color="auto"/>
      </w:divBdr>
    </w:div>
    <w:div w:id="285700759">
      <w:bodyDiv w:val="1"/>
      <w:marLeft w:val="0"/>
      <w:marRight w:val="0"/>
      <w:marTop w:val="0"/>
      <w:marBottom w:val="0"/>
      <w:divBdr>
        <w:top w:val="none" w:sz="0" w:space="0" w:color="auto"/>
        <w:left w:val="none" w:sz="0" w:space="0" w:color="auto"/>
        <w:bottom w:val="none" w:sz="0" w:space="0" w:color="auto"/>
        <w:right w:val="none" w:sz="0" w:space="0" w:color="auto"/>
      </w:divBdr>
    </w:div>
    <w:div w:id="291714637">
      <w:bodyDiv w:val="1"/>
      <w:marLeft w:val="0"/>
      <w:marRight w:val="0"/>
      <w:marTop w:val="0"/>
      <w:marBottom w:val="0"/>
      <w:divBdr>
        <w:top w:val="none" w:sz="0" w:space="0" w:color="auto"/>
        <w:left w:val="none" w:sz="0" w:space="0" w:color="auto"/>
        <w:bottom w:val="none" w:sz="0" w:space="0" w:color="auto"/>
        <w:right w:val="none" w:sz="0" w:space="0" w:color="auto"/>
      </w:divBdr>
    </w:div>
    <w:div w:id="335303961">
      <w:bodyDiv w:val="1"/>
      <w:marLeft w:val="0"/>
      <w:marRight w:val="0"/>
      <w:marTop w:val="0"/>
      <w:marBottom w:val="0"/>
      <w:divBdr>
        <w:top w:val="none" w:sz="0" w:space="0" w:color="auto"/>
        <w:left w:val="none" w:sz="0" w:space="0" w:color="auto"/>
        <w:bottom w:val="none" w:sz="0" w:space="0" w:color="auto"/>
        <w:right w:val="none" w:sz="0" w:space="0" w:color="auto"/>
      </w:divBdr>
    </w:div>
    <w:div w:id="356277859">
      <w:bodyDiv w:val="1"/>
      <w:marLeft w:val="0"/>
      <w:marRight w:val="0"/>
      <w:marTop w:val="0"/>
      <w:marBottom w:val="0"/>
      <w:divBdr>
        <w:top w:val="none" w:sz="0" w:space="0" w:color="auto"/>
        <w:left w:val="none" w:sz="0" w:space="0" w:color="auto"/>
        <w:bottom w:val="none" w:sz="0" w:space="0" w:color="auto"/>
        <w:right w:val="none" w:sz="0" w:space="0" w:color="auto"/>
      </w:divBdr>
      <w:divsChild>
        <w:div w:id="620264486">
          <w:marLeft w:val="0"/>
          <w:marRight w:val="0"/>
          <w:marTop w:val="0"/>
          <w:marBottom w:val="0"/>
          <w:divBdr>
            <w:top w:val="none" w:sz="0" w:space="0" w:color="auto"/>
            <w:left w:val="none" w:sz="0" w:space="0" w:color="auto"/>
            <w:bottom w:val="none" w:sz="0" w:space="0" w:color="auto"/>
            <w:right w:val="none" w:sz="0" w:space="0" w:color="auto"/>
          </w:divBdr>
        </w:div>
        <w:div w:id="929436830">
          <w:marLeft w:val="0"/>
          <w:marRight w:val="0"/>
          <w:marTop w:val="0"/>
          <w:marBottom w:val="0"/>
          <w:divBdr>
            <w:top w:val="none" w:sz="0" w:space="0" w:color="auto"/>
            <w:left w:val="none" w:sz="0" w:space="0" w:color="auto"/>
            <w:bottom w:val="none" w:sz="0" w:space="0" w:color="auto"/>
            <w:right w:val="none" w:sz="0" w:space="0" w:color="auto"/>
          </w:divBdr>
        </w:div>
        <w:div w:id="941688131">
          <w:marLeft w:val="0"/>
          <w:marRight w:val="0"/>
          <w:marTop w:val="0"/>
          <w:marBottom w:val="0"/>
          <w:divBdr>
            <w:top w:val="none" w:sz="0" w:space="0" w:color="auto"/>
            <w:left w:val="none" w:sz="0" w:space="0" w:color="auto"/>
            <w:bottom w:val="none" w:sz="0" w:space="0" w:color="auto"/>
            <w:right w:val="none" w:sz="0" w:space="0" w:color="auto"/>
          </w:divBdr>
        </w:div>
        <w:div w:id="1480347555">
          <w:marLeft w:val="0"/>
          <w:marRight w:val="0"/>
          <w:marTop w:val="0"/>
          <w:marBottom w:val="0"/>
          <w:divBdr>
            <w:top w:val="none" w:sz="0" w:space="0" w:color="auto"/>
            <w:left w:val="none" w:sz="0" w:space="0" w:color="auto"/>
            <w:bottom w:val="none" w:sz="0" w:space="0" w:color="auto"/>
            <w:right w:val="none" w:sz="0" w:space="0" w:color="auto"/>
          </w:divBdr>
        </w:div>
        <w:div w:id="1506624978">
          <w:marLeft w:val="0"/>
          <w:marRight w:val="0"/>
          <w:marTop w:val="0"/>
          <w:marBottom w:val="0"/>
          <w:divBdr>
            <w:top w:val="none" w:sz="0" w:space="0" w:color="auto"/>
            <w:left w:val="none" w:sz="0" w:space="0" w:color="auto"/>
            <w:bottom w:val="none" w:sz="0" w:space="0" w:color="auto"/>
            <w:right w:val="none" w:sz="0" w:space="0" w:color="auto"/>
          </w:divBdr>
        </w:div>
        <w:div w:id="1546285507">
          <w:marLeft w:val="0"/>
          <w:marRight w:val="0"/>
          <w:marTop w:val="0"/>
          <w:marBottom w:val="0"/>
          <w:divBdr>
            <w:top w:val="none" w:sz="0" w:space="0" w:color="auto"/>
            <w:left w:val="none" w:sz="0" w:space="0" w:color="auto"/>
            <w:bottom w:val="none" w:sz="0" w:space="0" w:color="auto"/>
            <w:right w:val="none" w:sz="0" w:space="0" w:color="auto"/>
          </w:divBdr>
        </w:div>
        <w:div w:id="1804811345">
          <w:marLeft w:val="0"/>
          <w:marRight w:val="0"/>
          <w:marTop w:val="0"/>
          <w:marBottom w:val="0"/>
          <w:divBdr>
            <w:top w:val="none" w:sz="0" w:space="0" w:color="auto"/>
            <w:left w:val="none" w:sz="0" w:space="0" w:color="auto"/>
            <w:bottom w:val="none" w:sz="0" w:space="0" w:color="auto"/>
            <w:right w:val="none" w:sz="0" w:space="0" w:color="auto"/>
          </w:divBdr>
        </w:div>
        <w:div w:id="1995521051">
          <w:marLeft w:val="0"/>
          <w:marRight w:val="0"/>
          <w:marTop w:val="0"/>
          <w:marBottom w:val="0"/>
          <w:divBdr>
            <w:top w:val="none" w:sz="0" w:space="0" w:color="auto"/>
            <w:left w:val="none" w:sz="0" w:space="0" w:color="auto"/>
            <w:bottom w:val="none" w:sz="0" w:space="0" w:color="auto"/>
            <w:right w:val="none" w:sz="0" w:space="0" w:color="auto"/>
          </w:divBdr>
        </w:div>
      </w:divsChild>
    </w:div>
    <w:div w:id="363138279">
      <w:bodyDiv w:val="1"/>
      <w:marLeft w:val="0"/>
      <w:marRight w:val="0"/>
      <w:marTop w:val="0"/>
      <w:marBottom w:val="0"/>
      <w:divBdr>
        <w:top w:val="none" w:sz="0" w:space="0" w:color="auto"/>
        <w:left w:val="none" w:sz="0" w:space="0" w:color="auto"/>
        <w:bottom w:val="none" w:sz="0" w:space="0" w:color="auto"/>
        <w:right w:val="none" w:sz="0" w:space="0" w:color="auto"/>
      </w:divBdr>
    </w:div>
    <w:div w:id="372921068">
      <w:bodyDiv w:val="1"/>
      <w:marLeft w:val="0"/>
      <w:marRight w:val="0"/>
      <w:marTop w:val="0"/>
      <w:marBottom w:val="0"/>
      <w:divBdr>
        <w:top w:val="none" w:sz="0" w:space="0" w:color="auto"/>
        <w:left w:val="none" w:sz="0" w:space="0" w:color="auto"/>
        <w:bottom w:val="none" w:sz="0" w:space="0" w:color="auto"/>
        <w:right w:val="none" w:sz="0" w:space="0" w:color="auto"/>
      </w:divBdr>
      <w:divsChild>
        <w:div w:id="2002539500">
          <w:marLeft w:val="0"/>
          <w:marRight w:val="0"/>
          <w:marTop w:val="0"/>
          <w:marBottom w:val="0"/>
          <w:divBdr>
            <w:top w:val="none" w:sz="0" w:space="0" w:color="auto"/>
            <w:left w:val="none" w:sz="0" w:space="0" w:color="auto"/>
            <w:bottom w:val="none" w:sz="0" w:space="0" w:color="auto"/>
            <w:right w:val="none" w:sz="0" w:space="0" w:color="auto"/>
          </w:divBdr>
        </w:div>
      </w:divsChild>
    </w:div>
    <w:div w:id="419523014">
      <w:bodyDiv w:val="1"/>
      <w:marLeft w:val="0"/>
      <w:marRight w:val="0"/>
      <w:marTop w:val="0"/>
      <w:marBottom w:val="0"/>
      <w:divBdr>
        <w:top w:val="none" w:sz="0" w:space="0" w:color="auto"/>
        <w:left w:val="none" w:sz="0" w:space="0" w:color="auto"/>
        <w:bottom w:val="none" w:sz="0" w:space="0" w:color="auto"/>
        <w:right w:val="none" w:sz="0" w:space="0" w:color="auto"/>
      </w:divBdr>
      <w:divsChild>
        <w:div w:id="1222328875">
          <w:marLeft w:val="446"/>
          <w:marRight w:val="0"/>
          <w:marTop w:val="0"/>
          <w:marBottom w:val="40"/>
          <w:divBdr>
            <w:top w:val="none" w:sz="0" w:space="0" w:color="auto"/>
            <w:left w:val="none" w:sz="0" w:space="0" w:color="auto"/>
            <w:bottom w:val="none" w:sz="0" w:space="0" w:color="auto"/>
            <w:right w:val="none" w:sz="0" w:space="0" w:color="auto"/>
          </w:divBdr>
        </w:div>
      </w:divsChild>
    </w:div>
    <w:div w:id="441612479">
      <w:bodyDiv w:val="1"/>
      <w:marLeft w:val="0"/>
      <w:marRight w:val="0"/>
      <w:marTop w:val="0"/>
      <w:marBottom w:val="0"/>
      <w:divBdr>
        <w:top w:val="none" w:sz="0" w:space="0" w:color="auto"/>
        <w:left w:val="none" w:sz="0" w:space="0" w:color="auto"/>
        <w:bottom w:val="none" w:sz="0" w:space="0" w:color="auto"/>
        <w:right w:val="none" w:sz="0" w:space="0" w:color="auto"/>
      </w:divBdr>
    </w:div>
    <w:div w:id="454105961">
      <w:bodyDiv w:val="1"/>
      <w:marLeft w:val="0"/>
      <w:marRight w:val="0"/>
      <w:marTop w:val="0"/>
      <w:marBottom w:val="0"/>
      <w:divBdr>
        <w:top w:val="none" w:sz="0" w:space="0" w:color="auto"/>
        <w:left w:val="none" w:sz="0" w:space="0" w:color="auto"/>
        <w:bottom w:val="none" w:sz="0" w:space="0" w:color="auto"/>
        <w:right w:val="none" w:sz="0" w:space="0" w:color="auto"/>
      </w:divBdr>
    </w:div>
    <w:div w:id="478159911">
      <w:bodyDiv w:val="1"/>
      <w:marLeft w:val="0"/>
      <w:marRight w:val="0"/>
      <w:marTop w:val="0"/>
      <w:marBottom w:val="0"/>
      <w:divBdr>
        <w:top w:val="none" w:sz="0" w:space="0" w:color="auto"/>
        <w:left w:val="none" w:sz="0" w:space="0" w:color="auto"/>
        <w:bottom w:val="none" w:sz="0" w:space="0" w:color="auto"/>
        <w:right w:val="none" w:sz="0" w:space="0" w:color="auto"/>
      </w:divBdr>
    </w:div>
    <w:div w:id="479200009">
      <w:bodyDiv w:val="1"/>
      <w:marLeft w:val="0"/>
      <w:marRight w:val="0"/>
      <w:marTop w:val="0"/>
      <w:marBottom w:val="0"/>
      <w:divBdr>
        <w:top w:val="none" w:sz="0" w:space="0" w:color="auto"/>
        <w:left w:val="none" w:sz="0" w:space="0" w:color="auto"/>
        <w:bottom w:val="none" w:sz="0" w:space="0" w:color="auto"/>
        <w:right w:val="none" w:sz="0" w:space="0" w:color="auto"/>
      </w:divBdr>
    </w:div>
    <w:div w:id="481119170">
      <w:bodyDiv w:val="1"/>
      <w:marLeft w:val="0"/>
      <w:marRight w:val="0"/>
      <w:marTop w:val="0"/>
      <w:marBottom w:val="0"/>
      <w:divBdr>
        <w:top w:val="none" w:sz="0" w:space="0" w:color="auto"/>
        <w:left w:val="none" w:sz="0" w:space="0" w:color="auto"/>
        <w:bottom w:val="none" w:sz="0" w:space="0" w:color="auto"/>
        <w:right w:val="none" w:sz="0" w:space="0" w:color="auto"/>
      </w:divBdr>
    </w:div>
    <w:div w:id="486091492">
      <w:bodyDiv w:val="1"/>
      <w:marLeft w:val="0"/>
      <w:marRight w:val="0"/>
      <w:marTop w:val="0"/>
      <w:marBottom w:val="0"/>
      <w:divBdr>
        <w:top w:val="none" w:sz="0" w:space="0" w:color="auto"/>
        <w:left w:val="none" w:sz="0" w:space="0" w:color="auto"/>
        <w:bottom w:val="none" w:sz="0" w:space="0" w:color="auto"/>
        <w:right w:val="none" w:sz="0" w:space="0" w:color="auto"/>
      </w:divBdr>
      <w:divsChild>
        <w:div w:id="210381627">
          <w:marLeft w:val="0"/>
          <w:marRight w:val="0"/>
          <w:marTop w:val="0"/>
          <w:marBottom w:val="0"/>
          <w:divBdr>
            <w:top w:val="none" w:sz="0" w:space="0" w:color="auto"/>
            <w:left w:val="none" w:sz="0" w:space="0" w:color="auto"/>
            <w:bottom w:val="none" w:sz="0" w:space="0" w:color="auto"/>
            <w:right w:val="none" w:sz="0" w:space="0" w:color="auto"/>
          </w:divBdr>
        </w:div>
      </w:divsChild>
    </w:div>
    <w:div w:id="495266579">
      <w:bodyDiv w:val="1"/>
      <w:marLeft w:val="0"/>
      <w:marRight w:val="0"/>
      <w:marTop w:val="0"/>
      <w:marBottom w:val="0"/>
      <w:divBdr>
        <w:top w:val="none" w:sz="0" w:space="0" w:color="auto"/>
        <w:left w:val="none" w:sz="0" w:space="0" w:color="auto"/>
        <w:bottom w:val="none" w:sz="0" w:space="0" w:color="auto"/>
        <w:right w:val="none" w:sz="0" w:space="0" w:color="auto"/>
      </w:divBdr>
    </w:div>
    <w:div w:id="510725564">
      <w:bodyDiv w:val="1"/>
      <w:marLeft w:val="0"/>
      <w:marRight w:val="0"/>
      <w:marTop w:val="0"/>
      <w:marBottom w:val="0"/>
      <w:divBdr>
        <w:top w:val="none" w:sz="0" w:space="0" w:color="auto"/>
        <w:left w:val="none" w:sz="0" w:space="0" w:color="auto"/>
        <w:bottom w:val="none" w:sz="0" w:space="0" w:color="auto"/>
        <w:right w:val="none" w:sz="0" w:space="0" w:color="auto"/>
      </w:divBdr>
      <w:divsChild>
        <w:div w:id="776099960">
          <w:marLeft w:val="547"/>
          <w:marRight w:val="0"/>
          <w:marTop w:val="0"/>
          <w:marBottom w:val="0"/>
          <w:divBdr>
            <w:top w:val="none" w:sz="0" w:space="0" w:color="auto"/>
            <w:left w:val="none" w:sz="0" w:space="0" w:color="auto"/>
            <w:bottom w:val="none" w:sz="0" w:space="0" w:color="auto"/>
            <w:right w:val="none" w:sz="0" w:space="0" w:color="auto"/>
          </w:divBdr>
        </w:div>
        <w:div w:id="1122001078">
          <w:marLeft w:val="547"/>
          <w:marRight w:val="0"/>
          <w:marTop w:val="0"/>
          <w:marBottom w:val="0"/>
          <w:divBdr>
            <w:top w:val="none" w:sz="0" w:space="0" w:color="auto"/>
            <w:left w:val="none" w:sz="0" w:space="0" w:color="auto"/>
            <w:bottom w:val="none" w:sz="0" w:space="0" w:color="auto"/>
            <w:right w:val="none" w:sz="0" w:space="0" w:color="auto"/>
          </w:divBdr>
        </w:div>
        <w:div w:id="1292899635">
          <w:marLeft w:val="547"/>
          <w:marRight w:val="0"/>
          <w:marTop w:val="0"/>
          <w:marBottom w:val="0"/>
          <w:divBdr>
            <w:top w:val="none" w:sz="0" w:space="0" w:color="auto"/>
            <w:left w:val="none" w:sz="0" w:space="0" w:color="auto"/>
            <w:bottom w:val="none" w:sz="0" w:space="0" w:color="auto"/>
            <w:right w:val="none" w:sz="0" w:space="0" w:color="auto"/>
          </w:divBdr>
        </w:div>
        <w:div w:id="1831871282">
          <w:marLeft w:val="547"/>
          <w:marRight w:val="0"/>
          <w:marTop w:val="0"/>
          <w:marBottom w:val="0"/>
          <w:divBdr>
            <w:top w:val="none" w:sz="0" w:space="0" w:color="auto"/>
            <w:left w:val="none" w:sz="0" w:space="0" w:color="auto"/>
            <w:bottom w:val="none" w:sz="0" w:space="0" w:color="auto"/>
            <w:right w:val="none" w:sz="0" w:space="0" w:color="auto"/>
          </w:divBdr>
        </w:div>
        <w:div w:id="2041394948">
          <w:marLeft w:val="547"/>
          <w:marRight w:val="0"/>
          <w:marTop w:val="0"/>
          <w:marBottom w:val="0"/>
          <w:divBdr>
            <w:top w:val="none" w:sz="0" w:space="0" w:color="auto"/>
            <w:left w:val="none" w:sz="0" w:space="0" w:color="auto"/>
            <w:bottom w:val="none" w:sz="0" w:space="0" w:color="auto"/>
            <w:right w:val="none" w:sz="0" w:space="0" w:color="auto"/>
          </w:divBdr>
        </w:div>
      </w:divsChild>
    </w:div>
    <w:div w:id="515928581">
      <w:bodyDiv w:val="1"/>
      <w:marLeft w:val="0"/>
      <w:marRight w:val="0"/>
      <w:marTop w:val="0"/>
      <w:marBottom w:val="0"/>
      <w:divBdr>
        <w:top w:val="none" w:sz="0" w:space="0" w:color="auto"/>
        <w:left w:val="none" w:sz="0" w:space="0" w:color="auto"/>
        <w:bottom w:val="none" w:sz="0" w:space="0" w:color="auto"/>
        <w:right w:val="none" w:sz="0" w:space="0" w:color="auto"/>
      </w:divBdr>
      <w:divsChild>
        <w:div w:id="9987542">
          <w:marLeft w:val="0"/>
          <w:marRight w:val="0"/>
          <w:marTop w:val="0"/>
          <w:marBottom w:val="0"/>
          <w:divBdr>
            <w:top w:val="none" w:sz="0" w:space="0" w:color="auto"/>
            <w:left w:val="none" w:sz="0" w:space="0" w:color="auto"/>
            <w:bottom w:val="none" w:sz="0" w:space="0" w:color="auto"/>
            <w:right w:val="none" w:sz="0" w:space="0" w:color="auto"/>
          </w:divBdr>
        </w:div>
        <w:div w:id="1461217984">
          <w:marLeft w:val="0"/>
          <w:marRight w:val="0"/>
          <w:marTop w:val="0"/>
          <w:marBottom w:val="0"/>
          <w:divBdr>
            <w:top w:val="none" w:sz="0" w:space="0" w:color="auto"/>
            <w:left w:val="none" w:sz="0" w:space="0" w:color="auto"/>
            <w:bottom w:val="none" w:sz="0" w:space="0" w:color="auto"/>
            <w:right w:val="none" w:sz="0" w:space="0" w:color="auto"/>
          </w:divBdr>
        </w:div>
        <w:div w:id="1918518291">
          <w:marLeft w:val="0"/>
          <w:marRight w:val="0"/>
          <w:marTop w:val="0"/>
          <w:marBottom w:val="0"/>
          <w:divBdr>
            <w:top w:val="none" w:sz="0" w:space="0" w:color="auto"/>
            <w:left w:val="none" w:sz="0" w:space="0" w:color="auto"/>
            <w:bottom w:val="none" w:sz="0" w:space="0" w:color="auto"/>
            <w:right w:val="none" w:sz="0" w:space="0" w:color="auto"/>
          </w:divBdr>
        </w:div>
      </w:divsChild>
    </w:div>
    <w:div w:id="516894328">
      <w:bodyDiv w:val="1"/>
      <w:marLeft w:val="0"/>
      <w:marRight w:val="0"/>
      <w:marTop w:val="0"/>
      <w:marBottom w:val="0"/>
      <w:divBdr>
        <w:top w:val="none" w:sz="0" w:space="0" w:color="auto"/>
        <w:left w:val="none" w:sz="0" w:space="0" w:color="auto"/>
        <w:bottom w:val="none" w:sz="0" w:space="0" w:color="auto"/>
        <w:right w:val="none" w:sz="0" w:space="0" w:color="auto"/>
      </w:divBdr>
    </w:div>
    <w:div w:id="521624985">
      <w:bodyDiv w:val="1"/>
      <w:marLeft w:val="0"/>
      <w:marRight w:val="0"/>
      <w:marTop w:val="0"/>
      <w:marBottom w:val="0"/>
      <w:divBdr>
        <w:top w:val="none" w:sz="0" w:space="0" w:color="auto"/>
        <w:left w:val="none" w:sz="0" w:space="0" w:color="auto"/>
        <w:bottom w:val="none" w:sz="0" w:space="0" w:color="auto"/>
        <w:right w:val="none" w:sz="0" w:space="0" w:color="auto"/>
      </w:divBdr>
    </w:div>
    <w:div w:id="535852408">
      <w:bodyDiv w:val="1"/>
      <w:marLeft w:val="0"/>
      <w:marRight w:val="0"/>
      <w:marTop w:val="0"/>
      <w:marBottom w:val="0"/>
      <w:divBdr>
        <w:top w:val="none" w:sz="0" w:space="0" w:color="auto"/>
        <w:left w:val="none" w:sz="0" w:space="0" w:color="auto"/>
        <w:bottom w:val="none" w:sz="0" w:space="0" w:color="auto"/>
        <w:right w:val="none" w:sz="0" w:space="0" w:color="auto"/>
      </w:divBdr>
    </w:div>
    <w:div w:id="540678418">
      <w:bodyDiv w:val="1"/>
      <w:marLeft w:val="0"/>
      <w:marRight w:val="0"/>
      <w:marTop w:val="0"/>
      <w:marBottom w:val="0"/>
      <w:divBdr>
        <w:top w:val="none" w:sz="0" w:space="0" w:color="auto"/>
        <w:left w:val="none" w:sz="0" w:space="0" w:color="auto"/>
        <w:bottom w:val="none" w:sz="0" w:space="0" w:color="auto"/>
        <w:right w:val="none" w:sz="0" w:space="0" w:color="auto"/>
      </w:divBdr>
    </w:div>
    <w:div w:id="550533933">
      <w:bodyDiv w:val="1"/>
      <w:marLeft w:val="0"/>
      <w:marRight w:val="0"/>
      <w:marTop w:val="0"/>
      <w:marBottom w:val="0"/>
      <w:divBdr>
        <w:top w:val="none" w:sz="0" w:space="0" w:color="auto"/>
        <w:left w:val="none" w:sz="0" w:space="0" w:color="auto"/>
        <w:bottom w:val="none" w:sz="0" w:space="0" w:color="auto"/>
        <w:right w:val="none" w:sz="0" w:space="0" w:color="auto"/>
      </w:divBdr>
    </w:div>
    <w:div w:id="559563081">
      <w:bodyDiv w:val="1"/>
      <w:marLeft w:val="0"/>
      <w:marRight w:val="0"/>
      <w:marTop w:val="0"/>
      <w:marBottom w:val="0"/>
      <w:divBdr>
        <w:top w:val="none" w:sz="0" w:space="0" w:color="auto"/>
        <w:left w:val="none" w:sz="0" w:space="0" w:color="auto"/>
        <w:bottom w:val="none" w:sz="0" w:space="0" w:color="auto"/>
        <w:right w:val="none" w:sz="0" w:space="0" w:color="auto"/>
      </w:divBdr>
      <w:divsChild>
        <w:div w:id="1969891402">
          <w:marLeft w:val="446"/>
          <w:marRight w:val="0"/>
          <w:marTop w:val="160"/>
          <w:marBottom w:val="0"/>
          <w:divBdr>
            <w:top w:val="none" w:sz="0" w:space="0" w:color="auto"/>
            <w:left w:val="none" w:sz="0" w:space="0" w:color="auto"/>
            <w:bottom w:val="none" w:sz="0" w:space="0" w:color="auto"/>
            <w:right w:val="none" w:sz="0" w:space="0" w:color="auto"/>
          </w:divBdr>
        </w:div>
      </w:divsChild>
    </w:div>
    <w:div w:id="564803186">
      <w:bodyDiv w:val="1"/>
      <w:marLeft w:val="0"/>
      <w:marRight w:val="0"/>
      <w:marTop w:val="0"/>
      <w:marBottom w:val="0"/>
      <w:divBdr>
        <w:top w:val="none" w:sz="0" w:space="0" w:color="auto"/>
        <w:left w:val="none" w:sz="0" w:space="0" w:color="auto"/>
        <w:bottom w:val="none" w:sz="0" w:space="0" w:color="auto"/>
        <w:right w:val="none" w:sz="0" w:space="0" w:color="auto"/>
      </w:divBdr>
    </w:div>
    <w:div w:id="587732524">
      <w:bodyDiv w:val="1"/>
      <w:marLeft w:val="0"/>
      <w:marRight w:val="0"/>
      <w:marTop w:val="0"/>
      <w:marBottom w:val="0"/>
      <w:divBdr>
        <w:top w:val="none" w:sz="0" w:space="0" w:color="auto"/>
        <w:left w:val="none" w:sz="0" w:space="0" w:color="auto"/>
        <w:bottom w:val="none" w:sz="0" w:space="0" w:color="auto"/>
        <w:right w:val="none" w:sz="0" w:space="0" w:color="auto"/>
      </w:divBdr>
      <w:divsChild>
        <w:div w:id="216288079">
          <w:marLeft w:val="446"/>
          <w:marRight w:val="0"/>
          <w:marTop w:val="0"/>
          <w:marBottom w:val="176"/>
          <w:divBdr>
            <w:top w:val="none" w:sz="0" w:space="0" w:color="auto"/>
            <w:left w:val="none" w:sz="0" w:space="0" w:color="auto"/>
            <w:bottom w:val="none" w:sz="0" w:space="0" w:color="auto"/>
            <w:right w:val="none" w:sz="0" w:space="0" w:color="auto"/>
          </w:divBdr>
        </w:div>
        <w:div w:id="952589663">
          <w:marLeft w:val="446"/>
          <w:marRight w:val="0"/>
          <w:marTop w:val="0"/>
          <w:marBottom w:val="235"/>
          <w:divBdr>
            <w:top w:val="none" w:sz="0" w:space="0" w:color="auto"/>
            <w:left w:val="none" w:sz="0" w:space="0" w:color="auto"/>
            <w:bottom w:val="none" w:sz="0" w:space="0" w:color="auto"/>
            <w:right w:val="none" w:sz="0" w:space="0" w:color="auto"/>
          </w:divBdr>
        </w:div>
        <w:div w:id="1173454339">
          <w:marLeft w:val="446"/>
          <w:marRight w:val="0"/>
          <w:marTop w:val="0"/>
          <w:marBottom w:val="176"/>
          <w:divBdr>
            <w:top w:val="none" w:sz="0" w:space="0" w:color="auto"/>
            <w:left w:val="none" w:sz="0" w:space="0" w:color="auto"/>
            <w:bottom w:val="none" w:sz="0" w:space="0" w:color="auto"/>
            <w:right w:val="none" w:sz="0" w:space="0" w:color="auto"/>
          </w:divBdr>
        </w:div>
        <w:div w:id="1544055273">
          <w:marLeft w:val="446"/>
          <w:marRight w:val="0"/>
          <w:marTop w:val="0"/>
          <w:marBottom w:val="235"/>
          <w:divBdr>
            <w:top w:val="none" w:sz="0" w:space="0" w:color="auto"/>
            <w:left w:val="none" w:sz="0" w:space="0" w:color="auto"/>
            <w:bottom w:val="none" w:sz="0" w:space="0" w:color="auto"/>
            <w:right w:val="none" w:sz="0" w:space="0" w:color="auto"/>
          </w:divBdr>
        </w:div>
      </w:divsChild>
    </w:div>
    <w:div w:id="593510332">
      <w:bodyDiv w:val="1"/>
      <w:marLeft w:val="0"/>
      <w:marRight w:val="0"/>
      <w:marTop w:val="0"/>
      <w:marBottom w:val="0"/>
      <w:divBdr>
        <w:top w:val="none" w:sz="0" w:space="0" w:color="auto"/>
        <w:left w:val="none" w:sz="0" w:space="0" w:color="auto"/>
        <w:bottom w:val="none" w:sz="0" w:space="0" w:color="auto"/>
        <w:right w:val="none" w:sz="0" w:space="0" w:color="auto"/>
      </w:divBdr>
    </w:div>
    <w:div w:id="607078721">
      <w:bodyDiv w:val="1"/>
      <w:marLeft w:val="0"/>
      <w:marRight w:val="0"/>
      <w:marTop w:val="0"/>
      <w:marBottom w:val="0"/>
      <w:divBdr>
        <w:top w:val="none" w:sz="0" w:space="0" w:color="auto"/>
        <w:left w:val="none" w:sz="0" w:space="0" w:color="auto"/>
        <w:bottom w:val="none" w:sz="0" w:space="0" w:color="auto"/>
        <w:right w:val="none" w:sz="0" w:space="0" w:color="auto"/>
      </w:divBdr>
    </w:div>
    <w:div w:id="624241186">
      <w:bodyDiv w:val="1"/>
      <w:marLeft w:val="0"/>
      <w:marRight w:val="0"/>
      <w:marTop w:val="0"/>
      <w:marBottom w:val="0"/>
      <w:divBdr>
        <w:top w:val="none" w:sz="0" w:space="0" w:color="auto"/>
        <w:left w:val="none" w:sz="0" w:space="0" w:color="auto"/>
        <w:bottom w:val="none" w:sz="0" w:space="0" w:color="auto"/>
        <w:right w:val="none" w:sz="0" w:space="0" w:color="auto"/>
      </w:divBdr>
      <w:divsChild>
        <w:div w:id="930964598">
          <w:marLeft w:val="446"/>
          <w:marRight w:val="0"/>
          <w:marTop w:val="0"/>
          <w:marBottom w:val="0"/>
          <w:divBdr>
            <w:top w:val="none" w:sz="0" w:space="0" w:color="auto"/>
            <w:left w:val="none" w:sz="0" w:space="0" w:color="auto"/>
            <w:bottom w:val="none" w:sz="0" w:space="0" w:color="auto"/>
            <w:right w:val="none" w:sz="0" w:space="0" w:color="auto"/>
          </w:divBdr>
        </w:div>
      </w:divsChild>
    </w:div>
    <w:div w:id="630284855">
      <w:bodyDiv w:val="1"/>
      <w:marLeft w:val="0"/>
      <w:marRight w:val="0"/>
      <w:marTop w:val="0"/>
      <w:marBottom w:val="0"/>
      <w:divBdr>
        <w:top w:val="none" w:sz="0" w:space="0" w:color="auto"/>
        <w:left w:val="none" w:sz="0" w:space="0" w:color="auto"/>
        <w:bottom w:val="none" w:sz="0" w:space="0" w:color="auto"/>
        <w:right w:val="none" w:sz="0" w:space="0" w:color="auto"/>
      </w:divBdr>
      <w:divsChild>
        <w:div w:id="644050839">
          <w:marLeft w:val="0"/>
          <w:marRight w:val="0"/>
          <w:marTop w:val="0"/>
          <w:marBottom w:val="0"/>
          <w:divBdr>
            <w:top w:val="none" w:sz="0" w:space="0" w:color="auto"/>
            <w:left w:val="none" w:sz="0" w:space="0" w:color="auto"/>
            <w:bottom w:val="none" w:sz="0" w:space="0" w:color="auto"/>
            <w:right w:val="none" w:sz="0" w:space="0" w:color="auto"/>
          </w:divBdr>
        </w:div>
      </w:divsChild>
    </w:div>
    <w:div w:id="634333943">
      <w:bodyDiv w:val="1"/>
      <w:marLeft w:val="0"/>
      <w:marRight w:val="0"/>
      <w:marTop w:val="0"/>
      <w:marBottom w:val="0"/>
      <w:divBdr>
        <w:top w:val="none" w:sz="0" w:space="0" w:color="auto"/>
        <w:left w:val="none" w:sz="0" w:space="0" w:color="auto"/>
        <w:bottom w:val="none" w:sz="0" w:space="0" w:color="auto"/>
        <w:right w:val="none" w:sz="0" w:space="0" w:color="auto"/>
      </w:divBdr>
    </w:div>
    <w:div w:id="639649065">
      <w:bodyDiv w:val="1"/>
      <w:marLeft w:val="0"/>
      <w:marRight w:val="0"/>
      <w:marTop w:val="0"/>
      <w:marBottom w:val="0"/>
      <w:divBdr>
        <w:top w:val="none" w:sz="0" w:space="0" w:color="auto"/>
        <w:left w:val="none" w:sz="0" w:space="0" w:color="auto"/>
        <w:bottom w:val="none" w:sz="0" w:space="0" w:color="auto"/>
        <w:right w:val="none" w:sz="0" w:space="0" w:color="auto"/>
      </w:divBdr>
    </w:div>
    <w:div w:id="650672310">
      <w:bodyDiv w:val="1"/>
      <w:marLeft w:val="0"/>
      <w:marRight w:val="0"/>
      <w:marTop w:val="0"/>
      <w:marBottom w:val="0"/>
      <w:divBdr>
        <w:top w:val="none" w:sz="0" w:space="0" w:color="auto"/>
        <w:left w:val="none" w:sz="0" w:space="0" w:color="auto"/>
        <w:bottom w:val="none" w:sz="0" w:space="0" w:color="auto"/>
        <w:right w:val="none" w:sz="0" w:space="0" w:color="auto"/>
      </w:divBdr>
    </w:div>
    <w:div w:id="660159151">
      <w:bodyDiv w:val="1"/>
      <w:marLeft w:val="0"/>
      <w:marRight w:val="0"/>
      <w:marTop w:val="0"/>
      <w:marBottom w:val="0"/>
      <w:divBdr>
        <w:top w:val="none" w:sz="0" w:space="0" w:color="auto"/>
        <w:left w:val="none" w:sz="0" w:space="0" w:color="auto"/>
        <w:bottom w:val="none" w:sz="0" w:space="0" w:color="auto"/>
        <w:right w:val="none" w:sz="0" w:space="0" w:color="auto"/>
      </w:divBdr>
    </w:div>
    <w:div w:id="661390613">
      <w:bodyDiv w:val="1"/>
      <w:marLeft w:val="0"/>
      <w:marRight w:val="0"/>
      <w:marTop w:val="0"/>
      <w:marBottom w:val="0"/>
      <w:divBdr>
        <w:top w:val="none" w:sz="0" w:space="0" w:color="auto"/>
        <w:left w:val="none" w:sz="0" w:space="0" w:color="auto"/>
        <w:bottom w:val="none" w:sz="0" w:space="0" w:color="auto"/>
        <w:right w:val="none" w:sz="0" w:space="0" w:color="auto"/>
      </w:divBdr>
    </w:div>
    <w:div w:id="671950588">
      <w:bodyDiv w:val="1"/>
      <w:marLeft w:val="0"/>
      <w:marRight w:val="0"/>
      <w:marTop w:val="0"/>
      <w:marBottom w:val="0"/>
      <w:divBdr>
        <w:top w:val="none" w:sz="0" w:space="0" w:color="auto"/>
        <w:left w:val="none" w:sz="0" w:space="0" w:color="auto"/>
        <w:bottom w:val="none" w:sz="0" w:space="0" w:color="auto"/>
        <w:right w:val="none" w:sz="0" w:space="0" w:color="auto"/>
      </w:divBdr>
    </w:div>
    <w:div w:id="684134937">
      <w:bodyDiv w:val="1"/>
      <w:marLeft w:val="0"/>
      <w:marRight w:val="0"/>
      <w:marTop w:val="0"/>
      <w:marBottom w:val="0"/>
      <w:divBdr>
        <w:top w:val="none" w:sz="0" w:space="0" w:color="auto"/>
        <w:left w:val="none" w:sz="0" w:space="0" w:color="auto"/>
        <w:bottom w:val="none" w:sz="0" w:space="0" w:color="auto"/>
        <w:right w:val="none" w:sz="0" w:space="0" w:color="auto"/>
      </w:divBdr>
    </w:div>
    <w:div w:id="686979640">
      <w:bodyDiv w:val="1"/>
      <w:marLeft w:val="0"/>
      <w:marRight w:val="0"/>
      <w:marTop w:val="0"/>
      <w:marBottom w:val="0"/>
      <w:divBdr>
        <w:top w:val="none" w:sz="0" w:space="0" w:color="auto"/>
        <w:left w:val="none" w:sz="0" w:space="0" w:color="auto"/>
        <w:bottom w:val="none" w:sz="0" w:space="0" w:color="auto"/>
        <w:right w:val="none" w:sz="0" w:space="0" w:color="auto"/>
      </w:divBdr>
    </w:div>
    <w:div w:id="697051424">
      <w:bodyDiv w:val="1"/>
      <w:marLeft w:val="0"/>
      <w:marRight w:val="0"/>
      <w:marTop w:val="0"/>
      <w:marBottom w:val="0"/>
      <w:divBdr>
        <w:top w:val="none" w:sz="0" w:space="0" w:color="auto"/>
        <w:left w:val="none" w:sz="0" w:space="0" w:color="auto"/>
        <w:bottom w:val="none" w:sz="0" w:space="0" w:color="auto"/>
        <w:right w:val="none" w:sz="0" w:space="0" w:color="auto"/>
      </w:divBdr>
    </w:div>
    <w:div w:id="703481427">
      <w:bodyDiv w:val="1"/>
      <w:marLeft w:val="0"/>
      <w:marRight w:val="0"/>
      <w:marTop w:val="0"/>
      <w:marBottom w:val="0"/>
      <w:divBdr>
        <w:top w:val="none" w:sz="0" w:space="0" w:color="auto"/>
        <w:left w:val="none" w:sz="0" w:space="0" w:color="auto"/>
        <w:bottom w:val="none" w:sz="0" w:space="0" w:color="auto"/>
        <w:right w:val="none" w:sz="0" w:space="0" w:color="auto"/>
      </w:divBdr>
    </w:div>
    <w:div w:id="709574226">
      <w:bodyDiv w:val="1"/>
      <w:marLeft w:val="0"/>
      <w:marRight w:val="0"/>
      <w:marTop w:val="0"/>
      <w:marBottom w:val="0"/>
      <w:divBdr>
        <w:top w:val="none" w:sz="0" w:space="0" w:color="auto"/>
        <w:left w:val="none" w:sz="0" w:space="0" w:color="auto"/>
        <w:bottom w:val="none" w:sz="0" w:space="0" w:color="auto"/>
        <w:right w:val="none" w:sz="0" w:space="0" w:color="auto"/>
      </w:divBdr>
    </w:div>
    <w:div w:id="754743876">
      <w:bodyDiv w:val="1"/>
      <w:marLeft w:val="0"/>
      <w:marRight w:val="0"/>
      <w:marTop w:val="0"/>
      <w:marBottom w:val="0"/>
      <w:divBdr>
        <w:top w:val="none" w:sz="0" w:space="0" w:color="auto"/>
        <w:left w:val="none" w:sz="0" w:space="0" w:color="auto"/>
        <w:bottom w:val="none" w:sz="0" w:space="0" w:color="auto"/>
        <w:right w:val="none" w:sz="0" w:space="0" w:color="auto"/>
      </w:divBdr>
    </w:div>
    <w:div w:id="756175130">
      <w:bodyDiv w:val="1"/>
      <w:marLeft w:val="0"/>
      <w:marRight w:val="0"/>
      <w:marTop w:val="0"/>
      <w:marBottom w:val="0"/>
      <w:divBdr>
        <w:top w:val="none" w:sz="0" w:space="0" w:color="auto"/>
        <w:left w:val="none" w:sz="0" w:space="0" w:color="auto"/>
        <w:bottom w:val="none" w:sz="0" w:space="0" w:color="auto"/>
        <w:right w:val="none" w:sz="0" w:space="0" w:color="auto"/>
      </w:divBdr>
    </w:div>
    <w:div w:id="767963039">
      <w:bodyDiv w:val="1"/>
      <w:marLeft w:val="0"/>
      <w:marRight w:val="0"/>
      <w:marTop w:val="0"/>
      <w:marBottom w:val="0"/>
      <w:divBdr>
        <w:top w:val="none" w:sz="0" w:space="0" w:color="auto"/>
        <w:left w:val="none" w:sz="0" w:space="0" w:color="auto"/>
        <w:bottom w:val="none" w:sz="0" w:space="0" w:color="auto"/>
        <w:right w:val="none" w:sz="0" w:space="0" w:color="auto"/>
      </w:divBdr>
    </w:div>
    <w:div w:id="769201806">
      <w:bodyDiv w:val="1"/>
      <w:marLeft w:val="0"/>
      <w:marRight w:val="0"/>
      <w:marTop w:val="0"/>
      <w:marBottom w:val="0"/>
      <w:divBdr>
        <w:top w:val="none" w:sz="0" w:space="0" w:color="auto"/>
        <w:left w:val="none" w:sz="0" w:space="0" w:color="auto"/>
        <w:bottom w:val="none" w:sz="0" w:space="0" w:color="auto"/>
        <w:right w:val="none" w:sz="0" w:space="0" w:color="auto"/>
      </w:divBdr>
    </w:div>
    <w:div w:id="781612498">
      <w:bodyDiv w:val="1"/>
      <w:marLeft w:val="0"/>
      <w:marRight w:val="0"/>
      <w:marTop w:val="0"/>
      <w:marBottom w:val="0"/>
      <w:divBdr>
        <w:top w:val="none" w:sz="0" w:space="0" w:color="auto"/>
        <w:left w:val="none" w:sz="0" w:space="0" w:color="auto"/>
        <w:bottom w:val="none" w:sz="0" w:space="0" w:color="auto"/>
        <w:right w:val="none" w:sz="0" w:space="0" w:color="auto"/>
      </w:divBdr>
    </w:div>
    <w:div w:id="783960291">
      <w:bodyDiv w:val="1"/>
      <w:marLeft w:val="0"/>
      <w:marRight w:val="0"/>
      <w:marTop w:val="0"/>
      <w:marBottom w:val="0"/>
      <w:divBdr>
        <w:top w:val="none" w:sz="0" w:space="0" w:color="auto"/>
        <w:left w:val="none" w:sz="0" w:space="0" w:color="auto"/>
        <w:bottom w:val="none" w:sz="0" w:space="0" w:color="auto"/>
        <w:right w:val="none" w:sz="0" w:space="0" w:color="auto"/>
      </w:divBdr>
    </w:div>
    <w:div w:id="788544632">
      <w:bodyDiv w:val="1"/>
      <w:marLeft w:val="0"/>
      <w:marRight w:val="0"/>
      <w:marTop w:val="0"/>
      <w:marBottom w:val="0"/>
      <w:divBdr>
        <w:top w:val="none" w:sz="0" w:space="0" w:color="auto"/>
        <w:left w:val="none" w:sz="0" w:space="0" w:color="auto"/>
        <w:bottom w:val="none" w:sz="0" w:space="0" w:color="auto"/>
        <w:right w:val="none" w:sz="0" w:space="0" w:color="auto"/>
      </w:divBdr>
      <w:divsChild>
        <w:div w:id="240220903">
          <w:marLeft w:val="389"/>
          <w:marRight w:val="0"/>
          <w:marTop w:val="0"/>
          <w:marBottom w:val="40"/>
          <w:divBdr>
            <w:top w:val="none" w:sz="0" w:space="0" w:color="auto"/>
            <w:left w:val="none" w:sz="0" w:space="0" w:color="auto"/>
            <w:bottom w:val="none" w:sz="0" w:space="0" w:color="auto"/>
            <w:right w:val="none" w:sz="0" w:space="0" w:color="auto"/>
          </w:divBdr>
        </w:div>
      </w:divsChild>
    </w:div>
    <w:div w:id="794758795">
      <w:bodyDiv w:val="1"/>
      <w:marLeft w:val="0"/>
      <w:marRight w:val="0"/>
      <w:marTop w:val="0"/>
      <w:marBottom w:val="0"/>
      <w:divBdr>
        <w:top w:val="none" w:sz="0" w:space="0" w:color="auto"/>
        <w:left w:val="none" w:sz="0" w:space="0" w:color="auto"/>
        <w:bottom w:val="none" w:sz="0" w:space="0" w:color="auto"/>
        <w:right w:val="none" w:sz="0" w:space="0" w:color="auto"/>
      </w:divBdr>
    </w:div>
    <w:div w:id="797919166">
      <w:bodyDiv w:val="1"/>
      <w:marLeft w:val="0"/>
      <w:marRight w:val="0"/>
      <w:marTop w:val="0"/>
      <w:marBottom w:val="0"/>
      <w:divBdr>
        <w:top w:val="none" w:sz="0" w:space="0" w:color="auto"/>
        <w:left w:val="none" w:sz="0" w:space="0" w:color="auto"/>
        <w:bottom w:val="none" w:sz="0" w:space="0" w:color="auto"/>
        <w:right w:val="none" w:sz="0" w:space="0" w:color="auto"/>
      </w:divBdr>
      <w:divsChild>
        <w:div w:id="1060982615">
          <w:marLeft w:val="0"/>
          <w:marRight w:val="0"/>
          <w:marTop w:val="0"/>
          <w:marBottom w:val="0"/>
          <w:divBdr>
            <w:top w:val="none" w:sz="0" w:space="0" w:color="auto"/>
            <w:left w:val="none" w:sz="0" w:space="0" w:color="auto"/>
            <w:bottom w:val="none" w:sz="0" w:space="0" w:color="auto"/>
            <w:right w:val="none" w:sz="0" w:space="0" w:color="auto"/>
          </w:divBdr>
          <w:divsChild>
            <w:div w:id="1920940828">
              <w:marLeft w:val="0"/>
              <w:marRight w:val="0"/>
              <w:marTop w:val="0"/>
              <w:marBottom w:val="0"/>
              <w:divBdr>
                <w:top w:val="none" w:sz="0" w:space="0" w:color="auto"/>
                <w:left w:val="none" w:sz="0" w:space="0" w:color="auto"/>
                <w:bottom w:val="none" w:sz="0" w:space="0" w:color="auto"/>
                <w:right w:val="none" w:sz="0" w:space="0" w:color="auto"/>
              </w:divBdr>
            </w:div>
          </w:divsChild>
        </w:div>
        <w:div w:id="1651247061">
          <w:marLeft w:val="0"/>
          <w:marRight w:val="0"/>
          <w:marTop w:val="0"/>
          <w:marBottom w:val="0"/>
          <w:divBdr>
            <w:top w:val="none" w:sz="0" w:space="0" w:color="auto"/>
            <w:left w:val="none" w:sz="0" w:space="0" w:color="auto"/>
            <w:bottom w:val="none" w:sz="0" w:space="0" w:color="auto"/>
            <w:right w:val="none" w:sz="0" w:space="0" w:color="auto"/>
          </w:divBdr>
          <w:divsChild>
            <w:div w:id="5105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3590">
      <w:bodyDiv w:val="1"/>
      <w:marLeft w:val="0"/>
      <w:marRight w:val="0"/>
      <w:marTop w:val="0"/>
      <w:marBottom w:val="0"/>
      <w:divBdr>
        <w:top w:val="none" w:sz="0" w:space="0" w:color="auto"/>
        <w:left w:val="none" w:sz="0" w:space="0" w:color="auto"/>
        <w:bottom w:val="none" w:sz="0" w:space="0" w:color="auto"/>
        <w:right w:val="none" w:sz="0" w:space="0" w:color="auto"/>
      </w:divBdr>
      <w:divsChild>
        <w:div w:id="1664316725">
          <w:marLeft w:val="389"/>
          <w:marRight w:val="0"/>
          <w:marTop w:val="0"/>
          <w:marBottom w:val="40"/>
          <w:divBdr>
            <w:top w:val="none" w:sz="0" w:space="0" w:color="auto"/>
            <w:left w:val="none" w:sz="0" w:space="0" w:color="auto"/>
            <w:bottom w:val="none" w:sz="0" w:space="0" w:color="auto"/>
            <w:right w:val="none" w:sz="0" w:space="0" w:color="auto"/>
          </w:divBdr>
        </w:div>
      </w:divsChild>
    </w:div>
    <w:div w:id="809175637">
      <w:bodyDiv w:val="1"/>
      <w:marLeft w:val="0"/>
      <w:marRight w:val="0"/>
      <w:marTop w:val="0"/>
      <w:marBottom w:val="0"/>
      <w:divBdr>
        <w:top w:val="none" w:sz="0" w:space="0" w:color="auto"/>
        <w:left w:val="none" w:sz="0" w:space="0" w:color="auto"/>
        <w:bottom w:val="none" w:sz="0" w:space="0" w:color="auto"/>
        <w:right w:val="none" w:sz="0" w:space="0" w:color="auto"/>
      </w:divBdr>
    </w:div>
    <w:div w:id="810287494">
      <w:bodyDiv w:val="1"/>
      <w:marLeft w:val="0"/>
      <w:marRight w:val="0"/>
      <w:marTop w:val="0"/>
      <w:marBottom w:val="0"/>
      <w:divBdr>
        <w:top w:val="none" w:sz="0" w:space="0" w:color="auto"/>
        <w:left w:val="none" w:sz="0" w:space="0" w:color="auto"/>
        <w:bottom w:val="none" w:sz="0" w:space="0" w:color="auto"/>
        <w:right w:val="none" w:sz="0" w:space="0" w:color="auto"/>
      </w:divBdr>
      <w:divsChild>
        <w:div w:id="845902119">
          <w:marLeft w:val="0"/>
          <w:marRight w:val="0"/>
          <w:marTop w:val="0"/>
          <w:marBottom w:val="0"/>
          <w:divBdr>
            <w:top w:val="none" w:sz="0" w:space="0" w:color="auto"/>
            <w:left w:val="none" w:sz="0" w:space="0" w:color="auto"/>
            <w:bottom w:val="none" w:sz="0" w:space="0" w:color="auto"/>
            <w:right w:val="none" w:sz="0" w:space="0" w:color="auto"/>
          </w:divBdr>
          <w:divsChild>
            <w:div w:id="993415388">
              <w:marLeft w:val="0"/>
              <w:marRight w:val="0"/>
              <w:marTop w:val="0"/>
              <w:marBottom w:val="0"/>
              <w:divBdr>
                <w:top w:val="none" w:sz="0" w:space="0" w:color="auto"/>
                <w:left w:val="none" w:sz="0" w:space="0" w:color="auto"/>
                <w:bottom w:val="none" w:sz="0" w:space="0" w:color="auto"/>
                <w:right w:val="none" w:sz="0" w:space="0" w:color="auto"/>
              </w:divBdr>
            </w:div>
          </w:divsChild>
        </w:div>
        <w:div w:id="1101411577">
          <w:marLeft w:val="0"/>
          <w:marRight w:val="0"/>
          <w:marTop w:val="0"/>
          <w:marBottom w:val="0"/>
          <w:divBdr>
            <w:top w:val="none" w:sz="0" w:space="0" w:color="auto"/>
            <w:left w:val="none" w:sz="0" w:space="0" w:color="auto"/>
            <w:bottom w:val="none" w:sz="0" w:space="0" w:color="auto"/>
            <w:right w:val="none" w:sz="0" w:space="0" w:color="auto"/>
          </w:divBdr>
          <w:divsChild>
            <w:div w:id="529612082">
              <w:marLeft w:val="0"/>
              <w:marRight w:val="0"/>
              <w:marTop w:val="0"/>
              <w:marBottom w:val="0"/>
              <w:divBdr>
                <w:top w:val="none" w:sz="0" w:space="0" w:color="auto"/>
                <w:left w:val="none" w:sz="0" w:space="0" w:color="auto"/>
                <w:bottom w:val="none" w:sz="0" w:space="0" w:color="auto"/>
                <w:right w:val="none" w:sz="0" w:space="0" w:color="auto"/>
              </w:divBdr>
            </w:div>
          </w:divsChild>
        </w:div>
        <w:div w:id="2000647441">
          <w:marLeft w:val="0"/>
          <w:marRight w:val="0"/>
          <w:marTop w:val="0"/>
          <w:marBottom w:val="0"/>
          <w:divBdr>
            <w:top w:val="none" w:sz="0" w:space="0" w:color="auto"/>
            <w:left w:val="none" w:sz="0" w:space="0" w:color="auto"/>
            <w:bottom w:val="none" w:sz="0" w:space="0" w:color="auto"/>
            <w:right w:val="none" w:sz="0" w:space="0" w:color="auto"/>
          </w:divBdr>
          <w:divsChild>
            <w:div w:id="14036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227">
      <w:bodyDiv w:val="1"/>
      <w:marLeft w:val="0"/>
      <w:marRight w:val="0"/>
      <w:marTop w:val="0"/>
      <w:marBottom w:val="0"/>
      <w:divBdr>
        <w:top w:val="none" w:sz="0" w:space="0" w:color="auto"/>
        <w:left w:val="none" w:sz="0" w:space="0" w:color="auto"/>
        <w:bottom w:val="none" w:sz="0" w:space="0" w:color="auto"/>
        <w:right w:val="none" w:sz="0" w:space="0" w:color="auto"/>
      </w:divBdr>
    </w:div>
    <w:div w:id="837695784">
      <w:bodyDiv w:val="1"/>
      <w:marLeft w:val="0"/>
      <w:marRight w:val="0"/>
      <w:marTop w:val="0"/>
      <w:marBottom w:val="0"/>
      <w:divBdr>
        <w:top w:val="none" w:sz="0" w:space="0" w:color="auto"/>
        <w:left w:val="none" w:sz="0" w:space="0" w:color="auto"/>
        <w:bottom w:val="none" w:sz="0" w:space="0" w:color="auto"/>
        <w:right w:val="none" w:sz="0" w:space="0" w:color="auto"/>
      </w:divBdr>
      <w:divsChild>
        <w:div w:id="1093666060">
          <w:marLeft w:val="547"/>
          <w:marRight w:val="0"/>
          <w:marTop w:val="0"/>
          <w:marBottom w:val="0"/>
          <w:divBdr>
            <w:top w:val="none" w:sz="0" w:space="0" w:color="auto"/>
            <w:left w:val="none" w:sz="0" w:space="0" w:color="auto"/>
            <w:bottom w:val="none" w:sz="0" w:space="0" w:color="auto"/>
            <w:right w:val="none" w:sz="0" w:space="0" w:color="auto"/>
          </w:divBdr>
        </w:div>
        <w:div w:id="2112313129">
          <w:marLeft w:val="547"/>
          <w:marRight w:val="0"/>
          <w:marTop w:val="0"/>
          <w:marBottom w:val="0"/>
          <w:divBdr>
            <w:top w:val="none" w:sz="0" w:space="0" w:color="auto"/>
            <w:left w:val="none" w:sz="0" w:space="0" w:color="auto"/>
            <w:bottom w:val="none" w:sz="0" w:space="0" w:color="auto"/>
            <w:right w:val="none" w:sz="0" w:space="0" w:color="auto"/>
          </w:divBdr>
        </w:div>
      </w:divsChild>
    </w:div>
    <w:div w:id="841093700">
      <w:bodyDiv w:val="1"/>
      <w:marLeft w:val="0"/>
      <w:marRight w:val="0"/>
      <w:marTop w:val="0"/>
      <w:marBottom w:val="0"/>
      <w:divBdr>
        <w:top w:val="none" w:sz="0" w:space="0" w:color="auto"/>
        <w:left w:val="none" w:sz="0" w:space="0" w:color="auto"/>
        <w:bottom w:val="none" w:sz="0" w:space="0" w:color="auto"/>
        <w:right w:val="none" w:sz="0" w:space="0" w:color="auto"/>
      </w:divBdr>
    </w:div>
    <w:div w:id="858469940">
      <w:bodyDiv w:val="1"/>
      <w:marLeft w:val="0"/>
      <w:marRight w:val="0"/>
      <w:marTop w:val="0"/>
      <w:marBottom w:val="0"/>
      <w:divBdr>
        <w:top w:val="none" w:sz="0" w:space="0" w:color="auto"/>
        <w:left w:val="none" w:sz="0" w:space="0" w:color="auto"/>
        <w:bottom w:val="none" w:sz="0" w:space="0" w:color="auto"/>
        <w:right w:val="none" w:sz="0" w:space="0" w:color="auto"/>
      </w:divBdr>
    </w:div>
    <w:div w:id="867059116">
      <w:bodyDiv w:val="1"/>
      <w:marLeft w:val="0"/>
      <w:marRight w:val="0"/>
      <w:marTop w:val="0"/>
      <w:marBottom w:val="0"/>
      <w:divBdr>
        <w:top w:val="none" w:sz="0" w:space="0" w:color="auto"/>
        <w:left w:val="none" w:sz="0" w:space="0" w:color="auto"/>
        <w:bottom w:val="none" w:sz="0" w:space="0" w:color="auto"/>
        <w:right w:val="none" w:sz="0" w:space="0" w:color="auto"/>
      </w:divBdr>
    </w:div>
    <w:div w:id="893466306">
      <w:bodyDiv w:val="1"/>
      <w:marLeft w:val="0"/>
      <w:marRight w:val="0"/>
      <w:marTop w:val="0"/>
      <w:marBottom w:val="0"/>
      <w:divBdr>
        <w:top w:val="none" w:sz="0" w:space="0" w:color="auto"/>
        <w:left w:val="none" w:sz="0" w:space="0" w:color="auto"/>
        <w:bottom w:val="none" w:sz="0" w:space="0" w:color="auto"/>
        <w:right w:val="none" w:sz="0" w:space="0" w:color="auto"/>
      </w:divBdr>
      <w:divsChild>
        <w:div w:id="130442498">
          <w:marLeft w:val="1166"/>
          <w:marRight w:val="0"/>
          <w:marTop w:val="0"/>
          <w:marBottom w:val="0"/>
          <w:divBdr>
            <w:top w:val="none" w:sz="0" w:space="0" w:color="auto"/>
            <w:left w:val="none" w:sz="0" w:space="0" w:color="auto"/>
            <w:bottom w:val="none" w:sz="0" w:space="0" w:color="auto"/>
            <w:right w:val="none" w:sz="0" w:space="0" w:color="auto"/>
          </w:divBdr>
        </w:div>
        <w:div w:id="344945315">
          <w:marLeft w:val="446"/>
          <w:marRight w:val="0"/>
          <w:marTop w:val="0"/>
          <w:marBottom w:val="0"/>
          <w:divBdr>
            <w:top w:val="none" w:sz="0" w:space="0" w:color="auto"/>
            <w:left w:val="none" w:sz="0" w:space="0" w:color="auto"/>
            <w:bottom w:val="none" w:sz="0" w:space="0" w:color="auto"/>
            <w:right w:val="none" w:sz="0" w:space="0" w:color="auto"/>
          </w:divBdr>
        </w:div>
        <w:div w:id="992292987">
          <w:marLeft w:val="446"/>
          <w:marRight w:val="0"/>
          <w:marTop w:val="0"/>
          <w:marBottom w:val="0"/>
          <w:divBdr>
            <w:top w:val="none" w:sz="0" w:space="0" w:color="auto"/>
            <w:left w:val="none" w:sz="0" w:space="0" w:color="auto"/>
            <w:bottom w:val="none" w:sz="0" w:space="0" w:color="auto"/>
            <w:right w:val="none" w:sz="0" w:space="0" w:color="auto"/>
          </w:divBdr>
        </w:div>
        <w:div w:id="1176574207">
          <w:marLeft w:val="1166"/>
          <w:marRight w:val="0"/>
          <w:marTop w:val="0"/>
          <w:marBottom w:val="0"/>
          <w:divBdr>
            <w:top w:val="none" w:sz="0" w:space="0" w:color="auto"/>
            <w:left w:val="none" w:sz="0" w:space="0" w:color="auto"/>
            <w:bottom w:val="none" w:sz="0" w:space="0" w:color="auto"/>
            <w:right w:val="none" w:sz="0" w:space="0" w:color="auto"/>
          </w:divBdr>
        </w:div>
        <w:div w:id="1475676224">
          <w:marLeft w:val="1166"/>
          <w:marRight w:val="0"/>
          <w:marTop w:val="0"/>
          <w:marBottom w:val="0"/>
          <w:divBdr>
            <w:top w:val="none" w:sz="0" w:space="0" w:color="auto"/>
            <w:left w:val="none" w:sz="0" w:space="0" w:color="auto"/>
            <w:bottom w:val="none" w:sz="0" w:space="0" w:color="auto"/>
            <w:right w:val="none" w:sz="0" w:space="0" w:color="auto"/>
          </w:divBdr>
        </w:div>
        <w:div w:id="1529487116">
          <w:marLeft w:val="1166"/>
          <w:marRight w:val="0"/>
          <w:marTop w:val="0"/>
          <w:marBottom w:val="0"/>
          <w:divBdr>
            <w:top w:val="none" w:sz="0" w:space="0" w:color="auto"/>
            <w:left w:val="none" w:sz="0" w:space="0" w:color="auto"/>
            <w:bottom w:val="none" w:sz="0" w:space="0" w:color="auto"/>
            <w:right w:val="none" w:sz="0" w:space="0" w:color="auto"/>
          </w:divBdr>
        </w:div>
        <w:div w:id="2012102183">
          <w:marLeft w:val="1166"/>
          <w:marRight w:val="0"/>
          <w:marTop w:val="0"/>
          <w:marBottom w:val="0"/>
          <w:divBdr>
            <w:top w:val="none" w:sz="0" w:space="0" w:color="auto"/>
            <w:left w:val="none" w:sz="0" w:space="0" w:color="auto"/>
            <w:bottom w:val="none" w:sz="0" w:space="0" w:color="auto"/>
            <w:right w:val="none" w:sz="0" w:space="0" w:color="auto"/>
          </w:divBdr>
        </w:div>
        <w:div w:id="2089837986">
          <w:marLeft w:val="1166"/>
          <w:marRight w:val="0"/>
          <w:marTop w:val="0"/>
          <w:marBottom w:val="0"/>
          <w:divBdr>
            <w:top w:val="none" w:sz="0" w:space="0" w:color="auto"/>
            <w:left w:val="none" w:sz="0" w:space="0" w:color="auto"/>
            <w:bottom w:val="none" w:sz="0" w:space="0" w:color="auto"/>
            <w:right w:val="none" w:sz="0" w:space="0" w:color="auto"/>
          </w:divBdr>
        </w:div>
      </w:divsChild>
    </w:div>
    <w:div w:id="893807859">
      <w:bodyDiv w:val="1"/>
      <w:marLeft w:val="0"/>
      <w:marRight w:val="0"/>
      <w:marTop w:val="0"/>
      <w:marBottom w:val="0"/>
      <w:divBdr>
        <w:top w:val="none" w:sz="0" w:space="0" w:color="auto"/>
        <w:left w:val="none" w:sz="0" w:space="0" w:color="auto"/>
        <w:bottom w:val="none" w:sz="0" w:space="0" w:color="auto"/>
        <w:right w:val="none" w:sz="0" w:space="0" w:color="auto"/>
      </w:divBdr>
    </w:div>
    <w:div w:id="897089021">
      <w:bodyDiv w:val="1"/>
      <w:marLeft w:val="0"/>
      <w:marRight w:val="0"/>
      <w:marTop w:val="0"/>
      <w:marBottom w:val="0"/>
      <w:divBdr>
        <w:top w:val="none" w:sz="0" w:space="0" w:color="auto"/>
        <w:left w:val="none" w:sz="0" w:space="0" w:color="auto"/>
        <w:bottom w:val="none" w:sz="0" w:space="0" w:color="auto"/>
        <w:right w:val="none" w:sz="0" w:space="0" w:color="auto"/>
      </w:divBdr>
      <w:divsChild>
        <w:div w:id="97677301">
          <w:marLeft w:val="446"/>
          <w:marRight w:val="0"/>
          <w:marTop w:val="0"/>
          <w:marBottom w:val="0"/>
          <w:divBdr>
            <w:top w:val="none" w:sz="0" w:space="0" w:color="auto"/>
            <w:left w:val="none" w:sz="0" w:space="0" w:color="auto"/>
            <w:bottom w:val="none" w:sz="0" w:space="0" w:color="auto"/>
            <w:right w:val="none" w:sz="0" w:space="0" w:color="auto"/>
          </w:divBdr>
        </w:div>
        <w:div w:id="1862932616">
          <w:marLeft w:val="446"/>
          <w:marRight w:val="0"/>
          <w:marTop w:val="0"/>
          <w:marBottom w:val="0"/>
          <w:divBdr>
            <w:top w:val="none" w:sz="0" w:space="0" w:color="auto"/>
            <w:left w:val="none" w:sz="0" w:space="0" w:color="auto"/>
            <w:bottom w:val="none" w:sz="0" w:space="0" w:color="auto"/>
            <w:right w:val="none" w:sz="0" w:space="0" w:color="auto"/>
          </w:divBdr>
        </w:div>
        <w:div w:id="2051831624">
          <w:marLeft w:val="446"/>
          <w:marRight w:val="0"/>
          <w:marTop w:val="0"/>
          <w:marBottom w:val="0"/>
          <w:divBdr>
            <w:top w:val="none" w:sz="0" w:space="0" w:color="auto"/>
            <w:left w:val="none" w:sz="0" w:space="0" w:color="auto"/>
            <w:bottom w:val="none" w:sz="0" w:space="0" w:color="auto"/>
            <w:right w:val="none" w:sz="0" w:space="0" w:color="auto"/>
          </w:divBdr>
        </w:div>
      </w:divsChild>
    </w:div>
    <w:div w:id="899635704">
      <w:bodyDiv w:val="1"/>
      <w:marLeft w:val="0"/>
      <w:marRight w:val="0"/>
      <w:marTop w:val="0"/>
      <w:marBottom w:val="0"/>
      <w:divBdr>
        <w:top w:val="none" w:sz="0" w:space="0" w:color="auto"/>
        <w:left w:val="none" w:sz="0" w:space="0" w:color="auto"/>
        <w:bottom w:val="none" w:sz="0" w:space="0" w:color="auto"/>
        <w:right w:val="none" w:sz="0" w:space="0" w:color="auto"/>
      </w:divBdr>
    </w:div>
    <w:div w:id="918251994">
      <w:bodyDiv w:val="1"/>
      <w:marLeft w:val="0"/>
      <w:marRight w:val="0"/>
      <w:marTop w:val="0"/>
      <w:marBottom w:val="0"/>
      <w:divBdr>
        <w:top w:val="none" w:sz="0" w:space="0" w:color="auto"/>
        <w:left w:val="none" w:sz="0" w:space="0" w:color="auto"/>
        <w:bottom w:val="none" w:sz="0" w:space="0" w:color="auto"/>
        <w:right w:val="none" w:sz="0" w:space="0" w:color="auto"/>
      </w:divBdr>
    </w:div>
    <w:div w:id="920412560">
      <w:bodyDiv w:val="1"/>
      <w:marLeft w:val="0"/>
      <w:marRight w:val="0"/>
      <w:marTop w:val="0"/>
      <w:marBottom w:val="0"/>
      <w:divBdr>
        <w:top w:val="none" w:sz="0" w:space="0" w:color="auto"/>
        <w:left w:val="none" w:sz="0" w:space="0" w:color="auto"/>
        <w:bottom w:val="none" w:sz="0" w:space="0" w:color="auto"/>
        <w:right w:val="none" w:sz="0" w:space="0" w:color="auto"/>
      </w:divBdr>
    </w:div>
    <w:div w:id="941494357">
      <w:bodyDiv w:val="1"/>
      <w:marLeft w:val="0"/>
      <w:marRight w:val="0"/>
      <w:marTop w:val="0"/>
      <w:marBottom w:val="0"/>
      <w:divBdr>
        <w:top w:val="none" w:sz="0" w:space="0" w:color="auto"/>
        <w:left w:val="none" w:sz="0" w:space="0" w:color="auto"/>
        <w:bottom w:val="none" w:sz="0" w:space="0" w:color="auto"/>
        <w:right w:val="none" w:sz="0" w:space="0" w:color="auto"/>
      </w:divBdr>
      <w:divsChild>
        <w:div w:id="45489731">
          <w:marLeft w:val="0"/>
          <w:marRight w:val="0"/>
          <w:marTop w:val="0"/>
          <w:marBottom w:val="0"/>
          <w:divBdr>
            <w:top w:val="none" w:sz="0" w:space="0" w:color="auto"/>
            <w:left w:val="none" w:sz="0" w:space="0" w:color="auto"/>
            <w:bottom w:val="none" w:sz="0" w:space="0" w:color="auto"/>
            <w:right w:val="none" w:sz="0" w:space="0" w:color="auto"/>
          </w:divBdr>
        </w:div>
        <w:div w:id="217473970">
          <w:marLeft w:val="0"/>
          <w:marRight w:val="0"/>
          <w:marTop w:val="0"/>
          <w:marBottom w:val="0"/>
          <w:divBdr>
            <w:top w:val="none" w:sz="0" w:space="0" w:color="auto"/>
            <w:left w:val="none" w:sz="0" w:space="0" w:color="auto"/>
            <w:bottom w:val="none" w:sz="0" w:space="0" w:color="auto"/>
            <w:right w:val="none" w:sz="0" w:space="0" w:color="auto"/>
          </w:divBdr>
        </w:div>
        <w:div w:id="307369164">
          <w:marLeft w:val="0"/>
          <w:marRight w:val="0"/>
          <w:marTop w:val="0"/>
          <w:marBottom w:val="0"/>
          <w:divBdr>
            <w:top w:val="none" w:sz="0" w:space="0" w:color="auto"/>
            <w:left w:val="none" w:sz="0" w:space="0" w:color="auto"/>
            <w:bottom w:val="none" w:sz="0" w:space="0" w:color="auto"/>
            <w:right w:val="none" w:sz="0" w:space="0" w:color="auto"/>
          </w:divBdr>
        </w:div>
        <w:div w:id="524826191">
          <w:marLeft w:val="0"/>
          <w:marRight w:val="0"/>
          <w:marTop w:val="0"/>
          <w:marBottom w:val="0"/>
          <w:divBdr>
            <w:top w:val="none" w:sz="0" w:space="0" w:color="auto"/>
            <w:left w:val="none" w:sz="0" w:space="0" w:color="auto"/>
            <w:bottom w:val="none" w:sz="0" w:space="0" w:color="auto"/>
            <w:right w:val="none" w:sz="0" w:space="0" w:color="auto"/>
          </w:divBdr>
        </w:div>
        <w:div w:id="863907793">
          <w:marLeft w:val="0"/>
          <w:marRight w:val="0"/>
          <w:marTop w:val="0"/>
          <w:marBottom w:val="0"/>
          <w:divBdr>
            <w:top w:val="none" w:sz="0" w:space="0" w:color="auto"/>
            <w:left w:val="none" w:sz="0" w:space="0" w:color="auto"/>
            <w:bottom w:val="none" w:sz="0" w:space="0" w:color="auto"/>
            <w:right w:val="none" w:sz="0" w:space="0" w:color="auto"/>
          </w:divBdr>
        </w:div>
        <w:div w:id="1700469536">
          <w:marLeft w:val="0"/>
          <w:marRight w:val="0"/>
          <w:marTop w:val="0"/>
          <w:marBottom w:val="0"/>
          <w:divBdr>
            <w:top w:val="none" w:sz="0" w:space="0" w:color="auto"/>
            <w:left w:val="none" w:sz="0" w:space="0" w:color="auto"/>
            <w:bottom w:val="none" w:sz="0" w:space="0" w:color="auto"/>
            <w:right w:val="none" w:sz="0" w:space="0" w:color="auto"/>
          </w:divBdr>
        </w:div>
        <w:div w:id="2042122983">
          <w:marLeft w:val="0"/>
          <w:marRight w:val="0"/>
          <w:marTop w:val="0"/>
          <w:marBottom w:val="0"/>
          <w:divBdr>
            <w:top w:val="none" w:sz="0" w:space="0" w:color="auto"/>
            <w:left w:val="none" w:sz="0" w:space="0" w:color="auto"/>
            <w:bottom w:val="none" w:sz="0" w:space="0" w:color="auto"/>
            <w:right w:val="none" w:sz="0" w:space="0" w:color="auto"/>
          </w:divBdr>
        </w:div>
        <w:div w:id="2096903045">
          <w:marLeft w:val="0"/>
          <w:marRight w:val="0"/>
          <w:marTop w:val="0"/>
          <w:marBottom w:val="0"/>
          <w:divBdr>
            <w:top w:val="none" w:sz="0" w:space="0" w:color="auto"/>
            <w:left w:val="none" w:sz="0" w:space="0" w:color="auto"/>
            <w:bottom w:val="none" w:sz="0" w:space="0" w:color="auto"/>
            <w:right w:val="none" w:sz="0" w:space="0" w:color="auto"/>
          </w:divBdr>
        </w:div>
        <w:div w:id="2114550913">
          <w:marLeft w:val="0"/>
          <w:marRight w:val="0"/>
          <w:marTop w:val="0"/>
          <w:marBottom w:val="0"/>
          <w:divBdr>
            <w:top w:val="none" w:sz="0" w:space="0" w:color="auto"/>
            <w:left w:val="none" w:sz="0" w:space="0" w:color="auto"/>
            <w:bottom w:val="none" w:sz="0" w:space="0" w:color="auto"/>
            <w:right w:val="none" w:sz="0" w:space="0" w:color="auto"/>
          </w:divBdr>
        </w:div>
      </w:divsChild>
    </w:div>
    <w:div w:id="947807920">
      <w:bodyDiv w:val="1"/>
      <w:marLeft w:val="0"/>
      <w:marRight w:val="0"/>
      <w:marTop w:val="0"/>
      <w:marBottom w:val="0"/>
      <w:divBdr>
        <w:top w:val="none" w:sz="0" w:space="0" w:color="auto"/>
        <w:left w:val="none" w:sz="0" w:space="0" w:color="auto"/>
        <w:bottom w:val="none" w:sz="0" w:space="0" w:color="auto"/>
        <w:right w:val="none" w:sz="0" w:space="0" w:color="auto"/>
      </w:divBdr>
      <w:divsChild>
        <w:div w:id="399180978">
          <w:marLeft w:val="446"/>
          <w:marRight w:val="0"/>
          <w:marTop w:val="0"/>
          <w:marBottom w:val="0"/>
          <w:divBdr>
            <w:top w:val="none" w:sz="0" w:space="0" w:color="auto"/>
            <w:left w:val="none" w:sz="0" w:space="0" w:color="auto"/>
            <w:bottom w:val="none" w:sz="0" w:space="0" w:color="auto"/>
            <w:right w:val="none" w:sz="0" w:space="0" w:color="auto"/>
          </w:divBdr>
        </w:div>
        <w:div w:id="1704552391">
          <w:marLeft w:val="446"/>
          <w:marRight w:val="0"/>
          <w:marTop w:val="0"/>
          <w:marBottom w:val="0"/>
          <w:divBdr>
            <w:top w:val="none" w:sz="0" w:space="0" w:color="auto"/>
            <w:left w:val="none" w:sz="0" w:space="0" w:color="auto"/>
            <w:bottom w:val="none" w:sz="0" w:space="0" w:color="auto"/>
            <w:right w:val="none" w:sz="0" w:space="0" w:color="auto"/>
          </w:divBdr>
        </w:div>
        <w:div w:id="1724015751">
          <w:marLeft w:val="446"/>
          <w:marRight w:val="0"/>
          <w:marTop w:val="0"/>
          <w:marBottom w:val="0"/>
          <w:divBdr>
            <w:top w:val="none" w:sz="0" w:space="0" w:color="auto"/>
            <w:left w:val="none" w:sz="0" w:space="0" w:color="auto"/>
            <w:bottom w:val="none" w:sz="0" w:space="0" w:color="auto"/>
            <w:right w:val="none" w:sz="0" w:space="0" w:color="auto"/>
          </w:divBdr>
        </w:div>
      </w:divsChild>
    </w:div>
    <w:div w:id="979724723">
      <w:bodyDiv w:val="1"/>
      <w:marLeft w:val="0"/>
      <w:marRight w:val="0"/>
      <w:marTop w:val="0"/>
      <w:marBottom w:val="0"/>
      <w:divBdr>
        <w:top w:val="none" w:sz="0" w:space="0" w:color="auto"/>
        <w:left w:val="none" w:sz="0" w:space="0" w:color="auto"/>
        <w:bottom w:val="none" w:sz="0" w:space="0" w:color="auto"/>
        <w:right w:val="none" w:sz="0" w:space="0" w:color="auto"/>
      </w:divBdr>
    </w:div>
    <w:div w:id="994256915">
      <w:bodyDiv w:val="1"/>
      <w:marLeft w:val="0"/>
      <w:marRight w:val="0"/>
      <w:marTop w:val="0"/>
      <w:marBottom w:val="0"/>
      <w:divBdr>
        <w:top w:val="none" w:sz="0" w:space="0" w:color="auto"/>
        <w:left w:val="none" w:sz="0" w:space="0" w:color="auto"/>
        <w:bottom w:val="none" w:sz="0" w:space="0" w:color="auto"/>
        <w:right w:val="none" w:sz="0" w:space="0" w:color="auto"/>
      </w:divBdr>
      <w:divsChild>
        <w:div w:id="354114051">
          <w:marLeft w:val="446"/>
          <w:marRight w:val="0"/>
          <w:marTop w:val="0"/>
          <w:marBottom w:val="0"/>
          <w:divBdr>
            <w:top w:val="none" w:sz="0" w:space="0" w:color="auto"/>
            <w:left w:val="none" w:sz="0" w:space="0" w:color="auto"/>
            <w:bottom w:val="none" w:sz="0" w:space="0" w:color="auto"/>
            <w:right w:val="none" w:sz="0" w:space="0" w:color="auto"/>
          </w:divBdr>
        </w:div>
        <w:div w:id="396712633">
          <w:marLeft w:val="446"/>
          <w:marRight w:val="0"/>
          <w:marTop w:val="0"/>
          <w:marBottom w:val="0"/>
          <w:divBdr>
            <w:top w:val="none" w:sz="0" w:space="0" w:color="auto"/>
            <w:left w:val="none" w:sz="0" w:space="0" w:color="auto"/>
            <w:bottom w:val="none" w:sz="0" w:space="0" w:color="auto"/>
            <w:right w:val="none" w:sz="0" w:space="0" w:color="auto"/>
          </w:divBdr>
        </w:div>
        <w:div w:id="516309956">
          <w:marLeft w:val="446"/>
          <w:marRight w:val="0"/>
          <w:marTop w:val="0"/>
          <w:marBottom w:val="0"/>
          <w:divBdr>
            <w:top w:val="none" w:sz="0" w:space="0" w:color="auto"/>
            <w:left w:val="none" w:sz="0" w:space="0" w:color="auto"/>
            <w:bottom w:val="none" w:sz="0" w:space="0" w:color="auto"/>
            <w:right w:val="none" w:sz="0" w:space="0" w:color="auto"/>
          </w:divBdr>
        </w:div>
        <w:div w:id="1260912665">
          <w:marLeft w:val="446"/>
          <w:marRight w:val="0"/>
          <w:marTop w:val="0"/>
          <w:marBottom w:val="0"/>
          <w:divBdr>
            <w:top w:val="none" w:sz="0" w:space="0" w:color="auto"/>
            <w:left w:val="none" w:sz="0" w:space="0" w:color="auto"/>
            <w:bottom w:val="none" w:sz="0" w:space="0" w:color="auto"/>
            <w:right w:val="none" w:sz="0" w:space="0" w:color="auto"/>
          </w:divBdr>
        </w:div>
        <w:div w:id="1444110925">
          <w:marLeft w:val="446"/>
          <w:marRight w:val="0"/>
          <w:marTop w:val="0"/>
          <w:marBottom w:val="0"/>
          <w:divBdr>
            <w:top w:val="none" w:sz="0" w:space="0" w:color="auto"/>
            <w:left w:val="none" w:sz="0" w:space="0" w:color="auto"/>
            <w:bottom w:val="none" w:sz="0" w:space="0" w:color="auto"/>
            <w:right w:val="none" w:sz="0" w:space="0" w:color="auto"/>
          </w:divBdr>
        </w:div>
      </w:divsChild>
    </w:div>
    <w:div w:id="1043947549">
      <w:bodyDiv w:val="1"/>
      <w:marLeft w:val="0"/>
      <w:marRight w:val="0"/>
      <w:marTop w:val="0"/>
      <w:marBottom w:val="0"/>
      <w:divBdr>
        <w:top w:val="none" w:sz="0" w:space="0" w:color="auto"/>
        <w:left w:val="none" w:sz="0" w:space="0" w:color="auto"/>
        <w:bottom w:val="none" w:sz="0" w:space="0" w:color="auto"/>
        <w:right w:val="none" w:sz="0" w:space="0" w:color="auto"/>
      </w:divBdr>
    </w:div>
    <w:div w:id="1049188971">
      <w:bodyDiv w:val="1"/>
      <w:marLeft w:val="0"/>
      <w:marRight w:val="0"/>
      <w:marTop w:val="0"/>
      <w:marBottom w:val="0"/>
      <w:divBdr>
        <w:top w:val="none" w:sz="0" w:space="0" w:color="auto"/>
        <w:left w:val="none" w:sz="0" w:space="0" w:color="auto"/>
        <w:bottom w:val="none" w:sz="0" w:space="0" w:color="auto"/>
        <w:right w:val="none" w:sz="0" w:space="0" w:color="auto"/>
      </w:divBdr>
      <w:divsChild>
        <w:div w:id="1089886659">
          <w:marLeft w:val="446"/>
          <w:marRight w:val="0"/>
          <w:marTop w:val="0"/>
          <w:marBottom w:val="0"/>
          <w:divBdr>
            <w:top w:val="none" w:sz="0" w:space="0" w:color="auto"/>
            <w:left w:val="none" w:sz="0" w:space="0" w:color="auto"/>
            <w:bottom w:val="none" w:sz="0" w:space="0" w:color="auto"/>
            <w:right w:val="none" w:sz="0" w:space="0" w:color="auto"/>
          </w:divBdr>
        </w:div>
      </w:divsChild>
    </w:div>
    <w:div w:id="1050106430">
      <w:bodyDiv w:val="1"/>
      <w:marLeft w:val="0"/>
      <w:marRight w:val="0"/>
      <w:marTop w:val="0"/>
      <w:marBottom w:val="0"/>
      <w:divBdr>
        <w:top w:val="none" w:sz="0" w:space="0" w:color="auto"/>
        <w:left w:val="none" w:sz="0" w:space="0" w:color="auto"/>
        <w:bottom w:val="none" w:sz="0" w:space="0" w:color="auto"/>
        <w:right w:val="none" w:sz="0" w:space="0" w:color="auto"/>
      </w:divBdr>
      <w:divsChild>
        <w:div w:id="902956684">
          <w:marLeft w:val="446"/>
          <w:marRight w:val="0"/>
          <w:marTop w:val="160"/>
          <w:marBottom w:val="0"/>
          <w:divBdr>
            <w:top w:val="none" w:sz="0" w:space="0" w:color="auto"/>
            <w:left w:val="none" w:sz="0" w:space="0" w:color="auto"/>
            <w:bottom w:val="none" w:sz="0" w:space="0" w:color="auto"/>
            <w:right w:val="none" w:sz="0" w:space="0" w:color="auto"/>
          </w:divBdr>
        </w:div>
        <w:div w:id="1420440222">
          <w:marLeft w:val="446"/>
          <w:marRight w:val="0"/>
          <w:marTop w:val="160"/>
          <w:marBottom w:val="0"/>
          <w:divBdr>
            <w:top w:val="none" w:sz="0" w:space="0" w:color="auto"/>
            <w:left w:val="none" w:sz="0" w:space="0" w:color="auto"/>
            <w:bottom w:val="none" w:sz="0" w:space="0" w:color="auto"/>
            <w:right w:val="none" w:sz="0" w:space="0" w:color="auto"/>
          </w:divBdr>
        </w:div>
        <w:div w:id="1603881993">
          <w:marLeft w:val="446"/>
          <w:marRight w:val="0"/>
          <w:marTop w:val="160"/>
          <w:marBottom w:val="0"/>
          <w:divBdr>
            <w:top w:val="none" w:sz="0" w:space="0" w:color="auto"/>
            <w:left w:val="none" w:sz="0" w:space="0" w:color="auto"/>
            <w:bottom w:val="none" w:sz="0" w:space="0" w:color="auto"/>
            <w:right w:val="none" w:sz="0" w:space="0" w:color="auto"/>
          </w:divBdr>
        </w:div>
        <w:div w:id="1626472727">
          <w:marLeft w:val="446"/>
          <w:marRight w:val="0"/>
          <w:marTop w:val="0"/>
          <w:marBottom w:val="0"/>
          <w:divBdr>
            <w:top w:val="none" w:sz="0" w:space="0" w:color="auto"/>
            <w:left w:val="none" w:sz="0" w:space="0" w:color="auto"/>
            <w:bottom w:val="none" w:sz="0" w:space="0" w:color="auto"/>
            <w:right w:val="none" w:sz="0" w:space="0" w:color="auto"/>
          </w:divBdr>
        </w:div>
        <w:div w:id="1682582380">
          <w:marLeft w:val="446"/>
          <w:marRight w:val="0"/>
          <w:marTop w:val="160"/>
          <w:marBottom w:val="0"/>
          <w:divBdr>
            <w:top w:val="none" w:sz="0" w:space="0" w:color="auto"/>
            <w:left w:val="none" w:sz="0" w:space="0" w:color="auto"/>
            <w:bottom w:val="none" w:sz="0" w:space="0" w:color="auto"/>
            <w:right w:val="none" w:sz="0" w:space="0" w:color="auto"/>
          </w:divBdr>
        </w:div>
      </w:divsChild>
    </w:div>
    <w:div w:id="1053114324">
      <w:bodyDiv w:val="1"/>
      <w:marLeft w:val="0"/>
      <w:marRight w:val="0"/>
      <w:marTop w:val="0"/>
      <w:marBottom w:val="0"/>
      <w:divBdr>
        <w:top w:val="none" w:sz="0" w:space="0" w:color="auto"/>
        <w:left w:val="none" w:sz="0" w:space="0" w:color="auto"/>
        <w:bottom w:val="none" w:sz="0" w:space="0" w:color="auto"/>
        <w:right w:val="none" w:sz="0" w:space="0" w:color="auto"/>
      </w:divBdr>
    </w:div>
    <w:div w:id="1056467082">
      <w:bodyDiv w:val="1"/>
      <w:marLeft w:val="0"/>
      <w:marRight w:val="0"/>
      <w:marTop w:val="0"/>
      <w:marBottom w:val="0"/>
      <w:divBdr>
        <w:top w:val="none" w:sz="0" w:space="0" w:color="auto"/>
        <w:left w:val="none" w:sz="0" w:space="0" w:color="auto"/>
        <w:bottom w:val="none" w:sz="0" w:space="0" w:color="auto"/>
        <w:right w:val="none" w:sz="0" w:space="0" w:color="auto"/>
      </w:divBdr>
    </w:div>
    <w:div w:id="1063941175">
      <w:bodyDiv w:val="1"/>
      <w:marLeft w:val="0"/>
      <w:marRight w:val="0"/>
      <w:marTop w:val="0"/>
      <w:marBottom w:val="0"/>
      <w:divBdr>
        <w:top w:val="none" w:sz="0" w:space="0" w:color="auto"/>
        <w:left w:val="none" w:sz="0" w:space="0" w:color="auto"/>
        <w:bottom w:val="none" w:sz="0" w:space="0" w:color="auto"/>
        <w:right w:val="none" w:sz="0" w:space="0" w:color="auto"/>
      </w:divBdr>
    </w:div>
    <w:div w:id="1070033651">
      <w:bodyDiv w:val="1"/>
      <w:marLeft w:val="0"/>
      <w:marRight w:val="0"/>
      <w:marTop w:val="0"/>
      <w:marBottom w:val="0"/>
      <w:divBdr>
        <w:top w:val="none" w:sz="0" w:space="0" w:color="auto"/>
        <w:left w:val="none" w:sz="0" w:space="0" w:color="auto"/>
        <w:bottom w:val="none" w:sz="0" w:space="0" w:color="auto"/>
        <w:right w:val="none" w:sz="0" w:space="0" w:color="auto"/>
      </w:divBdr>
      <w:divsChild>
        <w:div w:id="605357394">
          <w:marLeft w:val="446"/>
          <w:marRight w:val="0"/>
          <w:marTop w:val="0"/>
          <w:marBottom w:val="0"/>
          <w:divBdr>
            <w:top w:val="none" w:sz="0" w:space="0" w:color="auto"/>
            <w:left w:val="none" w:sz="0" w:space="0" w:color="auto"/>
            <w:bottom w:val="none" w:sz="0" w:space="0" w:color="auto"/>
            <w:right w:val="none" w:sz="0" w:space="0" w:color="auto"/>
          </w:divBdr>
        </w:div>
        <w:div w:id="1372220435">
          <w:marLeft w:val="446"/>
          <w:marRight w:val="0"/>
          <w:marTop w:val="0"/>
          <w:marBottom w:val="0"/>
          <w:divBdr>
            <w:top w:val="none" w:sz="0" w:space="0" w:color="auto"/>
            <w:left w:val="none" w:sz="0" w:space="0" w:color="auto"/>
            <w:bottom w:val="none" w:sz="0" w:space="0" w:color="auto"/>
            <w:right w:val="none" w:sz="0" w:space="0" w:color="auto"/>
          </w:divBdr>
        </w:div>
      </w:divsChild>
    </w:div>
    <w:div w:id="1076052746">
      <w:bodyDiv w:val="1"/>
      <w:marLeft w:val="0"/>
      <w:marRight w:val="0"/>
      <w:marTop w:val="0"/>
      <w:marBottom w:val="0"/>
      <w:divBdr>
        <w:top w:val="none" w:sz="0" w:space="0" w:color="auto"/>
        <w:left w:val="none" w:sz="0" w:space="0" w:color="auto"/>
        <w:bottom w:val="none" w:sz="0" w:space="0" w:color="auto"/>
        <w:right w:val="none" w:sz="0" w:space="0" w:color="auto"/>
      </w:divBdr>
      <w:divsChild>
        <w:div w:id="1019047720">
          <w:marLeft w:val="0"/>
          <w:marRight w:val="0"/>
          <w:marTop w:val="0"/>
          <w:marBottom w:val="0"/>
          <w:divBdr>
            <w:top w:val="none" w:sz="0" w:space="0" w:color="auto"/>
            <w:left w:val="none" w:sz="0" w:space="0" w:color="auto"/>
            <w:bottom w:val="none" w:sz="0" w:space="0" w:color="auto"/>
            <w:right w:val="none" w:sz="0" w:space="0" w:color="auto"/>
          </w:divBdr>
          <w:divsChild>
            <w:div w:id="288360386">
              <w:marLeft w:val="0"/>
              <w:marRight w:val="0"/>
              <w:marTop w:val="0"/>
              <w:marBottom w:val="0"/>
              <w:divBdr>
                <w:top w:val="none" w:sz="0" w:space="0" w:color="auto"/>
                <w:left w:val="none" w:sz="0" w:space="0" w:color="auto"/>
                <w:bottom w:val="none" w:sz="0" w:space="0" w:color="auto"/>
                <w:right w:val="none" w:sz="0" w:space="0" w:color="auto"/>
              </w:divBdr>
            </w:div>
            <w:div w:id="353575517">
              <w:marLeft w:val="0"/>
              <w:marRight w:val="0"/>
              <w:marTop w:val="0"/>
              <w:marBottom w:val="0"/>
              <w:divBdr>
                <w:top w:val="none" w:sz="0" w:space="0" w:color="auto"/>
                <w:left w:val="none" w:sz="0" w:space="0" w:color="auto"/>
                <w:bottom w:val="none" w:sz="0" w:space="0" w:color="auto"/>
                <w:right w:val="none" w:sz="0" w:space="0" w:color="auto"/>
              </w:divBdr>
            </w:div>
            <w:div w:id="608515888">
              <w:marLeft w:val="0"/>
              <w:marRight w:val="0"/>
              <w:marTop w:val="0"/>
              <w:marBottom w:val="0"/>
              <w:divBdr>
                <w:top w:val="none" w:sz="0" w:space="0" w:color="auto"/>
                <w:left w:val="none" w:sz="0" w:space="0" w:color="auto"/>
                <w:bottom w:val="none" w:sz="0" w:space="0" w:color="auto"/>
                <w:right w:val="none" w:sz="0" w:space="0" w:color="auto"/>
              </w:divBdr>
            </w:div>
            <w:div w:id="885873160">
              <w:marLeft w:val="0"/>
              <w:marRight w:val="0"/>
              <w:marTop w:val="0"/>
              <w:marBottom w:val="0"/>
              <w:divBdr>
                <w:top w:val="none" w:sz="0" w:space="0" w:color="auto"/>
                <w:left w:val="none" w:sz="0" w:space="0" w:color="auto"/>
                <w:bottom w:val="none" w:sz="0" w:space="0" w:color="auto"/>
                <w:right w:val="none" w:sz="0" w:space="0" w:color="auto"/>
              </w:divBdr>
            </w:div>
            <w:div w:id="1665890585">
              <w:marLeft w:val="0"/>
              <w:marRight w:val="0"/>
              <w:marTop w:val="0"/>
              <w:marBottom w:val="0"/>
              <w:divBdr>
                <w:top w:val="none" w:sz="0" w:space="0" w:color="auto"/>
                <w:left w:val="none" w:sz="0" w:space="0" w:color="auto"/>
                <w:bottom w:val="none" w:sz="0" w:space="0" w:color="auto"/>
                <w:right w:val="none" w:sz="0" w:space="0" w:color="auto"/>
              </w:divBdr>
            </w:div>
          </w:divsChild>
        </w:div>
        <w:div w:id="1836070534">
          <w:marLeft w:val="0"/>
          <w:marRight w:val="0"/>
          <w:marTop w:val="0"/>
          <w:marBottom w:val="0"/>
          <w:divBdr>
            <w:top w:val="none" w:sz="0" w:space="0" w:color="auto"/>
            <w:left w:val="none" w:sz="0" w:space="0" w:color="auto"/>
            <w:bottom w:val="none" w:sz="0" w:space="0" w:color="auto"/>
            <w:right w:val="none" w:sz="0" w:space="0" w:color="auto"/>
          </w:divBdr>
        </w:div>
      </w:divsChild>
    </w:div>
    <w:div w:id="1100419124">
      <w:bodyDiv w:val="1"/>
      <w:marLeft w:val="0"/>
      <w:marRight w:val="0"/>
      <w:marTop w:val="0"/>
      <w:marBottom w:val="0"/>
      <w:divBdr>
        <w:top w:val="none" w:sz="0" w:space="0" w:color="auto"/>
        <w:left w:val="none" w:sz="0" w:space="0" w:color="auto"/>
        <w:bottom w:val="none" w:sz="0" w:space="0" w:color="auto"/>
        <w:right w:val="none" w:sz="0" w:space="0" w:color="auto"/>
      </w:divBdr>
    </w:div>
    <w:div w:id="1103695537">
      <w:bodyDiv w:val="1"/>
      <w:marLeft w:val="0"/>
      <w:marRight w:val="0"/>
      <w:marTop w:val="0"/>
      <w:marBottom w:val="0"/>
      <w:divBdr>
        <w:top w:val="none" w:sz="0" w:space="0" w:color="auto"/>
        <w:left w:val="none" w:sz="0" w:space="0" w:color="auto"/>
        <w:bottom w:val="none" w:sz="0" w:space="0" w:color="auto"/>
        <w:right w:val="none" w:sz="0" w:space="0" w:color="auto"/>
      </w:divBdr>
    </w:div>
    <w:div w:id="1107313234">
      <w:bodyDiv w:val="1"/>
      <w:marLeft w:val="0"/>
      <w:marRight w:val="0"/>
      <w:marTop w:val="0"/>
      <w:marBottom w:val="0"/>
      <w:divBdr>
        <w:top w:val="none" w:sz="0" w:space="0" w:color="auto"/>
        <w:left w:val="none" w:sz="0" w:space="0" w:color="auto"/>
        <w:bottom w:val="none" w:sz="0" w:space="0" w:color="auto"/>
        <w:right w:val="none" w:sz="0" w:space="0" w:color="auto"/>
      </w:divBdr>
      <w:divsChild>
        <w:div w:id="273758130">
          <w:marLeft w:val="0"/>
          <w:marRight w:val="0"/>
          <w:marTop w:val="0"/>
          <w:marBottom w:val="0"/>
          <w:divBdr>
            <w:top w:val="none" w:sz="0" w:space="0" w:color="auto"/>
            <w:left w:val="none" w:sz="0" w:space="0" w:color="auto"/>
            <w:bottom w:val="none" w:sz="0" w:space="0" w:color="auto"/>
            <w:right w:val="none" w:sz="0" w:space="0" w:color="auto"/>
          </w:divBdr>
        </w:div>
        <w:div w:id="392001365">
          <w:marLeft w:val="0"/>
          <w:marRight w:val="0"/>
          <w:marTop w:val="0"/>
          <w:marBottom w:val="0"/>
          <w:divBdr>
            <w:top w:val="none" w:sz="0" w:space="0" w:color="auto"/>
            <w:left w:val="none" w:sz="0" w:space="0" w:color="auto"/>
            <w:bottom w:val="none" w:sz="0" w:space="0" w:color="auto"/>
            <w:right w:val="none" w:sz="0" w:space="0" w:color="auto"/>
          </w:divBdr>
        </w:div>
        <w:div w:id="613828339">
          <w:marLeft w:val="0"/>
          <w:marRight w:val="0"/>
          <w:marTop w:val="0"/>
          <w:marBottom w:val="0"/>
          <w:divBdr>
            <w:top w:val="none" w:sz="0" w:space="0" w:color="auto"/>
            <w:left w:val="none" w:sz="0" w:space="0" w:color="auto"/>
            <w:bottom w:val="none" w:sz="0" w:space="0" w:color="auto"/>
            <w:right w:val="none" w:sz="0" w:space="0" w:color="auto"/>
          </w:divBdr>
        </w:div>
        <w:div w:id="800686028">
          <w:marLeft w:val="0"/>
          <w:marRight w:val="0"/>
          <w:marTop w:val="0"/>
          <w:marBottom w:val="0"/>
          <w:divBdr>
            <w:top w:val="none" w:sz="0" w:space="0" w:color="auto"/>
            <w:left w:val="none" w:sz="0" w:space="0" w:color="auto"/>
            <w:bottom w:val="none" w:sz="0" w:space="0" w:color="auto"/>
            <w:right w:val="none" w:sz="0" w:space="0" w:color="auto"/>
          </w:divBdr>
        </w:div>
        <w:div w:id="1035159312">
          <w:marLeft w:val="0"/>
          <w:marRight w:val="0"/>
          <w:marTop w:val="0"/>
          <w:marBottom w:val="0"/>
          <w:divBdr>
            <w:top w:val="none" w:sz="0" w:space="0" w:color="auto"/>
            <w:left w:val="none" w:sz="0" w:space="0" w:color="auto"/>
            <w:bottom w:val="none" w:sz="0" w:space="0" w:color="auto"/>
            <w:right w:val="none" w:sz="0" w:space="0" w:color="auto"/>
          </w:divBdr>
        </w:div>
        <w:div w:id="1117137467">
          <w:marLeft w:val="0"/>
          <w:marRight w:val="0"/>
          <w:marTop w:val="0"/>
          <w:marBottom w:val="0"/>
          <w:divBdr>
            <w:top w:val="none" w:sz="0" w:space="0" w:color="auto"/>
            <w:left w:val="none" w:sz="0" w:space="0" w:color="auto"/>
            <w:bottom w:val="none" w:sz="0" w:space="0" w:color="auto"/>
            <w:right w:val="none" w:sz="0" w:space="0" w:color="auto"/>
          </w:divBdr>
        </w:div>
        <w:div w:id="1150638789">
          <w:marLeft w:val="0"/>
          <w:marRight w:val="0"/>
          <w:marTop w:val="0"/>
          <w:marBottom w:val="0"/>
          <w:divBdr>
            <w:top w:val="none" w:sz="0" w:space="0" w:color="auto"/>
            <w:left w:val="none" w:sz="0" w:space="0" w:color="auto"/>
            <w:bottom w:val="none" w:sz="0" w:space="0" w:color="auto"/>
            <w:right w:val="none" w:sz="0" w:space="0" w:color="auto"/>
          </w:divBdr>
        </w:div>
        <w:div w:id="1341003271">
          <w:marLeft w:val="0"/>
          <w:marRight w:val="0"/>
          <w:marTop w:val="0"/>
          <w:marBottom w:val="0"/>
          <w:divBdr>
            <w:top w:val="none" w:sz="0" w:space="0" w:color="auto"/>
            <w:left w:val="none" w:sz="0" w:space="0" w:color="auto"/>
            <w:bottom w:val="none" w:sz="0" w:space="0" w:color="auto"/>
            <w:right w:val="none" w:sz="0" w:space="0" w:color="auto"/>
          </w:divBdr>
        </w:div>
        <w:div w:id="1536651794">
          <w:marLeft w:val="0"/>
          <w:marRight w:val="0"/>
          <w:marTop w:val="0"/>
          <w:marBottom w:val="0"/>
          <w:divBdr>
            <w:top w:val="none" w:sz="0" w:space="0" w:color="auto"/>
            <w:left w:val="none" w:sz="0" w:space="0" w:color="auto"/>
            <w:bottom w:val="none" w:sz="0" w:space="0" w:color="auto"/>
            <w:right w:val="none" w:sz="0" w:space="0" w:color="auto"/>
          </w:divBdr>
        </w:div>
      </w:divsChild>
    </w:div>
    <w:div w:id="1109007889">
      <w:bodyDiv w:val="1"/>
      <w:marLeft w:val="0"/>
      <w:marRight w:val="0"/>
      <w:marTop w:val="0"/>
      <w:marBottom w:val="0"/>
      <w:divBdr>
        <w:top w:val="none" w:sz="0" w:space="0" w:color="auto"/>
        <w:left w:val="none" w:sz="0" w:space="0" w:color="auto"/>
        <w:bottom w:val="none" w:sz="0" w:space="0" w:color="auto"/>
        <w:right w:val="none" w:sz="0" w:space="0" w:color="auto"/>
      </w:divBdr>
      <w:divsChild>
        <w:div w:id="1081292807">
          <w:marLeft w:val="0"/>
          <w:marRight w:val="0"/>
          <w:marTop w:val="0"/>
          <w:marBottom w:val="0"/>
          <w:divBdr>
            <w:top w:val="none" w:sz="0" w:space="0" w:color="auto"/>
            <w:left w:val="none" w:sz="0" w:space="0" w:color="auto"/>
            <w:bottom w:val="none" w:sz="0" w:space="0" w:color="auto"/>
            <w:right w:val="none" w:sz="0" w:space="0" w:color="auto"/>
          </w:divBdr>
        </w:div>
        <w:div w:id="1833566883">
          <w:marLeft w:val="0"/>
          <w:marRight w:val="0"/>
          <w:marTop w:val="0"/>
          <w:marBottom w:val="0"/>
          <w:divBdr>
            <w:top w:val="none" w:sz="0" w:space="0" w:color="auto"/>
            <w:left w:val="none" w:sz="0" w:space="0" w:color="auto"/>
            <w:bottom w:val="none" w:sz="0" w:space="0" w:color="auto"/>
            <w:right w:val="none" w:sz="0" w:space="0" w:color="auto"/>
          </w:divBdr>
        </w:div>
      </w:divsChild>
    </w:div>
    <w:div w:id="1124928061">
      <w:bodyDiv w:val="1"/>
      <w:marLeft w:val="0"/>
      <w:marRight w:val="0"/>
      <w:marTop w:val="0"/>
      <w:marBottom w:val="0"/>
      <w:divBdr>
        <w:top w:val="none" w:sz="0" w:space="0" w:color="auto"/>
        <w:left w:val="none" w:sz="0" w:space="0" w:color="auto"/>
        <w:bottom w:val="none" w:sz="0" w:space="0" w:color="auto"/>
        <w:right w:val="none" w:sz="0" w:space="0" w:color="auto"/>
      </w:divBdr>
    </w:div>
    <w:div w:id="1142503704">
      <w:bodyDiv w:val="1"/>
      <w:marLeft w:val="0"/>
      <w:marRight w:val="0"/>
      <w:marTop w:val="0"/>
      <w:marBottom w:val="0"/>
      <w:divBdr>
        <w:top w:val="none" w:sz="0" w:space="0" w:color="auto"/>
        <w:left w:val="none" w:sz="0" w:space="0" w:color="auto"/>
        <w:bottom w:val="none" w:sz="0" w:space="0" w:color="auto"/>
        <w:right w:val="none" w:sz="0" w:space="0" w:color="auto"/>
      </w:divBdr>
    </w:div>
    <w:div w:id="1177303340">
      <w:bodyDiv w:val="1"/>
      <w:marLeft w:val="0"/>
      <w:marRight w:val="0"/>
      <w:marTop w:val="0"/>
      <w:marBottom w:val="0"/>
      <w:divBdr>
        <w:top w:val="none" w:sz="0" w:space="0" w:color="auto"/>
        <w:left w:val="none" w:sz="0" w:space="0" w:color="auto"/>
        <w:bottom w:val="none" w:sz="0" w:space="0" w:color="auto"/>
        <w:right w:val="none" w:sz="0" w:space="0" w:color="auto"/>
      </w:divBdr>
    </w:div>
    <w:div w:id="1188719006">
      <w:bodyDiv w:val="1"/>
      <w:marLeft w:val="0"/>
      <w:marRight w:val="0"/>
      <w:marTop w:val="0"/>
      <w:marBottom w:val="0"/>
      <w:divBdr>
        <w:top w:val="none" w:sz="0" w:space="0" w:color="auto"/>
        <w:left w:val="none" w:sz="0" w:space="0" w:color="auto"/>
        <w:bottom w:val="none" w:sz="0" w:space="0" w:color="auto"/>
        <w:right w:val="none" w:sz="0" w:space="0" w:color="auto"/>
      </w:divBdr>
    </w:div>
    <w:div w:id="1222473858">
      <w:bodyDiv w:val="1"/>
      <w:marLeft w:val="0"/>
      <w:marRight w:val="0"/>
      <w:marTop w:val="0"/>
      <w:marBottom w:val="0"/>
      <w:divBdr>
        <w:top w:val="none" w:sz="0" w:space="0" w:color="auto"/>
        <w:left w:val="none" w:sz="0" w:space="0" w:color="auto"/>
        <w:bottom w:val="none" w:sz="0" w:space="0" w:color="auto"/>
        <w:right w:val="none" w:sz="0" w:space="0" w:color="auto"/>
      </w:divBdr>
    </w:div>
    <w:div w:id="1227645322">
      <w:bodyDiv w:val="1"/>
      <w:marLeft w:val="0"/>
      <w:marRight w:val="0"/>
      <w:marTop w:val="0"/>
      <w:marBottom w:val="0"/>
      <w:divBdr>
        <w:top w:val="none" w:sz="0" w:space="0" w:color="auto"/>
        <w:left w:val="none" w:sz="0" w:space="0" w:color="auto"/>
        <w:bottom w:val="none" w:sz="0" w:space="0" w:color="auto"/>
        <w:right w:val="none" w:sz="0" w:space="0" w:color="auto"/>
      </w:divBdr>
    </w:div>
    <w:div w:id="1247111581">
      <w:bodyDiv w:val="1"/>
      <w:marLeft w:val="0"/>
      <w:marRight w:val="0"/>
      <w:marTop w:val="0"/>
      <w:marBottom w:val="0"/>
      <w:divBdr>
        <w:top w:val="none" w:sz="0" w:space="0" w:color="auto"/>
        <w:left w:val="none" w:sz="0" w:space="0" w:color="auto"/>
        <w:bottom w:val="none" w:sz="0" w:space="0" w:color="auto"/>
        <w:right w:val="none" w:sz="0" w:space="0" w:color="auto"/>
      </w:divBdr>
    </w:div>
    <w:div w:id="1249995424">
      <w:bodyDiv w:val="1"/>
      <w:marLeft w:val="0"/>
      <w:marRight w:val="0"/>
      <w:marTop w:val="0"/>
      <w:marBottom w:val="0"/>
      <w:divBdr>
        <w:top w:val="none" w:sz="0" w:space="0" w:color="auto"/>
        <w:left w:val="none" w:sz="0" w:space="0" w:color="auto"/>
        <w:bottom w:val="none" w:sz="0" w:space="0" w:color="auto"/>
        <w:right w:val="none" w:sz="0" w:space="0" w:color="auto"/>
      </w:divBdr>
    </w:div>
    <w:div w:id="1267886000">
      <w:bodyDiv w:val="1"/>
      <w:marLeft w:val="0"/>
      <w:marRight w:val="0"/>
      <w:marTop w:val="0"/>
      <w:marBottom w:val="0"/>
      <w:divBdr>
        <w:top w:val="none" w:sz="0" w:space="0" w:color="auto"/>
        <w:left w:val="none" w:sz="0" w:space="0" w:color="auto"/>
        <w:bottom w:val="none" w:sz="0" w:space="0" w:color="auto"/>
        <w:right w:val="none" w:sz="0" w:space="0" w:color="auto"/>
      </w:divBdr>
      <w:divsChild>
        <w:div w:id="236136888">
          <w:marLeft w:val="0"/>
          <w:marRight w:val="0"/>
          <w:marTop w:val="0"/>
          <w:marBottom w:val="0"/>
          <w:divBdr>
            <w:top w:val="none" w:sz="0" w:space="0" w:color="auto"/>
            <w:left w:val="none" w:sz="0" w:space="0" w:color="auto"/>
            <w:bottom w:val="none" w:sz="0" w:space="0" w:color="auto"/>
            <w:right w:val="none" w:sz="0" w:space="0" w:color="auto"/>
          </w:divBdr>
        </w:div>
        <w:div w:id="364403469">
          <w:marLeft w:val="0"/>
          <w:marRight w:val="0"/>
          <w:marTop w:val="0"/>
          <w:marBottom w:val="0"/>
          <w:divBdr>
            <w:top w:val="none" w:sz="0" w:space="0" w:color="auto"/>
            <w:left w:val="none" w:sz="0" w:space="0" w:color="auto"/>
            <w:bottom w:val="none" w:sz="0" w:space="0" w:color="auto"/>
            <w:right w:val="none" w:sz="0" w:space="0" w:color="auto"/>
          </w:divBdr>
        </w:div>
        <w:div w:id="432094172">
          <w:marLeft w:val="0"/>
          <w:marRight w:val="0"/>
          <w:marTop w:val="0"/>
          <w:marBottom w:val="0"/>
          <w:divBdr>
            <w:top w:val="none" w:sz="0" w:space="0" w:color="auto"/>
            <w:left w:val="none" w:sz="0" w:space="0" w:color="auto"/>
            <w:bottom w:val="none" w:sz="0" w:space="0" w:color="auto"/>
            <w:right w:val="none" w:sz="0" w:space="0" w:color="auto"/>
          </w:divBdr>
        </w:div>
        <w:div w:id="746145522">
          <w:marLeft w:val="0"/>
          <w:marRight w:val="0"/>
          <w:marTop w:val="0"/>
          <w:marBottom w:val="0"/>
          <w:divBdr>
            <w:top w:val="none" w:sz="0" w:space="0" w:color="auto"/>
            <w:left w:val="none" w:sz="0" w:space="0" w:color="auto"/>
            <w:bottom w:val="none" w:sz="0" w:space="0" w:color="auto"/>
            <w:right w:val="none" w:sz="0" w:space="0" w:color="auto"/>
          </w:divBdr>
        </w:div>
        <w:div w:id="864559797">
          <w:marLeft w:val="0"/>
          <w:marRight w:val="0"/>
          <w:marTop w:val="0"/>
          <w:marBottom w:val="0"/>
          <w:divBdr>
            <w:top w:val="none" w:sz="0" w:space="0" w:color="auto"/>
            <w:left w:val="none" w:sz="0" w:space="0" w:color="auto"/>
            <w:bottom w:val="none" w:sz="0" w:space="0" w:color="auto"/>
            <w:right w:val="none" w:sz="0" w:space="0" w:color="auto"/>
          </w:divBdr>
        </w:div>
        <w:div w:id="1156917104">
          <w:marLeft w:val="0"/>
          <w:marRight w:val="0"/>
          <w:marTop w:val="0"/>
          <w:marBottom w:val="0"/>
          <w:divBdr>
            <w:top w:val="none" w:sz="0" w:space="0" w:color="auto"/>
            <w:left w:val="none" w:sz="0" w:space="0" w:color="auto"/>
            <w:bottom w:val="none" w:sz="0" w:space="0" w:color="auto"/>
            <w:right w:val="none" w:sz="0" w:space="0" w:color="auto"/>
          </w:divBdr>
        </w:div>
        <w:div w:id="1225725602">
          <w:marLeft w:val="0"/>
          <w:marRight w:val="0"/>
          <w:marTop w:val="0"/>
          <w:marBottom w:val="0"/>
          <w:divBdr>
            <w:top w:val="none" w:sz="0" w:space="0" w:color="auto"/>
            <w:left w:val="none" w:sz="0" w:space="0" w:color="auto"/>
            <w:bottom w:val="none" w:sz="0" w:space="0" w:color="auto"/>
            <w:right w:val="none" w:sz="0" w:space="0" w:color="auto"/>
          </w:divBdr>
        </w:div>
        <w:div w:id="1314871371">
          <w:marLeft w:val="0"/>
          <w:marRight w:val="0"/>
          <w:marTop w:val="0"/>
          <w:marBottom w:val="0"/>
          <w:divBdr>
            <w:top w:val="none" w:sz="0" w:space="0" w:color="auto"/>
            <w:left w:val="none" w:sz="0" w:space="0" w:color="auto"/>
            <w:bottom w:val="none" w:sz="0" w:space="0" w:color="auto"/>
            <w:right w:val="none" w:sz="0" w:space="0" w:color="auto"/>
          </w:divBdr>
        </w:div>
        <w:div w:id="1342471039">
          <w:marLeft w:val="0"/>
          <w:marRight w:val="0"/>
          <w:marTop w:val="0"/>
          <w:marBottom w:val="0"/>
          <w:divBdr>
            <w:top w:val="none" w:sz="0" w:space="0" w:color="auto"/>
            <w:left w:val="none" w:sz="0" w:space="0" w:color="auto"/>
            <w:bottom w:val="none" w:sz="0" w:space="0" w:color="auto"/>
            <w:right w:val="none" w:sz="0" w:space="0" w:color="auto"/>
          </w:divBdr>
        </w:div>
        <w:div w:id="1722174219">
          <w:marLeft w:val="0"/>
          <w:marRight w:val="0"/>
          <w:marTop w:val="0"/>
          <w:marBottom w:val="0"/>
          <w:divBdr>
            <w:top w:val="none" w:sz="0" w:space="0" w:color="auto"/>
            <w:left w:val="none" w:sz="0" w:space="0" w:color="auto"/>
            <w:bottom w:val="none" w:sz="0" w:space="0" w:color="auto"/>
            <w:right w:val="none" w:sz="0" w:space="0" w:color="auto"/>
          </w:divBdr>
        </w:div>
        <w:div w:id="1936160424">
          <w:marLeft w:val="0"/>
          <w:marRight w:val="0"/>
          <w:marTop w:val="0"/>
          <w:marBottom w:val="0"/>
          <w:divBdr>
            <w:top w:val="none" w:sz="0" w:space="0" w:color="auto"/>
            <w:left w:val="none" w:sz="0" w:space="0" w:color="auto"/>
            <w:bottom w:val="none" w:sz="0" w:space="0" w:color="auto"/>
            <w:right w:val="none" w:sz="0" w:space="0" w:color="auto"/>
          </w:divBdr>
        </w:div>
        <w:div w:id="1962804706">
          <w:marLeft w:val="0"/>
          <w:marRight w:val="0"/>
          <w:marTop w:val="0"/>
          <w:marBottom w:val="0"/>
          <w:divBdr>
            <w:top w:val="none" w:sz="0" w:space="0" w:color="auto"/>
            <w:left w:val="none" w:sz="0" w:space="0" w:color="auto"/>
            <w:bottom w:val="none" w:sz="0" w:space="0" w:color="auto"/>
            <w:right w:val="none" w:sz="0" w:space="0" w:color="auto"/>
          </w:divBdr>
        </w:div>
        <w:div w:id="2104104253">
          <w:marLeft w:val="0"/>
          <w:marRight w:val="0"/>
          <w:marTop w:val="0"/>
          <w:marBottom w:val="0"/>
          <w:divBdr>
            <w:top w:val="none" w:sz="0" w:space="0" w:color="auto"/>
            <w:left w:val="none" w:sz="0" w:space="0" w:color="auto"/>
            <w:bottom w:val="none" w:sz="0" w:space="0" w:color="auto"/>
            <w:right w:val="none" w:sz="0" w:space="0" w:color="auto"/>
          </w:divBdr>
        </w:div>
      </w:divsChild>
    </w:div>
    <w:div w:id="1269004645">
      <w:bodyDiv w:val="1"/>
      <w:marLeft w:val="0"/>
      <w:marRight w:val="0"/>
      <w:marTop w:val="0"/>
      <w:marBottom w:val="0"/>
      <w:divBdr>
        <w:top w:val="none" w:sz="0" w:space="0" w:color="auto"/>
        <w:left w:val="none" w:sz="0" w:space="0" w:color="auto"/>
        <w:bottom w:val="none" w:sz="0" w:space="0" w:color="auto"/>
        <w:right w:val="none" w:sz="0" w:space="0" w:color="auto"/>
      </w:divBdr>
    </w:div>
    <w:div w:id="1279096678">
      <w:bodyDiv w:val="1"/>
      <w:marLeft w:val="0"/>
      <w:marRight w:val="0"/>
      <w:marTop w:val="0"/>
      <w:marBottom w:val="0"/>
      <w:divBdr>
        <w:top w:val="none" w:sz="0" w:space="0" w:color="auto"/>
        <w:left w:val="none" w:sz="0" w:space="0" w:color="auto"/>
        <w:bottom w:val="none" w:sz="0" w:space="0" w:color="auto"/>
        <w:right w:val="none" w:sz="0" w:space="0" w:color="auto"/>
      </w:divBdr>
      <w:divsChild>
        <w:div w:id="1260986078">
          <w:marLeft w:val="0"/>
          <w:marRight w:val="0"/>
          <w:marTop w:val="0"/>
          <w:marBottom w:val="0"/>
          <w:divBdr>
            <w:top w:val="none" w:sz="0" w:space="0" w:color="auto"/>
            <w:left w:val="none" w:sz="0" w:space="0" w:color="auto"/>
            <w:bottom w:val="none" w:sz="0" w:space="0" w:color="auto"/>
            <w:right w:val="none" w:sz="0" w:space="0" w:color="auto"/>
          </w:divBdr>
        </w:div>
      </w:divsChild>
    </w:div>
    <w:div w:id="1295020070">
      <w:bodyDiv w:val="1"/>
      <w:marLeft w:val="0"/>
      <w:marRight w:val="0"/>
      <w:marTop w:val="0"/>
      <w:marBottom w:val="0"/>
      <w:divBdr>
        <w:top w:val="none" w:sz="0" w:space="0" w:color="auto"/>
        <w:left w:val="none" w:sz="0" w:space="0" w:color="auto"/>
        <w:bottom w:val="none" w:sz="0" w:space="0" w:color="auto"/>
        <w:right w:val="none" w:sz="0" w:space="0" w:color="auto"/>
      </w:divBdr>
    </w:div>
    <w:div w:id="1297682147">
      <w:bodyDiv w:val="1"/>
      <w:marLeft w:val="0"/>
      <w:marRight w:val="0"/>
      <w:marTop w:val="0"/>
      <w:marBottom w:val="0"/>
      <w:divBdr>
        <w:top w:val="none" w:sz="0" w:space="0" w:color="auto"/>
        <w:left w:val="none" w:sz="0" w:space="0" w:color="auto"/>
        <w:bottom w:val="none" w:sz="0" w:space="0" w:color="auto"/>
        <w:right w:val="none" w:sz="0" w:space="0" w:color="auto"/>
      </w:divBdr>
    </w:div>
    <w:div w:id="1301154050">
      <w:bodyDiv w:val="1"/>
      <w:marLeft w:val="0"/>
      <w:marRight w:val="0"/>
      <w:marTop w:val="0"/>
      <w:marBottom w:val="0"/>
      <w:divBdr>
        <w:top w:val="none" w:sz="0" w:space="0" w:color="auto"/>
        <w:left w:val="none" w:sz="0" w:space="0" w:color="auto"/>
        <w:bottom w:val="none" w:sz="0" w:space="0" w:color="auto"/>
        <w:right w:val="none" w:sz="0" w:space="0" w:color="auto"/>
      </w:divBdr>
    </w:div>
    <w:div w:id="1301499801">
      <w:bodyDiv w:val="1"/>
      <w:marLeft w:val="0"/>
      <w:marRight w:val="0"/>
      <w:marTop w:val="0"/>
      <w:marBottom w:val="0"/>
      <w:divBdr>
        <w:top w:val="none" w:sz="0" w:space="0" w:color="auto"/>
        <w:left w:val="none" w:sz="0" w:space="0" w:color="auto"/>
        <w:bottom w:val="none" w:sz="0" w:space="0" w:color="auto"/>
        <w:right w:val="none" w:sz="0" w:space="0" w:color="auto"/>
      </w:divBdr>
    </w:div>
    <w:div w:id="1301500070">
      <w:bodyDiv w:val="1"/>
      <w:marLeft w:val="0"/>
      <w:marRight w:val="0"/>
      <w:marTop w:val="0"/>
      <w:marBottom w:val="0"/>
      <w:divBdr>
        <w:top w:val="none" w:sz="0" w:space="0" w:color="auto"/>
        <w:left w:val="none" w:sz="0" w:space="0" w:color="auto"/>
        <w:bottom w:val="none" w:sz="0" w:space="0" w:color="auto"/>
        <w:right w:val="none" w:sz="0" w:space="0" w:color="auto"/>
      </w:divBdr>
    </w:div>
    <w:div w:id="1320305240">
      <w:bodyDiv w:val="1"/>
      <w:marLeft w:val="0"/>
      <w:marRight w:val="0"/>
      <w:marTop w:val="0"/>
      <w:marBottom w:val="0"/>
      <w:divBdr>
        <w:top w:val="none" w:sz="0" w:space="0" w:color="auto"/>
        <w:left w:val="none" w:sz="0" w:space="0" w:color="auto"/>
        <w:bottom w:val="none" w:sz="0" w:space="0" w:color="auto"/>
        <w:right w:val="none" w:sz="0" w:space="0" w:color="auto"/>
      </w:divBdr>
    </w:div>
    <w:div w:id="1321882572">
      <w:bodyDiv w:val="1"/>
      <w:marLeft w:val="0"/>
      <w:marRight w:val="0"/>
      <w:marTop w:val="0"/>
      <w:marBottom w:val="0"/>
      <w:divBdr>
        <w:top w:val="none" w:sz="0" w:space="0" w:color="auto"/>
        <w:left w:val="none" w:sz="0" w:space="0" w:color="auto"/>
        <w:bottom w:val="none" w:sz="0" w:space="0" w:color="auto"/>
        <w:right w:val="none" w:sz="0" w:space="0" w:color="auto"/>
      </w:divBdr>
    </w:div>
    <w:div w:id="1346663885">
      <w:bodyDiv w:val="1"/>
      <w:marLeft w:val="0"/>
      <w:marRight w:val="0"/>
      <w:marTop w:val="0"/>
      <w:marBottom w:val="0"/>
      <w:divBdr>
        <w:top w:val="none" w:sz="0" w:space="0" w:color="auto"/>
        <w:left w:val="none" w:sz="0" w:space="0" w:color="auto"/>
        <w:bottom w:val="none" w:sz="0" w:space="0" w:color="auto"/>
        <w:right w:val="none" w:sz="0" w:space="0" w:color="auto"/>
      </w:divBdr>
      <w:divsChild>
        <w:div w:id="150608468">
          <w:marLeft w:val="547"/>
          <w:marRight w:val="0"/>
          <w:marTop w:val="0"/>
          <w:marBottom w:val="0"/>
          <w:divBdr>
            <w:top w:val="none" w:sz="0" w:space="0" w:color="auto"/>
            <w:left w:val="none" w:sz="0" w:space="0" w:color="auto"/>
            <w:bottom w:val="none" w:sz="0" w:space="0" w:color="auto"/>
            <w:right w:val="none" w:sz="0" w:space="0" w:color="auto"/>
          </w:divBdr>
        </w:div>
        <w:div w:id="481318232">
          <w:marLeft w:val="547"/>
          <w:marRight w:val="0"/>
          <w:marTop w:val="0"/>
          <w:marBottom w:val="0"/>
          <w:divBdr>
            <w:top w:val="none" w:sz="0" w:space="0" w:color="auto"/>
            <w:left w:val="none" w:sz="0" w:space="0" w:color="auto"/>
            <w:bottom w:val="none" w:sz="0" w:space="0" w:color="auto"/>
            <w:right w:val="none" w:sz="0" w:space="0" w:color="auto"/>
          </w:divBdr>
        </w:div>
        <w:div w:id="1783066287">
          <w:marLeft w:val="547"/>
          <w:marRight w:val="0"/>
          <w:marTop w:val="0"/>
          <w:marBottom w:val="0"/>
          <w:divBdr>
            <w:top w:val="none" w:sz="0" w:space="0" w:color="auto"/>
            <w:left w:val="none" w:sz="0" w:space="0" w:color="auto"/>
            <w:bottom w:val="none" w:sz="0" w:space="0" w:color="auto"/>
            <w:right w:val="none" w:sz="0" w:space="0" w:color="auto"/>
          </w:divBdr>
        </w:div>
      </w:divsChild>
    </w:div>
    <w:div w:id="1350060406">
      <w:bodyDiv w:val="1"/>
      <w:marLeft w:val="0"/>
      <w:marRight w:val="0"/>
      <w:marTop w:val="0"/>
      <w:marBottom w:val="0"/>
      <w:divBdr>
        <w:top w:val="none" w:sz="0" w:space="0" w:color="auto"/>
        <w:left w:val="none" w:sz="0" w:space="0" w:color="auto"/>
        <w:bottom w:val="none" w:sz="0" w:space="0" w:color="auto"/>
        <w:right w:val="none" w:sz="0" w:space="0" w:color="auto"/>
      </w:divBdr>
      <w:divsChild>
        <w:div w:id="865799416">
          <w:marLeft w:val="389"/>
          <w:marRight w:val="0"/>
          <w:marTop w:val="0"/>
          <w:marBottom w:val="40"/>
          <w:divBdr>
            <w:top w:val="none" w:sz="0" w:space="0" w:color="auto"/>
            <w:left w:val="none" w:sz="0" w:space="0" w:color="auto"/>
            <w:bottom w:val="none" w:sz="0" w:space="0" w:color="auto"/>
            <w:right w:val="none" w:sz="0" w:space="0" w:color="auto"/>
          </w:divBdr>
        </w:div>
        <w:div w:id="1121262283">
          <w:marLeft w:val="1109"/>
          <w:marRight w:val="0"/>
          <w:marTop w:val="0"/>
          <w:marBottom w:val="40"/>
          <w:divBdr>
            <w:top w:val="none" w:sz="0" w:space="0" w:color="auto"/>
            <w:left w:val="none" w:sz="0" w:space="0" w:color="auto"/>
            <w:bottom w:val="none" w:sz="0" w:space="0" w:color="auto"/>
            <w:right w:val="none" w:sz="0" w:space="0" w:color="auto"/>
          </w:divBdr>
        </w:div>
        <w:div w:id="2095861187">
          <w:marLeft w:val="389"/>
          <w:marRight w:val="0"/>
          <w:marTop w:val="0"/>
          <w:marBottom w:val="40"/>
          <w:divBdr>
            <w:top w:val="none" w:sz="0" w:space="0" w:color="auto"/>
            <w:left w:val="none" w:sz="0" w:space="0" w:color="auto"/>
            <w:bottom w:val="none" w:sz="0" w:space="0" w:color="auto"/>
            <w:right w:val="none" w:sz="0" w:space="0" w:color="auto"/>
          </w:divBdr>
        </w:div>
      </w:divsChild>
    </w:div>
    <w:div w:id="1376738223">
      <w:bodyDiv w:val="1"/>
      <w:marLeft w:val="0"/>
      <w:marRight w:val="0"/>
      <w:marTop w:val="0"/>
      <w:marBottom w:val="0"/>
      <w:divBdr>
        <w:top w:val="none" w:sz="0" w:space="0" w:color="auto"/>
        <w:left w:val="none" w:sz="0" w:space="0" w:color="auto"/>
        <w:bottom w:val="none" w:sz="0" w:space="0" w:color="auto"/>
        <w:right w:val="none" w:sz="0" w:space="0" w:color="auto"/>
      </w:divBdr>
    </w:div>
    <w:div w:id="1398043704">
      <w:bodyDiv w:val="1"/>
      <w:marLeft w:val="0"/>
      <w:marRight w:val="0"/>
      <w:marTop w:val="0"/>
      <w:marBottom w:val="0"/>
      <w:divBdr>
        <w:top w:val="none" w:sz="0" w:space="0" w:color="auto"/>
        <w:left w:val="none" w:sz="0" w:space="0" w:color="auto"/>
        <w:bottom w:val="none" w:sz="0" w:space="0" w:color="auto"/>
        <w:right w:val="none" w:sz="0" w:space="0" w:color="auto"/>
      </w:divBdr>
    </w:div>
    <w:div w:id="1403331481">
      <w:bodyDiv w:val="1"/>
      <w:marLeft w:val="0"/>
      <w:marRight w:val="0"/>
      <w:marTop w:val="0"/>
      <w:marBottom w:val="0"/>
      <w:divBdr>
        <w:top w:val="none" w:sz="0" w:space="0" w:color="auto"/>
        <w:left w:val="none" w:sz="0" w:space="0" w:color="auto"/>
        <w:bottom w:val="none" w:sz="0" w:space="0" w:color="auto"/>
        <w:right w:val="none" w:sz="0" w:space="0" w:color="auto"/>
      </w:divBdr>
    </w:div>
    <w:div w:id="1404448315">
      <w:bodyDiv w:val="1"/>
      <w:marLeft w:val="0"/>
      <w:marRight w:val="0"/>
      <w:marTop w:val="0"/>
      <w:marBottom w:val="0"/>
      <w:divBdr>
        <w:top w:val="none" w:sz="0" w:space="0" w:color="auto"/>
        <w:left w:val="none" w:sz="0" w:space="0" w:color="auto"/>
        <w:bottom w:val="none" w:sz="0" w:space="0" w:color="auto"/>
        <w:right w:val="none" w:sz="0" w:space="0" w:color="auto"/>
      </w:divBdr>
    </w:div>
    <w:div w:id="1411074116">
      <w:bodyDiv w:val="1"/>
      <w:marLeft w:val="0"/>
      <w:marRight w:val="0"/>
      <w:marTop w:val="0"/>
      <w:marBottom w:val="0"/>
      <w:divBdr>
        <w:top w:val="none" w:sz="0" w:space="0" w:color="auto"/>
        <w:left w:val="none" w:sz="0" w:space="0" w:color="auto"/>
        <w:bottom w:val="none" w:sz="0" w:space="0" w:color="auto"/>
        <w:right w:val="none" w:sz="0" w:space="0" w:color="auto"/>
      </w:divBdr>
      <w:divsChild>
        <w:div w:id="1166555012">
          <w:marLeft w:val="0"/>
          <w:marRight w:val="0"/>
          <w:marTop w:val="0"/>
          <w:marBottom w:val="0"/>
          <w:divBdr>
            <w:top w:val="none" w:sz="0" w:space="0" w:color="auto"/>
            <w:left w:val="none" w:sz="0" w:space="0" w:color="auto"/>
            <w:bottom w:val="none" w:sz="0" w:space="0" w:color="auto"/>
            <w:right w:val="none" w:sz="0" w:space="0" w:color="auto"/>
          </w:divBdr>
        </w:div>
        <w:div w:id="1448505444">
          <w:marLeft w:val="0"/>
          <w:marRight w:val="0"/>
          <w:marTop w:val="0"/>
          <w:marBottom w:val="0"/>
          <w:divBdr>
            <w:top w:val="none" w:sz="0" w:space="0" w:color="auto"/>
            <w:left w:val="none" w:sz="0" w:space="0" w:color="auto"/>
            <w:bottom w:val="none" w:sz="0" w:space="0" w:color="auto"/>
            <w:right w:val="none" w:sz="0" w:space="0" w:color="auto"/>
          </w:divBdr>
        </w:div>
      </w:divsChild>
    </w:div>
    <w:div w:id="1418747640">
      <w:bodyDiv w:val="1"/>
      <w:marLeft w:val="0"/>
      <w:marRight w:val="0"/>
      <w:marTop w:val="0"/>
      <w:marBottom w:val="0"/>
      <w:divBdr>
        <w:top w:val="none" w:sz="0" w:space="0" w:color="auto"/>
        <w:left w:val="none" w:sz="0" w:space="0" w:color="auto"/>
        <w:bottom w:val="none" w:sz="0" w:space="0" w:color="auto"/>
        <w:right w:val="none" w:sz="0" w:space="0" w:color="auto"/>
      </w:divBdr>
      <w:divsChild>
        <w:div w:id="416945284">
          <w:marLeft w:val="446"/>
          <w:marRight w:val="0"/>
          <w:marTop w:val="0"/>
          <w:marBottom w:val="0"/>
          <w:divBdr>
            <w:top w:val="none" w:sz="0" w:space="0" w:color="auto"/>
            <w:left w:val="none" w:sz="0" w:space="0" w:color="auto"/>
            <w:bottom w:val="none" w:sz="0" w:space="0" w:color="auto"/>
            <w:right w:val="none" w:sz="0" w:space="0" w:color="auto"/>
          </w:divBdr>
        </w:div>
        <w:div w:id="481388389">
          <w:marLeft w:val="446"/>
          <w:marRight w:val="0"/>
          <w:marTop w:val="0"/>
          <w:marBottom w:val="0"/>
          <w:divBdr>
            <w:top w:val="none" w:sz="0" w:space="0" w:color="auto"/>
            <w:left w:val="none" w:sz="0" w:space="0" w:color="auto"/>
            <w:bottom w:val="none" w:sz="0" w:space="0" w:color="auto"/>
            <w:right w:val="none" w:sz="0" w:space="0" w:color="auto"/>
          </w:divBdr>
        </w:div>
        <w:div w:id="589896828">
          <w:marLeft w:val="446"/>
          <w:marRight w:val="0"/>
          <w:marTop w:val="0"/>
          <w:marBottom w:val="0"/>
          <w:divBdr>
            <w:top w:val="none" w:sz="0" w:space="0" w:color="auto"/>
            <w:left w:val="none" w:sz="0" w:space="0" w:color="auto"/>
            <w:bottom w:val="none" w:sz="0" w:space="0" w:color="auto"/>
            <w:right w:val="none" w:sz="0" w:space="0" w:color="auto"/>
          </w:divBdr>
        </w:div>
        <w:div w:id="1877158706">
          <w:marLeft w:val="446"/>
          <w:marRight w:val="0"/>
          <w:marTop w:val="0"/>
          <w:marBottom w:val="0"/>
          <w:divBdr>
            <w:top w:val="none" w:sz="0" w:space="0" w:color="auto"/>
            <w:left w:val="none" w:sz="0" w:space="0" w:color="auto"/>
            <w:bottom w:val="none" w:sz="0" w:space="0" w:color="auto"/>
            <w:right w:val="none" w:sz="0" w:space="0" w:color="auto"/>
          </w:divBdr>
        </w:div>
      </w:divsChild>
    </w:div>
    <w:div w:id="1462191457">
      <w:bodyDiv w:val="1"/>
      <w:marLeft w:val="0"/>
      <w:marRight w:val="0"/>
      <w:marTop w:val="0"/>
      <w:marBottom w:val="0"/>
      <w:divBdr>
        <w:top w:val="none" w:sz="0" w:space="0" w:color="auto"/>
        <w:left w:val="none" w:sz="0" w:space="0" w:color="auto"/>
        <w:bottom w:val="none" w:sz="0" w:space="0" w:color="auto"/>
        <w:right w:val="none" w:sz="0" w:space="0" w:color="auto"/>
      </w:divBdr>
      <w:divsChild>
        <w:div w:id="1121992991">
          <w:marLeft w:val="446"/>
          <w:marRight w:val="0"/>
          <w:marTop w:val="160"/>
          <w:marBottom w:val="0"/>
          <w:divBdr>
            <w:top w:val="none" w:sz="0" w:space="0" w:color="auto"/>
            <w:left w:val="none" w:sz="0" w:space="0" w:color="auto"/>
            <w:bottom w:val="none" w:sz="0" w:space="0" w:color="auto"/>
            <w:right w:val="none" w:sz="0" w:space="0" w:color="auto"/>
          </w:divBdr>
        </w:div>
      </w:divsChild>
    </w:div>
    <w:div w:id="1462575567">
      <w:bodyDiv w:val="1"/>
      <w:marLeft w:val="0"/>
      <w:marRight w:val="0"/>
      <w:marTop w:val="0"/>
      <w:marBottom w:val="0"/>
      <w:divBdr>
        <w:top w:val="none" w:sz="0" w:space="0" w:color="auto"/>
        <w:left w:val="none" w:sz="0" w:space="0" w:color="auto"/>
        <w:bottom w:val="none" w:sz="0" w:space="0" w:color="auto"/>
        <w:right w:val="none" w:sz="0" w:space="0" w:color="auto"/>
      </w:divBdr>
    </w:div>
    <w:div w:id="1465006718">
      <w:bodyDiv w:val="1"/>
      <w:marLeft w:val="0"/>
      <w:marRight w:val="0"/>
      <w:marTop w:val="0"/>
      <w:marBottom w:val="0"/>
      <w:divBdr>
        <w:top w:val="none" w:sz="0" w:space="0" w:color="auto"/>
        <w:left w:val="none" w:sz="0" w:space="0" w:color="auto"/>
        <w:bottom w:val="none" w:sz="0" w:space="0" w:color="auto"/>
        <w:right w:val="none" w:sz="0" w:space="0" w:color="auto"/>
      </w:divBdr>
    </w:div>
    <w:div w:id="1481536305">
      <w:bodyDiv w:val="1"/>
      <w:marLeft w:val="0"/>
      <w:marRight w:val="0"/>
      <w:marTop w:val="0"/>
      <w:marBottom w:val="0"/>
      <w:divBdr>
        <w:top w:val="none" w:sz="0" w:space="0" w:color="auto"/>
        <w:left w:val="none" w:sz="0" w:space="0" w:color="auto"/>
        <w:bottom w:val="none" w:sz="0" w:space="0" w:color="auto"/>
        <w:right w:val="none" w:sz="0" w:space="0" w:color="auto"/>
      </w:divBdr>
    </w:div>
    <w:div w:id="1493064824">
      <w:bodyDiv w:val="1"/>
      <w:marLeft w:val="0"/>
      <w:marRight w:val="0"/>
      <w:marTop w:val="0"/>
      <w:marBottom w:val="0"/>
      <w:divBdr>
        <w:top w:val="none" w:sz="0" w:space="0" w:color="auto"/>
        <w:left w:val="none" w:sz="0" w:space="0" w:color="auto"/>
        <w:bottom w:val="none" w:sz="0" w:space="0" w:color="auto"/>
        <w:right w:val="none" w:sz="0" w:space="0" w:color="auto"/>
      </w:divBdr>
      <w:divsChild>
        <w:div w:id="264577732">
          <w:marLeft w:val="446"/>
          <w:marRight w:val="0"/>
          <w:marTop w:val="0"/>
          <w:marBottom w:val="0"/>
          <w:divBdr>
            <w:top w:val="none" w:sz="0" w:space="0" w:color="auto"/>
            <w:left w:val="none" w:sz="0" w:space="0" w:color="auto"/>
            <w:bottom w:val="none" w:sz="0" w:space="0" w:color="auto"/>
            <w:right w:val="none" w:sz="0" w:space="0" w:color="auto"/>
          </w:divBdr>
        </w:div>
        <w:div w:id="390731420">
          <w:marLeft w:val="446"/>
          <w:marRight w:val="0"/>
          <w:marTop w:val="0"/>
          <w:marBottom w:val="0"/>
          <w:divBdr>
            <w:top w:val="none" w:sz="0" w:space="0" w:color="auto"/>
            <w:left w:val="none" w:sz="0" w:space="0" w:color="auto"/>
            <w:bottom w:val="none" w:sz="0" w:space="0" w:color="auto"/>
            <w:right w:val="none" w:sz="0" w:space="0" w:color="auto"/>
          </w:divBdr>
        </w:div>
        <w:div w:id="2046632878">
          <w:marLeft w:val="446"/>
          <w:marRight w:val="0"/>
          <w:marTop w:val="0"/>
          <w:marBottom w:val="0"/>
          <w:divBdr>
            <w:top w:val="none" w:sz="0" w:space="0" w:color="auto"/>
            <w:left w:val="none" w:sz="0" w:space="0" w:color="auto"/>
            <w:bottom w:val="none" w:sz="0" w:space="0" w:color="auto"/>
            <w:right w:val="none" w:sz="0" w:space="0" w:color="auto"/>
          </w:divBdr>
        </w:div>
      </w:divsChild>
    </w:div>
    <w:div w:id="1494877681">
      <w:bodyDiv w:val="1"/>
      <w:marLeft w:val="0"/>
      <w:marRight w:val="0"/>
      <w:marTop w:val="0"/>
      <w:marBottom w:val="0"/>
      <w:divBdr>
        <w:top w:val="none" w:sz="0" w:space="0" w:color="auto"/>
        <w:left w:val="none" w:sz="0" w:space="0" w:color="auto"/>
        <w:bottom w:val="none" w:sz="0" w:space="0" w:color="auto"/>
        <w:right w:val="none" w:sz="0" w:space="0" w:color="auto"/>
      </w:divBdr>
      <w:divsChild>
        <w:div w:id="171335228">
          <w:marLeft w:val="0"/>
          <w:marRight w:val="0"/>
          <w:marTop w:val="0"/>
          <w:marBottom w:val="0"/>
          <w:divBdr>
            <w:top w:val="none" w:sz="0" w:space="0" w:color="auto"/>
            <w:left w:val="none" w:sz="0" w:space="0" w:color="auto"/>
            <w:bottom w:val="none" w:sz="0" w:space="0" w:color="auto"/>
            <w:right w:val="none" w:sz="0" w:space="0" w:color="auto"/>
          </w:divBdr>
        </w:div>
        <w:div w:id="255866064">
          <w:marLeft w:val="0"/>
          <w:marRight w:val="0"/>
          <w:marTop w:val="0"/>
          <w:marBottom w:val="0"/>
          <w:divBdr>
            <w:top w:val="none" w:sz="0" w:space="0" w:color="auto"/>
            <w:left w:val="none" w:sz="0" w:space="0" w:color="auto"/>
            <w:bottom w:val="none" w:sz="0" w:space="0" w:color="auto"/>
            <w:right w:val="none" w:sz="0" w:space="0" w:color="auto"/>
          </w:divBdr>
        </w:div>
        <w:div w:id="386532054">
          <w:marLeft w:val="0"/>
          <w:marRight w:val="0"/>
          <w:marTop w:val="0"/>
          <w:marBottom w:val="0"/>
          <w:divBdr>
            <w:top w:val="none" w:sz="0" w:space="0" w:color="auto"/>
            <w:left w:val="none" w:sz="0" w:space="0" w:color="auto"/>
            <w:bottom w:val="none" w:sz="0" w:space="0" w:color="auto"/>
            <w:right w:val="none" w:sz="0" w:space="0" w:color="auto"/>
          </w:divBdr>
        </w:div>
        <w:div w:id="567882705">
          <w:marLeft w:val="0"/>
          <w:marRight w:val="0"/>
          <w:marTop w:val="0"/>
          <w:marBottom w:val="0"/>
          <w:divBdr>
            <w:top w:val="none" w:sz="0" w:space="0" w:color="auto"/>
            <w:left w:val="none" w:sz="0" w:space="0" w:color="auto"/>
            <w:bottom w:val="none" w:sz="0" w:space="0" w:color="auto"/>
            <w:right w:val="none" w:sz="0" w:space="0" w:color="auto"/>
          </w:divBdr>
        </w:div>
        <w:div w:id="588587972">
          <w:marLeft w:val="0"/>
          <w:marRight w:val="0"/>
          <w:marTop w:val="0"/>
          <w:marBottom w:val="0"/>
          <w:divBdr>
            <w:top w:val="none" w:sz="0" w:space="0" w:color="auto"/>
            <w:left w:val="none" w:sz="0" w:space="0" w:color="auto"/>
            <w:bottom w:val="none" w:sz="0" w:space="0" w:color="auto"/>
            <w:right w:val="none" w:sz="0" w:space="0" w:color="auto"/>
          </w:divBdr>
        </w:div>
        <w:div w:id="1125080090">
          <w:marLeft w:val="0"/>
          <w:marRight w:val="0"/>
          <w:marTop w:val="0"/>
          <w:marBottom w:val="0"/>
          <w:divBdr>
            <w:top w:val="none" w:sz="0" w:space="0" w:color="auto"/>
            <w:left w:val="none" w:sz="0" w:space="0" w:color="auto"/>
            <w:bottom w:val="none" w:sz="0" w:space="0" w:color="auto"/>
            <w:right w:val="none" w:sz="0" w:space="0" w:color="auto"/>
          </w:divBdr>
        </w:div>
        <w:div w:id="1708751459">
          <w:marLeft w:val="0"/>
          <w:marRight w:val="0"/>
          <w:marTop w:val="0"/>
          <w:marBottom w:val="0"/>
          <w:divBdr>
            <w:top w:val="none" w:sz="0" w:space="0" w:color="auto"/>
            <w:left w:val="none" w:sz="0" w:space="0" w:color="auto"/>
            <w:bottom w:val="none" w:sz="0" w:space="0" w:color="auto"/>
            <w:right w:val="none" w:sz="0" w:space="0" w:color="auto"/>
          </w:divBdr>
        </w:div>
        <w:div w:id="1796750940">
          <w:marLeft w:val="0"/>
          <w:marRight w:val="0"/>
          <w:marTop w:val="0"/>
          <w:marBottom w:val="0"/>
          <w:divBdr>
            <w:top w:val="none" w:sz="0" w:space="0" w:color="auto"/>
            <w:left w:val="none" w:sz="0" w:space="0" w:color="auto"/>
            <w:bottom w:val="none" w:sz="0" w:space="0" w:color="auto"/>
            <w:right w:val="none" w:sz="0" w:space="0" w:color="auto"/>
          </w:divBdr>
        </w:div>
      </w:divsChild>
    </w:div>
    <w:div w:id="1503231218">
      <w:bodyDiv w:val="1"/>
      <w:marLeft w:val="0"/>
      <w:marRight w:val="0"/>
      <w:marTop w:val="0"/>
      <w:marBottom w:val="0"/>
      <w:divBdr>
        <w:top w:val="none" w:sz="0" w:space="0" w:color="auto"/>
        <w:left w:val="none" w:sz="0" w:space="0" w:color="auto"/>
        <w:bottom w:val="none" w:sz="0" w:space="0" w:color="auto"/>
        <w:right w:val="none" w:sz="0" w:space="0" w:color="auto"/>
      </w:divBdr>
    </w:div>
    <w:div w:id="1505781506">
      <w:bodyDiv w:val="1"/>
      <w:marLeft w:val="0"/>
      <w:marRight w:val="0"/>
      <w:marTop w:val="0"/>
      <w:marBottom w:val="0"/>
      <w:divBdr>
        <w:top w:val="none" w:sz="0" w:space="0" w:color="auto"/>
        <w:left w:val="none" w:sz="0" w:space="0" w:color="auto"/>
        <w:bottom w:val="none" w:sz="0" w:space="0" w:color="auto"/>
        <w:right w:val="none" w:sz="0" w:space="0" w:color="auto"/>
      </w:divBdr>
    </w:div>
    <w:div w:id="1529099601">
      <w:bodyDiv w:val="1"/>
      <w:marLeft w:val="0"/>
      <w:marRight w:val="0"/>
      <w:marTop w:val="0"/>
      <w:marBottom w:val="0"/>
      <w:divBdr>
        <w:top w:val="none" w:sz="0" w:space="0" w:color="auto"/>
        <w:left w:val="none" w:sz="0" w:space="0" w:color="auto"/>
        <w:bottom w:val="none" w:sz="0" w:space="0" w:color="auto"/>
        <w:right w:val="none" w:sz="0" w:space="0" w:color="auto"/>
      </w:divBdr>
    </w:div>
    <w:div w:id="1531916795">
      <w:bodyDiv w:val="1"/>
      <w:marLeft w:val="0"/>
      <w:marRight w:val="0"/>
      <w:marTop w:val="0"/>
      <w:marBottom w:val="0"/>
      <w:divBdr>
        <w:top w:val="none" w:sz="0" w:space="0" w:color="auto"/>
        <w:left w:val="none" w:sz="0" w:space="0" w:color="auto"/>
        <w:bottom w:val="none" w:sz="0" w:space="0" w:color="auto"/>
        <w:right w:val="none" w:sz="0" w:space="0" w:color="auto"/>
      </w:divBdr>
    </w:div>
    <w:div w:id="1534996773">
      <w:bodyDiv w:val="1"/>
      <w:marLeft w:val="0"/>
      <w:marRight w:val="0"/>
      <w:marTop w:val="0"/>
      <w:marBottom w:val="0"/>
      <w:divBdr>
        <w:top w:val="none" w:sz="0" w:space="0" w:color="auto"/>
        <w:left w:val="none" w:sz="0" w:space="0" w:color="auto"/>
        <w:bottom w:val="none" w:sz="0" w:space="0" w:color="auto"/>
        <w:right w:val="none" w:sz="0" w:space="0" w:color="auto"/>
      </w:divBdr>
    </w:div>
    <w:div w:id="1541436822">
      <w:bodyDiv w:val="1"/>
      <w:marLeft w:val="0"/>
      <w:marRight w:val="0"/>
      <w:marTop w:val="0"/>
      <w:marBottom w:val="0"/>
      <w:divBdr>
        <w:top w:val="none" w:sz="0" w:space="0" w:color="auto"/>
        <w:left w:val="none" w:sz="0" w:space="0" w:color="auto"/>
        <w:bottom w:val="none" w:sz="0" w:space="0" w:color="auto"/>
        <w:right w:val="none" w:sz="0" w:space="0" w:color="auto"/>
      </w:divBdr>
    </w:div>
    <w:div w:id="1549494451">
      <w:bodyDiv w:val="1"/>
      <w:marLeft w:val="0"/>
      <w:marRight w:val="0"/>
      <w:marTop w:val="0"/>
      <w:marBottom w:val="0"/>
      <w:divBdr>
        <w:top w:val="none" w:sz="0" w:space="0" w:color="auto"/>
        <w:left w:val="none" w:sz="0" w:space="0" w:color="auto"/>
        <w:bottom w:val="none" w:sz="0" w:space="0" w:color="auto"/>
        <w:right w:val="none" w:sz="0" w:space="0" w:color="auto"/>
      </w:divBdr>
    </w:div>
    <w:div w:id="1560051274">
      <w:bodyDiv w:val="1"/>
      <w:marLeft w:val="0"/>
      <w:marRight w:val="0"/>
      <w:marTop w:val="0"/>
      <w:marBottom w:val="0"/>
      <w:divBdr>
        <w:top w:val="none" w:sz="0" w:space="0" w:color="auto"/>
        <w:left w:val="none" w:sz="0" w:space="0" w:color="auto"/>
        <w:bottom w:val="none" w:sz="0" w:space="0" w:color="auto"/>
        <w:right w:val="none" w:sz="0" w:space="0" w:color="auto"/>
      </w:divBdr>
    </w:div>
    <w:div w:id="1567179299">
      <w:bodyDiv w:val="1"/>
      <w:marLeft w:val="0"/>
      <w:marRight w:val="0"/>
      <w:marTop w:val="0"/>
      <w:marBottom w:val="0"/>
      <w:divBdr>
        <w:top w:val="none" w:sz="0" w:space="0" w:color="auto"/>
        <w:left w:val="none" w:sz="0" w:space="0" w:color="auto"/>
        <w:bottom w:val="none" w:sz="0" w:space="0" w:color="auto"/>
        <w:right w:val="none" w:sz="0" w:space="0" w:color="auto"/>
      </w:divBdr>
    </w:div>
    <w:div w:id="1567297831">
      <w:bodyDiv w:val="1"/>
      <w:marLeft w:val="0"/>
      <w:marRight w:val="0"/>
      <w:marTop w:val="0"/>
      <w:marBottom w:val="0"/>
      <w:divBdr>
        <w:top w:val="none" w:sz="0" w:space="0" w:color="auto"/>
        <w:left w:val="none" w:sz="0" w:space="0" w:color="auto"/>
        <w:bottom w:val="none" w:sz="0" w:space="0" w:color="auto"/>
        <w:right w:val="none" w:sz="0" w:space="0" w:color="auto"/>
      </w:divBdr>
      <w:divsChild>
        <w:div w:id="288627505">
          <w:marLeft w:val="0"/>
          <w:marRight w:val="0"/>
          <w:marTop w:val="0"/>
          <w:marBottom w:val="0"/>
          <w:divBdr>
            <w:top w:val="none" w:sz="0" w:space="0" w:color="auto"/>
            <w:left w:val="none" w:sz="0" w:space="0" w:color="auto"/>
            <w:bottom w:val="none" w:sz="0" w:space="0" w:color="auto"/>
            <w:right w:val="none" w:sz="0" w:space="0" w:color="auto"/>
          </w:divBdr>
        </w:div>
        <w:div w:id="1082069763">
          <w:marLeft w:val="0"/>
          <w:marRight w:val="0"/>
          <w:marTop w:val="0"/>
          <w:marBottom w:val="0"/>
          <w:divBdr>
            <w:top w:val="none" w:sz="0" w:space="0" w:color="auto"/>
            <w:left w:val="none" w:sz="0" w:space="0" w:color="auto"/>
            <w:bottom w:val="none" w:sz="0" w:space="0" w:color="auto"/>
            <w:right w:val="none" w:sz="0" w:space="0" w:color="auto"/>
          </w:divBdr>
        </w:div>
      </w:divsChild>
    </w:div>
    <w:div w:id="1572539821">
      <w:bodyDiv w:val="1"/>
      <w:marLeft w:val="0"/>
      <w:marRight w:val="0"/>
      <w:marTop w:val="0"/>
      <w:marBottom w:val="0"/>
      <w:divBdr>
        <w:top w:val="none" w:sz="0" w:space="0" w:color="auto"/>
        <w:left w:val="none" w:sz="0" w:space="0" w:color="auto"/>
        <w:bottom w:val="none" w:sz="0" w:space="0" w:color="auto"/>
        <w:right w:val="none" w:sz="0" w:space="0" w:color="auto"/>
      </w:divBdr>
    </w:div>
    <w:div w:id="1586959133">
      <w:bodyDiv w:val="1"/>
      <w:marLeft w:val="0"/>
      <w:marRight w:val="0"/>
      <w:marTop w:val="0"/>
      <w:marBottom w:val="0"/>
      <w:divBdr>
        <w:top w:val="none" w:sz="0" w:space="0" w:color="auto"/>
        <w:left w:val="none" w:sz="0" w:space="0" w:color="auto"/>
        <w:bottom w:val="none" w:sz="0" w:space="0" w:color="auto"/>
        <w:right w:val="none" w:sz="0" w:space="0" w:color="auto"/>
      </w:divBdr>
    </w:div>
    <w:div w:id="1595364110">
      <w:bodyDiv w:val="1"/>
      <w:marLeft w:val="0"/>
      <w:marRight w:val="0"/>
      <w:marTop w:val="0"/>
      <w:marBottom w:val="0"/>
      <w:divBdr>
        <w:top w:val="none" w:sz="0" w:space="0" w:color="auto"/>
        <w:left w:val="none" w:sz="0" w:space="0" w:color="auto"/>
        <w:bottom w:val="none" w:sz="0" w:space="0" w:color="auto"/>
        <w:right w:val="none" w:sz="0" w:space="0" w:color="auto"/>
      </w:divBdr>
    </w:div>
    <w:div w:id="1606569705">
      <w:bodyDiv w:val="1"/>
      <w:marLeft w:val="0"/>
      <w:marRight w:val="0"/>
      <w:marTop w:val="0"/>
      <w:marBottom w:val="0"/>
      <w:divBdr>
        <w:top w:val="none" w:sz="0" w:space="0" w:color="auto"/>
        <w:left w:val="none" w:sz="0" w:space="0" w:color="auto"/>
        <w:bottom w:val="none" w:sz="0" w:space="0" w:color="auto"/>
        <w:right w:val="none" w:sz="0" w:space="0" w:color="auto"/>
      </w:divBdr>
    </w:div>
    <w:div w:id="1617905977">
      <w:bodyDiv w:val="1"/>
      <w:marLeft w:val="0"/>
      <w:marRight w:val="0"/>
      <w:marTop w:val="0"/>
      <w:marBottom w:val="0"/>
      <w:divBdr>
        <w:top w:val="none" w:sz="0" w:space="0" w:color="auto"/>
        <w:left w:val="none" w:sz="0" w:space="0" w:color="auto"/>
        <w:bottom w:val="none" w:sz="0" w:space="0" w:color="auto"/>
        <w:right w:val="none" w:sz="0" w:space="0" w:color="auto"/>
      </w:divBdr>
    </w:div>
    <w:div w:id="1629318365">
      <w:bodyDiv w:val="1"/>
      <w:marLeft w:val="0"/>
      <w:marRight w:val="0"/>
      <w:marTop w:val="0"/>
      <w:marBottom w:val="0"/>
      <w:divBdr>
        <w:top w:val="none" w:sz="0" w:space="0" w:color="auto"/>
        <w:left w:val="none" w:sz="0" w:space="0" w:color="auto"/>
        <w:bottom w:val="none" w:sz="0" w:space="0" w:color="auto"/>
        <w:right w:val="none" w:sz="0" w:space="0" w:color="auto"/>
      </w:divBdr>
    </w:div>
    <w:div w:id="1632127516">
      <w:bodyDiv w:val="1"/>
      <w:marLeft w:val="0"/>
      <w:marRight w:val="0"/>
      <w:marTop w:val="0"/>
      <w:marBottom w:val="0"/>
      <w:divBdr>
        <w:top w:val="none" w:sz="0" w:space="0" w:color="auto"/>
        <w:left w:val="none" w:sz="0" w:space="0" w:color="auto"/>
        <w:bottom w:val="none" w:sz="0" w:space="0" w:color="auto"/>
        <w:right w:val="none" w:sz="0" w:space="0" w:color="auto"/>
      </w:divBdr>
    </w:div>
    <w:div w:id="1634822794">
      <w:bodyDiv w:val="1"/>
      <w:marLeft w:val="0"/>
      <w:marRight w:val="0"/>
      <w:marTop w:val="0"/>
      <w:marBottom w:val="0"/>
      <w:divBdr>
        <w:top w:val="none" w:sz="0" w:space="0" w:color="auto"/>
        <w:left w:val="none" w:sz="0" w:space="0" w:color="auto"/>
        <w:bottom w:val="none" w:sz="0" w:space="0" w:color="auto"/>
        <w:right w:val="none" w:sz="0" w:space="0" w:color="auto"/>
      </w:divBdr>
    </w:div>
    <w:div w:id="1637295789">
      <w:bodyDiv w:val="1"/>
      <w:marLeft w:val="0"/>
      <w:marRight w:val="0"/>
      <w:marTop w:val="0"/>
      <w:marBottom w:val="0"/>
      <w:divBdr>
        <w:top w:val="none" w:sz="0" w:space="0" w:color="auto"/>
        <w:left w:val="none" w:sz="0" w:space="0" w:color="auto"/>
        <w:bottom w:val="none" w:sz="0" w:space="0" w:color="auto"/>
        <w:right w:val="none" w:sz="0" w:space="0" w:color="auto"/>
      </w:divBdr>
      <w:divsChild>
        <w:div w:id="2063208458">
          <w:marLeft w:val="1282"/>
          <w:marRight w:val="0"/>
          <w:marTop w:val="0"/>
          <w:marBottom w:val="120"/>
          <w:divBdr>
            <w:top w:val="none" w:sz="0" w:space="0" w:color="auto"/>
            <w:left w:val="none" w:sz="0" w:space="0" w:color="auto"/>
            <w:bottom w:val="none" w:sz="0" w:space="0" w:color="auto"/>
            <w:right w:val="none" w:sz="0" w:space="0" w:color="auto"/>
          </w:divBdr>
        </w:div>
      </w:divsChild>
    </w:div>
    <w:div w:id="1641836754">
      <w:bodyDiv w:val="1"/>
      <w:marLeft w:val="0"/>
      <w:marRight w:val="0"/>
      <w:marTop w:val="0"/>
      <w:marBottom w:val="0"/>
      <w:divBdr>
        <w:top w:val="none" w:sz="0" w:space="0" w:color="auto"/>
        <w:left w:val="none" w:sz="0" w:space="0" w:color="auto"/>
        <w:bottom w:val="none" w:sz="0" w:space="0" w:color="auto"/>
        <w:right w:val="none" w:sz="0" w:space="0" w:color="auto"/>
      </w:divBdr>
    </w:div>
    <w:div w:id="1644849729">
      <w:bodyDiv w:val="1"/>
      <w:marLeft w:val="0"/>
      <w:marRight w:val="0"/>
      <w:marTop w:val="0"/>
      <w:marBottom w:val="0"/>
      <w:divBdr>
        <w:top w:val="none" w:sz="0" w:space="0" w:color="auto"/>
        <w:left w:val="none" w:sz="0" w:space="0" w:color="auto"/>
        <w:bottom w:val="none" w:sz="0" w:space="0" w:color="auto"/>
        <w:right w:val="none" w:sz="0" w:space="0" w:color="auto"/>
      </w:divBdr>
    </w:div>
    <w:div w:id="1653829298">
      <w:bodyDiv w:val="1"/>
      <w:marLeft w:val="0"/>
      <w:marRight w:val="0"/>
      <w:marTop w:val="0"/>
      <w:marBottom w:val="0"/>
      <w:divBdr>
        <w:top w:val="none" w:sz="0" w:space="0" w:color="auto"/>
        <w:left w:val="none" w:sz="0" w:space="0" w:color="auto"/>
        <w:bottom w:val="none" w:sz="0" w:space="0" w:color="auto"/>
        <w:right w:val="none" w:sz="0" w:space="0" w:color="auto"/>
      </w:divBdr>
      <w:divsChild>
        <w:div w:id="1210723029">
          <w:marLeft w:val="0"/>
          <w:marRight w:val="0"/>
          <w:marTop w:val="0"/>
          <w:marBottom w:val="0"/>
          <w:divBdr>
            <w:top w:val="none" w:sz="0" w:space="0" w:color="auto"/>
            <w:left w:val="none" w:sz="0" w:space="0" w:color="auto"/>
            <w:bottom w:val="none" w:sz="0" w:space="0" w:color="auto"/>
            <w:right w:val="none" w:sz="0" w:space="0" w:color="auto"/>
          </w:divBdr>
          <w:divsChild>
            <w:div w:id="367337145">
              <w:marLeft w:val="0"/>
              <w:marRight w:val="0"/>
              <w:marTop w:val="0"/>
              <w:marBottom w:val="0"/>
              <w:divBdr>
                <w:top w:val="none" w:sz="0" w:space="0" w:color="auto"/>
                <w:left w:val="none" w:sz="0" w:space="0" w:color="auto"/>
                <w:bottom w:val="none" w:sz="0" w:space="0" w:color="auto"/>
                <w:right w:val="none" w:sz="0" w:space="0" w:color="auto"/>
              </w:divBdr>
            </w:div>
            <w:div w:id="831337593">
              <w:marLeft w:val="0"/>
              <w:marRight w:val="0"/>
              <w:marTop w:val="0"/>
              <w:marBottom w:val="0"/>
              <w:divBdr>
                <w:top w:val="none" w:sz="0" w:space="0" w:color="auto"/>
                <w:left w:val="none" w:sz="0" w:space="0" w:color="auto"/>
                <w:bottom w:val="none" w:sz="0" w:space="0" w:color="auto"/>
                <w:right w:val="none" w:sz="0" w:space="0" w:color="auto"/>
              </w:divBdr>
            </w:div>
            <w:div w:id="859126770">
              <w:marLeft w:val="0"/>
              <w:marRight w:val="0"/>
              <w:marTop w:val="0"/>
              <w:marBottom w:val="0"/>
              <w:divBdr>
                <w:top w:val="none" w:sz="0" w:space="0" w:color="auto"/>
                <w:left w:val="none" w:sz="0" w:space="0" w:color="auto"/>
                <w:bottom w:val="none" w:sz="0" w:space="0" w:color="auto"/>
                <w:right w:val="none" w:sz="0" w:space="0" w:color="auto"/>
              </w:divBdr>
            </w:div>
          </w:divsChild>
        </w:div>
        <w:div w:id="1422801713">
          <w:marLeft w:val="0"/>
          <w:marRight w:val="0"/>
          <w:marTop w:val="0"/>
          <w:marBottom w:val="0"/>
          <w:divBdr>
            <w:top w:val="none" w:sz="0" w:space="0" w:color="auto"/>
            <w:left w:val="none" w:sz="0" w:space="0" w:color="auto"/>
            <w:bottom w:val="none" w:sz="0" w:space="0" w:color="auto"/>
            <w:right w:val="none" w:sz="0" w:space="0" w:color="auto"/>
          </w:divBdr>
          <w:divsChild>
            <w:div w:id="211616781">
              <w:marLeft w:val="0"/>
              <w:marRight w:val="0"/>
              <w:marTop w:val="0"/>
              <w:marBottom w:val="0"/>
              <w:divBdr>
                <w:top w:val="none" w:sz="0" w:space="0" w:color="auto"/>
                <w:left w:val="none" w:sz="0" w:space="0" w:color="auto"/>
                <w:bottom w:val="none" w:sz="0" w:space="0" w:color="auto"/>
                <w:right w:val="none" w:sz="0" w:space="0" w:color="auto"/>
              </w:divBdr>
            </w:div>
            <w:div w:id="20047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301">
      <w:bodyDiv w:val="1"/>
      <w:marLeft w:val="0"/>
      <w:marRight w:val="0"/>
      <w:marTop w:val="0"/>
      <w:marBottom w:val="0"/>
      <w:divBdr>
        <w:top w:val="none" w:sz="0" w:space="0" w:color="auto"/>
        <w:left w:val="none" w:sz="0" w:space="0" w:color="auto"/>
        <w:bottom w:val="none" w:sz="0" w:space="0" w:color="auto"/>
        <w:right w:val="none" w:sz="0" w:space="0" w:color="auto"/>
      </w:divBdr>
    </w:div>
    <w:div w:id="1674185085">
      <w:bodyDiv w:val="1"/>
      <w:marLeft w:val="0"/>
      <w:marRight w:val="0"/>
      <w:marTop w:val="0"/>
      <w:marBottom w:val="0"/>
      <w:divBdr>
        <w:top w:val="none" w:sz="0" w:space="0" w:color="auto"/>
        <w:left w:val="none" w:sz="0" w:space="0" w:color="auto"/>
        <w:bottom w:val="none" w:sz="0" w:space="0" w:color="auto"/>
        <w:right w:val="none" w:sz="0" w:space="0" w:color="auto"/>
      </w:divBdr>
    </w:div>
    <w:div w:id="1704479216">
      <w:bodyDiv w:val="1"/>
      <w:marLeft w:val="0"/>
      <w:marRight w:val="0"/>
      <w:marTop w:val="0"/>
      <w:marBottom w:val="0"/>
      <w:divBdr>
        <w:top w:val="none" w:sz="0" w:space="0" w:color="auto"/>
        <w:left w:val="none" w:sz="0" w:space="0" w:color="auto"/>
        <w:bottom w:val="none" w:sz="0" w:space="0" w:color="auto"/>
        <w:right w:val="none" w:sz="0" w:space="0" w:color="auto"/>
      </w:divBdr>
      <w:divsChild>
        <w:div w:id="631977980">
          <w:marLeft w:val="763"/>
          <w:marRight w:val="0"/>
          <w:marTop w:val="0"/>
          <w:marBottom w:val="0"/>
          <w:divBdr>
            <w:top w:val="none" w:sz="0" w:space="0" w:color="auto"/>
            <w:left w:val="none" w:sz="0" w:space="0" w:color="auto"/>
            <w:bottom w:val="none" w:sz="0" w:space="0" w:color="auto"/>
            <w:right w:val="none" w:sz="0" w:space="0" w:color="auto"/>
          </w:divBdr>
        </w:div>
        <w:div w:id="1610046623">
          <w:marLeft w:val="763"/>
          <w:marRight w:val="0"/>
          <w:marTop w:val="0"/>
          <w:marBottom w:val="0"/>
          <w:divBdr>
            <w:top w:val="none" w:sz="0" w:space="0" w:color="auto"/>
            <w:left w:val="none" w:sz="0" w:space="0" w:color="auto"/>
            <w:bottom w:val="none" w:sz="0" w:space="0" w:color="auto"/>
            <w:right w:val="none" w:sz="0" w:space="0" w:color="auto"/>
          </w:divBdr>
        </w:div>
      </w:divsChild>
    </w:div>
    <w:div w:id="1726563018">
      <w:bodyDiv w:val="1"/>
      <w:marLeft w:val="0"/>
      <w:marRight w:val="0"/>
      <w:marTop w:val="0"/>
      <w:marBottom w:val="0"/>
      <w:divBdr>
        <w:top w:val="none" w:sz="0" w:space="0" w:color="auto"/>
        <w:left w:val="none" w:sz="0" w:space="0" w:color="auto"/>
        <w:bottom w:val="none" w:sz="0" w:space="0" w:color="auto"/>
        <w:right w:val="none" w:sz="0" w:space="0" w:color="auto"/>
      </w:divBdr>
      <w:divsChild>
        <w:div w:id="1378162746">
          <w:marLeft w:val="446"/>
          <w:marRight w:val="0"/>
          <w:marTop w:val="0"/>
          <w:marBottom w:val="0"/>
          <w:divBdr>
            <w:top w:val="none" w:sz="0" w:space="0" w:color="auto"/>
            <w:left w:val="none" w:sz="0" w:space="0" w:color="auto"/>
            <w:bottom w:val="none" w:sz="0" w:space="0" w:color="auto"/>
            <w:right w:val="none" w:sz="0" w:space="0" w:color="auto"/>
          </w:divBdr>
        </w:div>
      </w:divsChild>
    </w:div>
    <w:div w:id="1732926758">
      <w:bodyDiv w:val="1"/>
      <w:marLeft w:val="0"/>
      <w:marRight w:val="0"/>
      <w:marTop w:val="0"/>
      <w:marBottom w:val="0"/>
      <w:divBdr>
        <w:top w:val="none" w:sz="0" w:space="0" w:color="auto"/>
        <w:left w:val="none" w:sz="0" w:space="0" w:color="auto"/>
        <w:bottom w:val="none" w:sz="0" w:space="0" w:color="auto"/>
        <w:right w:val="none" w:sz="0" w:space="0" w:color="auto"/>
      </w:divBdr>
    </w:div>
    <w:div w:id="1736930827">
      <w:bodyDiv w:val="1"/>
      <w:marLeft w:val="0"/>
      <w:marRight w:val="0"/>
      <w:marTop w:val="0"/>
      <w:marBottom w:val="0"/>
      <w:divBdr>
        <w:top w:val="none" w:sz="0" w:space="0" w:color="auto"/>
        <w:left w:val="none" w:sz="0" w:space="0" w:color="auto"/>
        <w:bottom w:val="none" w:sz="0" w:space="0" w:color="auto"/>
        <w:right w:val="none" w:sz="0" w:space="0" w:color="auto"/>
      </w:divBdr>
    </w:div>
    <w:div w:id="1765029132">
      <w:bodyDiv w:val="1"/>
      <w:marLeft w:val="0"/>
      <w:marRight w:val="0"/>
      <w:marTop w:val="0"/>
      <w:marBottom w:val="0"/>
      <w:divBdr>
        <w:top w:val="none" w:sz="0" w:space="0" w:color="auto"/>
        <w:left w:val="none" w:sz="0" w:space="0" w:color="auto"/>
        <w:bottom w:val="none" w:sz="0" w:space="0" w:color="auto"/>
        <w:right w:val="none" w:sz="0" w:space="0" w:color="auto"/>
      </w:divBdr>
    </w:div>
    <w:div w:id="1795706307">
      <w:bodyDiv w:val="1"/>
      <w:marLeft w:val="0"/>
      <w:marRight w:val="0"/>
      <w:marTop w:val="0"/>
      <w:marBottom w:val="0"/>
      <w:divBdr>
        <w:top w:val="none" w:sz="0" w:space="0" w:color="auto"/>
        <w:left w:val="none" w:sz="0" w:space="0" w:color="auto"/>
        <w:bottom w:val="none" w:sz="0" w:space="0" w:color="auto"/>
        <w:right w:val="none" w:sz="0" w:space="0" w:color="auto"/>
      </w:divBdr>
    </w:div>
    <w:div w:id="1811484110">
      <w:bodyDiv w:val="1"/>
      <w:marLeft w:val="0"/>
      <w:marRight w:val="0"/>
      <w:marTop w:val="0"/>
      <w:marBottom w:val="0"/>
      <w:divBdr>
        <w:top w:val="none" w:sz="0" w:space="0" w:color="auto"/>
        <w:left w:val="none" w:sz="0" w:space="0" w:color="auto"/>
        <w:bottom w:val="none" w:sz="0" w:space="0" w:color="auto"/>
        <w:right w:val="none" w:sz="0" w:space="0" w:color="auto"/>
      </w:divBdr>
      <w:divsChild>
        <w:div w:id="326250743">
          <w:marLeft w:val="1166"/>
          <w:marRight w:val="0"/>
          <w:marTop w:val="0"/>
          <w:marBottom w:val="0"/>
          <w:divBdr>
            <w:top w:val="none" w:sz="0" w:space="0" w:color="auto"/>
            <w:left w:val="none" w:sz="0" w:space="0" w:color="auto"/>
            <w:bottom w:val="none" w:sz="0" w:space="0" w:color="auto"/>
            <w:right w:val="none" w:sz="0" w:space="0" w:color="auto"/>
          </w:divBdr>
        </w:div>
        <w:div w:id="348145095">
          <w:marLeft w:val="1166"/>
          <w:marRight w:val="0"/>
          <w:marTop w:val="0"/>
          <w:marBottom w:val="0"/>
          <w:divBdr>
            <w:top w:val="none" w:sz="0" w:space="0" w:color="auto"/>
            <w:left w:val="none" w:sz="0" w:space="0" w:color="auto"/>
            <w:bottom w:val="none" w:sz="0" w:space="0" w:color="auto"/>
            <w:right w:val="none" w:sz="0" w:space="0" w:color="auto"/>
          </w:divBdr>
        </w:div>
        <w:div w:id="1006589489">
          <w:marLeft w:val="446"/>
          <w:marRight w:val="0"/>
          <w:marTop w:val="0"/>
          <w:marBottom w:val="0"/>
          <w:divBdr>
            <w:top w:val="none" w:sz="0" w:space="0" w:color="auto"/>
            <w:left w:val="none" w:sz="0" w:space="0" w:color="auto"/>
            <w:bottom w:val="none" w:sz="0" w:space="0" w:color="auto"/>
            <w:right w:val="none" w:sz="0" w:space="0" w:color="auto"/>
          </w:divBdr>
        </w:div>
        <w:div w:id="1135829887">
          <w:marLeft w:val="446"/>
          <w:marRight w:val="0"/>
          <w:marTop w:val="0"/>
          <w:marBottom w:val="0"/>
          <w:divBdr>
            <w:top w:val="none" w:sz="0" w:space="0" w:color="auto"/>
            <w:left w:val="none" w:sz="0" w:space="0" w:color="auto"/>
            <w:bottom w:val="none" w:sz="0" w:space="0" w:color="auto"/>
            <w:right w:val="none" w:sz="0" w:space="0" w:color="auto"/>
          </w:divBdr>
        </w:div>
        <w:div w:id="1194883848">
          <w:marLeft w:val="446"/>
          <w:marRight w:val="0"/>
          <w:marTop w:val="0"/>
          <w:marBottom w:val="0"/>
          <w:divBdr>
            <w:top w:val="none" w:sz="0" w:space="0" w:color="auto"/>
            <w:left w:val="none" w:sz="0" w:space="0" w:color="auto"/>
            <w:bottom w:val="none" w:sz="0" w:space="0" w:color="auto"/>
            <w:right w:val="none" w:sz="0" w:space="0" w:color="auto"/>
          </w:divBdr>
        </w:div>
        <w:div w:id="1368985874">
          <w:marLeft w:val="1166"/>
          <w:marRight w:val="0"/>
          <w:marTop w:val="0"/>
          <w:marBottom w:val="0"/>
          <w:divBdr>
            <w:top w:val="none" w:sz="0" w:space="0" w:color="auto"/>
            <w:left w:val="none" w:sz="0" w:space="0" w:color="auto"/>
            <w:bottom w:val="none" w:sz="0" w:space="0" w:color="auto"/>
            <w:right w:val="none" w:sz="0" w:space="0" w:color="auto"/>
          </w:divBdr>
        </w:div>
        <w:div w:id="1422991644">
          <w:marLeft w:val="446"/>
          <w:marRight w:val="0"/>
          <w:marTop w:val="0"/>
          <w:marBottom w:val="0"/>
          <w:divBdr>
            <w:top w:val="none" w:sz="0" w:space="0" w:color="auto"/>
            <w:left w:val="none" w:sz="0" w:space="0" w:color="auto"/>
            <w:bottom w:val="none" w:sz="0" w:space="0" w:color="auto"/>
            <w:right w:val="none" w:sz="0" w:space="0" w:color="auto"/>
          </w:divBdr>
        </w:div>
        <w:div w:id="1937713304">
          <w:marLeft w:val="446"/>
          <w:marRight w:val="0"/>
          <w:marTop w:val="0"/>
          <w:marBottom w:val="0"/>
          <w:divBdr>
            <w:top w:val="none" w:sz="0" w:space="0" w:color="auto"/>
            <w:left w:val="none" w:sz="0" w:space="0" w:color="auto"/>
            <w:bottom w:val="none" w:sz="0" w:space="0" w:color="auto"/>
            <w:right w:val="none" w:sz="0" w:space="0" w:color="auto"/>
          </w:divBdr>
        </w:div>
        <w:div w:id="2034307128">
          <w:marLeft w:val="1166"/>
          <w:marRight w:val="0"/>
          <w:marTop w:val="0"/>
          <w:marBottom w:val="0"/>
          <w:divBdr>
            <w:top w:val="none" w:sz="0" w:space="0" w:color="auto"/>
            <w:left w:val="none" w:sz="0" w:space="0" w:color="auto"/>
            <w:bottom w:val="none" w:sz="0" w:space="0" w:color="auto"/>
            <w:right w:val="none" w:sz="0" w:space="0" w:color="auto"/>
          </w:divBdr>
        </w:div>
      </w:divsChild>
    </w:div>
    <w:div w:id="1823737186">
      <w:bodyDiv w:val="1"/>
      <w:marLeft w:val="0"/>
      <w:marRight w:val="0"/>
      <w:marTop w:val="0"/>
      <w:marBottom w:val="0"/>
      <w:divBdr>
        <w:top w:val="none" w:sz="0" w:space="0" w:color="auto"/>
        <w:left w:val="none" w:sz="0" w:space="0" w:color="auto"/>
        <w:bottom w:val="none" w:sz="0" w:space="0" w:color="auto"/>
        <w:right w:val="none" w:sz="0" w:space="0" w:color="auto"/>
      </w:divBdr>
    </w:div>
    <w:div w:id="1838376617">
      <w:bodyDiv w:val="1"/>
      <w:marLeft w:val="0"/>
      <w:marRight w:val="0"/>
      <w:marTop w:val="0"/>
      <w:marBottom w:val="0"/>
      <w:divBdr>
        <w:top w:val="none" w:sz="0" w:space="0" w:color="auto"/>
        <w:left w:val="none" w:sz="0" w:space="0" w:color="auto"/>
        <w:bottom w:val="none" w:sz="0" w:space="0" w:color="auto"/>
        <w:right w:val="none" w:sz="0" w:space="0" w:color="auto"/>
      </w:divBdr>
      <w:divsChild>
        <w:div w:id="254943157">
          <w:marLeft w:val="0"/>
          <w:marRight w:val="0"/>
          <w:marTop w:val="0"/>
          <w:marBottom w:val="0"/>
          <w:divBdr>
            <w:top w:val="none" w:sz="0" w:space="0" w:color="auto"/>
            <w:left w:val="none" w:sz="0" w:space="0" w:color="auto"/>
            <w:bottom w:val="none" w:sz="0" w:space="0" w:color="auto"/>
            <w:right w:val="none" w:sz="0" w:space="0" w:color="auto"/>
          </w:divBdr>
        </w:div>
        <w:div w:id="1575699771">
          <w:marLeft w:val="0"/>
          <w:marRight w:val="0"/>
          <w:marTop w:val="0"/>
          <w:marBottom w:val="0"/>
          <w:divBdr>
            <w:top w:val="none" w:sz="0" w:space="0" w:color="auto"/>
            <w:left w:val="none" w:sz="0" w:space="0" w:color="auto"/>
            <w:bottom w:val="none" w:sz="0" w:space="0" w:color="auto"/>
            <w:right w:val="none" w:sz="0" w:space="0" w:color="auto"/>
          </w:divBdr>
        </w:div>
        <w:div w:id="1701587383">
          <w:marLeft w:val="0"/>
          <w:marRight w:val="0"/>
          <w:marTop w:val="0"/>
          <w:marBottom w:val="0"/>
          <w:divBdr>
            <w:top w:val="none" w:sz="0" w:space="0" w:color="auto"/>
            <w:left w:val="none" w:sz="0" w:space="0" w:color="auto"/>
            <w:bottom w:val="none" w:sz="0" w:space="0" w:color="auto"/>
            <w:right w:val="none" w:sz="0" w:space="0" w:color="auto"/>
          </w:divBdr>
        </w:div>
      </w:divsChild>
    </w:div>
    <w:div w:id="1841117100">
      <w:bodyDiv w:val="1"/>
      <w:marLeft w:val="0"/>
      <w:marRight w:val="0"/>
      <w:marTop w:val="0"/>
      <w:marBottom w:val="0"/>
      <w:divBdr>
        <w:top w:val="none" w:sz="0" w:space="0" w:color="auto"/>
        <w:left w:val="none" w:sz="0" w:space="0" w:color="auto"/>
        <w:bottom w:val="none" w:sz="0" w:space="0" w:color="auto"/>
        <w:right w:val="none" w:sz="0" w:space="0" w:color="auto"/>
      </w:divBdr>
    </w:div>
    <w:div w:id="1859344621">
      <w:bodyDiv w:val="1"/>
      <w:marLeft w:val="0"/>
      <w:marRight w:val="0"/>
      <w:marTop w:val="0"/>
      <w:marBottom w:val="0"/>
      <w:divBdr>
        <w:top w:val="none" w:sz="0" w:space="0" w:color="auto"/>
        <w:left w:val="none" w:sz="0" w:space="0" w:color="auto"/>
        <w:bottom w:val="none" w:sz="0" w:space="0" w:color="auto"/>
        <w:right w:val="none" w:sz="0" w:space="0" w:color="auto"/>
      </w:divBdr>
    </w:div>
    <w:div w:id="1862742359">
      <w:bodyDiv w:val="1"/>
      <w:marLeft w:val="0"/>
      <w:marRight w:val="0"/>
      <w:marTop w:val="0"/>
      <w:marBottom w:val="0"/>
      <w:divBdr>
        <w:top w:val="none" w:sz="0" w:space="0" w:color="auto"/>
        <w:left w:val="none" w:sz="0" w:space="0" w:color="auto"/>
        <w:bottom w:val="none" w:sz="0" w:space="0" w:color="auto"/>
        <w:right w:val="none" w:sz="0" w:space="0" w:color="auto"/>
      </w:divBdr>
    </w:div>
    <w:div w:id="1879245666">
      <w:bodyDiv w:val="1"/>
      <w:marLeft w:val="0"/>
      <w:marRight w:val="0"/>
      <w:marTop w:val="0"/>
      <w:marBottom w:val="0"/>
      <w:divBdr>
        <w:top w:val="none" w:sz="0" w:space="0" w:color="auto"/>
        <w:left w:val="none" w:sz="0" w:space="0" w:color="auto"/>
        <w:bottom w:val="none" w:sz="0" w:space="0" w:color="auto"/>
        <w:right w:val="none" w:sz="0" w:space="0" w:color="auto"/>
      </w:divBdr>
      <w:divsChild>
        <w:div w:id="716315349">
          <w:marLeft w:val="0"/>
          <w:marRight w:val="0"/>
          <w:marTop w:val="0"/>
          <w:marBottom w:val="0"/>
          <w:divBdr>
            <w:top w:val="none" w:sz="0" w:space="0" w:color="auto"/>
            <w:left w:val="none" w:sz="0" w:space="0" w:color="auto"/>
            <w:bottom w:val="none" w:sz="0" w:space="0" w:color="auto"/>
            <w:right w:val="none" w:sz="0" w:space="0" w:color="auto"/>
          </w:divBdr>
        </w:div>
      </w:divsChild>
    </w:div>
    <w:div w:id="1881431989">
      <w:bodyDiv w:val="1"/>
      <w:marLeft w:val="0"/>
      <w:marRight w:val="0"/>
      <w:marTop w:val="0"/>
      <w:marBottom w:val="0"/>
      <w:divBdr>
        <w:top w:val="none" w:sz="0" w:space="0" w:color="auto"/>
        <w:left w:val="none" w:sz="0" w:space="0" w:color="auto"/>
        <w:bottom w:val="none" w:sz="0" w:space="0" w:color="auto"/>
        <w:right w:val="none" w:sz="0" w:space="0" w:color="auto"/>
      </w:divBdr>
    </w:div>
    <w:div w:id="1889367597">
      <w:bodyDiv w:val="1"/>
      <w:marLeft w:val="0"/>
      <w:marRight w:val="0"/>
      <w:marTop w:val="0"/>
      <w:marBottom w:val="0"/>
      <w:divBdr>
        <w:top w:val="none" w:sz="0" w:space="0" w:color="auto"/>
        <w:left w:val="none" w:sz="0" w:space="0" w:color="auto"/>
        <w:bottom w:val="none" w:sz="0" w:space="0" w:color="auto"/>
        <w:right w:val="none" w:sz="0" w:space="0" w:color="auto"/>
      </w:divBdr>
    </w:div>
    <w:div w:id="1893694264">
      <w:bodyDiv w:val="1"/>
      <w:marLeft w:val="0"/>
      <w:marRight w:val="0"/>
      <w:marTop w:val="0"/>
      <w:marBottom w:val="0"/>
      <w:divBdr>
        <w:top w:val="none" w:sz="0" w:space="0" w:color="auto"/>
        <w:left w:val="none" w:sz="0" w:space="0" w:color="auto"/>
        <w:bottom w:val="none" w:sz="0" w:space="0" w:color="auto"/>
        <w:right w:val="none" w:sz="0" w:space="0" w:color="auto"/>
      </w:divBdr>
    </w:div>
    <w:div w:id="1894847302">
      <w:bodyDiv w:val="1"/>
      <w:marLeft w:val="0"/>
      <w:marRight w:val="0"/>
      <w:marTop w:val="0"/>
      <w:marBottom w:val="0"/>
      <w:divBdr>
        <w:top w:val="none" w:sz="0" w:space="0" w:color="auto"/>
        <w:left w:val="none" w:sz="0" w:space="0" w:color="auto"/>
        <w:bottom w:val="none" w:sz="0" w:space="0" w:color="auto"/>
        <w:right w:val="none" w:sz="0" w:space="0" w:color="auto"/>
      </w:divBdr>
      <w:divsChild>
        <w:div w:id="1014301552">
          <w:marLeft w:val="446"/>
          <w:marRight w:val="0"/>
          <w:marTop w:val="0"/>
          <w:marBottom w:val="0"/>
          <w:divBdr>
            <w:top w:val="none" w:sz="0" w:space="0" w:color="auto"/>
            <w:left w:val="none" w:sz="0" w:space="0" w:color="auto"/>
            <w:bottom w:val="none" w:sz="0" w:space="0" w:color="auto"/>
            <w:right w:val="none" w:sz="0" w:space="0" w:color="auto"/>
          </w:divBdr>
        </w:div>
        <w:div w:id="1205362646">
          <w:marLeft w:val="446"/>
          <w:marRight w:val="0"/>
          <w:marTop w:val="0"/>
          <w:marBottom w:val="0"/>
          <w:divBdr>
            <w:top w:val="none" w:sz="0" w:space="0" w:color="auto"/>
            <w:left w:val="none" w:sz="0" w:space="0" w:color="auto"/>
            <w:bottom w:val="none" w:sz="0" w:space="0" w:color="auto"/>
            <w:right w:val="none" w:sz="0" w:space="0" w:color="auto"/>
          </w:divBdr>
        </w:div>
        <w:div w:id="1873886148">
          <w:marLeft w:val="446"/>
          <w:marRight w:val="0"/>
          <w:marTop w:val="0"/>
          <w:marBottom w:val="0"/>
          <w:divBdr>
            <w:top w:val="none" w:sz="0" w:space="0" w:color="auto"/>
            <w:left w:val="none" w:sz="0" w:space="0" w:color="auto"/>
            <w:bottom w:val="none" w:sz="0" w:space="0" w:color="auto"/>
            <w:right w:val="none" w:sz="0" w:space="0" w:color="auto"/>
          </w:divBdr>
        </w:div>
      </w:divsChild>
    </w:div>
    <w:div w:id="1899321021">
      <w:bodyDiv w:val="1"/>
      <w:marLeft w:val="0"/>
      <w:marRight w:val="0"/>
      <w:marTop w:val="0"/>
      <w:marBottom w:val="0"/>
      <w:divBdr>
        <w:top w:val="none" w:sz="0" w:space="0" w:color="auto"/>
        <w:left w:val="none" w:sz="0" w:space="0" w:color="auto"/>
        <w:bottom w:val="none" w:sz="0" w:space="0" w:color="auto"/>
        <w:right w:val="none" w:sz="0" w:space="0" w:color="auto"/>
      </w:divBdr>
      <w:divsChild>
        <w:div w:id="34158929">
          <w:marLeft w:val="0"/>
          <w:marRight w:val="0"/>
          <w:marTop w:val="0"/>
          <w:marBottom w:val="0"/>
          <w:divBdr>
            <w:top w:val="none" w:sz="0" w:space="0" w:color="auto"/>
            <w:left w:val="none" w:sz="0" w:space="0" w:color="auto"/>
            <w:bottom w:val="none" w:sz="0" w:space="0" w:color="auto"/>
            <w:right w:val="none" w:sz="0" w:space="0" w:color="auto"/>
          </w:divBdr>
          <w:divsChild>
            <w:div w:id="222524940">
              <w:marLeft w:val="0"/>
              <w:marRight w:val="0"/>
              <w:marTop w:val="0"/>
              <w:marBottom w:val="0"/>
              <w:divBdr>
                <w:top w:val="none" w:sz="0" w:space="0" w:color="auto"/>
                <w:left w:val="none" w:sz="0" w:space="0" w:color="auto"/>
                <w:bottom w:val="none" w:sz="0" w:space="0" w:color="auto"/>
                <w:right w:val="none" w:sz="0" w:space="0" w:color="auto"/>
              </w:divBdr>
            </w:div>
            <w:div w:id="339897089">
              <w:marLeft w:val="0"/>
              <w:marRight w:val="0"/>
              <w:marTop w:val="0"/>
              <w:marBottom w:val="0"/>
              <w:divBdr>
                <w:top w:val="none" w:sz="0" w:space="0" w:color="auto"/>
                <w:left w:val="none" w:sz="0" w:space="0" w:color="auto"/>
                <w:bottom w:val="none" w:sz="0" w:space="0" w:color="auto"/>
                <w:right w:val="none" w:sz="0" w:space="0" w:color="auto"/>
              </w:divBdr>
            </w:div>
            <w:div w:id="694772597">
              <w:marLeft w:val="0"/>
              <w:marRight w:val="0"/>
              <w:marTop w:val="0"/>
              <w:marBottom w:val="0"/>
              <w:divBdr>
                <w:top w:val="none" w:sz="0" w:space="0" w:color="auto"/>
                <w:left w:val="none" w:sz="0" w:space="0" w:color="auto"/>
                <w:bottom w:val="none" w:sz="0" w:space="0" w:color="auto"/>
                <w:right w:val="none" w:sz="0" w:space="0" w:color="auto"/>
              </w:divBdr>
            </w:div>
            <w:div w:id="781074328">
              <w:marLeft w:val="0"/>
              <w:marRight w:val="0"/>
              <w:marTop w:val="0"/>
              <w:marBottom w:val="0"/>
              <w:divBdr>
                <w:top w:val="none" w:sz="0" w:space="0" w:color="auto"/>
                <w:left w:val="none" w:sz="0" w:space="0" w:color="auto"/>
                <w:bottom w:val="none" w:sz="0" w:space="0" w:color="auto"/>
                <w:right w:val="none" w:sz="0" w:space="0" w:color="auto"/>
              </w:divBdr>
            </w:div>
            <w:div w:id="1005982898">
              <w:marLeft w:val="0"/>
              <w:marRight w:val="0"/>
              <w:marTop w:val="0"/>
              <w:marBottom w:val="0"/>
              <w:divBdr>
                <w:top w:val="none" w:sz="0" w:space="0" w:color="auto"/>
                <w:left w:val="none" w:sz="0" w:space="0" w:color="auto"/>
                <w:bottom w:val="none" w:sz="0" w:space="0" w:color="auto"/>
                <w:right w:val="none" w:sz="0" w:space="0" w:color="auto"/>
              </w:divBdr>
            </w:div>
            <w:div w:id="1379745593">
              <w:marLeft w:val="0"/>
              <w:marRight w:val="0"/>
              <w:marTop w:val="0"/>
              <w:marBottom w:val="0"/>
              <w:divBdr>
                <w:top w:val="none" w:sz="0" w:space="0" w:color="auto"/>
                <w:left w:val="none" w:sz="0" w:space="0" w:color="auto"/>
                <w:bottom w:val="none" w:sz="0" w:space="0" w:color="auto"/>
                <w:right w:val="none" w:sz="0" w:space="0" w:color="auto"/>
              </w:divBdr>
            </w:div>
            <w:div w:id="1681615420">
              <w:marLeft w:val="0"/>
              <w:marRight w:val="0"/>
              <w:marTop w:val="0"/>
              <w:marBottom w:val="0"/>
              <w:divBdr>
                <w:top w:val="none" w:sz="0" w:space="0" w:color="auto"/>
                <w:left w:val="none" w:sz="0" w:space="0" w:color="auto"/>
                <w:bottom w:val="none" w:sz="0" w:space="0" w:color="auto"/>
                <w:right w:val="none" w:sz="0" w:space="0" w:color="auto"/>
              </w:divBdr>
            </w:div>
            <w:div w:id="2062555607">
              <w:marLeft w:val="0"/>
              <w:marRight w:val="0"/>
              <w:marTop w:val="0"/>
              <w:marBottom w:val="0"/>
              <w:divBdr>
                <w:top w:val="none" w:sz="0" w:space="0" w:color="auto"/>
                <w:left w:val="none" w:sz="0" w:space="0" w:color="auto"/>
                <w:bottom w:val="none" w:sz="0" w:space="0" w:color="auto"/>
                <w:right w:val="none" w:sz="0" w:space="0" w:color="auto"/>
              </w:divBdr>
            </w:div>
          </w:divsChild>
        </w:div>
        <w:div w:id="100758590">
          <w:marLeft w:val="0"/>
          <w:marRight w:val="0"/>
          <w:marTop w:val="0"/>
          <w:marBottom w:val="0"/>
          <w:divBdr>
            <w:top w:val="none" w:sz="0" w:space="0" w:color="auto"/>
            <w:left w:val="none" w:sz="0" w:space="0" w:color="auto"/>
            <w:bottom w:val="none" w:sz="0" w:space="0" w:color="auto"/>
            <w:right w:val="none" w:sz="0" w:space="0" w:color="auto"/>
          </w:divBdr>
          <w:divsChild>
            <w:div w:id="508954690">
              <w:marLeft w:val="0"/>
              <w:marRight w:val="0"/>
              <w:marTop w:val="0"/>
              <w:marBottom w:val="0"/>
              <w:divBdr>
                <w:top w:val="none" w:sz="0" w:space="0" w:color="auto"/>
                <w:left w:val="none" w:sz="0" w:space="0" w:color="auto"/>
                <w:bottom w:val="none" w:sz="0" w:space="0" w:color="auto"/>
                <w:right w:val="none" w:sz="0" w:space="0" w:color="auto"/>
              </w:divBdr>
            </w:div>
            <w:div w:id="1332684656">
              <w:marLeft w:val="0"/>
              <w:marRight w:val="0"/>
              <w:marTop w:val="0"/>
              <w:marBottom w:val="0"/>
              <w:divBdr>
                <w:top w:val="none" w:sz="0" w:space="0" w:color="auto"/>
                <w:left w:val="none" w:sz="0" w:space="0" w:color="auto"/>
                <w:bottom w:val="none" w:sz="0" w:space="0" w:color="auto"/>
                <w:right w:val="none" w:sz="0" w:space="0" w:color="auto"/>
              </w:divBdr>
            </w:div>
          </w:divsChild>
        </w:div>
        <w:div w:id="202791155">
          <w:marLeft w:val="0"/>
          <w:marRight w:val="0"/>
          <w:marTop w:val="0"/>
          <w:marBottom w:val="0"/>
          <w:divBdr>
            <w:top w:val="none" w:sz="0" w:space="0" w:color="auto"/>
            <w:left w:val="none" w:sz="0" w:space="0" w:color="auto"/>
            <w:bottom w:val="none" w:sz="0" w:space="0" w:color="auto"/>
            <w:right w:val="none" w:sz="0" w:space="0" w:color="auto"/>
          </w:divBdr>
          <w:divsChild>
            <w:div w:id="1192958231">
              <w:marLeft w:val="0"/>
              <w:marRight w:val="0"/>
              <w:marTop w:val="0"/>
              <w:marBottom w:val="0"/>
              <w:divBdr>
                <w:top w:val="none" w:sz="0" w:space="0" w:color="auto"/>
                <w:left w:val="none" w:sz="0" w:space="0" w:color="auto"/>
                <w:bottom w:val="none" w:sz="0" w:space="0" w:color="auto"/>
                <w:right w:val="none" w:sz="0" w:space="0" w:color="auto"/>
              </w:divBdr>
            </w:div>
          </w:divsChild>
        </w:div>
        <w:div w:id="260993484">
          <w:marLeft w:val="0"/>
          <w:marRight w:val="0"/>
          <w:marTop w:val="0"/>
          <w:marBottom w:val="0"/>
          <w:divBdr>
            <w:top w:val="none" w:sz="0" w:space="0" w:color="auto"/>
            <w:left w:val="none" w:sz="0" w:space="0" w:color="auto"/>
            <w:bottom w:val="none" w:sz="0" w:space="0" w:color="auto"/>
            <w:right w:val="none" w:sz="0" w:space="0" w:color="auto"/>
          </w:divBdr>
          <w:divsChild>
            <w:div w:id="669874408">
              <w:marLeft w:val="0"/>
              <w:marRight w:val="0"/>
              <w:marTop w:val="0"/>
              <w:marBottom w:val="0"/>
              <w:divBdr>
                <w:top w:val="none" w:sz="0" w:space="0" w:color="auto"/>
                <w:left w:val="none" w:sz="0" w:space="0" w:color="auto"/>
                <w:bottom w:val="none" w:sz="0" w:space="0" w:color="auto"/>
                <w:right w:val="none" w:sz="0" w:space="0" w:color="auto"/>
              </w:divBdr>
            </w:div>
            <w:div w:id="711537438">
              <w:marLeft w:val="0"/>
              <w:marRight w:val="0"/>
              <w:marTop w:val="0"/>
              <w:marBottom w:val="0"/>
              <w:divBdr>
                <w:top w:val="none" w:sz="0" w:space="0" w:color="auto"/>
                <w:left w:val="none" w:sz="0" w:space="0" w:color="auto"/>
                <w:bottom w:val="none" w:sz="0" w:space="0" w:color="auto"/>
                <w:right w:val="none" w:sz="0" w:space="0" w:color="auto"/>
              </w:divBdr>
            </w:div>
          </w:divsChild>
        </w:div>
        <w:div w:id="443110274">
          <w:marLeft w:val="0"/>
          <w:marRight w:val="0"/>
          <w:marTop w:val="0"/>
          <w:marBottom w:val="0"/>
          <w:divBdr>
            <w:top w:val="none" w:sz="0" w:space="0" w:color="auto"/>
            <w:left w:val="none" w:sz="0" w:space="0" w:color="auto"/>
            <w:bottom w:val="none" w:sz="0" w:space="0" w:color="auto"/>
            <w:right w:val="none" w:sz="0" w:space="0" w:color="auto"/>
          </w:divBdr>
          <w:divsChild>
            <w:div w:id="548617211">
              <w:marLeft w:val="0"/>
              <w:marRight w:val="0"/>
              <w:marTop w:val="0"/>
              <w:marBottom w:val="0"/>
              <w:divBdr>
                <w:top w:val="none" w:sz="0" w:space="0" w:color="auto"/>
                <w:left w:val="none" w:sz="0" w:space="0" w:color="auto"/>
                <w:bottom w:val="none" w:sz="0" w:space="0" w:color="auto"/>
                <w:right w:val="none" w:sz="0" w:space="0" w:color="auto"/>
              </w:divBdr>
            </w:div>
          </w:divsChild>
        </w:div>
        <w:div w:id="476149951">
          <w:marLeft w:val="0"/>
          <w:marRight w:val="0"/>
          <w:marTop w:val="0"/>
          <w:marBottom w:val="0"/>
          <w:divBdr>
            <w:top w:val="none" w:sz="0" w:space="0" w:color="auto"/>
            <w:left w:val="none" w:sz="0" w:space="0" w:color="auto"/>
            <w:bottom w:val="none" w:sz="0" w:space="0" w:color="auto"/>
            <w:right w:val="none" w:sz="0" w:space="0" w:color="auto"/>
          </w:divBdr>
          <w:divsChild>
            <w:div w:id="71317953">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701901064">
              <w:marLeft w:val="0"/>
              <w:marRight w:val="0"/>
              <w:marTop w:val="0"/>
              <w:marBottom w:val="0"/>
              <w:divBdr>
                <w:top w:val="none" w:sz="0" w:space="0" w:color="auto"/>
                <w:left w:val="none" w:sz="0" w:space="0" w:color="auto"/>
                <w:bottom w:val="none" w:sz="0" w:space="0" w:color="auto"/>
                <w:right w:val="none" w:sz="0" w:space="0" w:color="auto"/>
              </w:divBdr>
            </w:div>
            <w:div w:id="772898779">
              <w:marLeft w:val="0"/>
              <w:marRight w:val="0"/>
              <w:marTop w:val="0"/>
              <w:marBottom w:val="0"/>
              <w:divBdr>
                <w:top w:val="none" w:sz="0" w:space="0" w:color="auto"/>
                <w:left w:val="none" w:sz="0" w:space="0" w:color="auto"/>
                <w:bottom w:val="none" w:sz="0" w:space="0" w:color="auto"/>
                <w:right w:val="none" w:sz="0" w:space="0" w:color="auto"/>
              </w:divBdr>
            </w:div>
          </w:divsChild>
        </w:div>
        <w:div w:id="538860410">
          <w:marLeft w:val="0"/>
          <w:marRight w:val="0"/>
          <w:marTop w:val="0"/>
          <w:marBottom w:val="0"/>
          <w:divBdr>
            <w:top w:val="none" w:sz="0" w:space="0" w:color="auto"/>
            <w:left w:val="none" w:sz="0" w:space="0" w:color="auto"/>
            <w:bottom w:val="none" w:sz="0" w:space="0" w:color="auto"/>
            <w:right w:val="none" w:sz="0" w:space="0" w:color="auto"/>
          </w:divBdr>
          <w:divsChild>
            <w:div w:id="1798526711">
              <w:marLeft w:val="0"/>
              <w:marRight w:val="0"/>
              <w:marTop w:val="0"/>
              <w:marBottom w:val="0"/>
              <w:divBdr>
                <w:top w:val="none" w:sz="0" w:space="0" w:color="auto"/>
                <w:left w:val="none" w:sz="0" w:space="0" w:color="auto"/>
                <w:bottom w:val="none" w:sz="0" w:space="0" w:color="auto"/>
                <w:right w:val="none" w:sz="0" w:space="0" w:color="auto"/>
              </w:divBdr>
            </w:div>
            <w:div w:id="1906329079">
              <w:marLeft w:val="0"/>
              <w:marRight w:val="0"/>
              <w:marTop w:val="0"/>
              <w:marBottom w:val="0"/>
              <w:divBdr>
                <w:top w:val="none" w:sz="0" w:space="0" w:color="auto"/>
                <w:left w:val="none" w:sz="0" w:space="0" w:color="auto"/>
                <w:bottom w:val="none" w:sz="0" w:space="0" w:color="auto"/>
                <w:right w:val="none" w:sz="0" w:space="0" w:color="auto"/>
              </w:divBdr>
            </w:div>
          </w:divsChild>
        </w:div>
        <w:div w:id="544026763">
          <w:marLeft w:val="0"/>
          <w:marRight w:val="0"/>
          <w:marTop w:val="0"/>
          <w:marBottom w:val="0"/>
          <w:divBdr>
            <w:top w:val="none" w:sz="0" w:space="0" w:color="auto"/>
            <w:left w:val="none" w:sz="0" w:space="0" w:color="auto"/>
            <w:bottom w:val="none" w:sz="0" w:space="0" w:color="auto"/>
            <w:right w:val="none" w:sz="0" w:space="0" w:color="auto"/>
          </w:divBdr>
          <w:divsChild>
            <w:div w:id="1328246002">
              <w:marLeft w:val="0"/>
              <w:marRight w:val="0"/>
              <w:marTop w:val="0"/>
              <w:marBottom w:val="0"/>
              <w:divBdr>
                <w:top w:val="none" w:sz="0" w:space="0" w:color="auto"/>
                <w:left w:val="none" w:sz="0" w:space="0" w:color="auto"/>
                <w:bottom w:val="none" w:sz="0" w:space="0" w:color="auto"/>
                <w:right w:val="none" w:sz="0" w:space="0" w:color="auto"/>
              </w:divBdr>
            </w:div>
          </w:divsChild>
        </w:div>
        <w:div w:id="568926418">
          <w:marLeft w:val="0"/>
          <w:marRight w:val="0"/>
          <w:marTop w:val="0"/>
          <w:marBottom w:val="0"/>
          <w:divBdr>
            <w:top w:val="none" w:sz="0" w:space="0" w:color="auto"/>
            <w:left w:val="none" w:sz="0" w:space="0" w:color="auto"/>
            <w:bottom w:val="none" w:sz="0" w:space="0" w:color="auto"/>
            <w:right w:val="none" w:sz="0" w:space="0" w:color="auto"/>
          </w:divBdr>
          <w:divsChild>
            <w:div w:id="93212638">
              <w:marLeft w:val="0"/>
              <w:marRight w:val="0"/>
              <w:marTop w:val="0"/>
              <w:marBottom w:val="0"/>
              <w:divBdr>
                <w:top w:val="none" w:sz="0" w:space="0" w:color="auto"/>
                <w:left w:val="none" w:sz="0" w:space="0" w:color="auto"/>
                <w:bottom w:val="none" w:sz="0" w:space="0" w:color="auto"/>
                <w:right w:val="none" w:sz="0" w:space="0" w:color="auto"/>
              </w:divBdr>
            </w:div>
          </w:divsChild>
        </w:div>
        <w:div w:id="806240008">
          <w:marLeft w:val="0"/>
          <w:marRight w:val="0"/>
          <w:marTop w:val="0"/>
          <w:marBottom w:val="0"/>
          <w:divBdr>
            <w:top w:val="none" w:sz="0" w:space="0" w:color="auto"/>
            <w:left w:val="none" w:sz="0" w:space="0" w:color="auto"/>
            <w:bottom w:val="none" w:sz="0" w:space="0" w:color="auto"/>
            <w:right w:val="none" w:sz="0" w:space="0" w:color="auto"/>
          </w:divBdr>
          <w:divsChild>
            <w:div w:id="892499337">
              <w:marLeft w:val="0"/>
              <w:marRight w:val="0"/>
              <w:marTop w:val="0"/>
              <w:marBottom w:val="0"/>
              <w:divBdr>
                <w:top w:val="none" w:sz="0" w:space="0" w:color="auto"/>
                <w:left w:val="none" w:sz="0" w:space="0" w:color="auto"/>
                <w:bottom w:val="none" w:sz="0" w:space="0" w:color="auto"/>
                <w:right w:val="none" w:sz="0" w:space="0" w:color="auto"/>
              </w:divBdr>
            </w:div>
            <w:div w:id="1556626584">
              <w:marLeft w:val="0"/>
              <w:marRight w:val="0"/>
              <w:marTop w:val="0"/>
              <w:marBottom w:val="0"/>
              <w:divBdr>
                <w:top w:val="none" w:sz="0" w:space="0" w:color="auto"/>
                <w:left w:val="none" w:sz="0" w:space="0" w:color="auto"/>
                <w:bottom w:val="none" w:sz="0" w:space="0" w:color="auto"/>
                <w:right w:val="none" w:sz="0" w:space="0" w:color="auto"/>
              </w:divBdr>
            </w:div>
          </w:divsChild>
        </w:div>
        <w:div w:id="839734881">
          <w:marLeft w:val="0"/>
          <w:marRight w:val="0"/>
          <w:marTop w:val="0"/>
          <w:marBottom w:val="0"/>
          <w:divBdr>
            <w:top w:val="none" w:sz="0" w:space="0" w:color="auto"/>
            <w:left w:val="none" w:sz="0" w:space="0" w:color="auto"/>
            <w:bottom w:val="none" w:sz="0" w:space="0" w:color="auto"/>
            <w:right w:val="none" w:sz="0" w:space="0" w:color="auto"/>
          </w:divBdr>
          <w:divsChild>
            <w:div w:id="1117681118">
              <w:marLeft w:val="0"/>
              <w:marRight w:val="0"/>
              <w:marTop w:val="0"/>
              <w:marBottom w:val="0"/>
              <w:divBdr>
                <w:top w:val="none" w:sz="0" w:space="0" w:color="auto"/>
                <w:left w:val="none" w:sz="0" w:space="0" w:color="auto"/>
                <w:bottom w:val="none" w:sz="0" w:space="0" w:color="auto"/>
                <w:right w:val="none" w:sz="0" w:space="0" w:color="auto"/>
              </w:divBdr>
            </w:div>
            <w:div w:id="2072540042">
              <w:marLeft w:val="0"/>
              <w:marRight w:val="0"/>
              <w:marTop w:val="0"/>
              <w:marBottom w:val="0"/>
              <w:divBdr>
                <w:top w:val="none" w:sz="0" w:space="0" w:color="auto"/>
                <w:left w:val="none" w:sz="0" w:space="0" w:color="auto"/>
                <w:bottom w:val="none" w:sz="0" w:space="0" w:color="auto"/>
                <w:right w:val="none" w:sz="0" w:space="0" w:color="auto"/>
              </w:divBdr>
            </w:div>
          </w:divsChild>
        </w:div>
        <w:div w:id="1195004382">
          <w:marLeft w:val="0"/>
          <w:marRight w:val="0"/>
          <w:marTop w:val="0"/>
          <w:marBottom w:val="0"/>
          <w:divBdr>
            <w:top w:val="none" w:sz="0" w:space="0" w:color="auto"/>
            <w:left w:val="none" w:sz="0" w:space="0" w:color="auto"/>
            <w:bottom w:val="none" w:sz="0" w:space="0" w:color="auto"/>
            <w:right w:val="none" w:sz="0" w:space="0" w:color="auto"/>
          </w:divBdr>
          <w:divsChild>
            <w:div w:id="2141220553">
              <w:marLeft w:val="0"/>
              <w:marRight w:val="0"/>
              <w:marTop w:val="0"/>
              <w:marBottom w:val="0"/>
              <w:divBdr>
                <w:top w:val="none" w:sz="0" w:space="0" w:color="auto"/>
                <w:left w:val="none" w:sz="0" w:space="0" w:color="auto"/>
                <w:bottom w:val="none" w:sz="0" w:space="0" w:color="auto"/>
                <w:right w:val="none" w:sz="0" w:space="0" w:color="auto"/>
              </w:divBdr>
            </w:div>
          </w:divsChild>
        </w:div>
        <w:div w:id="1339389472">
          <w:marLeft w:val="0"/>
          <w:marRight w:val="0"/>
          <w:marTop w:val="0"/>
          <w:marBottom w:val="0"/>
          <w:divBdr>
            <w:top w:val="none" w:sz="0" w:space="0" w:color="auto"/>
            <w:left w:val="none" w:sz="0" w:space="0" w:color="auto"/>
            <w:bottom w:val="none" w:sz="0" w:space="0" w:color="auto"/>
            <w:right w:val="none" w:sz="0" w:space="0" w:color="auto"/>
          </w:divBdr>
          <w:divsChild>
            <w:div w:id="120611446">
              <w:marLeft w:val="0"/>
              <w:marRight w:val="0"/>
              <w:marTop w:val="0"/>
              <w:marBottom w:val="0"/>
              <w:divBdr>
                <w:top w:val="none" w:sz="0" w:space="0" w:color="auto"/>
                <w:left w:val="none" w:sz="0" w:space="0" w:color="auto"/>
                <w:bottom w:val="none" w:sz="0" w:space="0" w:color="auto"/>
                <w:right w:val="none" w:sz="0" w:space="0" w:color="auto"/>
              </w:divBdr>
            </w:div>
            <w:div w:id="187453905">
              <w:marLeft w:val="0"/>
              <w:marRight w:val="0"/>
              <w:marTop w:val="0"/>
              <w:marBottom w:val="0"/>
              <w:divBdr>
                <w:top w:val="none" w:sz="0" w:space="0" w:color="auto"/>
                <w:left w:val="none" w:sz="0" w:space="0" w:color="auto"/>
                <w:bottom w:val="none" w:sz="0" w:space="0" w:color="auto"/>
                <w:right w:val="none" w:sz="0" w:space="0" w:color="auto"/>
              </w:divBdr>
            </w:div>
            <w:div w:id="1203513774">
              <w:marLeft w:val="0"/>
              <w:marRight w:val="0"/>
              <w:marTop w:val="0"/>
              <w:marBottom w:val="0"/>
              <w:divBdr>
                <w:top w:val="none" w:sz="0" w:space="0" w:color="auto"/>
                <w:left w:val="none" w:sz="0" w:space="0" w:color="auto"/>
                <w:bottom w:val="none" w:sz="0" w:space="0" w:color="auto"/>
                <w:right w:val="none" w:sz="0" w:space="0" w:color="auto"/>
              </w:divBdr>
            </w:div>
            <w:div w:id="1556815954">
              <w:marLeft w:val="0"/>
              <w:marRight w:val="0"/>
              <w:marTop w:val="0"/>
              <w:marBottom w:val="0"/>
              <w:divBdr>
                <w:top w:val="none" w:sz="0" w:space="0" w:color="auto"/>
                <w:left w:val="none" w:sz="0" w:space="0" w:color="auto"/>
                <w:bottom w:val="none" w:sz="0" w:space="0" w:color="auto"/>
                <w:right w:val="none" w:sz="0" w:space="0" w:color="auto"/>
              </w:divBdr>
            </w:div>
            <w:div w:id="1650791083">
              <w:marLeft w:val="0"/>
              <w:marRight w:val="0"/>
              <w:marTop w:val="0"/>
              <w:marBottom w:val="0"/>
              <w:divBdr>
                <w:top w:val="none" w:sz="0" w:space="0" w:color="auto"/>
                <w:left w:val="none" w:sz="0" w:space="0" w:color="auto"/>
                <w:bottom w:val="none" w:sz="0" w:space="0" w:color="auto"/>
                <w:right w:val="none" w:sz="0" w:space="0" w:color="auto"/>
              </w:divBdr>
            </w:div>
            <w:div w:id="1866627483">
              <w:marLeft w:val="0"/>
              <w:marRight w:val="0"/>
              <w:marTop w:val="0"/>
              <w:marBottom w:val="0"/>
              <w:divBdr>
                <w:top w:val="none" w:sz="0" w:space="0" w:color="auto"/>
                <w:left w:val="none" w:sz="0" w:space="0" w:color="auto"/>
                <w:bottom w:val="none" w:sz="0" w:space="0" w:color="auto"/>
                <w:right w:val="none" w:sz="0" w:space="0" w:color="auto"/>
              </w:divBdr>
            </w:div>
          </w:divsChild>
        </w:div>
        <w:div w:id="1383019133">
          <w:marLeft w:val="0"/>
          <w:marRight w:val="0"/>
          <w:marTop w:val="0"/>
          <w:marBottom w:val="0"/>
          <w:divBdr>
            <w:top w:val="none" w:sz="0" w:space="0" w:color="auto"/>
            <w:left w:val="none" w:sz="0" w:space="0" w:color="auto"/>
            <w:bottom w:val="none" w:sz="0" w:space="0" w:color="auto"/>
            <w:right w:val="none" w:sz="0" w:space="0" w:color="auto"/>
          </w:divBdr>
          <w:divsChild>
            <w:div w:id="849567266">
              <w:marLeft w:val="0"/>
              <w:marRight w:val="0"/>
              <w:marTop w:val="0"/>
              <w:marBottom w:val="0"/>
              <w:divBdr>
                <w:top w:val="none" w:sz="0" w:space="0" w:color="auto"/>
                <w:left w:val="none" w:sz="0" w:space="0" w:color="auto"/>
                <w:bottom w:val="none" w:sz="0" w:space="0" w:color="auto"/>
                <w:right w:val="none" w:sz="0" w:space="0" w:color="auto"/>
              </w:divBdr>
            </w:div>
          </w:divsChild>
        </w:div>
        <w:div w:id="1506245868">
          <w:marLeft w:val="0"/>
          <w:marRight w:val="0"/>
          <w:marTop w:val="0"/>
          <w:marBottom w:val="0"/>
          <w:divBdr>
            <w:top w:val="none" w:sz="0" w:space="0" w:color="auto"/>
            <w:left w:val="none" w:sz="0" w:space="0" w:color="auto"/>
            <w:bottom w:val="none" w:sz="0" w:space="0" w:color="auto"/>
            <w:right w:val="none" w:sz="0" w:space="0" w:color="auto"/>
          </w:divBdr>
          <w:divsChild>
            <w:div w:id="870529087">
              <w:marLeft w:val="0"/>
              <w:marRight w:val="0"/>
              <w:marTop w:val="0"/>
              <w:marBottom w:val="0"/>
              <w:divBdr>
                <w:top w:val="none" w:sz="0" w:space="0" w:color="auto"/>
                <w:left w:val="none" w:sz="0" w:space="0" w:color="auto"/>
                <w:bottom w:val="none" w:sz="0" w:space="0" w:color="auto"/>
                <w:right w:val="none" w:sz="0" w:space="0" w:color="auto"/>
              </w:divBdr>
            </w:div>
          </w:divsChild>
        </w:div>
        <w:div w:id="1600330671">
          <w:marLeft w:val="0"/>
          <w:marRight w:val="0"/>
          <w:marTop w:val="0"/>
          <w:marBottom w:val="0"/>
          <w:divBdr>
            <w:top w:val="none" w:sz="0" w:space="0" w:color="auto"/>
            <w:left w:val="none" w:sz="0" w:space="0" w:color="auto"/>
            <w:bottom w:val="none" w:sz="0" w:space="0" w:color="auto"/>
            <w:right w:val="none" w:sz="0" w:space="0" w:color="auto"/>
          </w:divBdr>
          <w:divsChild>
            <w:div w:id="943075594">
              <w:marLeft w:val="0"/>
              <w:marRight w:val="0"/>
              <w:marTop w:val="0"/>
              <w:marBottom w:val="0"/>
              <w:divBdr>
                <w:top w:val="none" w:sz="0" w:space="0" w:color="auto"/>
                <w:left w:val="none" w:sz="0" w:space="0" w:color="auto"/>
                <w:bottom w:val="none" w:sz="0" w:space="0" w:color="auto"/>
                <w:right w:val="none" w:sz="0" w:space="0" w:color="auto"/>
              </w:divBdr>
            </w:div>
          </w:divsChild>
        </w:div>
        <w:div w:id="1609237724">
          <w:marLeft w:val="0"/>
          <w:marRight w:val="0"/>
          <w:marTop w:val="0"/>
          <w:marBottom w:val="0"/>
          <w:divBdr>
            <w:top w:val="none" w:sz="0" w:space="0" w:color="auto"/>
            <w:left w:val="none" w:sz="0" w:space="0" w:color="auto"/>
            <w:bottom w:val="none" w:sz="0" w:space="0" w:color="auto"/>
            <w:right w:val="none" w:sz="0" w:space="0" w:color="auto"/>
          </w:divBdr>
          <w:divsChild>
            <w:div w:id="510460527">
              <w:marLeft w:val="0"/>
              <w:marRight w:val="0"/>
              <w:marTop w:val="0"/>
              <w:marBottom w:val="0"/>
              <w:divBdr>
                <w:top w:val="none" w:sz="0" w:space="0" w:color="auto"/>
                <w:left w:val="none" w:sz="0" w:space="0" w:color="auto"/>
                <w:bottom w:val="none" w:sz="0" w:space="0" w:color="auto"/>
                <w:right w:val="none" w:sz="0" w:space="0" w:color="auto"/>
              </w:divBdr>
            </w:div>
          </w:divsChild>
        </w:div>
        <w:div w:id="1860580842">
          <w:marLeft w:val="0"/>
          <w:marRight w:val="0"/>
          <w:marTop w:val="0"/>
          <w:marBottom w:val="0"/>
          <w:divBdr>
            <w:top w:val="none" w:sz="0" w:space="0" w:color="auto"/>
            <w:left w:val="none" w:sz="0" w:space="0" w:color="auto"/>
            <w:bottom w:val="none" w:sz="0" w:space="0" w:color="auto"/>
            <w:right w:val="none" w:sz="0" w:space="0" w:color="auto"/>
          </w:divBdr>
          <w:divsChild>
            <w:div w:id="576592887">
              <w:marLeft w:val="0"/>
              <w:marRight w:val="0"/>
              <w:marTop w:val="0"/>
              <w:marBottom w:val="0"/>
              <w:divBdr>
                <w:top w:val="none" w:sz="0" w:space="0" w:color="auto"/>
                <w:left w:val="none" w:sz="0" w:space="0" w:color="auto"/>
                <w:bottom w:val="none" w:sz="0" w:space="0" w:color="auto"/>
                <w:right w:val="none" w:sz="0" w:space="0" w:color="auto"/>
              </w:divBdr>
            </w:div>
            <w:div w:id="1522627222">
              <w:marLeft w:val="0"/>
              <w:marRight w:val="0"/>
              <w:marTop w:val="0"/>
              <w:marBottom w:val="0"/>
              <w:divBdr>
                <w:top w:val="none" w:sz="0" w:space="0" w:color="auto"/>
                <w:left w:val="none" w:sz="0" w:space="0" w:color="auto"/>
                <w:bottom w:val="none" w:sz="0" w:space="0" w:color="auto"/>
                <w:right w:val="none" w:sz="0" w:space="0" w:color="auto"/>
              </w:divBdr>
            </w:div>
            <w:div w:id="2125341951">
              <w:marLeft w:val="0"/>
              <w:marRight w:val="0"/>
              <w:marTop w:val="0"/>
              <w:marBottom w:val="0"/>
              <w:divBdr>
                <w:top w:val="none" w:sz="0" w:space="0" w:color="auto"/>
                <w:left w:val="none" w:sz="0" w:space="0" w:color="auto"/>
                <w:bottom w:val="none" w:sz="0" w:space="0" w:color="auto"/>
                <w:right w:val="none" w:sz="0" w:space="0" w:color="auto"/>
              </w:divBdr>
            </w:div>
          </w:divsChild>
        </w:div>
        <w:div w:id="1900087616">
          <w:marLeft w:val="0"/>
          <w:marRight w:val="0"/>
          <w:marTop w:val="0"/>
          <w:marBottom w:val="0"/>
          <w:divBdr>
            <w:top w:val="none" w:sz="0" w:space="0" w:color="auto"/>
            <w:left w:val="none" w:sz="0" w:space="0" w:color="auto"/>
            <w:bottom w:val="none" w:sz="0" w:space="0" w:color="auto"/>
            <w:right w:val="none" w:sz="0" w:space="0" w:color="auto"/>
          </w:divBdr>
          <w:divsChild>
            <w:div w:id="896018071">
              <w:marLeft w:val="0"/>
              <w:marRight w:val="0"/>
              <w:marTop w:val="0"/>
              <w:marBottom w:val="0"/>
              <w:divBdr>
                <w:top w:val="none" w:sz="0" w:space="0" w:color="auto"/>
                <w:left w:val="none" w:sz="0" w:space="0" w:color="auto"/>
                <w:bottom w:val="none" w:sz="0" w:space="0" w:color="auto"/>
                <w:right w:val="none" w:sz="0" w:space="0" w:color="auto"/>
              </w:divBdr>
            </w:div>
            <w:div w:id="1138719350">
              <w:marLeft w:val="0"/>
              <w:marRight w:val="0"/>
              <w:marTop w:val="0"/>
              <w:marBottom w:val="0"/>
              <w:divBdr>
                <w:top w:val="none" w:sz="0" w:space="0" w:color="auto"/>
                <w:left w:val="none" w:sz="0" w:space="0" w:color="auto"/>
                <w:bottom w:val="none" w:sz="0" w:space="0" w:color="auto"/>
                <w:right w:val="none" w:sz="0" w:space="0" w:color="auto"/>
              </w:divBdr>
            </w:div>
            <w:div w:id="1714307653">
              <w:marLeft w:val="0"/>
              <w:marRight w:val="0"/>
              <w:marTop w:val="0"/>
              <w:marBottom w:val="0"/>
              <w:divBdr>
                <w:top w:val="none" w:sz="0" w:space="0" w:color="auto"/>
                <w:left w:val="none" w:sz="0" w:space="0" w:color="auto"/>
                <w:bottom w:val="none" w:sz="0" w:space="0" w:color="auto"/>
                <w:right w:val="none" w:sz="0" w:space="0" w:color="auto"/>
              </w:divBdr>
            </w:div>
            <w:div w:id="1988513443">
              <w:marLeft w:val="0"/>
              <w:marRight w:val="0"/>
              <w:marTop w:val="0"/>
              <w:marBottom w:val="0"/>
              <w:divBdr>
                <w:top w:val="none" w:sz="0" w:space="0" w:color="auto"/>
                <w:left w:val="none" w:sz="0" w:space="0" w:color="auto"/>
                <w:bottom w:val="none" w:sz="0" w:space="0" w:color="auto"/>
                <w:right w:val="none" w:sz="0" w:space="0" w:color="auto"/>
              </w:divBdr>
            </w:div>
          </w:divsChild>
        </w:div>
        <w:div w:id="1914048451">
          <w:marLeft w:val="0"/>
          <w:marRight w:val="0"/>
          <w:marTop w:val="0"/>
          <w:marBottom w:val="0"/>
          <w:divBdr>
            <w:top w:val="none" w:sz="0" w:space="0" w:color="auto"/>
            <w:left w:val="none" w:sz="0" w:space="0" w:color="auto"/>
            <w:bottom w:val="none" w:sz="0" w:space="0" w:color="auto"/>
            <w:right w:val="none" w:sz="0" w:space="0" w:color="auto"/>
          </w:divBdr>
          <w:divsChild>
            <w:div w:id="475535551">
              <w:marLeft w:val="0"/>
              <w:marRight w:val="0"/>
              <w:marTop w:val="0"/>
              <w:marBottom w:val="0"/>
              <w:divBdr>
                <w:top w:val="none" w:sz="0" w:space="0" w:color="auto"/>
                <w:left w:val="none" w:sz="0" w:space="0" w:color="auto"/>
                <w:bottom w:val="none" w:sz="0" w:space="0" w:color="auto"/>
                <w:right w:val="none" w:sz="0" w:space="0" w:color="auto"/>
              </w:divBdr>
            </w:div>
          </w:divsChild>
        </w:div>
        <w:div w:id="2124690052">
          <w:marLeft w:val="0"/>
          <w:marRight w:val="0"/>
          <w:marTop w:val="0"/>
          <w:marBottom w:val="0"/>
          <w:divBdr>
            <w:top w:val="none" w:sz="0" w:space="0" w:color="auto"/>
            <w:left w:val="none" w:sz="0" w:space="0" w:color="auto"/>
            <w:bottom w:val="none" w:sz="0" w:space="0" w:color="auto"/>
            <w:right w:val="none" w:sz="0" w:space="0" w:color="auto"/>
          </w:divBdr>
          <w:divsChild>
            <w:div w:id="26488099">
              <w:marLeft w:val="0"/>
              <w:marRight w:val="0"/>
              <w:marTop w:val="0"/>
              <w:marBottom w:val="0"/>
              <w:divBdr>
                <w:top w:val="none" w:sz="0" w:space="0" w:color="auto"/>
                <w:left w:val="none" w:sz="0" w:space="0" w:color="auto"/>
                <w:bottom w:val="none" w:sz="0" w:space="0" w:color="auto"/>
                <w:right w:val="none" w:sz="0" w:space="0" w:color="auto"/>
              </w:divBdr>
            </w:div>
            <w:div w:id="664357543">
              <w:marLeft w:val="0"/>
              <w:marRight w:val="0"/>
              <w:marTop w:val="0"/>
              <w:marBottom w:val="0"/>
              <w:divBdr>
                <w:top w:val="none" w:sz="0" w:space="0" w:color="auto"/>
                <w:left w:val="none" w:sz="0" w:space="0" w:color="auto"/>
                <w:bottom w:val="none" w:sz="0" w:space="0" w:color="auto"/>
                <w:right w:val="none" w:sz="0" w:space="0" w:color="auto"/>
              </w:divBdr>
            </w:div>
            <w:div w:id="13529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4124">
      <w:bodyDiv w:val="1"/>
      <w:marLeft w:val="0"/>
      <w:marRight w:val="0"/>
      <w:marTop w:val="0"/>
      <w:marBottom w:val="0"/>
      <w:divBdr>
        <w:top w:val="none" w:sz="0" w:space="0" w:color="auto"/>
        <w:left w:val="none" w:sz="0" w:space="0" w:color="auto"/>
        <w:bottom w:val="none" w:sz="0" w:space="0" w:color="auto"/>
        <w:right w:val="none" w:sz="0" w:space="0" w:color="auto"/>
      </w:divBdr>
    </w:div>
    <w:div w:id="1927179458">
      <w:bodyDiv w:val="1"/>
      <w:marLeft w:val="0"/>
      <w:marRight w:val="0"/>
      <w:marTop w:val="0"/>
      <w:marBottom w:val="0"/>
      <w:divBdr>
        <w:top w:val="none" w:sz="0" w:space="0" w:color="auto"/>
        <w:left w:val="none" w:sz="0" w:space="0" w:color="auto"/>
        <w:bottom w:val="none" w:sz="0" w:space="0" w:color="auto"/>
        <w:right w:val="none" w:sz="0" w:space="0" w:color="auto"/>
      </w:divBdr>
    </w:div>
    <w:div w:id="1964263285">
      <w:bodyDiv w:val="1"/>
      <w:marLeft w:val="0"/>
      <w:marRight w:val="0"/>
      <w:marTop w:val="0"/>
      <w:marBottom w:val="0"/>
      <w:divBdr>
        <w:top w:val="none" w:sz="0" w:space="0" w:color="auto"/>
        <w:left w:val="none" w:sz="0" w:space="0" w:color="auto"/>
        <w:bottom w:val="none" w:sz="0" w:space="0" w:color="auto"/>
        <w:right w:val="none" w:sz="0" w:space="0" w:color="auto"/>
      </w:divBdr>
    </w:div>
    <w:div w:id="1974629484">
      <w:bodyDiv w:val="1"/>
      <w:marLeft w:val="0"/>
      <w:marRight w:val="0"/>
      <w:marTop w:val="0"/>
      <w:marBottom w:val="0"/>
      <w:divBdr>
        <w:top w:val="none" w:sz="0" w:space="0" w:color="auto"/>
        <w:left w:val="none" w:sz="0" w:space="0" w:color="auto"/>
        <w:bottom w:val="none" w:sz="0" w:space="0" w:color="auto"/>
        <w:right w:val="none" w:sz="0" w:space="0" w:color="auto"/>
      </w:divBdr>
    </w:div>
    <w:div w:id="2009408893">
      <w:bodyDiv w:val="1"/>
      <w:marLeft w:val="0"/>
      <w:marRight w:val="0"/>
      <w:marTop w:val="0"/>
      <w:marBottom w:val="0"/>
      <w:divBdr>
        <w:top w:val="none" w:sz="0" w:space="0" w:color="auto"/>
        <w:left w:val="none" w:sz="0" w:space="0" w:color="auto"/>
        <w:bottom w:val="none" w:sz="0" w:space="0" w:color="auto"/>
        <w:right w:val="none" w:sz="0" w:space="0" w:color="auto"/>
      </w:divBdr>
    </w:div>
    <w:div w:id="2011175624">
      <w:bodyDiv w:val="1"/>
      <w:marLeft w:val="0"/>
      <w:marRight w:val="0"/>
      <w:marTop w:val="0"/>
      <w:marBottom w:val="0"/>
      <w:divBdr>
        <w:top w:val="none" w:sz="0" w:space="0" w:color="auto"/>
        <w:left w:val="none" w:sz="0" w:space="0" w:color="auto"/>
        <w:bottom w:val="none" w:sz="0" w:space="0" w:color="auto"/>
        <w:right w:val="none" w:sz="0" w:space="0" w:color="auto"/>
      </w:divBdr>
    </w:div>
    <w:div w:id="2039506872">
      <w:bodyDiv w:val="1"/>
      <w:marLeft w:val="0"/>
      <w:marRight w:val="0"/>
      <w:marTop w:val="0"/>
      <w:marBottom w:val="0"/>
      <w:divBdr>
        <w:top w:val="none" w:sz="0" w:space="0" w:color="auto"/>
        <w:left w:val="none" w:sz="0" w:space="0" w:color="auto"/>
        <w:bottom w:val="none" w:sz="0" w:space="0" w:color="auto"/>
        <w:right w:val="none" w:sz="0" w:space="0" w:color="auto"/>
      </w:divBdr>
    </w:div>
    <w:div w:id="2047826468">
      <w:bodyDiv w:val="1"/>
      <w:marLeft w:val="0"/>
      <w:marRight w:val="0"/>
      <w:marTop w:val="0"/>
      <w:marBottom w:val="0"/>
      <w:divBdr>
        <w:top w:val="none" w:sz="0" w:space="0" w:color="auto"/>
        <w:left w:val="none" w:sz="0" w:space="0" w:color="auto"/>
        <w:bottom w:val="none" w:sz="0" w:space="0" w:color="auto"/>
        <w:right w:val="none" w:sz="0" w:space="0" w:color="auto"/>
      </w:divBdr>
    </w:div>
    <w:div w:id="2049404605">
      <w:bodyDiv w:val="1"/>
      <w:marLeft w:val="0"/>
      <w:marRight w:val="0"/>
      <w:marTop w:val="0"/>
      <w:marBottom w:val="0"/>
      <w:divBdr>
        <w:top w:val="none" w:sz="0" w:space="0" w:color="auto"/>
        <w:left w:val="none" w:sz="0" w:space="0" w:color="auto"/>
        <w:bottom w:val="none" w:sz="0" w:space="0" w:color="auto"/>
        <w:right w:val="none" w:sz="0" w:space="0" w:color="auto"/>
      </w:divBdr>
      <w:divsChild>
        <w:div w:id="196815917">
          <w:marLeft w:val="0"/>
          <w:marRight w:val="0"/>
          <w:marTop w:val="0"/>
          <w:marBottom w:val="0"/>
          <w:divBdr>
            <w:top w:val="none" w:sz="0" w:space="0" w:color="auto"/>
            <w:left w:val="none" w:sz="0" w:space="0" w:color="auto"/>
            <w:bottom w:val="none" w:sz="0" w:space="0" w:color="auto"/>
            <w:right w:val="none" w:sz="0" w:space="0" w:color="auto"/>
          </w:divBdr>
        </w:div>
        <w:div w:id="1115248599">
          <w:marLeft w:val="0"/>
          <w:marRight w:val="0"/>
          <w:marTop w:val="0"/>
          <w:marBottom w:val="0"/>
          <w:divBdr>
            <w:top w:val="none" w:sz="0" w:space="0" w:color="auto"/>
            <w:left w:val="none" w:sz="0" w:space="0" w:color="auto"/>
            <w:bottom w:val="none" w:sz="0" w:space="0" w:color="auto"/>
            <w:right w:val="none" w:sz="0" w:space="0" w:color="auto"/>
          </w:divBdr>
        </w:div>
        <w:div w:id="1404989206">
          <w:marLeft w:val="0"/>
          <w:marRight w:val="0"/>
          <w:marTop w:val="0"/>
          <w:marBottom w:val="0"/>
          <w:divBdr>
            <w:top w:val="none" w:sz="0" w:space="0" w:color="auto"/>
            <w:left w:val="none" w:sz="0" w:space="0" w:color="auto"/>
            <w:bottom w:val="none" w:sz="0" w:space="0" w:color="auto"/>
            <w:right w:val="none" w:sz="0" w:space="0" w:color="auto"/>
          </w:divBdr>
        </w:div>
      </w:divsChild>
    </w:div>
    <w:div w:id="2070614186">
      <w:bodyDiv w:val="1"/>
      <w:marLeft w:val="0"/>
      <w:marRight w:val="0"/>
      <w:marTop w:val="0"/>
      <w:marBottom w:val="0"/>
      <w:divBdr>
        <w:top w:val="none" w:sz="0" w:space="0" w:color="auto"/>
        <w:left w:val="none" w:sz="0" w:space="0" w:color="auto"/>
        <w:bottom w:val="none" w:sz="0" w:space="0" w:color="auto"/>
        <w:right w:val="none" w:sz="0" w:space="0" w:color="auto"/>
      </w:divBdr>
    </w:div>
    <w:div w:id="2071032152">
      <w:bodyDiv w:val="1"/>
      <w:marLeft w:val="0"/>
      <w:marRight w:val="0"/>
      <w:marTop w:val="0"/>
      <w:marBottom w:val="0"/>
      <w:divBdr>
        <w:top w:val="none" w:sz="0" w:space="0" w:color="auto"/>
        <w:left w:val="none" w:sz="0" w:space="0" w:color="auto"/>
        <w:bottom w:val="none" w:sz="0" w:space="0" w:color="auto"/>
        <w:right w:val="none" w:sz="0" w:space="0" w:color="auto"/>
      </w:divBdr>
      <w:divsChild>
        <w:div w:id="378017879">
          <w:marLeft w:val="720"/>
          <w:marRight w:val="0"/>
          <w:marTop w:val="0"/>
          <w:marBottom w:val="235"/>
          <w:divBdr>
            <w:top w:val="none" w:sz="0" w:space="0" w:color="auto"/>
            <w:left w:val="none" w:sz="0" w:space="0" w:color="auto"/>
            <w:bottom w:val="none" w:sz="0" w:space="0" w:color="auto"/>
            <w:right w:val="none" w:sz="0" w:space="0" w:color="auto"/>
          </w:divBdr>
        </w:div>
        <w:div w:id="1580629030">
          <w:marLeft w:val="720"/>
          <w:marRight w:val="0"/>
          <w:marTop w:val="0"/>
          <w:marBottom w:val="235"/>
          <w:divBdr>
            <w:top w:val="none" w:sz="0" w:space="0" w:color="auto"/>
            <w:left w:val="none" w:sz="0" w:space="0" w:color="auto"/>
            <w:bottom w:val="none" w:sz="0" w:space="0" w:color="auto"/>
            <w:right w:val="none" w:sz="0" w:space="0" w:color="auto"/>
          </w:divBdr>
        </w:div>
        <w:div w:id="2113668172">
          <w:marLeft w:val="720"/>
          <w:marRight w:val="0"/>
          <w:marTop w:val="0"/>
          <w:marBottom w:val="235"/>
          <w:divBdr>
            <w:top w:val="none" w:sz="0" w:space="0" w:color="auto"/>
            <w:left w:val="none" w:sz="0" w:space="0" w:color="auto"/>
            <w:bottom w:val="none" w:sz="0" w:space="0" w:color="auto"/>
            <w:right w:val="none" w:sz="0" w:space="0" w:color="auto"/>
          </w:divBdr>
        </w:div>
      </w:divsChild>
    </w:div>
    <w:div w:id="2079284805">
      <w:bodyDiv w:val="1"/>
      <w:marLeft w:val="0"/>
      <w:marRight w:val="0"/>
      <w:marTop w:val="0"/>
      <w:marBottom w:val="0"/>
      <w:divBdr>
        <w:top w:val="none" w:sz="0" w:space="0" w:color="auto"/>
        <w:left w:val="none" w:sz="0" w:space="0" w:color="auto"/>
        <w:bottom w:val="none" w:sz="0" w:space="0" w:color="auto"/>
        <w:right w:val="none" w:sz="0" w:space="0" w:color="auto"/>
      </w:divBdr>
      <w:divsChild>
        <w:div w:id="158274649">
          <w:marLeft w:val="446"/>
          <w:marRight w:val="0"/>
          <w:marTop w:val="0"/>
          <w:marBottom w:val="0"/>
          <w:divBdr>
            <w:top w:val="none" w:sz="0" w:space="0" w:color="auto"/>
            <w:left w:val="none" w:sz="0" w:space="0" w:color="auto"/>
            <w:bottom w:val="none" w:sz="0" w:space="0" w:color="auto"/>
            <w:right w:val="none" w:sz="0" w:space="0" w:color="auto"/>
          </w:divBdr>
        </w:div>
        <w:div w:id="1733037430">
          <w:marLeft w:val="446"/>
          <w:marRight w:val="0"/>
          <w:marTop w:val="0"/>
          <w:marBottom w:val="0"/>
          <w:divBdr>
            <w:top w:val="none" w:sz="0" w:space="0" w:color="auto"/>
            <w:left w:val="none" w:sz="0" w:space="0" w:color="auto"/>
            <w:bottom w:val="none" w:sz="0" w:space="0" w:color="auto"/>
            <w:right w:val="none" w:sz="0" w:space="0" w:color="auto"/>
          </w:divBdr>
        </w:div>
        <w:div w:id="2014380098">
          <w:marLeft w:val="446"/>
          <w:marRight w:val="0"/>
          <w:marTop w:val="0"/>
          <w:marBottom w:val="0"/>
          <w:divBdr>
            <w:top w:val="none" w:sz="0" w:space="0" w:color="auto"/>
            <w:left w:val="none" w:sz="0" w:space="0" w:color="auto"/>
            <w:bottom w:val="none" w:sz="0" w:space="0" w:color="auto"/>
            <w:right w:val="none" w:sz="0" w:space="0" w:color="auto"/>
          </w:divBdr>
        </w:div>
      </w:divsChild>
    </w:div>
    <w:div w:id="2083402113">
      <w:bodyDiv w:val="1"/>
      <w:marLeft w:val="0"/>
      <w:marRight w:val="0"/>
      <w:marTop w:val="0"/>
      <w:marBottom w:val="0"/>
      <w:divBdr>
        <w:top w:val="none" w:sz="0" w:space="0" w:color="auto"/>
        <w:left w:val="none" w:sz="0" w:space="0" w:color="auto"/>
        <w:bottom w:val="none" w:sz="0" w:space="0" w:color="auto"/>
        <w:right w:val="none" w:sz="0" w:space="0" w:color="auto"/>
      </w:divBdr>
    </w:div>
    <w:div w:id="2091148940">
      <w:bodyDiv w:val="1"/>
      <w:marLeft w:val="0"/>
      <w:marRight w:val="0"/>
      <w:marTop w:val="0"/>
      <w:marBottom w:val="0"/>
      <w:divBdr>
        <w:top w:val="none" w:sz="0" w:space="0" w:color="auto"/>
        <w:left w:val="none" w:sz="0" w:space="0" w:color="auto"/>
        <w:bottom w:val="none" w:sz="0" w:space="0" w:color="auto"/>
        <w:right w:val="none" w:sz="0" w:space="0" w:color="auto"/>
      </w:divBdr>
      <w:divsChild>
        <w:div w:id="1437794954">
          <w:marLeft w:val="0"/>
          <w:marRight w:val="0"/>
          <w:marTop w:val="0"/>
          <w:marBottom w:val="0"/>
          <w:divBdr>
            <w:top w:val="none" w:sz="0" w:space="0" w:color="auto"/>
            <w:left w:val="none" w:sz="0" w:space="0" w:color="auto"/>
            <w:bottom w:val="none" w:sz="0" w:space="0" w:color="auto"/>
            <w:right w:val="none" w:sz="0" w:space="0" w:color="auto"/>
          </w:divBdr>
        </w:div>
      </w:divsChild>
    </w:div>
    <w:div w:id="2111925206">
      <w:bodyDiv w:val="1"/>
      <w:marLeft w:val="0"/>
      <w:marRight w:val="0"/>
      <w:marTop w:val="0"/>
      <w:marBottom w:val="0"/>
      <w:divBdr>
        <w:top w:val="none" w:sz="0" w:space="0" w:color="auto"/>
        <w:left w:val="none" w:sz="0" w:space="0" w:color="auto"/>
        <w:bottom w:val="none" w:sz="0" w:space="0" w:color="auto"/>
        <w:right w:val="none" w:sz="0" w:space="0" w:color="auto"/>
      </w:divBdr>
    </w:div>
    <w:div w:id="2114861768">
      <w:bodyDiv w:val="1"/>
      <w:marLeft w:val="0"/>
      <w:marRight w:val="0"/>
      <w:marTop w:val="0"/>
      <w:marBottom w:val="0"/>
      <w:divBdr>
        <w:top w:val="none" w:sz="0" w:space="0" w:color="auto"/>
        <w:left w:val="none" w:sz="0" w:space="0" w:color="auto"/>
        <w:bottom w:val="none" w:sz="0" w:space="0" w:color="auto"/>
        <w:right w:val="none" w:sz="0" w:space="0" w:color="auto"/>
      </w:divBdr>
    </w:div>
    <w:div w:id="2126776106">
      <w:bodyDiv w:val="1"/>
      <w:marLeft w:val="0"/>
      <w:marRight w:val="0"/>
      <w:marTop w:val="0"/>
      <w:marBottom w:val="0"/>
      <w:divBdr>
        <w:top w:val="none" w:sz="0" w:space="0" w:color="auto"/>
        <w:left w:val="none" w:sz="0" w:space="0" w:color="auto"/>
        <w:bottom w:val="none" w:sz="0" w:space="0" w:color="auto"/>
        <w:right w:val="none" w:sz="0" w:space="0" w:color="auto"/>
      </w:divBdr>
    </w:div>
    <w:div w:id="2143843405">
      <w:bodyDiv w:val="1"/>
      <w:marLeft w:val="0"/>
      <w:marRight w:val="0"/>
      <w:marTop w:val="0"/>
      <w:marBottom w:val="0"/>
      <w:divBdr>
        <w:top w:val="none" w:sz="0" w:space="0" w:color="auto"/>
        <w:left w:val="none" w:sz="0" w:space="0" w:color="auto"/>
        <w:bottom w:val="none" w:sz="0" w:space="0" w:color="auto"/>
        <w:right w:val="none" w:sz="0" w:space="0" w:color="auto"/>
      </w:divBdr>
      <w:divsChild>
        <w:div w:id="925959919">
          <w:marLeft w:val="389"/>
          <w:marRight w:val="0"/>
          <w:marTop w:val="0"/>
          <w:marBottom w:val="40"/>
          <w:divBdr>
            <w:top w:val="none" w:sz="0" w:space="0" w:color="auto"/>
            <w:left w:val="none" w:sz="0" w:space="0" w:color="auto"/>
            <w:bottom w:val="none" w:sz="0" w:space="0" w:color="auto"/>
            <w:right w:val="none" w:sz="0" w:space="0" w:color="auto"/>
          </w:divBdr>
        </w:div>
        <w:div w:id="1702585614">
          <w:marLeft w:val="389"/>
          <w:marRight w:val="0"/>
          <w:marTop w:val="0"/>
          <w:marBottom w:val="40"/>
          <w:divBdr>
            <w:top w:val="none" w:sz="0" w:space="0" w:color="auto"/>
            <w:left w:val="none" w:sz="0" w:space="0" w:color="auto"/>
            <w:bottom w:val="none" w:sz="0" w:space="0" w:color="auto"/>
            <w:right w:val="none" w:sz="0" w:space="0" w:color="auto"/>
          </w:divBdr>
        </w:div>
        <w:div w:id="2130126717">
          <w:marLeft w:val="1109"/>
          <w:marRight w:val="0"/>
          <w:marTop w:val="0"/>
          <w:marBottom w:val="40"/>
          <w:divBdr>
            <w:top w:val="none" w:sz="0" w:space="0" w:color="auto"/>
            <w:left w:val="none" w:sz="0" w:space="0" w:color="auto"/>
            <w:bottom w:val="none" w:sz="0" w:space="0" w:color="auto"/>
            <w:right w:val="none" w:sz="0" w:space="0" w:color="auto"/>
          </w:divBdr>
        </w:div>
      </w:divsChild>
    </w:div>
    <w:div w:id="21464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health-quality-reports-and-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masshealth-quality-reports-and-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Luca\AppData\Local\Microsoft\Windows\INetCache\Content.Outlook\QMZ2YZYO\www.cms.gov\files\document\mmpqualitywithholdtechnicalnotesdy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ca7199-6fa3-4778-825f-3784da6dcb36">
      <UserInfo>
        <DisplayName>Jona, Vered (EHS)</DisplayName>
        <AccountId>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C398BABB7ECD4DA58FAB1146B988AB" ma:contentTypeVersion="4" ma:contentTypeDescription="Create a new document." ma:contentTypeScope="" ma:versionID="962d02044d401d277acd6c82a3927ee2">
  <xsd:schema xmlns:xsd="http://www.w3.org/2001/XMLSchema" xmlns:xs="http://www.w3.org/2001/XMLSchema" xmlns:p="http://schemas.microsoft.com/office/2006/metadata/properties" xmlns:ns2="dc253d0a-de02-4a17-beb3-b87f5fcb8721" xmlns:ns3="64ca7199-6fa3-4778-825f-3784da6dcb36" targetNamespace="http://schemas.microsoft.com/office/2006/metadata/properties" ma:root="true" ma:fieldsID="b8aee82440254b8cde82171f98c1d8d7" ns2:_="" ns3:_="">
    <xsd:import namespace="dc253d0a-de02-4a17-beb3-b87f5fcb8721"/>
    <xsd:import namespace="64ca7199-6fa3-4778-825f-3784da6dc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53d0a-de02-4a17-beb3-b87f5fcb8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a7199-6fa3-4778-825f-3784da6dc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AF32D-185A-4D2D-94B2-A7635BB8AD62}">
  <ds:schemaRefs>
    <ds:schemaRef ds:uri="http://schemas.microsoft.com/office/2006/metadata/properties"/>
    <ds:schemaRef ds:uri="http://schemas.microsoft.com/office/infopath/2007/PartnerControls"/>
    <ds:schemaRef ds:uri="64ca7199-6fa3-4778-825f-3784da6dcb36"/>
  </ds:schemaRefs>
</ds:datastoreItem>
</file>

<file path=customXml/itemProps2.xml><?xml version="1.0" encoding="utf-8"?>
<ds:datastoreItem xmlns:ds="http://schemas.openxmlformats.org/officeDocument/2006/customXml" ds:itemID="{38B6A18D-59FB-4DFB-AABF-6506150B1E58}">
  <ds:schemaRefs>
    <ds:schemaRef ds:uri="http://schemas.openxmlformats.org/officeDocument/2006/bibliography"/>
  </ds:schemaRefs>
</ds:datastoreItem>
</file>

<file path=customXml/itemProps3.xml><?xml version="1.0" encoding="utf-8"?>
<ds:datastoreItem xmlns:ds="http://schemas.openxmlformats.org/officeDocument/2006/customXml" ds:itemID="{111DB712-9FB4-4D86-B673-AD3B8DD88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53d0a-de02-4a17-beb3-b87f5fcb8721"/>
    <ds:schemaRef ds:uri="64ca7199-6fa3-4778-825f-3784da6dc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5B518-CED5-4024-8BD2-B210597A2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12742</Words>
  <Characters>72632</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Heaely, Ann (EHS)</dc:creator>
  <cp:keywords/>
  <dc:description/>
  <cp:lastModifiedBy>Luca, Joseph (EHS)</cp:lastModifiedBy>
  <cp:revision>2</cp:revision>
  <cp:lastPrinted>2023-10-19T14:15:00Z</cp:lastPrinted>
  <dcterms:created xsi:type="dcterms:W3CDTF">2023-10-19T17:07:00Z</dcterms:created>
  <dcterms:modified xsi:type="dcterms:W3CDTF">2023-10-19T17:07:00Z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0x010100A0C398BABB7ECD4DA58FAB1146B988AB</vt:lpwstr>
  </property>
  <property fmtid="{D5CDD505-2E9C-101B-9397-08002B2CF9AE}" pid="3" name="Order">
    <vt:r8>221800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18cee02902edb093da828f1845cdf0bfbe2490a09cc24be9b6fe57ad0892ec32</vt:lpwstr>
  </property>
</Properties>
</file>