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5F99F" w14:textId="77777777" w:rsidR="001E50CF" w:rsidRPr="00885AE7" w:rsidRDefault="001E50CF" w:rsidP="00C309C8">
      <w:pPr>
        <w:jc w:val="right"/>
        <w:rPr>
          <w:rFonts w:cs="Calibri"/>
          <w:b/>
        </w:rPr>
      </w:pPr>
    </w:p>
    <w:p w14:paraId="083624DA" w14:textId="77777777" w:rsidR="001E50CF" w:rsidRPr="00821C14" w:rsidRDefault="001E50CF" w:rsidP="00505009">
      <w:pPr>
        <w:rPr>
          <w:rFonts w:cs="Calibri"/>
        </w:rPr>
      </w:pPr>
    </w:p>
    <w:p w14:paraId="20307BBD" w14:textId="77777777" w:rsidR="001E50CF" w:rsidRPr="00821C14" w:rsidRDefault="001E50CF" w:rsidP="00505009">
      <w:pPr>
        <w:rPr>
          <w:rFonts w:cs="Calibri"/>
        </w:rPr>
      </w:pPr>
    </w:p>
    <w:p w14:paraId="7F07D281" w14:textId="77777777" w:rsidR="0097050A" w:rsidRDefault="0097050A" w:rsidP="0097050A">
      <w:pPr>
        <w:jc w:val="center"/>
        <w:rPr>
          <w:rFonts w:cs="Calibri"/>
          <w:b/>
          <w:color w:val="4F81BD"/>
          <w:sz w:val="36"/>
          <w:szCs w:val="36"/>
        </w:rPr>
      </w:pPr>
    </w:p>
    <w:p w14:paraId="6A239EB0" w14:textId="77777777" w:rsidR="0097050A" w:rsidRDefault="0097050A" w:rsidP="0097050A">
      <w:pPr>
        <w:jc w:val="center"/>
        <w:rPr>
          <w:rFonts w:cs="Calibri"/>
          <w:b/>
          <w:color w:val="4F81BD"/>
          <w:sz w:val="36"/>
          <w:szCs w:val="36"/>
        </w:rPr>
      </w:pPr>
    </w:p>
    <w:p w14:paraId="738BC1A4" w14:textId="77777777" w:rsidR="0097050A" w:rsidRDefault="0097050A" w:rsidP="0097050A">
      <w:pPr>
        <w:jc w:val="center"/>
        <w:rPr>
          <w:rFonts w:cs="Calibri"/>
          <w:b/>
          <w:color w:val="4F81BD"/>
          <w:sz w:val="36"/>
          <w:szCs w:val="36"/>
        </w:rPr>
      </w:pPr>
      <w:bookmarkStart w:id="0" w:name="_GoBack"/>
      <w:bookmarkEnd w:id="0"/>
    </w:p>
    <w:p w14:paraId="5390AC82" w14:textId="77777777" w:rsidR="0097050A" w:rsidRDefault="0097050A" w:rsidP="0097050A">
      <w:pPr>
        <w:jc w:val="center"/>
        <w:rPr>
          <w:rFonts w:cs="Calibri"/>
          <w:b/>
          <w:color w:val="4F81BD"/>
          <w:sz w:val="36"/>
          <w:szCs w:val="36"/>
        </w:rPr>
      </w:pPr>
    </w:p>
    <w:p w14:paraId="7036E1D9" w14:textId="77777777" w:rsidR="0097050A" w:rsidRDefault="0097050A" w:rsidP="0097050A">
      <w:pPr>
        <w:jc w:val="center"/>
        <w:rPr>
          <w:rFonts w:cs="Calibri"/>
          <w:b/>
          <w:color w:val="4F81BD"/>
          <w:sz w:val="36"/>
          <w:szCs w:val="36"/>
        </w:rPr>
      </w:pPr>
    </w:p>
    <w:p w14:paraId="04832DE2" w14:textId="77777777" w:rsidR="0097050A" w:rsidRDefault="0097050A" w:rsidP="0097050A">
      <w:pPr>
        <w:jc w:val="center"/>
        <w:rPr>
          <w:rFonts w:cs="Calibri"/>
          <w:b/>
          <w:color w:val="4F81BD"/>
          <w:sz w:val="36"/>
          <w:szCs w:val="36"/>
        </w:rPr>
      </w:pPr>
    </w:p>
    <w:p w14:paraId="3783E7E1" w14:textId="77777777" w:rsidR="0097050A" w:rsidRDefault="0097050A" w:rsidP="0097050A">
      <w:pPr>
        <w:jc w:val="center"/>
        <w:rPr>
          <w:rFonts w:cs="Calibri"/>
          <w:b/>
          <w:color w:val="4F81BD"/>
          <w:sz w:val="36"/>
          <w:szCs w:val="36"/>
        </w:rPr>
      </w:pPr>
      <w:r>
        <w:rPr>
          <w:rFonts w:cs="Calibri"/>
          <w:b/>
          <w:color w:val="4F81BD"/>
          <w:sz w:val="36"/>
          <w:szCs w:val="36"/>
        </w:rPr>
        <w:t>Ma</w:t>
      </w:r>
      <w:r w:rsidRPr="00821C14">
        <w:rPr>
          <w:rFonts w:cs="Calibri"/>
          <w:b/>
          <w:color w:val="4F81BD"/>
          <w:sz w:val="36"/>
          <w:szCs w:val="36"/>
        </w:rPr>
        <w:t xml:space="preserve">ssHealth </w:t>
      </w:r>
      <w:r>
        <w:rPr>
          <w:rFonts w:cs="Calibri"/>
          <w:b/>
          <w:color w:val="4F81BD"/>
          <w:sz w:val="36"/>
          <w:szCs w:val="36"/>
        </w:rPr>
        <w:t xml:space="preserve">Comprehensive </w:t>
      </w:r>
      <w:r w:rsidRPr="00821C14">
        <w:rPr>
          <w:rFonts w:cs="Calibri"/>
          <w:b/>
          <w:color w:val="4F81BD"/>
          <w:sz w:val="36"/>
          <w:szCs w:val="36"/>
        </w:rPr>
        <w:t>Quality Strategy</w:t>
      </w:r>
    </w:p>
    <w:p w14:paraId="371C1B04" w14:textId="7D6EAB8C" w:rsidR="0097050A" w:rsidRDefault="00A12E78" w:rsidP="0097050A">
      <w:pPr>
        <w:jc w:val="center"/>
        <w:rPr>
          <w:rFonts w:cs="Calibri"/>
          <w:b/>
          <w:color w:val="4F81BD"/>
          <w:sz w:val="36"/>
          <w:szCs w:val="36"/>
        </w:rPr>
      </w:pPr>
      <w:r>
        <w:rPr>
          <w:rFonts w:cs="Calibri"/>
          <w:b/>
          <w:color w:val="4F81BD"/>
          <w:sz w:val="36"/>
          <w:szCs w:val="36"/>
        </w:rPr>
        <w:t>November</w:t>
      </w:r>
      <w:r w:rsidR="0097050A">
        <w:rPr>
          <w:rFonts w:cs="Calibri"/>
          <w:b/>
          <w:color w:val="4F81BD"/>
          <w:sz w:val="36"/>
          <w:szCs w:val="36"/>
        </w:rPr>
        <w:t xml:space="preserve"> 2018</w:t>
      </w:r>
    </w:p>
    <w:p w14:paraId="4C452931" w14:textId="77777777" w:rsidR="0097050A" w:rsidRPr="00821C14" w:rsidRDefault="0097050A" w:rsidP="0097050A">
      <w:pPr>
        <w:jc w:val="center"/>
        <w:rPr>
          <w:rFonts w:cs="Calibri"/>
        </w:rPr>
      </w:pPr>
    </w:p>
    <w:p w14:paraId="144A143F" w14:textId="77777777" w:rsidR="0097050A" w:rsidRPr="00821C14" w:rsidRDefault="0097050A" w:rsidP="0097050A">
      <w:pPr>
        <w:jc w:val="center"/>
        <w:rPr>
          <w:rFonts w:cs="Calibri"/>
        </w:rPr>
      </w:pPr>
    </w:p>
    <w:p w14:paraId="78F76763" w14:textId="77777777" w:rsidR="0097050A" w:rsidRPr="00821C14" w:rsidRDefault="0097050A" w:rsidP="0097050A">
      <w:pPr>
        <w:jc w:val="center"/>
        <w:rPr>
          <w:rFonts w:cs="Calibri"/>
        </w:rPr>
      </w:pPr>
    </w:p>
    <w:p w14:paraId="46462B23" w14:textId="77777777" w:rsidR="0097050A" w:rsidRPr="00821C14" w:rsidRDefault="0097050A" w:rsidP="0097050A">
      <w:pPr>
        <w:jc w:val="center"/>
        <w:rPr>
          <w:rFonts w:cs="Calibri"/>
        </w:rPr>
      </w:pPr>
    </w:p>
    <w:p w14:paraId="0CF1C665" w14:textId="77777777" w:rsidR="0097050A" w:rsidRPr="00821C14" w:rsidRDefault="0097050A" w:rsidP="0097050A">
      <w:pPr>
        <w:jc w:val="center"/>
        <w:rPr>
          <w:rFonts w:cs="Calibri"/>
        </w:rPr>
      </w:pPr>
    </w:p>
    <w:p w14:paraId="3254BAA7" w14:textId="77777777" w:rsidR="0097050A" w:rsidRPr="00821C14" w:rsidRDefault="0097050A" w:rsidP="0097050A">
      <w:pPr>
        <w:jc w:val="right"/>
        <w:rPr>
          <w:rFonts w:cs="Calibri"/>
        </w:rPr>
      </w:pPr>
    </w:p>
    <w:p w14:paraId="778967B7" w14:textId="77777777" w:rsidR="0097050A" w:rsidRPr="00821C14" w:rsidRDefault="0097050A" w:rsidP="0097050A">
      <w:pPr>
        <w:rPr>
          <w:rFonts w:cs="Calibri"/>
        </w:rPr>
        <w:sectPr w:rsidR="0097050A" w:rsidRPr="00821C14" w:rsidSect="004E5A4A">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14:paraId="6D5CC985" w14:textId="77777777" w:rsidR="0097050A" w:rsidRPr="00821C14" w:rsidRDefault="0097050A" w:rsidP="00A06E51">
      <w:pPr>
        <w:pStyle w:val="TOCHeading"/>
        <w:numPr>
          <w:ilvl w:val="0"/>
          <w:numId w:val="0"/>
        </w:numPr>
      </w:pPr>
      <w:bookmarkStart w:id="1" w:name="_Ref523400825"/>
      <w:r w:rsidRPr="00821C14">
        <w:lastRenderedPageBreak/>
        <w:t>Table of Contents</w:t>
      </w:r>
      <w:bookmarkEnd w:id="1"/>
    </w:p>
    <w:p w14:paraId="415C3C4C" w14:textId="77777777" w:rsidR="00A12E78" w:rsidRDefault="0097050A">
      <w:pPr>
        <w:pStyle w:val="TOC1"/>
        <w:tabs>
          <w:tab w:val="right" w:leader="dot" w:pos="9350"/>
        </w:tabs>
        <w:rPr>
          <w:rFonts w:asciiTheme="minorHAnsi" w:eastAsiaTheme="minorEastAsia" w:hAnsiTheme="minorHAnsi" w:cstheme="minorBidi"/>
          <w:noProof/>
        </w:rPr>
      </w:pPr>
      <w:r w:rsidRPr="00821C14">
        <w:rPr>
          <w:rFonts w:cs="Calibri"/>
        </w:rPr>
        <w:fldChar w:fldCharType="begin"/>
      </w:r>
      <w:r w:rsidRPr="00821C14">
        <w:rPr>
          <w:rFonts w:cs="Calibri"/>
        </w:rPr>
        <w:instrText xml:space="preserve"> TOC \o "1-3" \h \z \u </w:instrText>
      </w:r>
      <w:r w:rsidRPr="00821C14">
        <w:rPr>
          <w:rFonts w:cs="Calibri"/>
        </w:rPr>
        <w:fldChar w:fldCharType="separate"/>
      </w:r>
      <w:hyperlink w:anchor="_Toc529177860" w:history="1">
        <w:r w:rsidR="00A12E78" w:rsidRPr="0075444B">
          <w:rPr>
            <w:rStyle w:val="Hyperlink"/>
            <w:noProof/>
          </w:rPr>
          <w:t>Section 1. Introduction</w:t>
        </w:r>
        <w:r w:rsidR="00A12E78">
          <w:rPr>
            <w:noProof/>
            <w:webHidden/>
          </w:rPr>
          <w:tab/>
        </w:r>
        <w:r w:rsidR="00A12E78">
          <w:rPr>
            <w:noProof/>
            <w:webHidden/>
          </w:rPr>
          <w:fldChar w:fldCharType="begin"/>
        </w:r>
        <w:r w:rsidR="00A12E78">
          <w:rPr>
            <w:noProof/>
            <w:webHidden/>
          </w:rPr>
          <w:instrText xml:space="preserve"> PAGEREF _Toc529177860 \h </w:instrText>
        </w:r>
        <w:r w:rsidR="00A12E78">
          <w:rPr>
            <w:noProof/>
            <w:webHidden/>
          </w:rPr>
        </w:r>
        <w:r w:rsidR="00A12E78">
          <w:rPr>
            <w:noProof/>
            <w:webHidden/>
          </w:rPr>
          <w:fldChar w:fldCharType="separate"/>
        </w:r>
        <w:r w:rsidR="00207DB8">
          <w:rPr>
            <w:noProof/>
            <w:webHidden/>
          </w:rPr>
          <w:t>1</w:t>
        </w:r>
        <w:r w:rsidR="00A12E78">
          <w:rPr>
            <w:noProof/>
            <w:webHidden/>
          </w:rPr>
          <w:fldChar w:fldCharType="end"/>
        </w:r>
      </w:hyperlink>
    </w:p>
    <w:p w14:paraId="0A820AF3" w14:textId="77777777" w:rsidR="00A12E78" w:rsidRDefault="00207DB8">
      <w:pPr>
        <w:pStyle w:val="TOC1"/>
        <w:tabs>
          <w:tab w:val="right" w:leader="dot" w:pos="9350"/>
        </w:tabs>
        <w:rPr>
          <w:rFonts w:asciiTheme="minorHAnsi" w:eastAsiaTheme="minorEastAsia" w:hAnsiTheme="minorHAnsi" w:cstheme="minorBidi"/>
          <w:noProof/>
        </w:rPr>
      </w:pPr>
      <w:hyperlink w:anchor="_Toc529177861" w:history="1">
        <w:r w:rsidR="00A12E78" w:rsidRPr="0075444B">
          <w:rPr>
            <w:rStyle w:val="Hyperlink"/>
            <w:noProof/>
          </w:rPr>
          <w:t>Section 2. MassHealth Program Background</w:t>
        </w:r>
        <w:r w:rsidR="00A12E78">
          <w:rPr>
            <w:noProof/>
            <w:webHidden/>
          </w:rPr>
          <w:tab/>
        </w:r>
        <w:r w:rsidR="00A12E78">
          <w:rPr>
            <w:noProof/>
            <w:webHidden/>
          </w:rPr>
          <w:fldChar w:fldCharType="begin"/>
        </w:r>
        <w:r w:rsidR="00A12E78">
          <w:rPr>
            <w:noProof/>
            <w:webHidden/>
          </w:rPr>
          <w:instrText xml:space="preserve"> PAGEREF _Toc529177861 \h </w:instrText>
        </w:r>
        <w:r w:rsidR="00A12E78">
          <w:rPr>
            <w:noProof/>
            <w:webHidden/>
          </w:rPr>
        </w:r>
        <w:r w:rsidR="00A12E78">
          <w:rPr>
            <w:noProof/>
            <w:webHidden/>
          </w:rPr>
          <w:fldChar w:fldCharType="separate"/>
        </w:r>
        <w:r>
          <w:rPr>
            <w:noProof/>
            <w:webHidden/>
          </w:rPr>
          <w:t>1</w:t>
        </w:r>
        <w:r w:rsidR="00A12E78">
          <w:rPr>
            <w:noProof/>
            <w:webHidden/>
          </w:rPr>
          <w:fldChar w:fldCharType="end"/>
        </w:r>
      </w:hyperlink>
    </w:p>
    <w:p w14:paraId="39EACFDD" w14:textId="77777777" w:rsidR="00A12E78" w:rsidRDefault="00207DB8">
      <w:pPr>
        <w:pStyle w:val="TOC2"/>
        <w:rPr>
          <w:rFonts w:asciiTheme="minorHAnsi" w:eastAsiaTheme="minorEastAsia" w:hAnsiTheme="minorHAnsi" w:cstheme="minorBidi"/>
          <w:noProof/>
        </w:rPr>
      </w:pPr>
      <w:hyperlink w:anchor="_Toc529177862" w:history="1">
        <w:r w:rsidR="00A12E78" w:rsidRPr="0075444B">
          <w:rPr>
            <w:rStyle w:val="Hyperlink"/>
            <w:noProof/>
            <w14:scene3d>
              <w14:camera w14:prst="orthographicFront"/>
              <w14:lightRig w14:rig="threePt" w14:dir="t">
                <w14:rot w14:lat="0" w14:lon="0" w14:rev="0"/>
              </w14:lightRig>
            </w14:scene3d>
          </w:rPr>
          <w:t>Section 2.1</w:t>
        </w:r>
        <w:r w:rsidR="00A12E78" w:rsidRPr="0075444B">
          <w:rPr>
            <w:rStyle w:val="Hyperlink"/>
            <w:noProof/>
          </w:rPr>
          <w:t xml:space="preserve"> Overview</w:t>
        </w:r>
        <w:r w:rsidR="00A12E78">
          <w:rPr>
            <w:noProof/>
            <w:webHidden/>
          </w:rPr>
          <w:tab/>
        </w:r>
        <w:r w:rsidR="00A12E78">
          <w:rPr>
            <w:noProof/>
            <w:webHidden/>
          </w:rPr>
          <w:fldChar w:fldCharType="begin"/>
        </w:r>
        <w:r w:rsidR="00A12E78">
          <w:rPr>
            <w:noProof/>
            <w:webHidden/>
          </w:rPr>
          <w:instrText xml:space="preserve"> PAGEREF _Toc529177862 \h </w:instrText>
        </w:r>
        <w:r w:rsidR="00A12E78">
          <w:rPr>
            <w:noProof/>
            <w:webHidden/>
          </w:rPr>
        </w:r>
        <w:r w:rsidR="00A12E78">
          <w:rPr>
            <w:noProof/>
            <w:webHidden/>
          </w:rPr>
          <w:fldChar w:fldCharType="separate"/>
        </w:r>
        <w:r>
          <w:rPr>
            <w:noProof/>
            <w:webHidden/>
          </w:rPr>
          <w:t>1</w:t>
        </w:r>
        <w:r w:rsidR="00A12E78">
          <w:rPr>
            <w:noProof/>
            <w:webHidden/>
          </w:rPr>
          <w:fldChar w:fldCharType="end"/>
        </w:r>
      </w:hyperlink>
    </w:p>
    <w:p w14:paraId="003524FC" w14:textId="77777777" w:rsidR="00A12E78" w:rsidRDefault="00207DB8">
      <w:pPr>
        <w:pStyle w:val="TOC2"/>
        <w:rPr>
          <w:rFonts w:asciiTheme="minorHAnsi" w:eastAsiaTheme="minorEastAsia" w:hAnsiTheme="minorHAnsi" w:cstheme="minorBidi"/>
          <w:noProof/>
        </w:rPr>
      </w:pPr>
      <w:hyperlink w:anchor="_Toc529177863" w:history="1">
        <w:r w:rsidR="00A12E78" w:rsidRPr="0075444B">
          <w:rPr>
            <w:rStyle w:val="Hyperlink"/>
            <w:noProof/>
            <w14:scene3d>
              <w14:camera w14:prst="orthographicFront"/>
              <w14:lightRig w14:rig="threePt" w14:dir="t">
                <w14:rot w14:lat="0" w14:lon="0" w14:rev="0"/>
              </w14:lightRig>
            </w14:scene3d>
          </w:rPr>
          <w:t>Section 2.2</w:t>
        </w:r>
        <w:r w:rsidR="00A12E78" w:rsidRPr="0075444B">
          <w:rPr>
            <w:rStyle w:val="Hyperlink"/>
            <w:noProof/>
          </w:rPr>
          <w:t xml:space="preserve"> MassHealth Strategic Goals and Objectives</w:t>
        </w:r>
        <w:r w:rsidR="00A12E78">
          <w:rPr>
            <w:noProof/>
            <w:webHidden/>
          </w:rPr>
          <w:tab/>
        </w:r>
        <w:r w:rsidR="00A12E78">
          <w:rPr>
            <w:noProof/>
            <w:webHidden/>
          </w:rPr>
          <w:fldChar w:fldCharType="begin"/>
        </w:r>
        <w:r w:rsidR="00A12E78">
          <w:rPr>
            <w:noProof/>
            <w:webHidden/>
          </w:rPr>
          <w:instrText xml:space="preserve"> PAGEREF _Toc529177863 \h </w:instrText>
        </w:r>
        <w:r w:rsidR="00A12E78">
          <w:rPr>
            <w:noProof/>
            <w:webHidden/>
          </w:rPr>
        </w:r>
        <w:r w:rsidR="00A12E78">
          <w:rPr>
            <w:noProof/>
            <w:webHidden/>
          </w:rPr>
          <w:fldChar w:fldCharType="separate"/>
        </w:r>
        <w:r>
          <w:rPr>
            <w:noProof/>
            <w:webHidden/>
          </w:rPr>
          <w:t>2</w:t>
        </w:r>
        <w:r w:rsidR="00A12E78">
          <w:rPr>
            <w:noProof/>
            <w:webHidden/>
          </w:rPr>
          <w:fldChar w:fldCharType="end"/>
        </w:r>
      </w:hyperlink>
    </w:p>
    <w:p w14:paraId="11D886E8" w14:textId="77777777" w:rsidR="00A12E78" w:rsidRDefault="00207DB8">
      <w:pPr>
        <w:pStyle w:val="TOC2"/>
        <w:rPr>
          <w:rFonts w:asciiTheme="minorHAnsi" w:eastAsiaTheme="minorEastAsia" w:hAnsiTheme="minorHAnsi" w:cstheme="minorBidi"/>
          <w:noProof/>
        </w:rPr>
      </w:pPr>
      <w:hyperlink w:anchor="_Toc529177864" w:history="1">
        <w:r w:rsidR="00A12E78" w:rsidRPr="0075444B">
          <w:rPr>
            <w:rStyle w:val="Hyperlink"/>
            <w:noProof/>
            <w14:scene3d>
              <w14:camera w14:prst="orthographicFront"/>
              <w14:lightRig w14:rig="threePt" w14:dir="t">
                <w14:rot w14:lat="0" w14:lon="0" w14:rev="0"/>
              </w14:lightRig>
            </w14:scene3d>
          </w:rPr>
          <w:t>Section 2.3</w:t>
        </w:r>
        <w:r w:rsidR="00A12E78" w:rsidRPr="0075444B">
          <w:rPr>
            <w:rStyle w:val="Hyperlink"/>
            <w:rFonts w:cstheme="minorHAnsi"/>
            <w:noProof/>
          </w:rPr>
          <w:t xml:space="preserve"> MassHealth Managed Care Programs</w:t>
        </w:r>
        <w:r w:rsidR="00A12E78">
          <w:rPr>
            <w:noProof/>
            <w:webHidden/>
          </w:rPr>
          <w:tab/>
        </w:r>
        <w:r w:rsidR="00A12E78">
          <w:rPr>
            <w:noProof/>
            <w:webHidden/>
          </w:rPr>
          <w:fldChar w:fldCharType="begin"/>
        </w:r>
        <w:r w:rsidR="00A12E78">
          <w:rPr>
            <w:noProof/>
            <w:webHidden/>
          </w:rPr>
          <w:instrText xml:space="preserve"> PAGEREF _Toc529177864 \h </w:instrText>
        </w:r>
        <w:r w:rsidR="00A12E78">
          <w:rPr>
            <w:noProof/>
            <w:webHidden/>
          </w:rPr>
        </w:r>
        <w:r w:rsidR="00A12E78">
          <w:rPr>
            <w:noProof/>
            <w:webHidden/>
          </w:rPr>
          <w:fldChar w:fldCharType="separate"/>
        </w:r>
        <w:r>
          <w:rPr>
            <w:noProof/>
            <w:webHidden/>
          </w:rPr>
          <w:t>3</w:t>
        </w:r>
        <w:r w:rsidR="00A12E78">
          <w:rPr>
            <w:noProof/>
            <w:webHidden/>
          </w:rPr>
          <w:fldChar w:fldCharType="end"/>
        </w:r>
      </w:hyperlink>
    </w:p>
    <w:p w14:paraId="5DD670F7" w14:textId="77777777" w:rsidR="00A12E78" w:rsidRDefault="00207DB8">
      <w:pPr>
        <w:pStyle w:val="TOC2"/>
        <w:rPr>
          <w:rFonts w:asciiTheme="minorHAnsi" w:eastAsiaTheme="minorEastAsia" w:hAnsiTheme="minorHAnsi" w:cstheme="minorBidi"/>
          <w:noProof/>
        </w:rPr>
      </w:pPr>
      <w:hyperlink w:anchor="_Toc529177866" w:history="1">
        <w:r w:rsidR="00A12E78" w:rsidRPr="0075444B">
          <w:rPr>
            <w:rStyle w:val="Hyperlink"/>
            <w:noProof/>
            <w14:scene3d>
              <w14:camera w14:prst="orthographicFront"/>
              <w14:lightRig w14:rig="threePt" w14:dir="t">
                <w14:rot w14:lat="0" w14:lon="0" w14:rev="0"/>
              </w14:lightRig>
            </w14:scene3d>
          </w:rPr>
          <w:t>Section 2.4</w:t>
        </w:r>
        <w:r w:rsidR="00A12E78" w:rsidRPr="0075444B">
          <w:rPr>
            <w:rStyle w:val="Hyperlink"/>
            <w:iCs/>
            <w:noProof/>
          </w:rPr>
          <w:t xml:space="preserve"> Fee-For-Service Programs</w:t>
        </w:r>
        <w:r w:rsidR="00A12E78">
          <w:rPr>
            <w:noProof/>
            <w:webHidden/>
          </w:rPr>
          <w:tab/>
        </w:r>
        <w:r w:rsidR="00A12E78">
          <w:rPr>
            <w:noProof/>
            <w:webHidden/>
          </w:rPr>
          <w:fldChar w:fldCharType="begin"/>
        </w:r>
        <w:r w:rsidR="00A12E78">
          <w:rPr>
            <w:noProof/>
            <w:webHidden/>
          </w:rPr>
          <w:instrText xml:space="preserve"> PAGEREF _Toc529177866 \h </w:instrText>
        </w:r>
        <w:r w:rsidR="00A12E78">
          <w:rPr>
            <w:noProof/>
            <w:webHidden/>
          </w:rPr>
        </w:r>
        <w:r w:rsidR="00A12E78">
          <w:rPr>
            <w:noProof/>
            <w:webHidden/>
          </w:rPr>
          <w:fldChar w:fldCharType="separate"/>
        </w:r>
        <w:r>
          <w:rPr>
            <w:noProof/>
            <w:webHidden/>
          </w:rPr>
          <w:t>5</w:t>
        </w:r>
        <w:r w:rsidR="00A12E78">
          <w:rPr>
            <w:noProof/>
            <w:webHidden/>
          </w:rPr>
          <w:fldChar w:fldCharType="end"/>
        </w:r>
      </w:hyperlink>
    </w:p>
    <w:p w14:paraId="727D7BCD" w14:textId="77777777" w:rsidR="00A12E78" w:rsidRDefault="00207DB8">
      <w:pPr>
        <w:pStyle w:val="TOC2"/>
        <w:rPr>
          <w:rFonts w:asciiTheme="minorHAnsi" w:eastAsiaTheme="minorEastAsia" w:hAnsiTheme="minorHAnsi" w:cstheme="minorBidi"/>
          <w:noProof/>
        </w:rPr>
      </w:pPr>
      <w:hyperlink w:anchor="_Toc529177868" w:history="1">
        <w:r w:rsidR="00A12E78" w:rsidRPr="0075444B">
          <w:rPr>
            <w:rStyle w:val="Hyperlink"/>
            <w:noProof/>
            <w14:scene3d>
              <w14:camera w14:prst="orthographicFront"/>
              <w14:lightRig w14:rig="threePt" w14:dir="t">
                <w14:rot w14:lat="0" w14:lon="0" w14:rev="0"/>
              </w14:lightRig>
            </w14:scene3d>
          </w:rPr>
          <w:t>Section 2.5</w:t>
        </w:r>
        <w:r w:rsidR="00A12E78" w:rsidRPr="0075444B">
          <w:rPr>
            <w:rStyle w:val="Hyperlink"/>
            <w:noProof/>
          </w:rPr>
          <w:t xml:space="preserve"> Other MassHealth Programs</w:t>
        </w:r>
        <w:r w:rsidR="00A12E78">
          <w:rPr>
            <w:noProof/>
            <w:webHidden/>
          </w:rPr>
          <w:tab/>
        </w:r>
        <w:r w:rsidR="00A12E78">
          <w:rPr>
            <w:noProof/>
            <w:webHidden/>
          </w:rPr>
          <w:fldChar w:fldCharType="begin"/>
        </w:r>
        <w:r w:rsidR="00A12E78">
          <w:rPr>
            <w:noProof/>
            <w:webHidden/>
          </w:rPr>
          <w:instrText xml:space="preserve"> PAGEREF _Toc529177868 \h </w:instrText>
        </w:r>
        <w:r w:rsidR="00A12E78">
          <w:rPr>
            <w:noProof/>
            <w:webHidden/>
          </w:rPr>
        </w:r>
        <w:r w:rsidR="00A12E78">
          <w:rPr>
            <w:noProof/>
            <w:webHidden/>
          </w:rPr>
          <w:fldChar w:fldCharType="separate"/>
        </w:r>
        <w:r>
          <w:rPr>
            <w:noProof/>
            <w:webHidden/>
          </w:rPr>
          <w:t>6</w:t>
        </w:r>
        <w:r w:rsidR="00A12E78">
          <w:rPr>
            <w:noProof/>
            <w:webHidden/>
          </w:rPr>
          <w:fldChar w:fldCharType="end"/>
        </w:r>
      </w:hyperlink>
    </w:p>
    <w:p w14:paraId="53035F0F" w14:textId="77777777" w:rsidR="00A12E78" w:rsidRDefault="00207DB8">
      <w:pPr>
        <w:pStyle w:val="TOC2"/>
        <w:rPr>
          <w:rFonts w:asciiTheme="minorHAnsi" w:eastAsiaTheme="minorEastAsia" w:hAnsiTheme="minorHAnsi" w:cstheme="minorBidi"/>
          <w:noProof/>
        </w:rPr>
      </w:pPr>
      <w:hyperlink w:anchor="_Toc529177869" w:history="1">
        <w:r w:rsidR="00A12E78" w:rsidRPr="0075444B">
          <w:rPr>
            <w:rStyle w:val="Hyperlink"/>
            <w:noProof/>
            <w14:scene3d>
              <w14:camera w14:prst="orthographicFront"/>
              <w14:lightRig w14:rig="threePt" w14:dir="t">
                <w14:rot w14:lat="0" w14:lon="0" w14:rev="0"/>
              </w14:lightRig>
            </w14:scene3d>
          </w:rPr>
          <w:t>Section 2.6</w:t>
        </w:r>
        <w:r w:rsidR="00A12E78" w:rsidRPr="0075444B">
          <w:rPr>
            <w:rStyle w:val="Hyperlink"/>
            <w:iCs/>
            <w:noProof/>
          </w:rPr>
          <w:t xml:space="preserve"> Strategic Partnerships</w:t>
        </w:r>
        <w:r w:rsidR="00A12E78">
          <w:rPr>
            <w:noProof/>
            <w:webHidden/>
          </w:rPr>
          <w:tab/>
        </w:r>
        <w:r w:rsidR="00A12E78">
          <w:rPr>
            <w:noProof/>
            <w:webHidden/>
          </w:rPr>
          <w:fldChar w:fldCharType="begin"/>
        </w:r>
        <w:r w:rsidR="00A12E78">
          <w:rPr>
            <w:noProof/>
            <w:webHidden/>
          </w:rPr>
          <w:instrText xml:space="preserve"> PAGEREF _Toc529177869 \h </w:instrText>
        </w:r>
        <w:r w:rsidR="00A12E78">
          <w:rPr>
            <w:noProof/>
            <w:webHidden/>
          </w:rPr>
        </w:r>
        <w:r w:rsidR="00A12E78">
          <w:rPr>
            <w:noProof/>
            <w:webHidden/>
          </w:rPr>
          <w:fldChar w:fldCharType="separate"/>
        </w:r>
        <w:r>
          <w:rPr>
            <w:noProof/>
            <w:webHidden/>
          </w:rPr>
          <w:t>6</w:t>
        </w:r>
        <w:r w:rsidR="00A12E78">
          <w:rPr>
            <w:noProof/>
            <w:webHidden/>
          </w:rPr>
          <w:fldChar w:fldCharType="end"/>
        </w:r>
      </w:hyperlink>
    </w:p>
    <w:p w14:paraId="43629864" w14:textId="77777777" w:rsidR="00A12E78" w:rsidRDefault="00207DB8">
      <w:pPr>
        <w:pStyle w:val="TOC1"/>
        <w:tabs>
          <w:tab w:val="right" w:leader="dot" w:pos="9350"/>
        </w:tabs>
        <w:rPr>
          <w:rFonts w:asciiTheme="minorHAnsi" w:eastAsiaTheme="minorEastAsia" w:hAnsiTheme="minorHAnsi" w:cstheme="minorBidi"/>
          <w:noProof/>
        </w:rPr>
      </w:pPr>
      <w:hyperlink w:anchor="_Toc529177870" w:history="1">
        <w:r w:rsidR="00A12E78" w:rsidRPr="0075444B">
          <w:rPr>
            <w:rStyle w:val="Hyperlink"/>
            <w:noProof/>
          </w:rPr>
          <w:t>Section 3. Quality Management at MassHealth</w:t>
        </w:r>
        <w:r w:rsidR="00A12E78">
          <w:rPr>
            <w:noProof/>
            <w:webHidden/>
          </w:rPr>
          <w:tab/>
        </w:r>
        <w:r w:rsidR="00A12E78">
          <w:rPr>
            <w:noProof/>
            <w:webHidden/>
          </w:rPr>
          <w:fldChar w:fldCharType="begin"/>
        </w:r>
        <w:r w:rsidR="00A12E78">
          <w:rPr>
            <w:noProof/>
            <w:webHidden/>
          </w:rPr>
          <w:instrText xml:space="preserve"> PAGEREF _Toc529177870 \h </w:instrText>
        </w:r>
        <w:r w:rsidR="00A12E78">
          <w:rPr>
            <w:noProof/>
            <w:webHidden/>
          </w:rPr>
        </w:r>
        <w:r w:rsidR="00A12E78">
          <w:rPr>
            <w:noProof/>
            <w:webHidden/>
          </w:rPr>
          <w:fldChar w:fldCharType="separate"/>
        </w:r>
        <w:r>
          <w:rPr>
            <w:noProof/>
            <w:webHidden/>
          </w:rPr>
          <w:t>7</w:t>
        </w:r>
        <w:r w:rsidR="00A12E78">
          <w:rPr>
            <w:noProof/>
            <w:webHidden/>
          </w:rPr>
          <w:fldChar w:fldCharType="end"/>
        </w:r>
      </w:hyperlink>
    </w:p>
    <w:p w14:paraId="387D1B48" w14:textId="77777777" w:rsidR="00A12E78" w:rsidRDefault="00207DB8">
      <w:pPr>
        <w:pStyle w:val="TOC2"/>
        <w:rPr>
          <w:rFonts w:asciiTheme="minorHAnsi" w:eastAsiaTheme="minorEastAsia" w:hAnsiTheme="minorHAnsi" w:cstheme="minorBidi"/>
          <w:noProof/>
        </w:rPr>
      </w:pPr>
      <w:hyperlink w:anchor="_Toc529177871" w:history="1">
        <w:r w:rsidR="00A12E78" w:rsidRPr="0075444B">
          <w:rPr>
            <w:rStyle w:val="Hyperlink"/>
            <w:noProof/>
            <w14:scene3d>
              <w14:camera w14:prst="orthographicFront"/>
              <w14:lightRig w14:rig="threePt" w14:dir="t">
                <w14:rot w14:lat="0" w14:lon="0" w14:rev="0"/>
              </w14:lightRig>
            </w14:scene3d>
          </w:rPr>
          <w:t>Section 3.1</w:t>
        </w:r>
        <w:r w:rsidR="00A12E78" w:rsidRPr="0075444B">
          <w:rPr>
            <w:rStyle w:val="Hyperlink"/>
            <w:noProof/>
          </w:rPr>
          <w:t xml:space="preserve"> Functional Quality Management</w:t>
        </w:r>
        <w:r w:rsidR="00A12E78">
          <w:rPr>
            <w:noProof/>
            <w:webHidden/>
          </w:rPr>
          <w:tab/>
        </w:r>
        <w:r w:rsidR="00A12E78">
          <w:rPr>
            <w:noProof/>
            <w:webHidden/>
          </w:rPr>
          <w:fldChar w:fldCharType="begin"/>
        </w:r>
        <w:r w:rsidR="00A12E78">
          <w:rPr>
            <w:noProof/>
            <w:webHidden/>
          </w:rPr>
          <w:instrText xml:space="preserve"> PAGEREF _Toc529177871 \h </w:instrText>
        </w:r>
        <w:r w:rsidR="00A12E78">
          <w:rPr>
            <w:noProof/>
            <w:webHidden/>
          </w:rPr>
        </w:r>
        <w:r w:rsidR="00A12E78">
          <w:rPr>
            <w:noProof/>
            <w:webHidden/>
          </w:rPr>
          <w:fldChar w:fldCharType="separate"/>
        </w:r>
        <w:r>
          <w:rPr>
            <w:noProof/>
            <w:webHidden/>
          </w:rPr>
          <w:t>7</w:t>
        </w:r>
        <w:r w:rsidR="00A12E78">
          <w:rPr>
            <w:noProof/>
            <w:webHidden/>
          </w:rPr>
          <w:fldChar w:fldCharType="end"/>
        </w:r>
      </w:hyperlink>
    </w:p>
    <w:p w14:paraId="328C62A9" w14:textId="77777777" w:rsidR="00A12E78" w:rsidRDefault="00207DB8">
      <w:pPr>
        <w:pStyle w:val="TOC2"/>
        <w:rPr>
          <w:rFonts w:asciiTheme="minorHAnsi" w:eastAsiaTheme="minorEastAsia" w:hAnsiTheme="minorHAnsi" w:cstheme="minorBidi"/>
          <w:noProof/>
        </w:rPr>
      </w:pPr>
      <w:hyperlink w:anchor="_Toc529177872" w:history="1">
        <w:r w:rsidR="00A12E78" w:rsidRPr="0075444B">
          <w:rPr>
            <w:rStyle w:val="Hyperlink"/>
            <w:noProof/>
            <w14:scene3d>
              <w14:camera w14:prst="orthographicFront"/>
              <w14:lightRig w14:rig="threePt" w14:dir="t">
                <w14:rot w14:lat="0" w14:lon="0" w14:rev="0"/>
              </w14:lightRig>
            </w14:scene3d>
          </w:rPr>
          <w:t>Section 3.2</w:t>
        </w:r>
        <w:r w:rsidR="00A12E78" w:rsidRPr="0075444B">
          <w:rPr>
            <w:rStyle w:val="Hyperlink"/>
            <w:noProof/>
          </w:rPr>
          <w:t xml:space="preserve"> MassHealth Quality Office</w:t>
        </w:r>
        <w:r w:rsidR="00A12E78">
          <w:rPr>
            <w:noProof/>
            <w:webHidden/>
          </w:rPr>
          <w:tab/>
        </w:r>
        <w:r w:rsidR="00A12E78">
          <w:rPr>
            <w:noProof/>
            <w:webHidden/>
          </w:rPr>
          <w:fldChar w:fldCharType="begin"/>
        </w:r>
        <w:r w:rsidR="00A12E78">
          <w:rPr>
            <w:noProof/>
            <w:webHidden/>
          </w:rPr>
          <w:instrText xml:space="preserve"> PAGEREF _Toc529177872 \h </w:instrText>
        </w:r>
        <w:r w:rsidR="00A12E78">
          <w:rPr>
            <w:noProof/>
            <w:webHidden/>
          </w:rPr>
        </w:r>
        <w:r w:rsidR="00A12E78">
          <w:rPr>
            <w:noProof/>
            <w:webHidden/>
          </w:rPr>
          <w:fldChar w:fldCharType="separate"/>
        </w:r>
        <w:r>
          <w:rPr>
            <w:noProof/>
            <w:webHidden/>
          </w:rPr>
          <w:t>8</w:t>
        </w:r>
        <w:r w:rsidR="00A12E78">
          <w:rPr>
            <w:noProof/>
            <w:webHidden/>
          </w:rPr>
          <w:fldChar w:fldCharType="end"/>
        </w:r>
      </w:hyperlink>
    </w:p>
    <w:p w14:paraId="4EB1CE80" w14:textId="77777777" w:rsidR="00A12E78" w:rsidRDefault="00207DB8">
      <w:pPr>
        <w:pStyle w:val="TOC2"/>
        <w:rPr>
          <w:rFonts w:asciiTheme="minorHAnsi" w:eastAsiaTheme="minorEastAsia" w:hAnsiTheme="minorHAnsi" w:cstheme="minorBidi"/>
          <w:noProof/>
        </w:rPr>
      </w:pPr>
      <w:hyperlink w:anchor="_Toc529177873" w:history="1">
        <w:r w:rsidR="00A12E78" w:rsidRPr="0075444B">
          <w:rPr>
            <w:rStyle w:val="Hyperlink"/>
            <w:noProof/>
            <w14:scene3d>
              <w14:camera w14:prst="orthographicFront"/>
              <w14:lightRig w14:rig="threePt" w14:dir="t">
                <w14:rot w14:lat="0" w14:lon="0" w14:rev="0"/>
              </w14:lightRig>
            </w14:scene3d>
          </w:rPr>
          <w:t>Section 3.3</w:t>
        </w:r>
        <w:r w:rsidR="00A12E78" w:rsidRPr="0075444B">
          <w:rPr>
            <w:rStyle w:val="Hyperlink"/>
            <w:noProof/>
          </w:rPr>
          <w:t xml:space="preserve"> MassHealth Quality Committee</w:t>
        </w:r>
        <w:r w:rsidR="00A12E78">
          <w:rPr>
            <w:noProof/>
            <w:webHidden/>
          </w:rPr>
          <w:tab/>
        </w:r>
        <w:r w:rsidR="00A12E78">
          <w:rPr>
            <w:noProof/>
            <w:webHidden/>
          </w:rPr>
          <w:fldChar w:fldCharType="begin"/>
        </w:r>
        <w:r w:rsidR="00A12E78">
          <w:rPr>
            <w:noProof/>
            <w:webHidden/>
          </w:rPr>
          <w:instrText xml:space="preserve"> PAGEREF _Toc529177873 \h </w:instrText>
        </w:r>
        <w:r w:rsidR="00A12E78">
          <w:rPr>
            <w:noProof/>
            <w:webHidden/>
          </w:rPr>
        </w:r>
        <w:r w:rsidR="00A12E78">
          <w:rPr>
            <w:noProof/>
            <w:webHidden/>
          </w:rPr>
          <w:fldChar w:fldCharType="separate"/>
        </w:r>
        <w:r>
          <w:rPr>
            <w:noProof/>
            <w:webHidden/>
          </w:rPr>
          <w:t>9</w:t>
        </w:r>
        <w:r w:rsidR="00A12E78">
          <w:rPr>
            <w:noProof/>
            <w:webHidden/>
          </w:rPr>
          <w:fldChar w:fldCharType="end"/>
        </w:r>
      </w:hyperlink>
    </w:p>
    <w:p w14:paraId="164BEDED" w14:textId="77777777" w:rsidR="00A12E78" w:rsidRDefault="00207DB8">
      <w:pPr>
        <w:pStyle w:val="TOC2"/>
        <w:rPr>
          <w:rFonts w:asciiTheme="minorHAnsi" w:eastAsiaTheme="minorEastAsia" w:hAnsiTheme="minorHAnsi" w:cstheme="minorBidi"/>
          <w:noProof/>
        </w:rPr>
      </w:pPr>
      <w:hyperlink w:anchor="_Toc529177874" w:history="1">
        <w:r w:rsidR="00A12E78" w:rsidRPr="0075444B">
          <w:rPr>
            <w:rStyle w:val="Hyperlink"/>
            <w:noProof/>
            <w14:scene3d>
              <w14:camera w14:prst="orthographicFront"/>
              <w14:lightRig w14:rig="threePt" w14:dir="t">
                <w14:rot w14:lat="0" w14:lon="0" w14:rev="0"/>
              </w14:lightRig>
            </w14:scene3d>
          </w:rPr>
          <w:t>Section 3.4</w:t>
        </w:r>
        <w:r w:rsidR="00A12E78" w:rsidRPr="0075444B">
          <w:rPr>
            <w:rStyle w:val="Hyperlink"/>
            <w:noProof/>
          </w:rPr>
          <w:t xml:space="preserve"> Quality Steering Committee</w:t>
        </w:r>
        <w:r w:rsidR="00A12E78">
          <w:rPr>
            <w:noProof/>
            <w:webHidden/>
          </w:rPr>
          <w:tab/>
        </w:r>
        <w:r w:rsidR="00A12E78">
          <w:rPr>
            <w:noProof/>
            <w:webHidden/>
          </w:rPr>
          <w:fldChar w:fldCharType="begin"/>
        </w:r>
        <w:r w:rsidR="00A12E78">
          <w:rPr>
            <w:noProof/>
            <w:webHidden/>
          </w:rPr>
          <w:instrText xml:space="preserve"> PAGEREF _Toc529177874 \h </w:instrText>
        </w:r>
        <w:r w:rsidR="00A12E78">
          <w:rPr>
            <w:noProof/>
            <w:webHidden/>
          </w:rPr>
        </w:r>
        <w:r w:rsidR="00A12E78">
          <w:rPr>
            <w:noProof/>
            <w:webHidden/>
          </w:rPr>
          <w:fldChar w:fldCharType="separate"/>
        </w:r>
        <w:r>
          <w:rPr>
            <w:noProof/>
            <w:webHidden/>
          </w:rPr>
          <w:t>10</w:t>
        </w:r>
        <w:r w:rsidR="00A12E78">
          <w:rPr>
            <w:noProof/>
            <w:webHidden/>
          </w:rPr>
          <w:fldChar w:fldCharType="end"/>
        </w:r>
      </w:hyperlink>
    </w:p>
    <w:p w14:paraId="79F36660" w14:textId="77777777" w:rsidR="00A12E78" w:rsidRDefault="00207DB8">
      <w:pPr>
        <w:pStyle w:val="TOC2"/>
        <w:rPr>
          <w:rFonts w:asciiTheme="minorHAnsi" w:eastAsiaTheme="minorEastAsia" w:hAnsiTheme="minorHAnsi" w:cstheme="minorBidi"/>
          <w:noProof/>
        </w:rPr>
      </w:pPr>
      <w:hyperlink w:anchor="_Toc529177875" w:history="1">
        <w:r w:rsidR="00A12E78" w:rsidRPr="0075444B">
          <w:rPr>
            <w:rStyle w:val="Hyperlink"/>
            <w:noProof/>
            <w14:scene3d>
              <w14:camera w14:prst="orthographicFront"/>
              <w14:lightRig w14:rig="threePt" w14:dir="t">
                <w14:rot w14:lat="0" w14:lon="0" w14:rev="0"/>
              </w14:lightRig>
            </w14:scene3d>
          </w:rPr>
          <w:t>Section 3.5</w:t>
        </w:r>
        <w:r w:rsidR="00A12E78" w:rsidRPr="0075444B">
          <w:rPr>
            <w:rStyle w:val="Hyperlink"/>
            <w:rFonts w:cs="Calibri"/>
            <w:noProof/>
          </w:rPr>
          <w:t xml:space="preserve"> Quality Strategy Development Process</w:t>
        </w:r>
        <w:r w:rsidR="00A12E78">
          <w:rPr>
            <w:noProof/>
            <w:webHidden/>
          </w:rPr>
          <w:tab/>
        </w:r>
        <w:r w:rsidR="00A12E78">
          <w:rPr>
            <w:noProof/>
            <w:webHidden/>
          </w:rPr>
          <w:fldChar w:fldCharType="begin"/>
        </w:r>
        <w:r w:rsidR="00A12E78">
          <w:rPr>
            <w:noProof/>
            <w:webHidden/>
          </w:rPr>
          <w:instrText xml:space="preserve"> PAGEREF _Toc529177875 \h </w:instrText>
        </w:r>
        <w:r w:rsidR="00A12E78">
          <w:rPr>
            <w:noProof/>
            <w:webHidden/>
          </w:rPr>
        </w:r>
        <w:r w:rsidR="00A12E78">
          <w:rPr>
            <w:noProof/>
            <w:webHidden/>
          </w:rPr>
          <w:fldChar w:fldCharType="separate"/>
        </w:r>
        <w:r>
          <w:rPr>
            <w:noProof/>
            <w:webHidden/>
          </w:rPr>
          <w:t>10</w:t>
        </w:r>
        <w:r w:rsidR="00A12E78">
          <w:rPr>
            <w:noProof/>
            <w:webHidden/>
          </w:rPr>
          <w:fldChar w:fldCharType="end"/>
        </w:r>
      </w:hyperlink>
    </w:p>
    <w:p w14:paraId="09AB6372" w14:textId="77777777" w:rsidR="00A12E78" w:rsidRDefault="00207DB8">
      <w:pPr>
        <w:pStyle w:val="TOC2"/>
        <w:rPr>
          <w:rFonts w:asciiTheme="minorHAnsi" w:eastAsiaTheme="minorEastAsia" w:hAnsiTheme="minorHAnsi" w:cstheme="minorBidi"/>
          <w:noProof/>
        </w:rPr>
      </w:pPr>
      <w:hyperlink w:anchor="_Toc529177876" w:history="1">
        <w:r w:rsidR="00A12E78" w:rsidRPr="0075444B">
          <w:rPr>
            <w:rStyle w:val="Hyperlink"/>
            <w:noProof/>
            <w14:scene3d>
              <w14:camera w14:prst="orthographicFront"/>
              <w14:lightRig w14:rig="threePt" w14:dir="t">
                <w14:rot w14:lat="0" w14:lon="0" w14:rev="0"/>
              </w14:lightRig>
            </w14:scene3d>
          </w:rPr>
          <w:t>Section 3.6</w:t>
        </w:r>
        <w:r w:rsidR="00A12E78" w:rsidRPr="0075444B">
          <w:rPr>
            <w:rStyle w:val="Hyperlink"/>
            <w:noProof/>
          </w:rPr>
          <w:t xml:space="preserve"> External Stakeholder Engagement</w:t>
        </w:r>
        <w:r w:rsidR="00A12E78">
          <w:rPr>
            <w:noProof/>
            <w:webHidden/>
          </w:rPr>
          <w:tab/>
        </w:r>
        <w:r w:rsidR="00A12E78">
          <w:rPr>
            <w:noProof/>
            <w:webHidden/>
          </w:rPr>
          <w:fldChar w:fldCharType="begin"/>
        </w:r>
        <w:r w:rsidR="00A12E78">
          <w:rPr>
            <w:noProof/>
            <w:webHidden/>
          </w:rPr>
          <w:instrText xml:space="preserve"> PAGEREF _Toc529177876 \h </w:instrText>
        </w:r>
        <w:r w:rsidR="00A12E78">
          <w:rPr>
            <w:noProof/>
            <w:webHidden/>
          </w:rPr>
        </w:r>
        <w:r w:rsidR="00A12E78">
          <w:rPr>
            <w:noProof/>
            <w:webHidden/>
          </w:rPr>
          <w:fldChar w:fldCharType="separate"/>
        </w:r>
        <w:r>
          <w:rPr>
            <w:noProof/>
            <w:webHidden/>
          </w:rPr>
          <w:t>10</w:t>
        </w:r>
        <w:r w:rsidR="00A12E78">
          <w:rPr>
            <w:noProof/>
            <w:webHidden/>
          </w:rPr>
          <w:fldChar w:fldCharType="end"/>
        </w:r>
      </w:hyperlink>
    </w:p>
    <w:p w14:paraId="0F12B58E" w14:textId="77777777" w:rsidR="00A12E78" w:rsidRDefault="00207DB8">
      <w:pPr>
        <w:pStyle w:val="TOC2"/>
        <w:rPr>
          <w:rFonts w:asciiTheme="minorHAnsi" w:eastAsiaTheme="minorEastAsia" w:hAnsiTheme="minorHAnsi" w:cstheme="minorBidi"/>
          <w:noProof/>
        </w:rPr>
      </w:pPr>
      <w:hyperlink w:anchor="_Toc529177877" w:history="1">
        <w:r w:rsidR="00A12E78" w:rsidRPr="0075444B">
          <w:rPr>
            <w:rStyle w:val="Hyperlink"/>
            <w:noProof/>
            <w14:scene3d>
              <w14:camera w14:prst="orthographicFront"/>
              <w14:lightRig w14:rig="threePt" w14:dir="t">
                <w14:rot w14:lat="0" w14:lon="0" w14:rev="0"/>
              </w14:lightRig>
            </w14:scene3d>
          </w:rPr>
          <w:t>Section 3.7</w:t>
        </w:r>
        <w:r w:rsidR="00A12E78" w:rsidRPr="0075444B">
          <w:rPr>
            <w:rStyle w:val="Hyperlink"/>
            <w:noProof/>
          </w:rPr>
          <w:t xml:space="preserve"> Review and Update of Quality Strategy</w:t>
        </w:r>
        <w:r w:rsidR="00A12E78">
          <w:rPr>
            <w:noProof/>
            <w:webHidden/>
          </w:rPr>
          <w:tab/>
        </w:r>
        <w:r w:rsidR="00A12E78">
          <w:rPr>
            <w:noProof/>
            <w:webHidden/>
          </w:rPr>
          <w:fldChar w:fldCharType="begin"/>
        </w:r>
        <w:r w:rsidR="00A12E78">
          <w:rPr>
            <w:noProof/>
            <w:webHidden/>
          </w:rPr>
          <w:instrText xml:space="preserve"> PAGEREF _Toc529177877 \h </w:instrText>
        </w:r>
        <w:r w:rsidR="00A12E78">
          <w:rPr>
            <w:noProof/>
            <w:webHidden/>
          </w:rPr>
        </w:r>
        <w:r w:rsidR="00A12E78">
          <w:rPr>
            <w:noProof/>
            <w:webHidden/>
          </w:rPr>
          <w:fldChar w:fldCharType="separate"/>
        </w:r>
        <w:r>
          <w:rPr>
            <w:noProof/>
            <w:webHidden/>
          </w:rPr>
          <w:t>11</w:t>
        </w:r>
        <w:r w:rsidR="00A12E78">
          <w:rPr>
            <w:noProof/>
            <w:webHidden/>
          </w:rPr>
          <w:fldChar w:fldCharType="end"/>
        </w:r>
      </w:hyperlink>
    </w:p>
    <w:p w14:paraId="5BCBB158" w14:textId="77777777" w:rsidR="00A12E78" w:rsidRDefault="00207DB8">
      <w:pPr>
        <w:pStyle w:val="TOC2"/>
        <w:rPr>
          <w:rFonts w:asciiTheme="minorHAnsi" w:eastAsiaTheme="minorEastAsia" w:hAnsiTheme="minorHAnsi" w:cstheme="minorBidi"/>
          <w:noProof/>
        </w:rPr>
      </w:pPr>
      <w:hyperlink w:anchor="_Toc529177878" w:history="1">
        <w:r w:rsidR="00A12E78" w:rsidRPr="0075444B">
          <w:rPr>
            <w:rStyle w:val="Hyperlink"/>
            <w:noProof/>
            <w14:scene3d>
              <w14:camera w14:prst="orthographicFront"/>
              <w14:lightRig w14:rig="threePt" w14:dir="t">
                <w14:rot w14:lat="0" w14:lon="0" w14:rev="0"/>
              </w14:lightRig>
            </w14:scene3d>
          </w:rPr>
          <w:t>Section 3.8</w:t>
        </w:r>
        <w:r w:rsidR="00A12E78" w:rsidRPr="0075444B">
          <w:rPr>
            <w:rStyle w:val="Hyperlink"/>
            <w:noProof/>
          </w:rPr>
          <w:t xml:space="preserve"> Evaluating the Effectiveness of the Quality Strategy</w:t>
        </w:r>
        <w:r w:rsidR="00A12E78">
          <w:rPr>
            <w:noProof/>
            <w:webHidden/>
          </w:rPr>
          <w:tab/>
        </w:r>
        <w:r w:rsidR="00A12E78">
          <w:rPr>
            <w:noProof/>
            <w:webHidden/>
          </w:rPr>
          <w:fldChar w:fldCharType="begin"/>
        </w:r>
        <w:r w:rsidR="00A12E78">
          <w:rPr>
            <w:noProof/>
            <w:webHidden/>
          </w:rPr>
          <w:instrText xml:space="preserve"> PAGEREF _Toc529177878 \h </w:instrText>
        </w:r>
        <w:r w:rsidR="00A12E78">
          <w:rPr>
            <w:noProof/>
            <w:webHidden/>
          </w:rPr>
        </w:r>
        <w:r w:rsidR="00A12E78">
          <w:rPr>
            <w:noProof/>
            <w:webHidden/>
          </w:rPr>
          <w:fldChar w:fldCharType="separate"/>
        </w:r>
        <w:r>
          <w:rPr>
            <w:noProof/>
            <w:webHidden/>
          </w:rPr>
          <w:t>11</w:t>
        </w:r>
        <w:r w:rsidR="00A12E78">
          <w:rPr>
            <w:noProof/>
            <w:webHidden/>
          </w:rPr>
          <w:fldChar w:fldCharType="end"/>
        </w:r>
      </w:hyperlink>
    </w:p>
    <w:p w14:paraId="305F75FB" w14:textId="77777777" w:rsidR="00A12E78" w:rsidRDefault="00207DB8">
      <w:pPr>
        <w:pStyle w:val="TOC1"/>
        <w:tabs>
          <w:tab w:val="right" w:leader="dot" w:pos="9350"/>
        </w:tabs>
        <w:rPr>
          <w:rFonts w:asciiTheme="minorHAnsi" w:eastAsiaTheme="minorEastAsia" w:hAnsiTheme="minorHAnsi" w:cstheme="minorBidi"/>
          <w:noProof/>
        </w:rPr>
      </w:pPr>
      <w:hyperlink w:anchor="_Toc529177879" w:history="1">
        <w:r w:rsidR="00A12E78" w:rsidRPr="0075444B">
          <w:rPr>
            <w:rStyle w:val="Hyperlink"/>
            <w:noProof/>
          </w:rPr>
          <w:t>Section 4. MassHealth Quality Strategy</w:t>
        </w:r>
        <w:r w:rsidR="00A12E78">
          <w:rPr>
            <w:noProof/>
            <w:webHidden/>
          </w:rPr>
          <w:tab/>
        </w:r>
        <w:r w:rsidR="00A12E78">
          <w:rPr>
            <w:noProof/>
            <w:webHidden/>
          </w:rPr>
          <w:fldChar w:fldCharType="begin"/>
        </w:r>
        <w:r w:rsidR="00A12E78">
          <w:rPr>
            <w:noProof/>
            <w:webHidden/>
          </w:rPr>
          <w:instrText xml:space="preserve"> PAGEREF _Toc529177879 \h </w:instrText>
        </w:r>
        <w:r w:rsidR="00A12E78">
          <w:rPr>
            <w:noProof/>
            <w:webHidden/>
          </w:rPr>
        </w:r>
        <w:r w:rsidR="00A12E78">
          <w:rPr>
            <w:noProof/>
            <w:webHidden/>
          </w:rPr>
          <w:fldChar w:fldCharType="separate"/>
        </w:r>
        <w:r>
          <w:rPr>
            <w:noProof/>
            <w:webHidden/>
          </w:rPr>
          <w:t>12</w:t>
        </w:r>
        <w:r w:rsidR="00A12E78">
          <w:rPr>
            <w:noProof/>
            <w:webHidden/>
          </w:rPr>
          <w:fldChar w:fldCharType="end"/>
        </w:r>
      </w:hyperlink>
    </w:p>
    <w:p w14:paraId="593DDF12" w14:textId="77777777" w:rsidR="00A12E78" w:rsidRDefault="00207DB8">
      <w:pPr>
        <w:pStyle w:val="TOC2"/>
        <w:rPr>
          <w:rFonts w:asciiTheme="minorHAnsi" w:eastAsiaTheme="minorEastAsia" w:hAnsiTheme="minorHAnsi" w:cstheme="minorBidi"/>
          <w:noProof/>
        </w:rPr>
      </w:pPr>
      <w:hyperlink w:anchor="_Toc529177880" w:history="1">
        <w:r w:rsidR="00A12E78" w:rsidRPr="0075444B">
          <w:rPr>
            <w:rStyle w:val="Hyperlink"/>
            <w:noProof/>
            <w14:scene3d>
              <w14:camera w14:prst="orthographicFront"/>
              <w14:lightRig w14:rig="threePt" w14:dir="t">
                <w14:rot w14:lat="0" w14:lon="0" w14:rev="0"/>
              </w14:lightRig>
            </w14:scene3d>
          </w:rPr>
          <w:t>Section 4.1</w:t>
        </w:r>
        <w:r w:rsidR="00A12E78" w:rsidRPr="0075444B">
          <w:rPr>
            <w:rStyle w:val="Hyperlink"/>
            <w:noProof/>
          </w:rPr>
          <w:t xml:space="preserve"> MassHealth Priority Areas and Quality Goals</w:t>
        </w:r>
        <w:r w:rsidR="00A12E78">
          <w:rPr>
            <w:noProof/>
            <w:webHidden/>
          </w:rPr>
          <w:tab/>
        </w:r>
        <w:r w:rsidR="00A12E78">
          <w:rPr>
            <w:noProof/>
            <w:webHidden/>
          </w:rPr>
          <w:fldChar w:fldCharType="begin"/>
        </w:r>
        <w:r w:rsidR="00A12E78">
          <w:rPr>
            <w:noProof/>
            <w:webHidden/>
          </w:rPr>
          <w:instrText xml:space="preserve"> PAGEREF _Toc529177880 \h </w:instrText>
        </w:r>
        <w:r w:rsidR="00A12E78">
          <w:rPr>
            <w:noProof/>
            <w:webHidden/>
          </w:rPr>
        </w:r>
        <w:r w:rsidR="00A12E78">
          <w:rPr>
            <w:noProof/>
            <w:webHidden/>
          </w:rPr>
          <w:fldChar w:fldCharType="separate"/>
        </w:r>
        <w:r>
          <w:rPr>
            <w:noProof/>
            <w:webHidden/>
          </w:rPr>
          <w:t>12</w:t>
        </w:r>
        <w:r w:rsidR="00A12E78">
          <w:rPr>
            <w:noProof/>
            <w:webHidden/>
          </w:rPr>
          <w:fldChar w:fldCharType="end"/>
        </w:r>
      </w:hyperlink>
    </w:p>
    <w:p w14:paraId="35A39AEB" w14:textId="77777777" w:rsidR="00A12E78" w:rsidRDefault="00207DB8">
      <w:pPr>
        <w:pStyle w:val="TOC2"/>
        <w:rPr>
          <w:rFonts w:asciiTheme="minorHAnsi" w:eastAsiaTheme="minorEastAsia" w:hAnsiTheme="minorHAnsi" w:cstheme="minorBidi"/>
          <w:noProof/>
        </w:rPr>
      </w:pPr>
      <w:hyperlink w:anchor="_Toc529177881" w:history="1">
        <w:r w:rsidR="00A12E78" w:rsidRPr="0075444B">
          <w:rPr>
            <w:rStyle w:val="Hyperlink"/>
            <w:noProof/>
            <w14:scene3d>
              <w14:camera w14:prst="orthographicFront"/>
              <w14:lightRig w14:rig="threePt" w14:dir="t">
                <w14:rot w14:lat="0" w14:lon="0" w14:rev="0"/>
              </w14:lightRig>
            </w14:scene3d>
          </w:rPr>
          <w:t>Section 4.2</w:t>
        </w:r>
        <w:r w:rsidR="00A12E78" w:rsidRPr="0075444B">
          <w:rPr>
            <w:rStyle w:val="Hyperlink"/>
            <w:noProof/>
          </w:rPr>
          <w:t xml:space="preserve"> : Performance Measurement and Oversight</w:t>
        </w:r>
        <w:r w:rsidR="00A12E78">
          <w:rPr>
            <w:noProof/>
            <w:webHidden/>
          </w:rPr>
          <w:tab/>
        </w:r>
        <w:r w:rsidR="00A12E78">
          <w:rPr>
            <w:noProof/>
            <w:webHidden/>
          </w:rPr>
          <w:fldChar w:fldCharType="begin"/>
        </w:r>
        <w:r w:rsidR="00A12E78">
          <w:rPr>
            <w:noProof/>
            <w:webHidden/>
          </w:rPr>
          <w:instrText xml:space="preserve"> PAGEREF _Toc529177881 \h </w:instrText>
        </w:r>
        <w:r w:rsidR="00A12E78">
          <w:rPr>
            <w:noProof/>
            <w:webHidden/>
          </w:rPr>
        </w:r>
        <w:r w:rsidR="00A12E78">
          <w:rPr>
            <w:noProof/>
            <w:webHidden/>
          </w:rPr>
          <w:fldChar w:fldCharType="separate"/>
        </w:r>
        <w:r>
          <w:rPr>
            <w:noProof/>
            <w:webHidden/>
          </w:rPr>
          <w:t>14</w:t>
        </w:r>
        <w:r w:rsidR="00A12E78">
          <w:rPr>
            <w:noProof/>
            <w:webHidden/>
          </w:rPr>
          <w:fldChar w:fldCharType="end"/>
        </w:r>
      </w:hyperlink>
    </w:p>
    <w:p w14:paraId="68D57032" w14:textId="77777777" w:rsidR="00A12E78" w:rsidRDefault="00207DB8">
      <w:pPr>
        <w:pStyle w:val="TOC2"/>
        <w:rPr>
          <w:rFonts w:asciiTheme="minorHAnsi" w:eastAsiaTheme="minorEastAsia" w:hAnsiTheme="minorHAnsi" w:cstheme="minorBidi"/>
          <w:noProof/>
        </w:rPr>
      </w:pPr>
      <w:hyperlink w:anchor="_Toc529177883" w:history="1">
        <w:r w:rsidR="00A12E78" w:rsidRPr="0075444B">
          <w:rPr>
            <w:rStyle w:val="Hyperlink"/>
            <w:noProof/>
            <w14:scene3d>
              <w14:camera w14:prst="orthographicFront"/>
              <w14:lightRig w14:rig="threePt" w14:dir="t">
                <w14:rot w14:lat="0" w14:lon="0" w14:rev="0"/>
              </w14:lightRig>
            </w14:scene3d>
          </w:rPr>
          <w:t>Section 4.3</w:t>
        </w:r>
        <w:r w:rsidR="00A12E78" w:rsidRPr="0075444B">
          <w:rPr>
            <w:rStyle w:val="Hyperlink"/>
            <w:noProof/>
          </w:rPr>
          <w:t xml:space="preserve"> Performance Measurement in Other Programs</w:t>
        </w:r>
        <w:r w:rsidR="00A12E78">
          <w:rPr>
            <w:noProof/>
            <w:webHidden/>
          </w:rPr>
          <w:tab/>
        </w:r>
        <w:r w:rsidR="00A12E78">
          <w:rPr>
            <w:noProof/>
            <w:webHidden/>
          </w:rPr>
          <w:fldChar w:fldCharType="begin"/>
        </w:r>
        <w:r w:rsidR="00A12E78">
          <w:rPr>
            <w:noProof/>
            <w:webHidden/>
          </w:rPr>
          <w:instrText xml:space="preserve"> PAGEREF _Toc529177883 \h </w:instrText>
        </w:r>
        <w:r w:rsidR="00A12E78">
          <w:rPr>
            <w:noProof/>
            <w:webHidden/>
          </w:rPr>
        </w:r>
        <w:r w:rsidR="00A12E78">
          <w:rPr>
            <w:noProof/>
            <w:webHidden/>
          </w:rPr>
          <w:fldChar w:fldCharType="separate"/>
        </w:r>
        <w:r>
          <w:rPr>
            <w:noProof/>
            <w:webHidden/>
          </w:rPr>
          <w:t>15</w:t>
        </w:r>
        <w:r w:rsidR="00A12E78">
          <w:rPr>
            <w:noProof/>
            <w:webHidden/>
          </w:rPr>
          <w:fldChar w:fldCharType="end"/>
        </w:r>
      </w:hyperlink>
    </w:p>
    <w:p w14:paraId="5F3E0FB8" w14:textId="5F28CC92" w:rsidR="00A12E78" w:rsidRDefault="00207DB8">
      <w:pPr>
        <w:pStyle w:val="TOC2"/>
        <w:rPr>
          <w:rFonts w:asciiTheme="minorHAnsi" w:eastAsiaTheme="minorEastAsia" w:hAnsiTheme="minorHAnsi" w:cstheme="minorBidi"/>
          <w:noProof/>
        </w:rPr>
      </w:pPr>
      <w:hyperlink w:anchor="_Toc529177884" w:history="1">
        <w:r w:rsidR="00A12E78" w:rsidRPr="0075444B">
          <w:rPr>
            <w:rStyle w:val="Hyperlink"/>
            <w:noProof/>
            <w14:scene3d>
              <w14:camera w14:prst="orthographicFront"/>
              <w14:lightRig w14:rig="threePt" w14:dir="t">
                <w14:rot w14:lat="0" w14:lon="0" w14:rev="0"/>
              </w14:lightRig>
            </w14:scene3d>
          </w:rPr>
          <w:t>Section 4.4</w:t>
        </w:r>
        <w:r w:rsidR="00A12E78" w:rsidRPr="0075444B">
          <w:rPr>
            <w:rStyle w:val="Hyperlink"/>
            <w:noProof/>
          </w:rPr>
          <w:t xml:space="preserve"> Stakeholder Feedback and Areas</w:t>
        </w:r>
        <w:r w:rsidR="00D1024F">
          <w:rPr>
            <w:rStyle w:val="Hyperlink"/>
            <w:noProof/>
          </w:rPr>
          <w:t xml:space="preserve"> for </w:t>
        </w:r>
        <w:r w:rsidR="00A12E78" w:rsidRPr="0075444B">
          <w:rPr>
            <w:rStyle w:val="Hyperlink"/>
            <w:noProof/>
          </w:rPr>
          <w:t xml:space="preserve"> </w:t>
        </w:r>
        <w:r w:rsidR="0031796F">
          <w:rPr>
            <w:rStyle w:val="Hyperlink"/>
            <w:noProof/>
          </w:rPr>
          <w:t>Consideration</w:t>
        </w:r>
        <w:r w:rsidR="00A12E78">
          <w:rPr>
            <w:noProof/>
            <w:webHidden/>
          </w:rPr>
          <w:tab/>
        </w:r>
        <w:r w:rsidR="00A12E78">
          <w:rPr>
            <w:noProof/>
            <w:webHidden/>
          </w:rPr>
          <w:fldChar w:fldCharType="begin"/>
        </w:r>
        <w:r w:rsidR="00A12E78">
          <w:rPr>
            <w:noProof/>
            <w:webHidden/>
          </w:rPr>
          <w:instrText xml:space="preserve"> PAGEREF _Toc529177884 \h </w:instrText>
        </w:r>
        <w:r w:rsidR="00A12E78">
          <w:rPr>
            <w:noProof/>
            <w:webHidden/>
          </w:rPr>
        </w:r>
        <w:r w:rsidR="00A12E78">
          <w:rPr>
            <w:noProof/>
            <w:webHidden/>
          </w:rPr>
          <w:fldChar w:fldCharType="separate"/>
        </w:r>
        <w:r>
          <w:rPr>
            <w:noProof/>
            <w:webHidden/>
          </w:rPr>
          <w:t>16</w:t>
        </w:r>
        <w:r w:rsidR="00A12E78">
          <w:rPr>
            <w:noProof/>
            <w:webHidden/>
          </w:rPr>
          <w:fldChar w:fldCharType="end"/>
        </w:r>
      </w:hyperlink>
    </w:p>
    <w:p w14:paraId="6AEDF2B6" w14:textId="77777777" w:rsidR="00A12E78" w:rsidRDefault="00207DB8">
      <w:pPr>
        <w:pStyle w:val="TOC1"/>
        <w:tabs>
          <w:tab w:val="right" w:leader="dot" w:pos="9350"/>
        </w:tabs>
        <w:rPr>
          <w:rFonts w:asciiTheme="minorHAnsi" w:eastAsiaTheme="minorEastAsia" w:hAnsiTheme="minorHAnsi" w:cstheme="minorBidi"/>
          <w:noProof/>
        </w:rPr>
      </w:pPr>
      <w:hyperlink w:anchor="_Toc529177885" w:history="1">
        <w:r w:rsidR="00A12E78" w:rsidRPr="0075444B">
          <w:rPr>
            <w:rStyle w:val="Hyperlink"/>
            <w:noProof/>
          </w:rPr>
          <w:t>Section 5. Assessment</w:t>
        </w:r>
        <w:r w:rsidR="00A12E78">
          <w:rPr>
            <w:noProof/>
            <w:webHidden/>
          </w:rPr>
          <w:tab/>
        </w:r>
        <w:r w:rsidR="00A12E78">
          <w:rPr>
            <w:noProof/>
            <w:webHidden/>
          </w:rPr>
          <w:fldChar w:fldCharType="begin"/>
        </w:r>
        <w:r w:rsidR="00A12E78">
          <w:rPr>
            <w:noProof/>
            <w:webHidden/>
          </w:rPr>
          <w:instrText xml:space="preserve"> PAGEREF _Toc529177885 \h </w:instrText>
        </w:r>
        <w:r w:rsidR="00A12E78">
          <w:rPr>
            <w:noProof/>
            <w:webHidden/>
          </w:rPr>
        </w:r>
        <w:r w:rsidR="00A12E78">
          <w:rPr>
            <w:noProof/>
            <w:webHidden/>
          </w:rPr>
          <w:fldChar w:fldCharType="separate"/>
        </w:r>
        <w:r>
          <w:rPr>
            <w:noProof/>
            <w:webHidden/>
          </w:rPr>
          <w:t>16</w:t>
        </w:r>
        <w:r w:rsidR="00A12E78">
          <w:rPr>
            <w:noProof/>
            <w:webHidden/>
          </w:rPr>
          <w:fldChar w:fldCharType="end"/>
        </w:r>
      </w:hyperlink>
    </w:p>
    <w:p w14:paraId="45852D66" w14:textId="77777777" w:rsidR="00A12E78" w:rsidRDefault="00207DB8">
      <w:pPr>
        <w:pStyle w:val="TOC2"/>
        <w:rPr>
          <w:rFonts w:asciiTheme="minorHAnsi" w:eastAsiaTheme="minorEastAsia" w:hAnsiTheme="minorHAnsi" w:cstheme="minorBidi"/>
          <w:noProof/>
        </w:rPr>
      </w:pPr>
      <w:hyperlink w:anchor="_Toc529177886" w:history="1">
        <w:r w:rsidR="00A12E78" w:rsidRPr="0075444B">
          <w:rPr>
            <w:rStyle w:val="Hyperlink"/>
            <w:noProof/>
            <w14:scene3d>
              <w14:camera w14:prst="orthographicFront"/>
              <w14:lightRig w14:rig="threePt" w14:dir="t">
                <w14:rot w14:lat="0" w14:lon="0" w14:rev="0"/>
              </w14:lightRig>
            </w14:scene3d>
          </w:rPr>
          <w:t>Section 5.1</w:t>
        </w:r>
        <w:r w:rsidR="00A12E78" w:rsidRPr="0075444B">
          <w:rPr>
            <w:rStyle w:val="Hyperlink"/>
            <w:rFonts w:cs="Calibri"/>
            <w:noProof/>
          </w:rPr>
          <w:t xml:space="preserve"> Quality and Appropriateness of Care</w:t>
        </w:r>
        <w:r w:rsidR="00A12E78">
          <w:rPr>
            <w:noProof/>
            <w:webHidden/>
          </w:rPr>
          <w:tab/>
        </w:r>
        <w:r w:rsidR="00A12E78">
          <w:rPr>
            <w:noProof/>
            <w:webHidden/>
          </w:rPr>
          <w:fldChar w:fldCharType="begin"/>
        </w:r>
        <w:r w:rsidR="00A12E78">
          <w:rPr>
            <w:noProof/>
            <w:webHidden/>
          </w:rPr>
          <w:instrText xml:space="preserve"> PAGEREF _Toc529177886 \h </w:instrText>
        </w:r>
        <w:r w:rsidR="00A12E78">
          <w:rPr>
            <w:noProof/>
            <w:webHidden/>
          </w:rPr>
        </w:r>
        <w:r w:rsidR="00A12E78">
          <w:rPr>
            <w:noProof/>
            <w:webHidden/>
          </w:rPr>
          <w:fldChar w:fldCharType="separate"/>
        </w:r>
        <w:r>
          <w:rPr>
            <w:noProof/>
            <w:webHidden/>
          </w:rPr>
          <w:t>16</w:t>
        </w:r>
        <w:r w:rsidR="00A12E78">
          <w:rPr>
            <w:noProof/>
            <w:webHidden/>
          </w:rPr>
          <w:fldChar w:fldCharType="end"/>
        </w:r>
      </w:hyperlink>
    </w:p>
    <w:p w14:paraId="2B4DB792" w14:textId="77777777" w:rsidR="00A12E78" w:rsidRDefault="00207DB8">
      <w:pPr>
        <w:pStyle w:val="TOC2"/>
        <w:rPr>
          <w:rFonts w:asciiTheme="minorHAnsi" w:eastAsiaTheme="minorEastAsia" w:hAnsiTheme="minorHAnsi" w:cstheme="minorBidi"/>
          <w:noProof/>
        </w:rPr>
      </w:pPr>
      <w:hyperlink w:anchor="_Toc529177891" w:history="1">
        <w:r w:rsidR="00A12E78" w:rsidRPr="0075444B">
          <w:rPr>
            <w:rStyle w:val="Hyperlink"/>
            <w:noProof/>
            <w14:scene3d>
              <w14:camera w14:prst="orthographicFront"/>
              <w14:lightRig w14:rig="threePt" w14:dir="t">
                <w14:rot w14:lat="0" w14:lon="0" w14:rev="0"/>
              </w14:lightRig>
            </w14:scene3d>
          </w:rPr>
          <w:t>Section 5.2</w:t>
        </w:r>
        <w:r w:rsidR="00A12E78" w:rsidRPr="0075444B">
          <w:rPr>
            <w:rStyle w:val="Hyperlink"/>
            <w:noProof/>
          </w:rPr>
          <w:t xml:space="preserve"> National Performance Measures and Member Experience</w:t>
        </w:r>
        <w:r w:rsidR="00A12E78">
          <w:rPr>
            <w:noProof/>
            <w:webHidden/>
          </w:rPr>
          <w:tab/>
        </w:r>
        <w:r w:rsidR="00A12E78">
          <w:rPr>
            <w:noProof/>
            <w:webHidden/>
          </w:rPr>
          <w:fldChar w:fldCharType="begin"/>
        </w:r>
        <w:r w:rsidR="00A12E78">
          <w:rPr>
            <w:noProof/>
            <w:webHidden/>
          </w:rPr>
          <w:instrText xml:space="preserve"> PAGEREF _Toc529177891 \h </w:instrText>
        </w:r>
        <w:r w:rsidR="00A12E78">
          <w:rPr>
            <w:noProof/>
            <w:webHidden/>
          </w:rPr>
        </w:r>
        <w:r w:rsidR="00A12E78">
          <w:rPr>
            <w:noProof/>
            <w:webHidden/>
          </w:rPr>
          <w:fldChar w:fldCharType="separate"/>
        </w:r>
        <w:r>
          <w:rPr>
            <w:noProof/>
            <w:webHidden/>
          </w:rPr>
          <w:t>18</w:t>
        </w:r>
        <w:r w:rsidR="00A12E78">
          <w:rPr>
            <w:noProof/>
            <w:webHidden/>
          </w:rPr>
          <w:fldChar w:fldCharType="end"/>
        </w:r>
      </w:hyperlink>
    </w:p>
    <w:p w14:paraId="5F881A3A" w14:textId="77777777" w:rsidR="00A12E78" w:rsidRDefault="00207DB8">
      <w:pPr>
        <w:pStyle w:val="TOC2"/>
        <w:rPr>
          <w:rFonts w:asciiTheme="minorHAnsi" w:eastAsiaTheme="minorEastAsia" w:hAnsiTheme="minorHAnsi" w:cstheme="minorBidi"/>
          <w:noProof/>
        </w:rPr>
      </w:pPr>
      <w:hyperlink w:anchor="_Toc529177892" w:history="1">
        <w:r w:rsidR="00A12E78" w:rsidRPr="0075444B">
          <w:rPr>
            <w:rStyle w:val="Hyperlink"/>
            <w:noProof/>
            <w14:scene3d>
              <w14:camera w14:prst="orthographicFront"/>
              <w14:lightRig w14:rig="threePt" w14:dir="t">
                <w14:rot w14:lat="0" w14:lon="0" w14:rev="0"/>
              </w14:lightRig>
            </w14:scene3d>
          </w:rPr>
          <w:t>Section 5.3</w:t>
        </w:r>
        <w:r w:rsidR="00A12E78" w:rsidRPr="0075444B">
          <w:rPr>
            <w:rStyle w:val="Hyperlink"/>
            <w:rFonts w:cs="Calibri"/>
            <w:noProof/>
          </w:rPr>
          <w:t xml:space="preserve"> Monitoring and Compliance</w:t>
        </w:r>
        <w:r w:rsidR="00A12E78">
          <w:rPr>
            <w:noProof/>
            <w:webHidden/>
          </w:rPr>
          <w:tab/>
        </w:r>
        <w:r w:rsidR="00A12E78">
          <w:rPr>
            <w:noProof/>
            <w:webHidden/>
          </w:rPr>
          <w:fldChar w:fldCharType="begin"/>
        </w:r>
        <w:r w:rsidR="00A12E78">
          <w:rPr>
            <w:noProof/>
            <w:webHidden/>
          </w:rPr>
          <w:instrText xml:space="preserve"> PAGEREF _Toc529177892 \h </w:instrText>
        </w:r>
        <w:r w:rsidR="00A12E78">
          <w:rPr>
            <w:noProof/>
            <w:webHidden/>
          </w:rPr>
        </w:r>
        <w:r w:rsidR="00A12E78">
          <w:rPr>
            <w:noProof/>
            <w:webHidden/>
          </w:rPr>
          <w:fldChar w:fldCharType="separate"/>
        </w:r>
        <w:r>
          <w:rPr>
            <w:noProof/>
            <w:webHidden/>
          </w:rPr>
          <w:t>19</w:t>
        </w:r>
        <w:r w:rsidR="00A12E78">
          <w:rPr>
            <w:noProof/>
            <w:webHidden/>
          </w:rPr>
          <w:fldChar w:fldCharType="end"/>
        </w:r>
      </w:hyperlink>
    </w:p>
    <w:p w14:paraId="03631A23" w14:textId="77777777" w:rsidR="00A12E78" w:rsidRDefault="00207DB8">
      <w:pPr>
        <w:pStyle w:val="TOC2"/>
        <w:rPr>
          <w:rFonts w:asciiTheme="minorHAnsi" w:eastAsiaTheme="minorEastAsia" w:hAnsiTheme="minorHAnsi" w:cstheme="minorBidi"/>
          <w:noProof/>
        </w:rPr>
      </w:pPr>
      <w:hyperlink w:anchor="_Toc529177893" w:history="1">
        <w:r w:rsidR="00A12E78" w:rsidRPr="0075444B">
          <w:rPr>
            <w:rStyle w:val="Hyperlink"/>
            <w:noProof/>
            <w14:scene3d>
              <w14:camera w14:prst="orthographicFront"/>
              <w14:lightRig w14:rig="threePt" w14:dir="t">
                <w14:rot w14:lat="0" w14:lon="0" w14:rev="0"/>
              </w14:lightRig>
            </w14:scene3d>
          </w:rPr>
          <w:t>Section 5.4</w:t>
        </w:r>
        <w:r w:rsidR="00A12E78" w:rsidRPr="0075444B">
          <w:rPr>
            <w:rStyle w:val="Hyperlink"/>
            <w:rFonts w:cs="Calibri"/>
            <w:noProof/>
          </w:rPr>
          <w:t xml:space="preserve"> External Quality Review</w:t>
        </w:r>
        <w:r w:rsidR="00A12E78">
          <w:rPr>
            <w:noProof/>
            <w:webHidden/>
          </w:rPr>
          <w:tab/>
        </w:r>
        <w:r w:rsidR="00A12E78">
          <w:rPr>
            <w:noProof/>
            <w:webHidden/>
          </w:rPr>
          <w:fldChar w:fldCharType="begin"/>
        </w:r>
        <w:r w:rsidR="00A12E78">
          <w:rPr>
            <w:noProof/>
            <w:webHidden/>
          </w:rPr>
          <w:instrText xml:space="preserve"> PAGEREF _Toc529177893 \h </w:instrText>
        </w:r>
        <w:r w:rsidR="00A12E78">
          <w:rPr>
            <w:noProof/>
            <w:webHidden/>
          </w:rPr>
        </w:r>
        <w:r w:rsidR="00A12E78">
          <w:rPr>
            <w:noProof/>
            <w:webHidden/>
          </w:rPr>
          <w:fldChar w:fldCharType="separate"/>
        </w:r>
        <w:r>
          <w:rPr>
            <w:noProof/>
            <w:webHidden/>
          </w:rPr>
          <w:t>19</w:t>
        </w:r>
        <w:r w:rsidR="00A12E78">
          <w:rPr>
            <w:noProof/>
            <w:webHidden/>
          </w:rPr>
          <w:fldChar w:fldCharType="end"/>
        </w:r>
      </w:hyperlink>
    </w:p>
    <w:p w14:paraId="00A4C73E" w14:textId="77777777" w:rsidR="00A12E78" w:rsidRDefault="00207DB8">
      <w:pPr>
        <w:pStyle w:val="TOC1"/>
        <w:tabs>
          <w:tab w:val="right" w:leader="dot" w:pos="9350"/>
        </w:tabs>
        <w:rPr>
          <w:rFonts w:asciiTheme="minorHAnsi" w:eastAsiaTheme="minorEastAsia" w:hAnsiTheme="minorHAnsi" w:cstheme="minorBidi"/>
          <w:noProof/>
        </w:rPr>
      </w:pPr>
      <w:hyperlink w:anchor="_Toc529177899" w:history="1">
        <w:r w:rsidR="00A12E78" w:rsidRPr="0075444B">
          <w:rPr>
            <w:rStyle w:val="Hyperlink"/>
            <w:noProof/>
          </w:rPr>
          <w:t>Section 6. State Standards</w:t>
        </w:r>
        <w:r w:rsidR="00A12E78">
          <w:rPr>
            <w:noProof/>
            <w:webHidden/>
          </w:rPr>
          <w:tab/>
        </w:r>
        <w:r w:rsidR="00A12E78">
          <w:rPr>
            <w:noProof/>
            <w:webHidden/>
          </w:rPr>
          <w:fldChar w:fldCharType="begin"/>
        </w:r>
        <w:r w:rsidR="00A12E78">
          <w:rPr>
            <w:noProof/>
            <w:webHidden/>
          </w:rPr>
          <w:instrText xml:space="preserve"> PAGEREF _Toc529177899 \h </w:instrText>
        </w:r>
        <w:r w:rsidR="00A12E78">
          <w:rPr>
            <w:noProof/>
            <w:webHidden/>
          </w:rPr>
        </w:r>
        <w:r w:rsidR="00A12E78">
          <w:rPr>
            <w:noProof/>
            <w:webHidden/>
          </w:rPr>
          <w:fldChar w:fldCharType="separate"/>
        </w:r>
        <w:r>
          <w:rPr>
            <w:noProof/>
            <w:webHidden/>
          </w:rPr>
          <w:t>20</w:t>
        </w:r>
        <w:r w:rsidR="00A12E78">
          <w:rPr>
            <w:noProof/>
            <w:webHidden/>
          </w:rPr>
          <w:fldChar w:fldCharType="end"/>
        </w:r>
      </w:hyperlink>
    </w:p>
    <w:p w14:paraId="4C7C4387" w14:textId="77777777" w:rsidR="00A12E78" w:rsidRDefault="00207DB8">
      <w:pPr>
        <w:pStyle w:val="TOC2"/>
        <w:rPr>
          <w:rFonts w:asciiTheme="minorHAnsi" w:eastAsiaTheme="minorEastAsia" w:hAnsiTheme="minorHAnsi" w:cstheme="minorBidi"/>
          <w:noProof/>
        </w:rPr>
      </w:pPr>
      <w:hyperlink w:anchor="_Toc529177900" w:history="1">
        <w:r w:rsidR="00A12E78" w:rsidRPr="0075444B">
          <w:rPr>
            <w:rStyle w:val="Hyperlink"/>
            <w:noProof/>
            <w14:scene3d>
              <w14:camera w14:prst="orthographicFront"/>
              <w14:lightRig w14:rig="threePt" w14:dir="t">
                <w14:rot w14:lat="0" w14:lon="0" w14:rev="0"/>
              </w14:lightRig>
            </w14:scene3d>
          </w:rPr>
          <w:t>Section 6.1</w:t>
        </w:r>
        <w:r w:rsidR="00A12E78" w:rsidRPr="0075444B">
          <w:rPr>
            <w:rStyle w:val="Hyperlink"/>
            <w:rFonts w:cs="Calibri"/>
            <w:noProof/>
          </w:rPr>
          <w:t xml:space="preserve"> Access Standards</w:t>
        </w:r>
        <w:r w:rsidR="00A12E78">
          <w:rPr>
            <w:noProof/>
            <w:webHidden/>
          </w:rPr>
          <w:tab/>
        </w:r>
        <w:r w:rsidR="00A12E78">
          <w:rPr>
            <w:noProof/>
            <w:webHidden/>
          </w:rPr>
          <w:fldChar w:fldCharType="begin"/>
        </w:r>
        <w:r w:rsidR="00A12E78">
          <w:rPr>
            <w:noProof/>
            <w:webHidden/>
          </w:rPr>
          <w:instrText xml:space="preserve"> PAGEREF _Toc529177900 \h </w:instrText>
        </w:r>
        <w:r w:rsidR="00A12E78">
          <w:rPr>
            <w:noProof/>
            <w:webHidden/>
          </w:rPr>
        </w:r>
        <w:r w:rsidR="00A12E78">
          <w:rPr>
            <w:noProof/>
            <w:webHidden/>
          </w:rPr>
          <w:fldChar w:fldCharType="separate"/>
        </w:r>
        <w:r>
          <w:rPr>
            <w:noProof/>
            <w:webHidden/>
          </w:rPr>
          <w:t>20</w:t>
        </w:r>
        <w:r w:rsidR="00A12E78">
          <w:rPr>
            <w:noProof/>
            <w:webHidden/>
          </w:rPr>
          <w:fldChar w:fldCharType="end"/>
        </w:r>
      </w:hyperlink>
    </w:p>
    <w:p w14:paraId="584ED7B4" w14:textId="77777777" w:rsidR="00A12E78" w:rsidRDefault="00207DB8">
      <w:pPr>
        <w:pStyle w:val="TOC2"/>
        <w:rPr>
          <w:rFonts w:asciiTheme="minorHAnsi" w:eastAsiaTheme="minorEastAsia" w:hAnsiTheme="minorHAnsi" w:cstheme="minorBidi"/>
          <w:noProof/>
        </w:rPr>
      </w:pPr>
      <w:hyperlink w:anchor="_Toc529177907" w:history="1">
        <w:r w:rsidR="00A12E78" w:rsidRPr="0075444B">
          <w:rPr>
            <w:rStyle w:val="Hyperlink"/>
            <w:noProof/>
            <w14:scene3d>
              <w14:camera w14:prst="orthographicFront"/>
              <w14:lightRig w14:rig="threePt" w14:dir="t">
                <w14:rot w14:lat="0" w14:lon="0" w14:rev="0"/>
              </w14:lightRig>
            </w14:scene3d>
          </w:rPr>
          <w:t>Section 6.2</w:t>
        </w:r>
        <w:r w:rsidR="00A12E78" w:rsidRPr="0075444B">
          <w:rPr>
            <w:rStyle w:val="Hyperlink"/>
            <w:noProof/>
          </w:rPr>
          <w:t xml:space="preserve"> Measurement and Improvement Standards</w:t>
        </w:r>
        <w:r w:rsidR="00A12E78">
          <w:rPr>
            <w:noProof/>
            <w:webHidden/>
          </w:rPr>
          <w:tab/>
        </w:r>
        <w:r w:rsidR="00A12E78">
          <w:rPr>
            <w:noProof/>
            <w:webHidden/>
          </w:rPr>
          <w:fldChar w:fldCharType="begin"/>
        </w:r>
        <w:r w:rsidR="00A12E78">
          <w:rPr>
            <w:noProof/>
            <w:webHidden/>
          </w:rPr>
          <w:instrText xml:space="preserve"> PAGEREF _Toc529177907 \h </w:instrText>
        </w:r>
        <w:r w:rsidR="00A12E78">
          <w:rPr>
            <w:noProof/>
            <w:webHidden/>
          </w:rPr>
        </w:r>
        <w:r w:rsidR="00A12E78">
          <w:rPr>
            <w:noProof/>
            <w:webHidden/>
          </w:rPr>
          <w:fldChar w:fldCharType="separate"/>
        </w:r>
        <w:r>
          <w:rPr>
            <w:noProof/>
            <w:webHidden/>
          </w:rPr>
          <w:t>26</w:t>
        </w:r>
        <w:r w:rsidR="00A12E78">
          <w:rPr>
            <w:noProof/>
            <w:webHidden/>
          </w:rPr>
          <w:fldChar w:fldCharType="end"/>
        </w:r>
      </w:hyperlink>
    </w:p>
    <w:p w14:paraId="01ED322B" w14:textId="77777777" w:rsidR="00A12E78" w:rsidRDefault="00207DB8">
      <w:pPr>
        <w:pStyle w:val="TOC1"/>
        <w:tabs>
          <w:tab w:val="right" w:leader="dot" w:pos="9350"/>
        </w:tabs>
        <w:rPr>
          <w:rFonts w:asciiTheme="minorHAnsi" w:eastAsiaTheme="minorEastAsia" w:hAnsiTheme="minorHAnsi" w:cstheme="minorBidi"/>
          <w:noProof/>
        </w:rPr>
      </w:pPr>
      <w:hyperlink w:anchor="_Toc529177913" w:history="1">
        <w:r w:rsidR="00A12E78" w:rsidRPr="0075444B">
          <w:rPr>
            <w:rStyle w:val="Hyperlink"/>
            <w:noProof/>
          </w:rPr>
          <w:t>Section 7. Improvement and Interventions</w:t>
        </w:r>
        <w:r w:rsidR="00A12E78">
          <w:rPr>
            <w:noProof/>
            <w:webHidden/>
          </w:rPr>
          <w:tab/>
        </w:r>
        <w:r w:rsidR="00A12E78">
          <w:rPr>
            <w:noProof/>
            <w:webHidden/>
          </w:rPr>
          <w:fldChar w:fldCharType="begin"/>
        </w:r>
        <w:r w:rsidR="00A12E78">
          <w:rPr>
            <w:noProof/>
            <w:webHidden/>
          </w:rPr>
          <w:instrText xml:space="preserve"> PAGEREF _Toc529177913 \h </w:instrText>
        </w:r>
        <w:r w:rsidR="00A12E78">
          <w:rPr>
            <w:noProof/>
            <w:webHidden/>
          </w:rPr>
        </w:r>
        <w:r w:rsidR="00A12E78">
          <w:rPr>
            <w:noProof/>
            <w:webHidden/>
          </w:rPr>
          <w:fldChar w:fldCharType="separate"/>
        </w:r>
        <w:r>
          <w:rPr>
            <w:noProof/>
            <w:webHidden/>
          </w:rPr>
          <w:t>29</w:t>
        </w:r>
        <w:r w:rsidR="00A12E78">
          <w:rPr>
            <w:noProof/>
            <w:webHidden/>
          </w:rPr>
          <w:fldChar w:fldCharType="end"/>
        </w:r>
      </w:hyperlink>
    </w:p>
    <w:p w14:paraId="03AA5C23" w14:textId="77777777" w:rsidR="00A12E78" w:rsidRDefault="00207DB8">
      <w:pPr>
        <w:pStyle w:val="TOC2"/>
        <w:rPr>
          <w:rFonts w:asciiTheme="minorHAnsi" w:eastAsiaTheme="minorEastAsia" w:hAnsiTheme="minorHAnsi" w:cstheme="minorBidi"/>
          <w:noProof/>
        </w:rPr>
      </w:pPr>
      <w:hyperlink w:anchor="_Toc529177914" w:history="1">
        <w:r w:rsidR="00A12E78" w:rsidRPr="0075444B">
          <w:rPr>
            <w:rStyle w:val="Hyperlink"/>
            <w:noProof/>
            <w14:scene3d>
              <w14:camera w14:prst="orthographicFront"/>
              <w14:lightRig w14:rig="threePt" w14:dir="t">
                <w14:rot w14:lat="0" w14:lon="0" w14:rev="0"/>
              </w14:lightRig>
            </w14:scene3d>
          </w:rPr>
          <w:t>Section 7.1</w:t>
        </w:r>
        <w:r w:rsidR="00A12E78" w:rsidRPr="0075444B">
          <w:rPr>
            <w:rStyle w:val="Hyperlink"/>
            <w:rFonts w:cs="Calibri"/>
            <w:noProof/>
          </w:rPr>
          <w:t xml:space="preserve"> :  Improvement and Interventions</w:t>
        </w:r>
        <w:r w:rsidR="00A12E78">
          <w:rPr>
            <w:noProof/>
            <w:webHidden/>
          </w:rPr>
          <w:tab/>
        </w:r>
        <w:r w:rsidR="00A12E78">
          <w:rPr>
            <w:noProof/>
            <w:webHidden/>
          </w:rPr>
          <w:fldChar w:fldCharType="begin"/>
        </w:r>
        <w:r w:rsidR="00A12E78">
          <w:rPr>
            <w:noProof/>
            <w:webHidden/>
          </w:rPr>
          <w:instrText xml:space="preserve"> PAGEREF _Toc529177914 \h </w:instrText>
        </w:r>
        <w:r w:rsidR="00A12E78">
          <w:rPr>
            <w:noProof/>
            <w:webHidden/>
          </w:rPr>
        </w:r>
        <w:r w:rsidR="00A12E78">
          <w:rPr>
            <w:noProof/>
            <w:webHidden/>
          </w:rPr>
          <w:fldChar w:fldCharType="separate"/>
        </w:r>
        <w:r>
          <w:rPr>
            <w:noProof/>
            <w:webHidden/>
          </w:rPr>
          <w:t>29</w:t>
        </w:r>
        <w:r w:rsidR="00A12E78">
          <w:rPr>
            <w:noProof/>
            <w:webHidden/>
          </w:rPr>
          <w:fldChar w:fldCharType="end"/>
        </w:r>
      </w:hyperlink>
    </w:p>
    <w:p w14:paraId="399D6D41" w14:textId="77777777" w:rsidR="00A12E78" w:rsidRDefault="00207DB8">
      <w:pPr>
        <w:pStyle w:val="TOC2"/>
        <w:rPr>
          <w:rFonts w:asciiTheme="minorHAnsi" w:eastAsiaTheme="minorEastAsia" w:hAnsiTheme="minorHAnsi" w:cstheme="minorBidi"/>
          <w:noProof/>
        </w:rPr>
      </w:pPr>
      <w:hyperlink w:anchor="_Toc529177915" w:history="1">
        <w:r w:rsidR="00A12E78" w:rsidRPr="0075444B">
          <w:rPr>
            <w:rStyle w:val="Hyperlink"/>
            <w:noProof/>
            <w14:scene3d>
              <w14:camera w14:prst="orthographicFront"/>
              <w14:lightRig w14:rig="threePt" w14:dir="t">
                <w14:rot w14:lat="0" w14:lon="0" w14:rev="0"/>
              </w14:lightRig>
            </w14:scene3d>
          </w:rPr>
          <w:t>Section 7.2</w:t>
        </w:r>
        <w:r w:rsidR="00A12E78" w:rsidRPr="0075444B">
          <w:rPr>
            <w:rStyle w:val="Hyperlink"/>
            <w:rFonts w:cs="Calibri"/>
            <w:noProof/>
          </w:rPr>
          <w:t xml:space="preserve"> :  Intermediate Sanctions</w:t>
        </w:r>
        <w:r w:rsidR="00A12E78">
          <w:rPr>
            <w:noProof/>
            <w:webHidden/>
          </w:rPr>
          <w:tab/>
        </w:r>
        <w:r w:rsidR="00A12E78">
          <w:rPr>
            <w:noProof/>
            <w:webHidden/>
          </w:rPr>
          <w:fldChar w:fldCharType="begin"/>
        </w:r>
        <w:r w:rsidR="00A12E78">
          <w:rPr>
            <w:noProof/>
            <w:webHidden/>
          </w:rPr>
          <w:instrText xml:space="preserve"> PAGEREF _Toc529177915 \h </w:instrText>
        </w:r>
        <w:r w:rsidR="00A12E78">
          <w:rPr>
            <w:noProof/>
            <w:webHidden/>
          </w:rPr>
        </w:r>
        <w:r w:rsidR="00A12E78">
          <w:rPr>
            <w:noProof/>
            <w:webHidden/>
          </w:rPr>
          <w:fldChar w:fldCharType="separate"/>
        </w:r>
        <w:r>
          <w:rPr>
            <w:noProof/>
            <w:webHidden/>
          </w:rPr>
          <w:t>30</w:t>
        </w:r>
        <w:r w:rsidR="00A12E78">
          <w:rPr>
            <w:noProof/>
            <w:webHidden/>
          </w:rPr>
          <w:fldChar w:fldCharType="end"/>
        </w:r>
      </w:hyperlink>
    </w:p>
    <w:p w14:paraId="15381CAA" w14:textId="77777777" w:rsidR="00A12E78" w:rsidRDefault="00207DB8">
      <w:pPr>
        <w:pStyle w:val="TOC1"/>
        <w:tabs>
          <w:tab w:val="right" w:leader="dot" w:pos="9350"/>
        </w:tabs>
        <w:rPr>
          <w:rFonts w:asciiTheme="minorHAnsi" w:eastAsiaTheme="minorEastAsia" w:hAnsiTheme="minorHAnsi" w:cstheme="minorBidi"/>
          <w:noProof/>
        </w:rPr>
      </w:pPr>
      <w:hyperlink w:anchor="_Toc529177917" w:history="1">
        <w:r w:rsidR="00A12E78" w:rsidRPr="0075444B">
          <w:rPr>
            <w:rStyle w:val="Hyperlink"/>
            <w:noProof/>
          </w:rPr>
          <w:t>Section 8. Delivery System Reform</w:t>
        </w:r>
        <w:r w:rsidR="00A12E78">
          <w:rPr>
            <w:noProof/>
            <w:webHidden/>
          </w:rPr>
          <w:tab/>
        </w:r>
        <w:r w:rsidR="00A12E78">
          <w:rPr>
            <w:noProof/>
            <w:webHidden/>
          </w:rPr>
          <w:fldChar w:fldCharType="begin"/>
        </w:r>
        <w:r w:rsidR="00A12E78">
          <w:rPr>
            <w:noProof/>
            <w:webHidden/>
          </w:rPr>
          <w:instrText xml:space="preserve"> PAGEREF _Toc529177917 \h </w:instrText>
        </w:r>
        <w:r w:rsidR="00A12E78">
          <w:rPr>
            <w:noProof/>
            <w:webHidden/>
          </w:rPr>
        </w:r>
        <w:r w:rsidR="00A12E78">
          <w:rPr>
            <w:noProof/>
            <w:webHidden/>
          </w:rPr>
          <w:fldChar w:fldCharType="separate"/>
        </w:r>
        <w:r>
          <w:rPr>
            <w:noProof/>
            <w:webHidden/>
          </w:rPr>
          <w:t>31</w:t>
        </w:r>
        <w:r w:rsidR="00A12E78">
          <w:rPr>
            <w:noProof/>
            <w:webHidden/>
          </w:rPr>
          <w:fldChar w:fldCharType="end"/>
        </w:r>
      </w:hyperlink>
    </w:p>
    <w:p w14:paraId="24B05F28" w14:textId="77777777" w:rsidR="00A12E78" w:rsidRDefault="00207DB8">
      <w:pPr>
        <w:pStyle w:val="TOC2"/>
        <w:rPr>
          <w:rFonts w:asciiTheme="minorHAnsi" w:eastAsiaTheme="minorEastAsia" w:hAnsiTheme="minorHAnsi" w:cstheme="minorBidi"/>
          <w:noProof/>
        </w:rPr>
      </w:pPr>
      <w:hyperlink w:anchor="_Toc529177918" w:history="1">
        <w:r w:rsidR="00A12E78" w:rsidRPr="0075444B">
          <w:rPr>
            <w:rStyle w:val="Hyperlink"/>
            <w:noProof/>
            <w14:scene3d>
              <w14:camera w14:prst="orthographicFront"/>
              <w14:lightRig w14:rig="threePt" w14:dir="t">
                <w14:rot w14:lat="0" w14:lon="0" w14:rev="0"/>
              </w14:lightRig>
            </w14:scene3d>
          </w:rPr>
          <w:t>Section 8.1</w:t>
        </w:r>
        <w:r w:rsidR="00A12E78" w:rsidRPr="0075444B">
          <w:rPr>
            <w:rStyle w:val="Hyperlink"/>
            <w:noProof/>
          </w:rPr>
          <w:t xml:space="preserve"> Advancing Accountable Care</w:t>
        </w:r>
        <w:r w:rsidR="00A12E78">
          <w:rPr>
            <w:noProof/>
            <w:webHidden/>
          </w:rPr>
          <w:tab/>
        </w:r>
        <w:r w:rsidR="00A12E78">
          <w:rPr>
            <w:noProof/>
            <w:webHidden/>
          </w:rPr>
          <w:fldChar w:fldCharType="begin"/>
        </w:r>
        <w:r w:rsidR="00A12E78">
          <w:rPr>
            <w:noProof/>
            <w:webHidden/>
          </w:rPr>
          <w:instrText xml:space="preserve"> PAGEREF _Toc529177918 \h </w:instrText>
        </w:r>
        <w:r w:rsidR="00A12E78">
          <w:rPr>
            <w:noProof/>
            <w:webHidden/>
          </w:rPr>
        </w:r>
        <w:r w:rsidR="00A12E78">
          <w:rPr>
            <w:noProof/>
            <w:webHidden/>
          </w:rPr>
          <w:fldChar w:fldCharType="separate"/>
        </w:r>
        <w:r>
          <w:rPr>
            <w:noProof/>
            <w:webHidden/>
          </w:rPr>
          <w:t>31</w:t>
        </w:r>
        <w:r w:rsidR="00A12E78">
          <w:rPr>
            <w:noProof/>
            <w:webHidden/>
          </w:rPr>
          <w:fldChar w:fldCharType="end"/>
        </w:r>
      </w:hyperlink>
    </w:p>
    <w:p w14:paraId="1D3F3A41" w14:textId="77777777" w:rsidR="00A12E78" w:rsidRDefault="00207DB8">
      <w:pPr>
        <w:pStyle w:val="TOC2"/>
        <w:rPr>
          <w:rFonts w:asciiTheme="minorHAnsi" w:eastAsiaTheme="minorEastAsia" w:hAnsiTheme="minorHAnsi" w:cstheme="minorBidi"/>
          <w:noProof/>
        </w:rPr>
      </w:pPr>
      <w:hyperlink w:anchor="_Toc529177919" w:history="1">
        <w:r w:rsidR="00A12E78" w:rsidRPr="0075444B">
          <w:rPr>
            <w:rStyle w:val="Hyperlink"/>
            <w:noProof/>
            <w14:scene3d>
              <w14:camera w14:prst="orthographicFront"/>
              <w14:lightRig w14:rig="threePt" w14:dir="t">
                <w14:rot w14:lat="0" w14:lon="0" w14:rev="0"/>
              </w14:lightRig>
            </w14:scene3d>
          </w:rPr>
          <w:t>Section 8.2</w:t>
        </w:r>
        <w:r w:rsidR="00A12E78" w:rsidRPr="0075444B">
          <w:rPr>
            <w:rStyle w:val="Hyperlink"/>
            <w:noProof/>
          </w:rPr>
          <w:t xml:space="preserve"> Performance-Based Incentive Payments</w:t>
        </w:r>
        <w:r w:rsidR="00A12E78">
          <w:rPr>
            <w:noProof/>
            <w:webHidden/>
          </w:rPr>
          <w:tab/>
        </w:r>
        <w:r w:rsidR="00A12E78">
          <w:rPr>
            <w:noProof/>
            <w:webHidden/>
          </w:rPr>
          <w:fldChar w:fldCharType="begin"/>
        </w:r>
        <w:r w:rsidR="00A12E78">
          <w:rPr>
            <w:noProof/>
            <w:webHidden/>
          </w:rPr>
          <w:instrText xml:space="preserve"> PAGEREF _Toc529177919 \h </w:instrText>
        </w:r>
        <w:r w:rsidR="00A12E78">
          <w:rPr>
            <w:noProof/>
            <w:webHidden/>
          </w:rPr>
        </w:r>
        <w:r w:rsidR="00A12E78">
          <w:rPr>
            <w:noProof/>
            <w:webHidden/>
          </w:rPr>
          <w:fldChar w:fldCharType="separate"/>
        </w:r>
        <w:r>
          <w:rPr>
            <w:noProof/>
            <w:webHidden/>
          </w:rPr>
          <w:t>31</w:t>
        </w:r>
        <w:r w:rsidR="00A12E78">
          <w:rPr>
            <w:noProof/>
            <w:webHidden/>
          </w:rPr>
          <w:fldChar w:fldCharType="end"/>
        </w:r>
      </w:hyperlink>
    </w:p>
    <w:p w14:paraId="1DAA9659" w14:textId="77777777" w:rsidR="00A12E78" w:rsidRDefault="00207DB8">
      <w:pPr>
        <w:pStyle w:val="TOC2"/>
        <w:rPr>
          <w:rFonts w:asciiTheme="minorHAnsi" w:eastAsiaTheme="minorEastAsia" w:hAnsiTheme="minorHAnsi" w:cstheme="minorBidi"/>
          <w:noProof/>
        </w:rPr>
      </w:pPr>
      <w:hyperlink w:anchor="_Toc529177920" w:history="1">
        <w:r w:rsidR="00A12E78" w:rsidRPr="0075444B">
          <w:rPr>
            <w:rStyle w:val="Hyperlink"/>
            <w:noProof/>
            <w14:scene3d>
              <w14:camera w14:prst="orthographicFront"/>
              <w14:lightRig w14:rig="threePt" w14:dir="t">
                <w14:rot w14:lat="0" w14:lon="0" w14:rev="0"/>
              </w14:lightRig>
            </w14:scene3d>
          </w:rPr>
          <w:t>Section 8.3</w:t>
        </w:r>
        <w:r w:rsidR="00A12E78" w:rsidRPr="0075444B">
          <w:rPr>
            <w:rStyle w:val="Hyperlink"/>
            <w:rFonts w:cs="Calibri"/>
            <w:noProof/>
          </w:rPr>
          <w:t xml:space="preserve"> Evaluation</w:t>
        </w:r>
        <w:r w:rsidR="00A12E78">
          <w:rPr>
            <w:noProof/>
            <w:webHidden/>
          </w:rPr>
          <w:tab/>
        </w:r>
        <w:r w:rsidR="00A12E78">
          <w:rPr>
            <w:noProof/>
            <w:webHidden/>
          </w:rPr>
          <w:fldChar w:fldCharType="begin"/>
        </w:r>
        <w:r w:rsidR="00A12E78">
          <w:rPr>
            <w:noProof/>
            <w:webHidden/>
          </w:rPr>
          <w:instrText xml:space="preserve"> PAGEREF _Toc529177920 \h </w:instrText>
        </w:r>
        <w:r w:rsidR="00A12E78">
          <w:rPr>
            <w:noProof/>
            <w:webHidden/>
          </w:rPr>
        </w:r>
        <w:r w:rsidR="00A12E78">
          <w:rPr>
            <w:noProof/>
            <w:webHidden/>
          </w:rPr>
          <w:fldChar w:fldCharType="separate"/>
        </w:r>
        <w:r>
          <w:rPr>
            <w:noProof/>
            <w:webHidden/>
          </w:rPr>
          <w:t>31</w:t>
        </w:r>
        <w:r w:rsidR="00A12E78">
          <w:rPr>
            <w:noProof/>
            <w:webHidden/>
          </w:rPr>
          <w:fldChar w:fldCharType="end"/>
        </w:r>
      </w:hyperlink>
    </w:p>
    <w:p w14:paraId="345699CB" w14:textId="77777777" w:rsidR="00A12E78" w:rsidRDefault="00207DB8">
      <w:pPr>
        <w:pStyle w:val="TOC1"/>
        <w:tabs>
          <w:tab w:val="right" w:leader="dot" w:pos="9350"/>
        </w:tabs>
        <w:rPr>
          <w:rFonts w:asciiTheme="minorHAnsi" w:eastAsiaTheme="minorEastAsia" w:hAnsiTheme="minorHAnsi" w:cstheme="minorBidi"/>
          <w:noProof/>
        </w:rPr>
      </w:pPr>
      <w:hyperlink w:anchor="_Toc529177921" w:history="1">
        <w:r w:rsidR="00A12E78" w:rsidRPr="0075444B">
          <w:rPr>
            <w:rStyle w:val="Hyperlink"/>
            <w:noProof/>
          </w:rPr>
          <w:t>Section 9. Future Opportunities</w:t>
        </w:r>
        <w:r w:rsidR="00A12E78">
          <w:rPr>
            <w:noProof/>
            <w:webHidden/>
          </w:rPr>
          <w:tab/>
        </w:r>
        <w:r w:rsidR="00A12E78">
          <w:rPr>
            <w:noProof/>
            <w:webHidden/>
          </w:rPr>
          <w:fldChar w:fldCharType="begin"/>
        </w:r>
        <w:r w:rsidR="00A12E78">
          <w:rPr>
            <w:noProof/>
            <w:webHidden/>
          </w:rPr>
          <w:instrText xml:space="preserve"> PAGEREF _Toc529177921 \h </w:instrText>
        </w:r>
        <w:r w:rsidR="00A12E78">
          <w:rPr>
            <w:noProof/>
            <w:webHidden/>
          </w:rPr>
        </w:r>
        <w:r w:rsidR="00A12E78">
          <w:rPr>
            <w:noProof/>
            <w:webHidden/>
          </w:rPr>
          <w:fldChar w:fldCharType="separate"/>
        </w:r>
        <w:r>
          <w:rPr>
            <w:noProof/>
            <w:webHidden/>
          </w:rPr>
          <w:t>32</w:t>
        </w:r>
        <w:r w:rsidR="00A12E78">
          <w:rPr>
            <w:noProof/>
            <w:webHidden/>
          </w:rPr>
          <w:fldChar w:fldCharType="end"/>
        </w:r>
      </w:hyperlink>
    </w:p>
    <w:p w14:paraId="1BAA71C3" w14:textId="41CB82CF" w:rsidR="004268CD" w:rsidRDefault="0097050A" w:rsidP="00A572C2">
      <w:pPr>
        <w:rPr>
          <w:rFonts w:cs="Calibri"/>
        </w:rPr>
      </w:pPr>
      <w:r w:rsidRPr="00821C14">
        <w:rPr>
          <w:rFonts w:cs="Calibri"/>
        </w:rPr>
        <w:fldChar w:fldCharType="end"/>
      </w:r>
      <w:r w:rsidR="00D60639">
        <w:rPr>
          <w:rFonts w:cs="Calibri"/>
        </w:rPr>
        <w:softHyphen/>
      </w:r>
      <w:r w:rsidR="00D60639">
        <w:rPr>
          <w:rFonts w:cs="Calibri"/>
        </w:rPr>
        <w:softHyphen/>
      </w:r>
      <w:r w:rsidR="0079106F">
        <w:rPr>
          <w:rFonts w:cs="Calibri"/>
        </w:rPr>
        <w:softHyphen/>
      </w:r>
      <w:r w:rsidR="0079106F">
        <w:rPr>
          <w:rFonts w:cs="Calibri"/>
        </w:rPr>
        <w:softHyphen/>
      </w:r>
      <w:r w:rsidR="0079106F">
        <w:rPr>
          <w:rFonts w:cs="Calibri"/>
        </w:rPr>
        <w:softHyphen/>
      </w:r>
    </w:p>
    <w:p w14:paraId="74DB02FA" w14:textId="77777777" w:rsidR="004268CD" w:rsidRDefault="004268CD">
      <w:pPr>
        <w:spacing w:after="0"/>
        <w:rPr>
          <w:rFonts w:cs="Calibri"/>
        </w:rPr>
      </w:pPr>
      <w:r>
        <w:rPr>
          <w:rFonts w:cs="Calibri"/>
        </w:rPr>
        <w:br w:type="page"/>
      </w:r>
    </w:p>
    <w:p w14:paraId="110E396B" w14:textId="77777777" w:rsidR="00710C2D" w:rsidRDefault="00710C2D" w:rsidP="00A572C2">
      <w:pPr>
        <w:rPr>
          <w:rFonts w:cs="Calibri"/>
        </w:rPr>
        <w:sectPr w:rsidR="00710C2D" w:rsidSect="004E5A4A">
          <w:headerReference w:type="default" r:id="rId12"/>
          <w:pgSz w:w="12240" w:h="15840"/>
          <w:pgMar w:top="1440" w:right="1440" w:bottom="1440" w:left="1440" w:header="720" w:footer="720" w:gutter="0"/>
          <w:pgNumType w:start="1"/>
          <w:cols w:space="720"/>
          <w:docGrid w:linePitch="360"/>
        </w:sectPr>
      </w:pPr>
    </w:p>
    <w:p w14:paraId="69BD7671" w14:textId="77777777" w:rsidR="0097050A" w:rsidRPr="000152F3" w:rsidRDefault="0097050A" w:rsidP="009729DB">
      <w:pPr>
        <w:pStyle w:val="Heading1"/>
        <w:numPr>
          <w:ilvl w:val="0"/>
          <w:numId w:val="42"/>
        </w:numPr>
        <w:ind w:left="0"/>
      </w:pPr>
      <w:bookmarkStart w:id="2" w:name="_Ref522018453"/>
      <w:bookmarkStart w:id="3" w:name="_Ref522024916"/>
      <w:bookmarkStart w:id="4" w:name="_Toc529177860"/>
      <w:r w:rsidRPr="00821C14">
        <w:lastRenderedPageBreak/>
        <w:t>Introduction</w:t>
      </w:r>
      <w:bookmarkEnd w:id="2"/>
      <w:bookmarkEnd w:id="3"/>
      <w:bookmarkEnd w:id="4"/>
    </w:p>
    <w:p w14:paraId="2475AC36" w14:textId="77777777" w:rsidR="0097050A" w:rsidRPr="00ED649A" w:rsidRDefault="0097050A" w:rsidP="0097050A">
      <w:pPr>
        <w:rPr>
          <w:rFonts w:cs="Calibri"/>
        </w:rPr>
      </w:pPr>
      <w:r w:rsidRPr="00ED649A">
        <w:rPr>
          <w:rFonts w:cs="Calibri"/>
        </w:rPr>
        <w:t>Th</w:t>
      </w:r>
      <w:r>
        <w:rPr>
          <w:rFonts w:cs="Calibri"/>
        </w:rPr>
        <w:t>e</w:t>
      </w:r>
      <w:r w:rsidR="00CE70C7">
        <w:rPr>
          <w:rFonts w:cs="Calibri"/>
        </w:rPr>
        <w:t xml:space="preserve"> </w:t>
      </w:r>
      <w:r>
        <w:rPr>
          <w:rFonts w:cs="Calibri"/>
        </w:rPr>
        <w:t xml:space="preserve">2018 MassHealth </w:t>
      </w:r>
      <w:r w:rsidR="00A86542">
        <w:rPr>
          <w:rFonts w:cs="Calibri"/>
        </w:rPr>
        <w:t xml:space="preserve">Comprehensive </w:t>
      </w:r>
      <w:r>
        <w:rPr>
          <w:rFonts w:cs="Calibri"/>
        </w:rPr>
        <w:t xml:space="preserve">Quality Strategy is an update to the </w:t>
      </w:r>
      <w:r w:rsidRPr="00ED649A">
        <w:rPr>
          <w:rFonts w:cs="Calibri"/>
        </w:rPr>
        <w:t>MassHealth M</w:t>
      </w:r>
      <w:r w:rsidR="00172D1A">
        <w:rPr>
          <w:rFonts w:cs="Calibri"/>
        </w:rPr>
        <w:t xml:space="preserve">anaged Care Quality Strategy, </w:t>
      </w:r>
      <w:r w:rsidRPr="00ED649A">
        <w:rPr>
          <w:rFonts w:cs="Calibri"/>
        </w:rPr>
        <w:t xml:space="preserve">required by 42 CFR 438 subpart </w:t>
      </w:r>
      <w:r w:rsidR="0022397A">
        <w:rPr>
          <w:rFonts w:cs="Calibri"/>
        </w:rPr>
        <w:t>E</w:t>
      </w:r>
      <w:r w:rsidR="0022397A" w:rsidRPr="00ED649A">
        <w:rPr>
          <w:rFonts w:cs="Calibri"/>
        </w:rPr>
        <w:t xml:space="preserve"> </w:t>
      </w:r>
      <w:r w:rsidRPr="00ED649A">
        <w:rPr>
          <w:rFonts w:cs="Calibri"/>
        </w:rPr>
        <w:t>under the managed care rule. The</w:t>
      </w:r>
      <w:r>
        <w:rPr>
          <w:rFonts w:cs="Calibri"/>
        </w:rPr>
        <w:t xml:space="preserve"> MassHealth Managed Care</w:t>
      </w:r>
      <w:r w:rsidRPr="00ED649A">
        <w:rPr>
          <w:rFonts w:cs="Calibri"/>
        </w:rPr>
        <w:t xml:space="preserve"> Quality Strategy was first developed in </w:t>
      </w:r>
      <w:r w:rsidR="00A86542">
        <w:rPr>
          <w:rFonts w:cs="Calibri"/>
        </w:rPr>
        <w:t>2006 to fulfill</w:t>
      </w:r>
      <w:r w:rsidR="00761FAD">
        <w:rPr>
          <w:rFonts w:cs="Calibri"/>
        </w:rPr>
        <w:t xml:space="preserve"> </w:t>
      </w:r>
      <w:r w:rsidRPr="00ED649A">
        <w:rPr>
          <w:rFonts w:cs="Calibri"/>
        </w:rPr>
        <w:t>managed care quality requirements</w:t>
      </w:r>
      <w:r w:rsidR="00A86542">
        <w:rPr>
          <w:rFonts w:cs="Calibri"/>
        </w:rPr>
        <w:t xml:space="preserve"> and</w:t>
      </w:r>
      <w:r>
        <w:rPr>
          <w:rFonts w:cs="Calibri"/>
        </w:rPr>
        <w:t xml:space="preserve"> </w:t>
      </w:r>
      <w:r w:rsidR="00A86542">
        <w:rPr>
          <w:rFonts w:cs="Calibri"/>
        </w:rPr>
        <w:t>improve</w:t>
      </w:r>
      <w:r>
        <w:rPr>
          <w:rFonts w:cs="Calibri"/>
        </w:rPr>
        <w:t xml:space="preserve"> the quality of managed care </w:t>
      </w:r>
      <w:r w:rsidR="00761FAD">
        <w:rPr>
          <w:rFonts w:cs="Calibri"/>
        </w:rPr>
        <w:t>services in Massachusetts.  That</w:t>
      </w:r>
      <w:r w:rsidR="0072341E">
        <w:rPr>
          <w:rFonts w:cs="Calibri"/>
        </w:rPr>
        <w:t xml:space="preserve"> document </w:t>
      </w:r>
      <w:r>
        <w:rPr>
          <w:rFonts w:cs="Calibri"/>
        </w:rPr>
        <w:t>served as</w:t>
      </w:r>
      <w:r w:rsidR="00172D1A">
        <w:rPr>
          <w:rFonts w:cs="Calibri"/>
        </w:rPr>
        <w:t xml:space="preserve"> a foundation for the </w:t>
      </w:r>
      <w:r>
        <w:rPr>
          <w:rFonts w:cs="Calibri"/>
        </w:rPr>
        <w:t xml:space="preserve">development and </w:t>
      </w:r>
      <w:r w:rsidRPr="00ED649A">
        <w:rPr>
          <w:rFonts w:cs="Calibri"/>
        </w:rPr>
        <w:t xml:space="preserve">maintenance of a </w:t>
      </w:r>
      <w:r>
        <w:rPr>
          <w:rFonts w:cs="Calibri"/>
        </w:rPr>
        <w:t xml:space="preserve">broader </w:t>
      </w:r>
      <w:r w:rsidRPr="00ED649A">
        <w:rPr>
          <w:rFonts w:cs="Calibri"/>
        </w:rPr>
        <w:t>quality strategy</w:t>
      </w:r>
      <w:r w:rsidR="002E34B8">
        <w:rPr>
          <w:rFonts w:cs="Calibri"/>
        </w:rPr>
        <w:t>, which aims to</w:t>
      </w:r>
      <w:r w:rsidR="0072341E">
        <w:rPr>
          <w:color w:val="000000"/>
          <w:shd w:val="clear" w:color="auto" w:fill="FFFFFF"/>
        </w:rPr>
        <w:t xml:space="preserve"> assess</w:t>
      </w:r>
      <w:r w:rsidR="002E34B8">
        <w:rPr>
          <w:color w:val="000000"/>
          <w:shd w:val="clear" w:color="auto" w:fill="FFFFFF"/>
        </w:rPr>
        <w:t xml:space="preserve"> the quality of care </w:t>
      </w:r>
      <w:r w:rsidR="00761FAD">
        <w:rPr>
          <w:color w:val="000000"/>
          <w:shd w:val="clear" w:color="auto" w:fill="FFFFFF"/>
        </w:rPr>
        <w:t xml:space="preserve">that </w:t>
      </w:r>
      <w:r w:rsidR="002E34B8">
        <w:rPr>
          <w:color w:val="000000"/>
          <w:shd w:val="clear" w:color="auto" w:fill="FFFFFF"/>
        </w:rPr>
        <w:t xml:space="preserve">all of </w:t>
      </w:r>
      <w:r w:rsidRPr="00ED649A">
        <w:rPr>
          <w:color w:val="000000"/>
          <w:shd w:val="clear" w:color="auto" w:fill="FFFFFF"/>
        </w:rPr>
        <w:t xml:space="preserve">our beneficiaries receive, </w:t>
      </w:r>
      <w:r w:rsidR="0072341E">
        <w:rPr>
          <w:color w:val="000000"/>
          <w:shd w:val="clear" w:color="auto" w:fill="FFFFFF"/>
        </w:rPr>
        <w:t>and set</w:t>
      </w:r>
      <w:r w:rsidR="00761FAD">
        <w:rPr>
          <w:color w:val="000000"/>
          <w:shd w:val="clear" w:color="auto" w:fill="FFFFFF"/>
        </w:rPr>
        <w:t>s forth measurable</w:t>
      </w:r>
      <w:r w:rsidRPr="00ED649A">
        <w:rPr>
          <w:color w:val="000000"/>
          <w:shd w:val="clear" w:color="auto" w:fill="FFFFFF"/>
        </w:rPr>
        <w:t xml:space="preserve"> goals</w:t>
      </w:r>
      <w:r w:rsidR="00761FAD">
        <w:rPr>
          <w:color w:val="000000"/>
          <w:shd w:val="clear" w:color="auto" w:fill="FFFFFF"/>
        </w:rPr>
        <w:t xml:space="preserve"> for</w:t>
      </w:r>
      <w:r w:rsidRPr="00ED649A">
        <w:rPr>
          <w:color w:val="000000"/>
          <w:shd w:val="clear" w:color="auto" w:fill="FFFFFF"/>
        </w:rPr>
        <w:t xml:space="preserve"> improvement</w:t>
      </w:r>
      <w:r>
        <w:rPr>
          <w:color w:val="000000"/>
          <w:shd w:val="clear" w:color="auto" w:fill="FFFFFF"/>
        </w:rPr>
        <w:t xml:space="preserve"> across programs</w:t>
      </w:r>
      <w:r w:rsidRPr="00ED649A">
        <w:rPr>
          <w:color w:val="000000"/>
          <w:shd w:val="clear" w:color="auto" w:fill="FFFFFF"/>
        </w:rPr>
        <w:t>.</w:t>
      </w:r>
    </w:p>
    <w:p w14:paraId="515C6151" w14:textId="77777777" w:rsidR="00CE70C7" w:rsidRDefault="002E34B8" w:rsidP="0097050A">
      <w:pPr>
        <w:pStyle w:val="NormalWeb"/>
        <w:shd w:val="clear" w:color="auto" w:fill="FFFFFF"/>
        <w:spacing w:before="240" w:beforeAutospacing="0" w:after="240" w:afterAutospacing="0"/>
        <w:rPr>
          <w:rFonts w:ascii="Calibri" w:hAnsi="Calibri"/>
          <w:color w:val="000000"/>
          <w:sz w:val="22"/>
          <w:szCs w:val="22"/>
        </w:rPr>
      </w:pPr>
      <w:r>
        <w:rPr>
          <w:rFonts w:ascii="Calibri" w:hAnsi="Calibri"/>
          <w:color w:val="000000"/>
          <w:sz w:val="22"/>
          <w:szCs w:val="22"/>
        </w:rPr>
        <w:t xml:space="preserve">This </w:t>
      </w:r>
      <w:r w:rsidR="003A5B2B">
        <w:rPr>
          <w:rFonts w:ascii="Calibri" w:hAnsi="Calibri"/>
          <w:color w:val="000000"/>
          <w:sz w:val="22"/>
          <w:szCs w:val="22"/>
        </w:rPr>
        <w:t>update</w:t>
      </w:r>
      <w:r>
        <w:rPr>
          <w:rFonts w:ascii="Calibri" w:hAnsi="Calibri"/>
          <w:color w:val="000000"/>
          <w:sz w:val="22"/>
          <w:szCs w:val="22"/>
        </w:rPr>
        <w:t xml:space="preserve"> establishes </w:t>
      </w:r>
      <w:r w:rsidR="003A5B2B">
        <w:rPr>
          <w:rFonts w:ascii="Calibri" w:hAnsi="Calibri"/>
          <w:color w:val="000000"/>
          <w:sz w:val="22"/>
          <w:szCs w:val="22"/>
        </w:rPr>
        <w:t>a more comprehensive</w:t>
      </w:r>
      <w:r w:rsidR="0097050A" w:rsidRPr="00ED649A">
        <w:rPr>
          <w:rFonts w:ascii="Calibri" w:hAnsi="Calibri"/>
          <w:color w:val="000000"/>
          <w:sz w:val="22"/>
          <w:szCs w:val="22"/>
        </w:rPr>
        <w:t xml:space="preserve"> Quality Strategy</w:t>
      </w:r>
      <w:r>
        <w:rPr>
          <w:rFonts w:ascii="Calibri" w:hAnsi="Calibri"/>
          <w:color w:val="000000"/>
          <w:sz w:val="22"/>
          <w:szCs w:val="22"/>
        </w:rPr>
        <w:t xml:space="preserve">, </w:t>
      </w:r>
      <w:r w:rsidR="0097050A">
        <w:rPr>
          <w:rFonts w:ascii="Calibri" w:hAnsi="Calibri"/>
          <w:color w:val="000000"/>
          <w:sz w:val="22"/>
          <w:szCs w:val="22"/>
        </w:rPr>
        <w:t>broaden</w:t>
      </w:r>
      <w:r w:rsidR="00340972">
        <w:rPr>
          <w:rFonts w:ascii="Calibri" w:hAnsi="Calibri"/>
          <w:color w:val="000000"/>
          <w:sz w:val="22"/>
          <w:szCs w:val="22"/>
        </w:rPr>
        <w:t xml:space="preserve">ing the </w:t>
      </w:r>
      <w:r w:rsidR="0097050A">
        <w:rPr>
          <w:rFonts w:ascii="Calibri" w:hAnsi="Calibri"/>
          <w:color w:val="000000"/>
          <w:sz w:val="22"/>
          <w:szCs w:val="22"/>
        </w:rPr>
        <w:t>scope of the</w:t>
      </w:r>
      <w:r w:rsidR="0097050A" w:rsidRPr="00ED649A">
        <w:rPr>
          <w:rFonts w:ascii="Calibri" w:hAnsi="Calibri"/>
          <w:color w:val="000000"/>
          <w:sz w:val="22"/>
          <w:szCs w:val="22"/>
        </w:rPr>
        <w:t xml:space="preserve"> initial strategy (and previous updates)</w:t>
      </w:r>
      <w:r>
        <w:rPr>
          <w:rFonts w:ascii="Calibri" w:hAnsi="Calibri"/>
          <w:color w:val="000000"/>
          <w:sz w:val="22"/>
          <w:szCs w:val="22"/>
        </w:rPr>
        <w:t xml:space="preserve"> which focused on regulatory</w:t>
      </w:r>
      <w:r w:rsidR="000C180B">
        <w:rPr>
          <w:rFonts w:ascii="Calibri" w:hAnsi="Calibri"/>
          <w:color w:val="000000"/>
          <w:sz w:val="22"/>
          <w:szCs w:val="22"/>
        </w:rPr>
        <w:t xml:space="preserve"> managed care</w:t>
      </w:r>
      <w:r w:rsidR="009729DB">
        <w:rPr>
          <w:rFonts w:ascii="Calibri" w:hAnsi="Calibri"/>
          <w:color w:val="000000"/>
          <w:sz w:val="22"/>
          <w:szCs w:val="22"/>
        </w:rPr>
        <w:t xml:space="preserve"> requirements</w:t>
      </w:r>
      <w:r w:rsidR="00306F85">
        <w:rPr>
          <w:rFonts w:ascii="Calibri" w:hAnsi="Calibri"/>
          <w:color w:val="000000"/>
          <w:sz w:val="22"/>
          <w:szCs w:val="22"/>
        </w:rPr>
        <w:t xml:space="preserve">. </w:t>
      </w:r>
      <w:r w:rsidR="00A86542">
        <w:rPr>
          <w:rFonts w:ascii="Calibri" w:hAnsi="Calibri"/>
          <w:color w:val="000000"/>
          <w:sz w:val="22"/>
          <w:szCs w:val="22"/>
        </w:rPr>
        <w:t xml:space="preserve">This updated </w:t>
      </w:r>
      <w:r w:rsidR="007B33A6">
        <w:rPr>
          <w:rFonts w:ascii="Calibri" w:hAnsi="Calibri"/>
          <w:color w:val="000000"/>
          <w:sz w:val="22"/>
          <w:szCs w:val="22"/>
        </w:rPr>
        <w:t xml:space="preserve">version reflects </w:t>
      </w:r>
      <w:proofErr w:type="spellStart"/>
      <w:r w:rsidR="007B33A6">
        <w:rPr>
          <w:rFonts w:ascii="Calibri" w:hAnsi="Calibri"/>
          <w:color w:val="000000"/>
          <w:sz w:val="22"/>
          <w:szCs w:val="22"/>
        </w:rPr>
        <w:t>MassHealth’s</w:t>
      </w:r>
      <w:proofErr w:type="spellEnd"/>
      <w:r w:rsidR="007B33A6">
        <w:rPr>
          <w:rFonts w:ascii="Calibri" w:hAnsi="Calibri"/>
          <w:color w:val="000000"/>
          <w:sz w:val="22"/>
          <w:szCs w:val="22"/>
        </w:rPr>
        <w:t xml:space="preserve"> </w:t>
      </w:r>
      <w:r>
        <w:rPr>
          <w:rFonts w:ascii="Calibri" w:hAnsi="Calibri"/>
          <w:color w:val="000000"/>
          <w:sz w:val="22"/>
          <w:szCs w:val="22"/>
        </w:rPr>
        <w:t xml:space="preserve">transition to an evolving, </w:t>
      </w:r>
      <w:r w:rsidR="00CE70C7">
        <w:rPr>
          <w:rFonts w:ascii="Calibri" w:hAnsi="Calibri"/>
          <w:color w:val="000000"/>
          <w:sz w:val="22"/>
          <w:szCs w:val="22"/>
        </w:rPr>
        <w:t>comprehensive</w:t>
      </w:r>
      <w:r w:rsidR="007B33A6">
        <w:rPr>
          <w:rFonts w:ascii="Calibri" w:hAnsi="Calibri"/>
          <w:color w:val="000000"/>
          <w:sz w:val="22"/>
          <w:szCs w:val="22"/>
        </w:rPr>
        <w:t xml:space="preserve"> </w:t>
      </w:r>
      <w:r w:rsidR="0097050A" w:rsidRPr="00ED649A">
        <w:rPr>
          <w:rFonts w:ascii="Calibri" w:hAnsi="Calibri"/>
          <w:color w:val="000000"/>
          <w:sz w:val="22"/>
          <w:szCs w:val="22"/>
        </w:rPr>
        <w:t>strategy</w:t>
      </w:r>
      <w:r w:rsidR="00306F85">
        <w:rPr>
          <w:rFonts w:ascii="Calibri" w:hAnsi="Calibri"/>
          <w:color w:val="000000"/>
          <w:sz w:val="22"/>
          <w:szCs w:val="22"/>
        </w:rPr>
        <w:t xml:space="preserve"> and </w:t>
      </w:r>
      <w:r w:rsidR="007B33A6">
        <w:rPr>
          <w:rFonts w:ascii="Calibri" w:hAnsi="Calibri"/>
          <w:color w:val="000000"/>
          <w:sz w:val="22"/>
          <w:szCs w:val="22"/>
        </w:rPr>
        <w:t xml:space="preserve">serves as a </w:t>
      </w:r>
      <w:r w:rsidR="00306F85">
        <w:rPr>
          <w:rFonts w:ascii="Calibri" w:hAnsi="Calibri"/>
          <w:color w:val="000000"/>
          <w:sz w:val="22"/>
          <w:szCs w:val="22"/>
        </w:rPr>
        <w:t xml:space="preserve">framework </w:t>
      </w:r>
      <w:r w:rsidR="007B33A6">
        <w:rPr>
          <w:rFonts w:ascii="Calibri" w:hAnsi="Calibri"/>
          <w:color w:val="000000"/>
          <w:sz w:val="22"/>
          <w:szCs w:val="22"/>
        </w:rPr>
        <w:t>for agency-wide quality activities</w:t>
      </w:r>
      <w:r w:rsidR="0022397A">
        <w:rPr>
          <w:rFonts w:ascii="Calibri" w:hAnsi="Calibri"/>
          <w:color w:val="000000"/>
          <w:sz w:val="22"/>
          <w:szCs w:val="22"/>
        </w:rPr>
        <w:t>, while maintaining adherence to the regulatory managed care requirements</w:t>
      </w:r>
      <w:r w:rsidR="0097050A" w:rsidRPr="00ED649A">
        <w:rPr>
          <w:rFonts w:ascii="Calibri" w:hAnsi="Calibri"/>
          <w:color w:val="000000"/>
          <w:sz w:val="22"/>
          <w:szCs w:val="22"/>
        </w:rPr>
        <w:t xml:space="preserve">.  </w:t>
      </w:r>
      <w:r w:rsidR="003A5B2B">
        <w:rPr>
          <w:rFonts w:ascii="Calibri" w:hAnsi="Calibri"/>
          <w:color w:val="000000"/>
          <w:sz w:val="22"/>
          <w:szCs w:val="22"/>
        </w:rPr>
        <w:t>Contents include:</w:t>
      </w:r>
    </w:p>
    <w:p w14:paraId="600E4820" w14:textId="77777777" w:rsidR="003A5B2B" w:rsidRPr="00ED649A" w:rsidRDefault="002E34B8" w:rsidP="009729DB">
      <w:pPr>
        <w:numPr>
          <w:ilvl w:val="0"/>
          <w:numId w:val="23"/>
        </w:numPr>
        <w:tabs>
          <w:tab w:val="left" w:pos="720"/>
        </w:tabs>
        <w:spacing w:after="120"/>
        <w:ind w:left="720" w:hanging="302"/>
        <w:rPr>
          <w:rFonts w:cs="Calibri"/>
        </w:rPr>
      </w:pPr>
      <w:r>
        <w:rPr>
          <w:rFonts w:cs="Calibri"/>
        </w:rPr>
        <w:t>A b</w:t>
      </w:r>
      <w:r w:rsidR="004B37E8">
        <w:rPr>
          <w:rFonts w:cs="Calibri"/>
        </w:rPr>
        <w:t xml:space="preserve">ackground on MassHealth, </w:t>
      </w:r>
      <w:r w:rsidR="003A5B2B" w:rsidRPr="00ED649A">
        <w:rPr>
          <w:rFonts w:cs="Calibri"/>
        </w:rPr>
        <w:t xml:space="preserve">including strategic goals and objectives, quality oversight, and </w:t>
      </w:r>
      <w:r w:rsidR="00172D1A">
        <w:rPr>
          <w:rFonts w:cs="Calibri"/>
        </w:rPr>
        <w:t xml:space="preserve">the </w:t>
      </w:r>
      <w:r w:rsidR="003A5B2B">
        <w:rPr>
          <w:rFonts w:cs="Calibri"/>
        </w:rPr>
        <w:t xml:space="preserve">quality </w:t>
      </w:r>
      <w:r w:rsidR="003A5B2B" w:rsidRPr="00ED649A">
        <w:rPr>
          <w:rFonts w:cs="Calibri"/>
        </w:rPr>
        <w:t>strategy development</w:t>
      </w:r>
      <w:r w:rsidR="003A5B2B">
        <w:rPr>
          <w:rFonts w:cs="Calibri"/>
        </w:rPr>
        <w:t xml:space="preserve"> process</w:t>
      </w:r>
      <w:r w:rsidR="003A5B2B" w:rsidRPr="00ED649A">
        <w:rPr>
          <w:rFonts w:cs="Calibri"/>
        </w:rPr>
        <w:t xml:space="preserve">; </w:t>
      </w:r>
    </w:p>
    <w:p w14:paraId="1EF1DC74" w14:textId="77777777" w:rsidR="003A5B2B" w:rsidRDefault="002E34B8" w:rsidP="009729DB">
      <w:pPr>
        <w:numPr>
          <w:ilvl w:val="0"/>
          <w:numId w:val="23"/>
        </w:numPr>
        <w:tabs>
          <w:tab w:val="left" w:pos="720"/>
        </w:tabs>
        <w:spacing w:after="120"/>
        <w:ind w:left="720" w:hanging="302"/>
        <w:rPr>
          <w:rFonts w:cs="Calibri"/>
        </w:rPr>
      </w:pPr>
      <w:r>
        <w:rPr>
          <w:rFonts w:cs="Calibri"/>
        </w:rPr>
        <w:t>Description of</w:t>
      </w:r>
      <w:r w:rsidR="003A5B2B" w:rsidRPr="00ED649A">
        <w:rPr>
          <w:rFonts w:cs="Calibri"/>
        </w:rPr>
        <w:t xml:space="preserve"> </w:t>
      </w:r>
      <w:r w:rsidR="003A5B2B">
        <w:rPr>
          <w:rFonts w:cs="Calibri"/>
        </w:rPr>
        <w:t>a</w:t>
      </w:r>
      <w:r w:rsidR="003A5B2B" w:rsidRPr="00ED649A">
        <w:rPr>
          <w:rFonts w:cs="Calibri"/>
        </w:rPr>
        <w:t xml:space="preserve">gency-wide quality goals </w:t>
      </w:r>
      <w:r w:rsidR="00172D1A">
        <w:rPr>
          <w:rFonts w:cs="Calibri"/>
        </w:rPr>
        <w:t>and</w:t>
      </w:r>
      <w:r w:rsidR="003A5B2B" w:rsidRPr="00ED649A">
        <w:rPr>
          <w:rFonts w:cs="Calibri"/>
        </w:rPr>
        <w:t xml:space="preserve"> key a</w:t>
      </w:r>
      <w:r>
        <w:rPr>
          <w:rFonts w:cs="Calibri"/>
        </w:rPr>
        <w:t xml:space="preserve">ctivities/efforts </w:t>
      </w:r>
      <w:r w:rsidR="00172D1A">
        <w:rPr>
          <w:rFonts w:cs="Calibri"/>
        </w:rPr>
        <w:t>that support</w:t>
      </w:r>
      <w:r w:rsidR="003A5B2B" w:rsidRPr="00ED649A">
        <w:rPr>
          <w:rFonts w:cs="Calibri"/>
        </w:rPr>
        <w:t xml:space="preserve"> </w:t>
      </w:r>
      <w:r w:rsidR="004B37E8">
        <w:rPr>
          <w:rFonts w:cs="Calibri"/>
        </w:rPr>
        <w:t>achievement of thos</w:t>
      </w:r>
      <w:r w:rsidR="003A5B2B" w:rsidRPr="00ED649A">
        <w:rPr>
          <w:rFonts w:cs="Calibri"/>
        </w:rPr>
        <w:t>e goals</w:t>
      </w:r>
      <w:r w:rsidR="004B37E8">
        <w:rPr>
          <w:rFonts w:cs="Calibri"/>
        </w:rPr>
        <w:t>, including the</w:t>
      </w:r>
      <w:r w:rsidR="00172D1A">
        <w:rPr>
          <w:rFonts w:cs="Calibri"/>
        </w:rPr>
        <w:t xml:space="preserve"> following </w:t>
      </w:r>
      <w:r w:rsidR="003A5B2B">
        <w:rPr>
          <w:rFonts w:cs="Calibri"/>
        </w:rPr>
        <w:t xml:space="preserve">key elements: </w:t>
      </w:r>
    </w:p>
    <w:p w14:paraId="3FA3060A" w14:textId="77777777" w:rsidR="003A5B2B" w:rsidRPr="00ED649A" w:rsidRDefault="003A5B2B" w:rsidP="009729DB">
      <w:pPr>
        <w:numPr>
          <w:ilvl w:val="1"/>
          <w:numId w:val="23"/>
        </w:numPr>
        <w:tabs>
          <w:tab w:val="left" w:pos="720"/>
        </w:tabs>
        <w:spacing w:after="120"/>
        <w:rPr>
          <w:rFonts w:cs="Calibri"/>
        </w:rPr>
      </w:pPr>
      <w:r w:rsidRPr="00ED649A">
        <w:rPr>
          <w:rFonts w:cs="Calibri"/>
        </w:rPr>
        <w:t>Identification of shared goals and aims;</w:t>
      </w:r>
    </w:p>
    <w:p w14:paraId="6C2B7470" w14:textId="77777777" w:rsidR="003A5B2B" w:rsidRPr="00ED649A" w:rsidRDefault="003A5B2B" w:rsidP="009729DB">
      <w:pPr>
        <w:numPr>
          <w:ilvl w:val="1"/>
          <w:numId w:val="23"/>
        </w:numPr>
        <w:tabs>
          <w:tab w:val="left" w:pos="720"/>
        </w:tabs>
        <w:spacing w:after="120"/>
        <w:rPr>
          <w:rFonts w:cs="Calibri"/>
        </w:rPr>
      </w:pPr>
      <w:r>
        <w:rPr>
          <w:rFonts w:cs="Calibri"/>
        </w:rPr>
        <w:t>Selection of</w:t>
      </w:r>
      <w:r w:rsidRPr="00ED649A">
        <w:rPr>
          <w:rFonts w:cs="Calibri"/>
        </w:rPr>
        <w:t xml:space="preserve"> </w:t>
      </w:r>
      <w:r w:rsidR="00306F85">
        <w:rPr>
          <w:rFonts w:cs="Calibri"/>
        </w:rPr>
        <w:t xml:space="preserve">agency-wide </w:t>
      </w:r>
      <w:r w:rsidR="00172D1A">
        <w:rPr>
          <w:rFonts w:cs="Calibri"/>
        </w:rPr>
        <w:t xml:space="preserve">activities </w:t>
      </w:r>
      <w:r w:rsidR="00D62F43">
        <w:rPr>
          <w:rFonts w:cs="Calibri"/>
        </w:rPr>
        <w:t xml:space="preserve">designed to </w:t>
      </w:r>
      <w:r w:rsidRPr="00ED649A">
        <w:rPr>
          <w:rFonts w:cs="Calibri"/>
        </w:rPr>
        <w:t>achieve these goals and aims;</w:t>
      </w:r>
    </w:p>
    <w:p w14:paraId="5A1EDF7A" w14:textId="77777777" w:rsidR="003A5B2B" w:rsidRPr="00ED649A" w:rsidRDefault="003A5B2B" w:rsidP="009729DB">
      <w:pPr>
        <w:numPr>
          <w:ilvl w:val="1"/>
          <w:numId w:val="23"/>
        </w:numPr>
        <w:tabs>
          <w:tab w:val="left" w:pos="720"/>
        </w:tabs>
        <w:spacing w:after="120"/>
        <w:rPr>
          <w:rFonts w:cs="Calibri"/>
        </w:rPr>
      </w:pPr>
      <w:r w:rsidRPr="00ED649A">
        <w:rPr>
          <w:rFonts w:cs="Calibri"/>
        </w:rPr>
        <w:t>Measurement and monitoring progress toward</w:t>
      </w:r>
      <w:r w:rsidR="00D62F43">
        <w:rPr>
          <w:rFonts w:cs="Calibri"/>
        </w:rPr>
        <w:t xml:space="preserve"> </w:t>
      </w:r>
      <w:r w:rsidR="00306F85">
        <w:rPr>
          <w:rFonts w:cs="Calibri"/>
        </w:rPr>
        <w:t>achieving</w:t>
      </w:r>
      <w:r w:rsidRPr="00ED649A">
        <w:rPr>
          <w:rFonts w:cs="Calibri"/>
        </w:rPr>
        <w:t xml:space="preserve"> these goals and aims;</w:t>
      </w:r>
    </w:p>
    <w:p w14:paraId="6D702FA6" w14:textId="77777777" w:rsidR="003A5B2B" w:rsidRPr="00ED649A" w:rsidRDefault="00172D1A" w:rsidP="009729DB">
      <w:pPr>
        <w:numPr>
          <w:ilvl w:val="1"/>
          <w:numId w:val="23"/>
        </w:numPr>
        <w:tabs>
          <w:tab w:val="left" w:pos="720"/>
        </w:tabs>
        <w:spacing w:after="120"/>
        <w:rPr>
          <w:rFonts w:cs="Calibri"/>
        </w:rPr>
      </w:pPr>
      <w:r>
        <w:rPr>
          <w:rFonts w:cs="Calibri"/>
        </w:rPr>
        <w:t>Identification of benchmark sources</w:t>
      </w:r>
      <w:r w:rsidR="003A5B2B" w:rsidRPr="00ED649A">
        <w:rPr>
          <w:rFonts w:cs="Calibri"/>
        </w:rPr>
        <w:t xml:space="preserve"> </w:t>
      </w:r>
      <w:r>
        <w:rPr>
          <w:rFonts w:cs="Calibri"/>
        </w:rPr>
        <w:t>used to establish</w:t>
      </w:r>
      <w:r w:rsidR="003A5B2B" w:rsidRPr="00ED649A">
        <w:rPr>
          <w:rFonts w:cs="Calibri"/>
        </w:rPr>
        <w:t xml:space="preserve"> targets for performance; and</w:t>
      </w:r>
    </w:p>
    <w:p w14:paraId="03E0D577" w14:textId="77777777" w:rsidR="003A5B2B" w:rsidRPr="00ED649A" w:rsidRDefault="002E34B8" w:rsidP="009729DB">
      <w:pPr>
        <w:numPr>
          <w:ilvl w:val="1"/>
          <w:numId w:val="23"/>
        </w:numPr>
        <w:tabs>
          <w:tab w:val="left" w:pos="720"/>
        </w:tabs>
        <w:spacing w:after="120"/>
        <w:rPr>
          <w:rFonts w:cs="Calibri"/>
        </w:rPr>
      </w:pPr>
      <w:r>
        <w:rPr>
          <w:rFonts w:cs="Calibri"/>
        </w:rPr>
        <w:t>Description of processes for</w:t>
      </w:r>
      <w:r w:rsidR="003A5B2B" w:rsidRPr="00ED649A">
        <w:rPr>
          <w:rFonts w:cs="Calibri"/>
        </w:rPr>
        <w:t xml:space="preserve"> development, implementation, </w:t>
      </w:r>
      <w:r w:rsidR="00172D1A">
        <w:rPr>
          <w:rFonts w:cs="Calibri"/>
        </w:rPr>
        <w:t xml:space="preserve"> </w:t>
      </w:r>
      <w:r w:rsidR="003A5B2B" w:rsidRPr="00ED649A">
        <w:rPr>
          <w:rFonts w:cs="Calibri"/>
        </w:rPr>
        <w:t>evaluation</w:t>
      </w:r>
      <w:r w:rsidR="00172D1A">
        <w:rPr>
          <w:rFonts w:cs="Calibri"/>
        </w:rPr>
        <w:t xml:space="preserve"> and </w:t>
      </w:r>
      <w:r w:rsidR="000C180B">
        <w:rPr>
          <w:rFonts w:cs="Calibri"/>
        </w:rPr>
        <w:t>reporting</w:t>
      </w:r>
      <w:r w:rsidR="00306F85">
        <w:rPr>
          <w:rFonts w:cs="Calibri"/>
        </w:rPr>
        <w:t xml:space="preserve"> </w:t>
      </w:r>
    </w:p>
    <w:p w14:paraId="6369E7E8" w14:textId="77777777" w:rsidR="002B64B3" w:rsidRPr="004B37E8" w:rsidRDefault="003A5B2B" w:rsidP="009729DB">
      <w:pPr>
        <w:numPr>
          <w:ilvl w:val="0"/>
          <w:numId w:val="23"/>
        </w:numPr>
        <w:tabs>
          <w:tab w:val="left" w:pos="720"/>
        </w:tabs>
        <w:spacing w:after="120"/>
        <w:ind w:left="720" w:hanging="302"/>
        <w:rPr>
          <w:rFonts w:cs="Calibri"/>
        </w:rPr>
      </w:pPr>
      <w:r>
        <w:rPr>
          <w:rFonts w:cs="Calibri"/>
        </w:rPr>
        <w:t xml:space="preserve"> Managed care-</w:t>
      </w:r>
      <w:r w:rsidRPr="00ED649A">
        <w:rPr>
          <w:rFonts w:cs="Calibri"/>
        </w:rPr>
        <w:t>specific quality requirements</w:t>
      </w:r>
      <w:r>
        <w:rPr>
          <w:rFonts w:cs="Calibri"/>
        </w:rPr>
        <w:t xml:space="preserve"> in </w:t>
      </w:r>
      <w:r w:rsidR="0022397A">
        <w:rPr>
          <w:rFonts w:cs="Calibri"/>
        </w:rPr>
        <w:t>accordance with</w:t>
      </w:r>
      <w:r>
        <w:rPr>
          <w:rFonts w:cs="Calibri"/>
        </w:rPr>
        <w:t xml:space="preserve"> </w:t>
      </w:r>
      <w:r w:rsidRPr="00ED649A">
        <w:rPr>
          <w:rFonts w:cs="Calibri"/>
        </w:rPr>
        <w:t xml:space="preserve">42 CFR 438 subpart </w:t>
      </w:r>
      <w:r w:rsidR="0022397A">
        <w:rPr>
          <w:rFonts w:cs="Calibri"/>
        </w:rPr>
        <w:t>E</w:t>
      </w:r>
      <w:r w:rsidRPr="00ED649A">
        <w:rPr>
          <w:rFonts w:cs="Calibri"/>
        </w:rPr>
        <w:t xml:space="preserve">. </w:t>
      </w:r>
    </w:p>
    <w:p w14:paraId="70F29987" w14:textId="77777777" w:rsidR="00335817" w:rsidRDefault="00335817" w:rsidP="002B64B3">
      <w:r w:rsidRPr="00CE70C7">
        <w:t>This comprehensive</w:t>
      </w:r>
      <w:r>
        <w:t xml:space="preserve"> </w:t>
      </w:r>
      <w:r w:rsidR="0022397A">
        <w:t>Quality</w:t>
      </w:r>
      <w:r w:rsidR="0022397A" w:rsidRPr="00CE70C7">
        <w:t xml:space="preserve"> </w:t>
      </w:r>
      <w:r w:rsidR="0022397A">
        <w:t>S</w:t>
      </w:r>
      <w:r w:rsidR="0022397A" w:rsidRPr="00CE70C7">
        <w:t>trategy</w:t>
      </w:r>
      <w:r w:rsidR="0022397A">
        <w:t xml:space="preserve"> </w:t>
      </w:r>
      <w:r w:rsidR="002B64B3">
        <w:t>p</w:t>
      </w:r>
      <w:r w:rsidR="00E53E7A">
        <w:t>resents an</w:t>
      </w:r>
      <w:r>
        <w:t xml:space="preserve"> </w:t>
      </w:r>
      <w:r w:rsidRPr="00CE70C7">
        <w:t xml:space="preserve">opportunity to </w:t>
      </w:r>
      <w:r>
        <w:t>bring together</w:t>
      </w:r>
      <w:r w:rsidR="004B37E8">
        <w:t xml:space="preserve"> the numerous </w:t>
      </w:r>
      <w:r w:rsidRPr="00CE70C7">
        <w:t>quality</w:t>
      </w:r>
      <w:r w:rsidR="000C180B">
        <w:t xml:space="preserve"> programming,</w:t>
      </w:r>
      <w:r w:rsidRPr="00CE70C7">
        <w:t xml:space="preserve"> </w:t>
      </w:r>
      <w:r w:rsidR="000C180B">
        <w:t xml:space="preserve">measurement and </w:t>
      </w:r>
      <w:r w:rsidRPr="00CE70C7">
        <w:t xml:space="preserve">improvement efforts </w:t>
      </w:r>
      <w:r w:rsidR="004B37E8">
        <w:t>that take place</w:t>
      </w:r>
      <w:r w:rsidRPr="00CE70C7">
        <w:t xml:space="preserve"> </w:t>
      </w:r>
      <w:r>
        <w:t xml:space="preserve">across </w:t>
      </w:r>
      <w:r w:rsidRPr="00CE70C7">
        <w:t xml:space="preserve">the </w:t>
      </w:r>
      <w:r>
        <w:t>agency</w:t>
      </w:r>
      <w:r w:rsidR="004B37E8">
        <w:t>. Additionally, this strategic framework facilitates a</w:t>
      </w:r>
      <w:r w:rsidRPr="00CE70C7">
        <w:t xml:space="preserve"> mov</w:t>
      </w:r>
      <w:r w:rsidR="00E53E7A">
        <w:t>e toward alignment</w:t>
      </w:r>
      <w:r>
        <w:t xml:space="preserve"> of </w:t>
      </w:r>
      <w:r w:rsidR="00306F85">
        <w:t>agency</w:t>
      </w:r>
      <w:r w:rsidR="00E53E7A">
        <w:t>-wide</w:t>
      </w:r>
      <w:r>
        <w:t xml:space="preserve"> </w:t>
      </w:r>
      <w:r w:rsidRPr="00CE70C7">
        <w:t>initiatives</w:t>
      </w:r>
      <w:r>
        <w:t xml:space="preserve"> </w:t>
      </w:r>
      <w:r w:rsidR="004B37E8">
        <w:t>that reflect MassHealth</w:t>
      </w:r>
      <w:r>
        <w:t xml:space="preserve"> priorities </w:t>
      </w:r>
      <w:r w:rsidR="00433E9E">
        <w:t xml:space="preserve">and </w:t>
      </w:r>
      <w:r w:rsidR="004B37E8">
        <w:t>address</w:t>
      </w:r>
      <w:r>
        <w:t xml:space="preserve"> the special needs of our populations.</w:t>
      </w:r>
    </w:p>
    <w:p w14:paraId="25F8BF9D" w14:textId="77777777" w:rsidR="00335817" w:rsidRDefault="00335817" w:rsidP="002B64B3">
      <w:r w:rsidRPr="00ED649A">
        <w:t xml:space="preserve">This updated Quality Strategy incorporates </w:t>
      </w:r>
      <w:r w:rsidRPr="00B97138">
        <w:t xml:space="preserve">the </w:t>
      </w:r>
      <w:r w:rsidR="000C180B" w:rsidRPr="00B97138">
        <w:t>initial</w:t>
      </w:r>
      <w:r w:rsidR="00B97138" w:rsidRPr="00B97138">
        <w:t xml:space="preserve"> </w:t>
      </w:r>
      <w:r w:rsidRPr="00B97138">
        <w:t>“</w:t>
      </w:r>
      <w:r w:rsidRPr="00ED649A">
        <w:t xml:space="preserve">Quality Considerations </w:t>
      </w:r>
      <w:r w:rsidR="00433E9E">
        <w:t xml:space="preserve">for Medicaid and CHIP programs” guidance communicated </w:t>
      </w:r>
      <w:r w:rsidR="00433E9E" w:rsidRPr="00ED649A">
        <w:t>by</w:t>
      </w:r>
      <w:r w:rsidR="00433E9E">
        <w:t xml:space="preserve"> CMS in its</w:t>
      </w:r>
      <w:r w:rsidRPr="00ED649A">
        <w:t xml:space="preserve"> </w:t>
      </w:r>
      <w:hyperlink r:id="rId13" w:history="1">
        <w:r w:rsidRPr="00ED649A">
          <w:rPr>
            <w:rStyle w:val="Hyperlink"/>
            <w:color w:val="862074"/>
          </w:rPr>
          <w:t>November 2013 State Health Official Letter</w:t>
        </w:r>
      </w:hyperlink>
      <w:r w:rsidRPr="00ED649A">
        <w:t> (PDF</w:t>
      </w:r>
      <w:r w:rsidR="001A5D8C">
        <w:t xml:space="preserve">). </w:t>
      </w:r>
      <w:r w:rsidRPr="00ED649A">
        <w:t xml:space="preserve"> </w:t>
      </w:r>
      <w:r w:rsidR="001A5D8C">
        <w:t xml:space="preserve">CMS </w:t>
      </w:r>
      <w:r w:rsidRPr="00ED649A">
        <w:t xml:space="preserve">guidance </w:t>
      </w:r>
      <w:r>
        <w:t xml:space="preserve">will </w:t>
      </w:r>
      <w:r w:rsidR="00B87322">
        <w:t xml:space="preserve">continue to </w:t>
      </w:r>
      <w:r>
        <w:t>inform</w:t>
      </w:r>
      <w:r w:rsidRPr="00ED649A">
        <w:t xml:space="preserve"> our framework for quality improvement and measurement.</w:t>
      </w:r>
      <w:r w:rsidRPr="00045DD5">
        <w:t xml:space="preserve"> </w:t>
      </w:r>
      <w:r>
        <w:t xml:space="preserve"> </w:t>
      </w:r>
    </w:p>
    <w:p w14:paraId="52DBAF58" w14:textId="77777777" w:rsidR="00335817" w:rsidRDefault="00335817" w:rsidP="00335817">
      <w:pPr>
        <w:sectPr w:rsidR="00335817" w:rsidSect="00F013F5">
          <w:footerReference w:type="default" r:id="rId14"/>
          <w:footerReference w:type="first" r:id="rId15"/>
          <w:type w:val="continuous"/>
          <w:pgSz w:w="12240" w:h="15840"/>
          <w:pgMar w:top="1440" w:right="1440" w:bottom="1440" w:left="1440" w:header="720" w:footer="720" w:gutter="0"/>
          <w:pgNumType w:start="1"/>
          <w:cols w:space="720"/>
          <w:titlePg/>
          <w:docGrid w:linePitch="360"/>
        </w:sectPr>
      </w:pPr>
    </w:p>
    <w:p w14:paraId="50E29D7B" w14:textId="77777777" w:rsidR="00335817" w:rsidRPr="002E34B8" w:rsidRDefault="00335817" w:rsidP="00287562">
      <w:pPr>
        <w:pStyle w:val="Heading1"/>
        <w:numPr>
          <w:ilvl w:val="0"/>
          <w:numId w:val="42"/>
        </w:numPr>
        <w:ind w:left="0"/>
      </w:pPr>
      <w:bookmarkStart w:id="5" w:name="_Ref522018510"/>
      <w:bookmarkStart w:id="6" w:name="_Toc529177861"/>
      <w:r w:rsidRPr="002E34B8">
        <w:lastRenderedPageBreak/>
        <w:t>MassHealth Program</w:t>
      </w:r>
      <w:r w:rsidRPr="00FA25A8">
        <w:t xml:space="preserve"> </w:t>
      </w:r>
      <w:r w:rsidRPr="002E34B8">
        <w:t>Background</w:t>
      </w:r>
      <w:bookmarkEnd w:id="5"/>
      <w:bookmarkEnd w:id="6"/>
    </w:p>
    <w:p w14:paraId="20C061B6" w14:textId="77777777" w:rsidR="00335817" w:rsidRPr="00FA25A8" w:rsidRDefault="00335817" w:rsidP="00335817">
      <w:pPr>
        <w:pStyle w:val="Heading2"/>
        <w:rPr>
          <w:rFonts w:ascii="Calibri" w:hAnsi="Calibri"/>
        </w:rPr>
      </w:pPr>
      <w:bookmarkStart w:id="7" w:name="_Toc529177862"/>
      <w:r>
        <w:rPr>
          <w:rFonts w:ascii="Calibri" w:hAnsi="Calibri"/>
        </w:rPr>
        <w:t>Overview</w:t>
      </w:r>
      <w:bookmarkEnd w:id="7"/>
      <w:r>
        <w:rPr>
          <w:rFonts w:ascii="Calibri" w:hAnsi="Calibri"/>
        </w:rPr>
        <w:t xml:space="preserve"> </w:t>
      </w:r>
    </w:p>
    <w:p w14:paraId="0F71376C" w14:textId="77777777" w:rsidR="00335817" w:rsidRDefault="00335817" w:rsidP="00335817">
      <w:r w:rsidRPr="00354CD0">
        <w:t xml:space="preserve">MassHealth (Massachusetts’ Medicaid and Children’s Health Insurance Programs) </w:t>
      </w:r>
      <w:r w:rsidR="001A5D8C">
        <w:t>provides health coverage to 1.82</w:t>
      </w:r>
      <w:r w:rsidRPr="00354CD0">
        <w:t xml:space="preserve"> million, or about 1 in 4, Massachusetts </w:t>
      </w:r>
      <w:r w:rsidR="001A5D8C">
        <w:t xml:space="preserve">residents and is </w:t>
      </w:r>
      <w:r w:rsidR="001A5D8C" w:rsidRPr="001A5D8C">
        <w:t xml:space="preserve">essential </w:t>
      </w:r>
      <w:r w:rsidRPr="001A5D8C">
        <w:t xml:space="preserve">to maintaining the Commonwealth’s high level of </w:t>
      </w:r>
      <w:r w:rsidR="00732CF8">
        <w:t xml:space="preserve">insurance </w:t>
      </w:r>
      <w:r w:rsidRPr="001A5D8C">
        <w:t>coverage at over 9</w:t>
      </w:r>
      <w:r w:rsidR="00D14BAE">
        <w:t>7</w:t>
      </w:r>
      <w:r w:rsidRPr="001A5D8C">
        <w:t xml:space="preserve"> percent. Approximately 70 percent of MassHealth members are enrolle</w:t>
      </w:r>
      <w:r w:rsidR="00D14BAE">
        <w:t xml:space="preserve">d in managed care </w:t>
      </w:r>
      <w:r w:rsidR="00732CF8">
        <w:t xml:space="preserve">entities </w:t>
      </w:r>
      <w:r w:rsidR="00D14BAE">
        <w:t>(MCE</w:t>
      </w:r>
      <w:r w:rsidRPr="001A5D8C">
        <w:t>s</w:t>
      </w:r>
      <w:r w:rsidR="00CE5FC9">
        <w:t xml:space="preserve">, also referred to as </w:t>
      </w:r>
      <w:r w:rsidR="00444B20">
        <w:t>p</w:t>
      </w:r>
      <w:r w:rsidR="00CE5FC9">
        <w:t>lans throughout this document</w:t>
      </w:r>
      <w:r w:rsidRPr="001A5D8C">
        <w:t>), with the remaining 30</w:t>
      </w:r>
      <w:r w:rsidR="0022397A">
        <w:t xml:space="preserve"> percent</w:t>
      </w:r>
      <w:r w:rsidR="0022397A" w:rsidRPr="001A5D8C">
        <w:t xml:space="preserve"> </w:t>
      </w:r>
      <w:r w:rsidRPr="001A5D8C">
        <w:t xml:space="preserve">in the Fee for Service program (FFS).  2018 marks a </w:t>
      </w:r>
      <w:r w:rsidRPr="001A5D8C">
        <w:lastRenderedPageBreak/>
        <w:t>dramatic shift in service delivery</w:t>
      </w:r>
      <w:r w:rsidR="000C180B">
        <w:t xml:space="preserve"> models</w:t>
      </w:r>
      <w:r w:rsidRPr="001A5D8C">
        <w:t xml:space="preserve"> with a significant portion</w:t>
      </w:r>
      <w:r>
        <w:t xml:space="preserve"> of the MassHealth managed care population, previously enrolled in traditional managed care plans, </w:t>
      </w:r>
      <w:r w:rsidR="004B45D5">
        <w:t>such as</w:t>
      </w:r>
      <w:r w:rsidR="0022397A">
        <w:t xml:space="preserve"> the</w:t>
      </w:r>
      <w:r w:rsidR="004B45D5">
        <w:t xml:space="preserve"> Managed Care Organization Program and the Primary Care Clinician Plan, </w:t>
      </w:r>
      <w:r>
        <w:t>receiving services through Accountable Care Organization (ACO) programs.</w:t>
      </w:r>
    </w:p>
    <w:p w14:paraId="0567D579" w14:textId="77777777" w:rsidR="00335817" w:rsidRDefault="001A5D8C" w:rsidP="00335817">
      <w:pPr>
        <w:pStyle w:val="Heading2"/>
        <w:rPr>
          <w:rFonts w:ascii="Calibri" w:hAnsi="Calibri"/>
        </w:rPr>
      </w:pPr>
      <w:bookmarkStart w:id="8" w:name="_Toc529177863"/>
      <w:r>
        <w:rPr>
          <w:rFonts w:ascii="Calibri" w:hAnsi="Calibri"/>
        </w:rPr>
        <w:t xml:space="preserve">MassHealth Strategic </w:t>
      </w:r>
      <w:r w:rsidR="00335817">
        <w:rPr>
          <w:rFonts w:ascii="Calibri" w:hAnsi="Calibri"/>
        </w:rPr>
        <w:t>Goals and Objectives</w:t>
      </w:r>
      <w:bookmarkEnd w:id="8"/>
    </w:p>
    <w:p w14:paraId="7B752F03" w14:textId="77777777" w:rsidR="00D14BAE" w:rsidRDefault="00335817" w:rsidP="00335817">
      <w:r w:rsidRPr="00FA25A8">
        <w:rPr>
          <w:rFonts w:eastAsia="Times New Roman"/>
          <w:bCs/>
          <w:iCs/>
        </w:rPr>
        <w:t xml:space="preserve">MassHealth is dedicated to </w:t>
      </w:r>
      <w:r w:rsidRPr="00FA25A8">
        <w:t xml:space="preserve">improving the health outcomes of </w:t>
      </w:r>
      <w:r w:rsidR="00306F85">
        <w:t>its</w:t>
      </w:r>
      <w:r w:rsidR="00306F85" w:rsidRPr="00FA25A8">
        <w:t xml:space="preserve"> diverse</w:t>
      </w:r>
      <w:r w:rsidRPr="00FA25A8">
        <w:t xml:space="preserve"> members</w:t>
      </w:r>
      <w:r w:rsidR="00C64F23">
        <w:t xml:space="preserve"> </w:t>
      </w:r>
      <w:r w:rsidRPr="00FA25A8">
        <w:t xml:space="preserve">by providing access to integrated health care services that sustainably promote health, well-being, independence, and quality of life. </w:t>
      </w:r>
    </w:p>
    <w:p w14:paraId="59997ECC" w14:textId="77777777" w:rsidR="00335817" w:rsidRDefault="00335817" w:rsidP="00335817">
      <w:pPr>
        <w:rPr>
          <w:rFonts w:cs="Calibri"/>
        </w:rPr>
      </w:pPr>
      <w:r w:rsidRPr="00FA25A8">
        <w:t xml:space="preserve">To achieve this mission, MassHealth has identified a series of strategic </w:t>
      </w:r>
      <w:r>
        <w:t>goals and associated objectives</w:t>
      </w:r>
      <w:r>
        <w:rPr>
          <w:rFonts w:cs="Calibri"/>
        </w:rPr>
        <w:t xml:space="preserve">. In 2017, the goals were reviewed by the MassHealth Quality Committee to determine their alignment with current programmatic and quality </w:t>
      </w:r>
      <w:r w:rsidRPr="00C76441">
        <w:rPr>
          <w:rFonts w:cs="Calibri"/>
        </w:rPr>
        <w:t xml:space="preserve">activities.  </w:t>
      </w:r>
      <w:r>
        <w:rPr>
          <w:rFonts w:cs="Calibri"/>
        </w:rPr>
        <w:t xml:space="preserve"> The Quality Committee, in conjunction with </w:t>
      </w:r>
      <w:r w:rsidR="00D14BAE">
        <w:rPr>
          <w:rFonts w:cs="Calibri"/>
        </w:rPr>
        <w:t xml:space="preserve">MassHealth </w:t>
      </w:r>
      <w:r>
        <w:rPr>
          <w:rFonts w:cs="Calibri"/>
        </w:rPr>
        <w:t>leadership, revised these foundational goals,</w:t>
      </w:r>
      <w:r w:rsidRPr="00C76441">
        <w:rPr>
          <w:rFonts w:cs="Calibri"/>
        </w:rPr>
        <w:t xml:space="preserve"> to</w:t>
      </w:r>
      <w:r>
        <w:rPr>
          <w:rFonts w:cs="Calibri"/>
        </w:rPr>
        <w:t xml:space="preserve"> better </w:t>
      </w:r>
      <w:r w:rsidR="00D14BAE">
        <w:rPr>
          <w:rFonts w:cs="Calibri"/>
        </w:rPr>
        <w:t xml:space="preserve">capture the current landscape. Recent changes in the Massachusetts Medicaid program include the implementation of payment and delivery system reforms, through which </w:t>
      </w:r>
      <w:r>
        <w:rPr>
          <w:rFonts w:cs="Calibri"/>
        </w:rPr>
        <w:t xml:space="preserve">the </w:t>
      </w:r>
      <w:r w:rsidR="002C231C">
        <w:rPr>
          <w:rFonts w:cs="Calibri"/>
        </w:rPr>
        <w:t>Commonwealth</w:t>
      </w:r>
      <w:r w:rsidR="00D14BAE">
        <w:rPr>
          <w:rFonts w:cs="Calibri"/>
        </w:rPr>
        <w:t xml:space="preserve"> aims</w:t>
      </w:r>
      <w:r>
        <w:rPr>
          <w:rFonts w:cs="Calibri"/>
        </w:rPr>
        <w:t xml:space="preserve"> to further emphasize value in care delivery, better meet member needs through more integrated and coordinated care</w:t>
      </w:r>
      <w:r w:rsidR="000A5353">
        <w:rPr>
          <w:rFonts w:cs="Calibri"/>
        </w:rPr>
        <w:t>,</w:t>
      </w:r>
      <w:r>
        <w:rPr>
          <w:rFonts w:cs="Calibri"/>
        </w:rPr>
        <w:t xml:space="preserve"> and moderate the cost trend while maintaining</w:t>
      </w:r>
      <w:r w:rsidR="00537A60">
        <w:rPr>
          <w:rFonts w:cs="Calibri"/>
        </w:rPr>
        <w:t xml:space="preserve"> </w:t>
      </w:r>
      <w:r>
        <w:rPr>
          <w:rFonts w:cs="Calibri"/>
        </w:rPr>
        <w:t xml:space="preserve">clinical quality of care. </w:t>
      </w:r>
    </w:p>
    <w:p w14:paraId="70A249EC" w14:textId="77777777" w:rsidR="00335817" w:rsidRDefault="00D14BAE" w:rsidP="00335817">
      <w:pPr>
        <w:rPr>
          <w:b/>
        </w:rPr>
      </w:pPr>
      <w:r>
        <w:rPr>
          <w:b/>
        </w:rPr>
        <w:t xml:space="preserve">MassHealth Strategic </w:t>
      </w:r>
      <w:r w:rsidR="00F14BE0">
        <w:rPr>
          <w:b/>
        </w:rPr>
        <w:t>Goals:</w:t>
      </w:r>
    </w:p>
    <w:p w14:paraId="1CFADF91" w14:textId="77777777" w:rsidR="00B2606E" w:rsidRPr="00B2606E" w:rsidRDefault="00B2606E" w:rsidP="00335817">
      <w:r>
        <w:t xml:space="preserve">MassHealth goals aim to: </w:t>
      </w:r>
    </w:p>
    <w:p w14:paraId="5F5F88D4" w14:textId="77777777" w:rsidR="00335817" w:rsidRDefault="00335817" w:rsidP="009729DB">
      <w:pPr>
        <w:pStyle w:val="ListParagraph"/>
        <w:numPr>
          <w:ilvl w:val="0"/>
          <w:numId w:val="28"/>
        </w:numPr>
      </w:pPr>
      <w:r>
        <w:t xml:space="preserve">Deliver a seamless, streamlined, and accessible patient-centered member experience, </w:t>
      </w:r>
      <w:r w:rsidR="000C180B">
        <w:t xml:space="preserve">with focus on </w:t>
      </w:r>
      <w:r>
        <w:t xml:space="preserve"> preventative, patient-centered primary care, and community-based services and supports</w:t>
      </w:r>
    </w:p>
    <w:p w14:paraId="6F110DF8" w14:textId="77777777" w:rsidR="00335817" w:rsidRDefault="00335817" w:rsidP="009729DB">
      <w:pPr>
        <w:pStyle w:val="ListParagraph"/>
        <w:numPr>
          <w:ilvl w:val="0"/>
          <w:numId w:val="28"/>
        </w:numPr>
      </w:pPr>
      <w:r>
        <w:t>Enact payment and delivery system reforms that promote member-driven, integrated, coordinated care; and hold providers accountable for the quality and total cost of care.</w:t>
      </w:r>
    </w:p>
    <w:p w14:paraId="7C51E4F1" w14:textId="77777777" w:rsidR="00335817" w:rsidRDefault="00335817" w:rsidP="009729DB">
      <w:pPr>
        <w:pStyle w:val="ListParagraph"/>
        <w:numPr>
          <w:ilvl w:val="0"/>
          <w:numId w:val="28"/>
        </w:numPr>
      </w:pPr>
      <w:r>
        <w:t>Improve integrated care systems among physical health, behavioral health, long-term services and supports and health-related social services.</w:t>
      </w:r>
    </w:p>
    <w:p w14:paraId="6CC8E982" w14:textId="77777777" w:rsidR="00335817" w:rsidRPr="001A5D8C" w:rsidRDefault="00335817" w:rsidP="009729DB">
      <w:pPr>
        <w:pStyle w:val="ListParagraph"/>
        <w:numPr>
          <w:ilvl w:val="0"/>
          <w:numId w:val="28"/>
        </w:numPr>
        <w:rPr>
          <w:rFonts w:asciiTheme="minorHAnsi" w:hAnsiTheme="minorHAnsi" w:cstheme="minorHAnsi"/>
        </w:rPr>
      </w:pPr>
      <w:r w:rsidRPr="001A5D8C">
        <w:rPr>
          <w:rFonts w:asciiTheme="minorHAnsi" w:hAnsiTheme="minorHAnsi" w:cstheme="minorHAnsi"/>
        </w:rPr>
        <w:t>Sustainably support safety net providers to ensure continued access to care for Medicaid and low-income, uninsured individuals.</w:t>
      </w:r>
    </w:p>
    <w:p w14:paraId="72B31915" w14:textId="77777777" w:rsidR="00335817" w:rsidRDefault="00335817" w:rsidP="009729DB">
      <w:pPr>
        <w:pStyle w:val="ListParagraph"/>
        <w:numPr>
          <w:ilvl w:val="0"/>
          <w:numId w:val="28"/>
        </w:numPr>
      </w:pPr>
      <w:r>
        <w:t>Maintain our commitment to careful stewardship of public resources through innovative program integrity initiatives.</w:t>
      </w:r>
    </w:p>
    <w:p w14:paraId="5BD63A61" w14:textId="77777777" w:rsidR="00335817" w:rsidRDefault="00335817" w:rsidP="009729DB">
      <w:pPr>
        <w:pStyle w:val="ListParagraph"/>
        <w:numPr>
          <w:ilvl w:val="0"/>
          <w:numId w:val="28"/>
        </w:numPr>
      </w:pPr>
      <w:r>
        <w:t>Create an internal culture and infrastructure to support our ability to meet the evolving needs of our members and partners.</w:t>
      </w:r>
    </w:p>
    <w:p w14:paraId="448A8FE7" w14:textId="77777777" w:rsidR="00335817" w:rsidRPr="00F14BE0" w:rsidRDefault="00D14BAE" w:rsidP="00335817">
      <w:pPr>
        <w:rPr>
          <w:b/>
        </w:rPr>
      </w:pPr>
      <w:r>
        <w:rPr>
          <w:b/>
        </w:rPr>
        <w:t xml:space="preserve">MassHealth Strategic </w:t>
      </w:r>
      <w:r w:rsidR="00335817" w:rsidRPr="00F14BE0">
        <w:rPr>
          <w:b/>
        </w:rPr>
        <w:t>Objectives:</w:t>
      </w:r>
    </w:p>
    <w:p w14:paraId="12BF63A4" w14:textId="77777777" w:rsidR="00335817" w:rsidRPr="00BB4D7D" w:rsidRDefault="00B2606E" w:rsidP="00335817">
      <w:r>
        <w:t xml:space="preserve">To meet its goals of </w:t>
      </w:r>
      <w:r w:rsidR="00335817">
        <w:t>improved patient care, out</w:t>
      </w:r>
      <w:r>
        <w:t xml:space="preserve">comes and moderated cost trends, MassHealth identified the following objectives: </w:t>
      </w:r>
      <w:r w:rsidR="00335817" w:rsidRPr="00BB4D7D">
        <w:t xml:space="preserve"> </w:t>
      </w:r>
    </w:p>
    <w:p w14:paraId="535E526F" w14:textId="77777777" w:rsidR="00335817" w:rsidRDefault="00B2606E" w:rsidP="009729DB">
      <w:pPr>
        <w:pStyle w:val="ListParagraph"/>
        <w:numPr>
          <w:ilvl w:val="0"/>
          <w:numId w:val="29"/>
        </w:numPr>
      </w:pPr>
      <w:r>
        <w:t xml:space="preserve">Purchase </w:t>
      </w:r>
      <w:r w:rsidR="00335817">
        <w:t>quality health care services and driv</w:t>
      </w:r>
      <w:r>
        <w:t>e</w:t>
      </w:r>
      <w:r w:rsidR="00335817">
        <w:t xml:space="preserve"> delivery system change at the organizational and state level </w:t>
      </w:r>
    </w:p>
    <w:p w14:paraId="648D4D94" w14:textId="77777777" w:rsidR="00335817" w:rsidRDefault="00B2606E" w:rsidP="009729DB">
      <w:pPr>
        <w:pStyle w:val="ListParagraph"/>
        <w:numPr>
          <w:ilvl w:val="0"/>
          <w:numId w:val="29"/>
        </w:numPr>
      </w:pPr>
      <w:r>
        <w:t xml:space="preserve">Improve </w:t>
      </w:r>
      <w:r w:rsidR="00335817" w:rsidRPr="00BB4D7D">
        <w:t>the health care delivery system’s capacity</w:t>
      </w:r>
      <w:r w:rsidR="00335817">
        <w:t xml:space="preserve"> to deliver expanded medical care and other services</w:t>
      </w:r>
    </w:p>
    <w:p w14:paraId="1BE61E21" w14:textId="77777777" w:rsidR="00335817" w:rsidRDefault="00B2606E" w:rsidP="009729DB">
      <w:pPr>
        <w:pStyle w:val="ListParagraph"/>
        <w:numPr>
          <w:ilvl w:val="0"/>
          <w:numId w:val="29"/>
        </w:numPr>
      </w:pPr>
      <w:r>
        <w:t>Improve</w:t>
      </w:r>
      <w:r w:rsidR="00335817">
        <w:t xml:space="preserve"> care processes at the member and provider level</w:t>
      </w:r>
    </w:p>
    <w:p w14:paraId="661E9906" w14:textId="77777777" w:rsidR="00335817" w:rsidRDefault="00B2606E" w:rsidP="009729DB">
      <w:pPr>
        <w:pStyle w:val="ListParagraph"/>
        <w:numPr>
          <w:ilvl w:val="0"/>
          <w:numId w:val="29"/>
        </w:numPr>
      </w:pPr>
      <w:r>
        <w:t>Protect</w:t>
      </w:r>
      <w:r w:rsidR="00335817" w:rsidRPr="003A5B2B">
        <w:t xml:space="preserve"> </w:t>
      </w:r>
      <w:r w:rsidR="00335817" w:rsidRPr="00BB4D7D">
        <w:t>the health care interest</w:t>
      </w:r>
      <w:r w:rsidR="00C64F23">
        <w:t>s</w:t>
      </w:r>
      <w:r w:rsidR="00335817" w:rsidRPr="00BB4D7D">
        <w:t xml:space="preserve"> of m</w:t>
      </w:r>
      <w:r w:rsidR="00335817" w:rsidRPr="003A5B2B">
        <w:t>embers</w:t>
      </w:r>
      <w:r w:rsidR="00335817" w:rsidRPr="00BB4D7D">
        <w:t xml:space="preserve"> through monitoring of </w:t>
      </w:r>
      <w:r w:rsidR="00335817" w:rsidRPr="003A5B2B">
        <w:t xml:space="preserve">quality </w:t>
      </w:r>
      <w:r w:rsidR="00335817" w:rsidRPr="00BB4D7D">
        <w:t xml:space="preserve">care and services, </w:t>
      </w:r>
    </w:p>
    <w:p w14:paraId="3EE16E7F" w14:textId="77777777" w:rsidR="00335817" w:rsidRDefault="00B2606E" w:rsidP="009729DB">
      <w:pPr>
        <w:pStyle w:val="ListParagraph"/>
        <w:numPr>
          <w:ilvl w:val="0"/>
          <w:numId w:val="29"/>
        </w:numPr>
      </w:pPr>
      <w:r>
        <w:t>Advance patient care and delivery i</w:t>
      </w:r>
      <w:r w:rsidR="00335817" w:rsidRPr="003A5B2B">
        <w:t xml:space="preserve">nnovations that improve member services and outcomes </w:t>
      </w:r>
    </w:p>
    <w:p w14:paraId="6958C684" w14:textId="3BBD4CC6" w:rsidR="00335817" w:rsidRDefault="00B2606E" w:rsidP="009729DB">
      <w:pPr>
        <w:pStyle w:val="ListParagraph"/>
        <w:numPr>
          <w:ilvl w:val="0"/>
          <w:numId w:val="29"/>
        </w:numPr>
      </w:pPr>
      <w:r>
        <w:lastRenderedPageBreak/>
        <w:t>Focus</w:t>
      </w:r>
      <w:r w:rsidR="00335817" w:rsidRPr="00BB4D7D">
        <w:t xml:space="preserve"> health care improvements on enrollee </w:t>
      </w:r>
      <w:r w:rsidR="00335817" w:rsidRPr="003A5B2B">
        <w:t>demographics</w:t>
      </w:r>
      <w:r w:rsidR="00335817">
        <w:t xml:space="preserve"> and cultural needs</w:t>
      </w:r>
      <w:r w:rsidR="00FA0496">
        <w:t xml:space="preserve"> to </w:t>
      </w:r>
      <w:r w:rsidR="00863EE9">
        <w:t xml:space="preserve">help </w:t>
      </w:r>
      <w:r w:rsidR="00FA0496">
        <w:t>i</w:t>
      </w:r>
      <w:r w:rsidR="003D7E5E">
        <w:t xml:space="preserve">mprove </w:t>
      </w:r>
      <w:r w:rsidR="00FA0496">
        <w:t>health equity</w:t>
      </w:r>
    </w:p>
    <w:p w14:paraId="0DC4A1A1" w14:textId="77777777" w:rsidR="00335817" w:rsidRPr="000152F3" w:rsidRDefault="00335817" w:rsidP="00335817">
      <w:pPr>
        <w:pStyle w:val="Heading2"/>
        <w:rPr>
          <w:rFonts w:cstheme="minorHAnsi"/>
        </w:rPr>
      </w:pPr>
      <w:bookmarkStart w:id="9" w:name="_Toc529177864"/>
      <w:r w:rsidRPr="000152F3">
        <w:rPr>
          <w:rFonts w:cstheme="minorHAnsi"/>
        </w:rPr>
        <w:t xml:space="preserve">MassHealth </w:t>
      </w:r>
      <w:r w:rsidR="00A40538">
        <w:rPr>
          <w:rFonts w:cstheme="minorHAnsi"/>
        </w:rPr>
        <w:t xml:space="preserve">Managed Care </w:t>
      </w:r>
      <w:r w:rsidRPr="000152F3">
        <w:rPr>
          <w:rFonts w:cstheme="minorHAnsi"/>
        </w:rPr>
        <w:t>Programs</w:t>
      </w:r>
      <w:bookmarkEnd w:id="9"/>
    </w:p>
    <w:p w14:paraId="4B7951A3" w14:textId="77777777" w:rsidR="00335817" w:rsidRPr="00821C14" w:rsidRDefault="00335817" w:rsidP="00335817">
      <w:pPr>
        <w:rPr>
          <w:rFonts w:cs="Calibri"/>
        </w:rPr>
      </w:pPr>
      <w:r>
        <w:rPr>
          <w:rFonts w:cs="Calibri"/>
        </w:rPr>
        <w:t xml:space="preserve">MassHealth </w:t>
      </w:r>
      <w:r w:rsidRPr="00821C14">
        <w:rPr>
          <w:rFonts w:cs="Calibri"/>
        </w:rPr>
        <w:t xml:space="preserve">began enrolling </w:t>
      </w:r>
      <w:r w:rsidR="006759C7">
        <w:rPr>
          <w:rFonts w:cs="Calibri"/>
        </w:rPr>
        <w:t>adults</w:t>
      </w:r>
      <w:r w:rsidRPr="00821C14">
        <w:rPr>
          <w:rFonts w:cs="Calibri"/>
        </w:rPr>
        <w:t xml:space="preserve"> and children in managed care in 1997 as part of an 1115 waiver approved in 1995 to expand Medicaid eligibility. Th</w:t>
      </w:r>
      <w:r w:rsidR="004B45D5">
        <w:rPr>
          <w:rFonts w:cs="Calibri"/>
        </w:rPr>
        <w:t xml:space="preserve">is </w:t>
      </w:r>
      <w:r w:rsidRPr="00821C14">
        <w:rPr>
          <w:rFonts w:cs="Calibri"/>
        </w:rPr>
        <w:t xml:space="preserve">waiver covered </w:t>
      </w:r>
      <w:r>
        <w:rPr>
          <w:rFonts w:cs="Calibri"/>
        </w:rPr>
        <w:t xml:space="preserve">families and children up to 200 </w:t>
      </w:r>
      <w:r w:rsidRPr="00821C14">
        <w:rPr>
          <w:rFonts w:cs="Calibri"/>
        </w:rPr>
        <w:t>percent of the federal poverty level (FPL). Th</w:t>
      </w:r>
      <w:r w:rsidR="009934AE">
        <w:rPr>
          <w:rFonts w:cs="Calibri"/>
        </w:rPr>
        <w:t>at</w:t>
      </w:r>
      <w:r w:rsidRPr="00821C14">
        <w:rPr>
          <w:rFonts w:cs="Calibri"/>
        </w:rPr>
        <w:t xml:space="preserve"> same year, the Massachusetts legislature passed Chapter 170 combining the Children’s Health Insurance </w:t>
      </w:r>
      <w:r w:rsidR="001F7931">
        <w:rPr>
          <w:rFonts w:cs="Calibri"/>
        </w:rPr>
        <w:t xml:space="preserve">Program (CHIP) with Medicaid and </w:t>
      </w:r>
      <w:r w:rsidR="00306F85">
        <w:rPr>
          <w:rFonts w:cs="Calibri"/>
        </w:rPr>
        <w:t>expanded</w:t>
      </w:r>
      <w:r w:rsidR="00306F85" w:rsidRPr="00821C14">
        <w:rPr>
          <w:rFonts w:cs="Calibri"/>
        </w:rPr>
        <w:t xml:space="preserve"> Medicaid</w:t>
      </w:r>
      <w:r w:rsidRPr="00821C14">
        <w:rPr>
          <w:rFonts w:cs="Calibri"/>
        </w:rPr>
        <w:t xml:space="preserve"> coverage for children through the age of 18 from the previous level of 133 percent FPL to 150 percent FPL. Chapter 170 also provided presumptive eligibility for children while income and other information to verify eligibility were obtained.</w:t>
      </w:r>
      <w:r w:rsidRPr="00821C14">
        <w:rPr>
          <w:rFonts w:cs="Calibri"/>
          <w:highlight w:val="yellow"/>
        </w:rPr>
        <w:t xml:space="preserve"> </w:t>
      </w:r>
    </w:p>
    <w:p w14:paraId="083DC43E" w14:textId="77777777" w:rsidR="00335817" w:rsidRPr="00821C14" w:rsidRDefault="00335817" w:rsidP="00335817">
      <w:pPr>
        <w:rPr>
          <w:rFonts w:cs="Calibri"/>
        </w:rPr>
      </w:pPr>
      <w:r w:rsidRPr="00821C14">
        <w:rPr>
          <w:rFonts w:cs="Calibri"/>
        </w:rPr>
        <w:t xml:space="preserve">Over time, MassHealth managed care programs have expanded to </w:t>
      </w:r>
      <w:r w:rsidR="009934AE">
        <w:rPr>
          <w:rFonts w:cs="Calibri"/>
        </w:rPr>
        <w:t xml:space="preserve">include </w:t>
      </w:r>
      <w:r w:rsidRPr="00821C14">
        <w:rPr>
          <w:rFonts w:cs="Calibri"/>
        </w:rPr>
        <w:t xml:space="preserve">seniors and members </w:t>
      </w:r>
      <w:r w:rsidR="00897AE6">
        <w:rPr>
          <w:rFonts w:cs="Calibri"/>
        </w:rPr>
        <w:t>dually eligible for MassHealth and Medicare (dually eligible members)</w:t>
      </w:r>
      <w:r w:rsidRPr="00821C14">
        <w:rPr>
          <w:rFonts w:cs="Calibri"/>
        </w:rPr>
        <w:t xml:space="preserve">. </w:t>
      </w:r>
      <w:r w:rsidR="001F7931">
        <w:rPr>
          <w:rFonts w:cs="Calibri"/>
        </w:rPr>
        <w:t xml:space="preserve">Today, </w:t>
      </w:r>
      <w:r w:rsidRPr="00821C14">
        <w:rPr>
          <w:rFonts w:cs="Calibri"/>
        </w:rPr>
        <w:t>MassHealth operates the following managed care programs:</w:t>
      </w:r>
      <w:r w:rsidR="003C5194">
        <w:rPr>
          <w:rStyle w:val="FootnoteReference"/>
        </w:rPr>
        <w:footnoteReference w:id="2"/>
      </w:r>
    </w:p>
    <w:p w14:paraId="449E32D3" w14:textId="77777777" w:rsidR="008B141D" w:rsidRDefault="008B141D" w:rsidP="008B141D">
      <w:pPr>
        <w:pStyle w:val="ListBullet2"/>
        <w:numPr>
          <w:ilvl w:val="0"/>
          <w:numId w:val="51"/>
        </w:numPr>
        <w:rPr>
          <w:rFonts w:cs="Calibri"/>
          <w:sz w:val="22"/>
        </w:rPr>
      </w:pPr>
      <w:r w:rsidRPr="00CE2033">
        <w:rPr>
          <w:rFonts w:cs="Calibri"/>
          <w:sz w:val="22"/>
        </w:rPr>
        <w:t>Accountable Care Organizat</w:t>
      </w:r>
      <w:r>
        <w:rPr>
          <w:rFonts w:cs="Calibri"/>
          <w:sz w:val="22"/>
        </w:rPr>
        <w:t>ion (ACO) Program- a population-</w:t>
      </w:r>
      <w:r w:rsidRPr="00CE2033">
        <w:rPr>
          <w:rFonts w:cs="Calibri"/>
          <w:sz w:val="22"/>
        </w:rPr>
        <w:t>based payment model for members under the age of 65</w:t>
      </w:r>
      <w:r>
        <w:rPr>
          <w:rFonts w:cs="Calibri"/>
          <w:sz w:val="22"/>
        </w:rPr>
        <w:t xml:space="preserve"> </w:t>
      </w:r>
      <w:r w:rsidRPr="00CE2033">
        <w:rPr>
          <w:rFonts w:cs="Calibri"/>
          <w:sz w:val="22"/>
        </w:rPr>
        <w:t>and without any third party insuranc</w:t>
      </w:r>
      <w:r>
        <w:rPr>
          <w:rFonts w:cs="Calibri"/>
          <w:sz w:val="22"/>
        </w:rPr>
        <w:t>e</w:t>
      </w:r>
      <w:r w:rsidRPr="00CE2033">
        <w:rPr>
          <w:rFonts w:cs="Calibri"/>
          <w:sz w:val="22"/>
        </w:rPr>
        <w:t>, wherein the entities have financial accountability for the cost</w:t>
      </w:r>
      <w:r>
        <w:rPr>
          <w:rFonts w:cs="Calibri"/>
          <w:sz w:val="22"/>
        </w:rPr>
        <w:t xml:space="preserve"> and quality </w:t>
      </w:r>
      <w:r w:rsidRPr="00CE2033">
        <w:rPr>
          <w:rFonts w:cs="Calibri"/>
          <w:sz w:val="22"/>
        </w:rPr>
        <w:t xml:space="preserve">of </w:t>
      </w:r>
      <w:r>
        <w:rPr>
          <w:rFonts w:cs="Calibri"/>
          <w:sz w:val="22"/>
        </w:rPr>
        <w:t xml:space="preserve">their members’ </w:t>
      </w:r>
      <w:r w:rsidRPr="00CE2033">
        <w:rPr>
          <w:rFonts w:cs="Calibri"/>
          <w:sz w:val="22"/>
        </w:rPr>
        <w:t xml:space="preserve">care. </w:t>
      </w:r>
      <w:r>
        <w:rPr>
          <w:rFonts w:cs="Calibri"/>
          <w:sz w:val="22"/>
        </w:rPr>
        <w:t xml:space="preserve">There are three types of ACOs in Massachusetts. </w:t>
      </w:r>
    </w:p>
    <w:p w14:paraId="04109A41" w14:textId="77777777" w:rsidR="009E6996" w:rsidRPr="004B45D5" w:rsidRDefault="004B45D5" w:rsidP="009729DB">
      <w:pPr>
        <w:pStyle w:val="ListBullet2"/>
        <w:numPr>
          <w:ilvl w:val="0"/>
          <w:numId w:val="51"/>
        </w:numPr>
        <w:rPr>
          <w:sz w:val="22"/>
        </w:rPr>
      </w:pPr>
      <w:r w:rsidRPr="004B45D5">
        <w:rPr>
          <w:sz w:val="22"/>
        </w:rPr>
        <w:t xml:space="preserve">Managed Care Organization (MCO) Program – a capitated model for </w:t>
      </w:r>
      <w:r w:rsidR="0081519A">
        <w:rPr>
          <w:sz w:val="22"/>
        </w:rPr>
        <w:t xml:space="preserve">managed-care eligible </w:t>
      </w:r>
      <w:r w:rsidRPr="004B45D5">
        <w:rPr>
          <w:sz w:val="22"/>
        </w:rPr>
        <w:t xml:space="preserve">members under the age of 65. Members are not eligible for managed care programs if they have any kind of third party insurance. </w:t>
      </w:r>
    </w:p>
    <w:p w14:paraId="0BFA5BAD" w14:textId="77777777" w:rsidR="00B81057" w:rsidRPr="00CE2033" w:rsidRDefault="00B81057" w:rsidP="00B81057">
      <w:pPr>
        <w:pStyle w:val="ListBullet2"/>
        <w:numPr>
          <w:ilvl w:val="0"/>
          <w:numId w:val="1"/>
        </w:numPr>
        <w:rPr>
          <w:rFonts w:cs="Calibri"/>
          <w:sz w:val="22"/>
        </w:rPr>
      </w:pPr>
      <w:r w:rsidRPr="00CE2033">
        <w:rPr>
          <w:rFonts w:cs="Calibri"/>
          <w:sz w:val="22"/>
        </w:rPr>
        <w:t>Primary Care Clinicia</w:t>
      </w:r>
      <w:r>
        <w:rPr>
          <w:rFonts w:cs="Calibri"/>
          <w:sz w:val="22"/>
        </w:rPr>
        <w:t xml:space="preserve">n (PCC) Plan Program – </w:t>
      </w:r>
      <w:r w:rsidRPr="00CE2033">
        <w:rPr>
          <w:rFonts w:cs="Calibri"/>
          <w:sz w:val="22"/>
        </w:rPr>
        <w:t>a primary care case management model of managed care for members under the age of 65 and without any third party insuranc</w:t>
      </w:r>
      <w:r>
        <w:rPr>
          <w:rFonts w:cs="Calibri"/>
          <w:sz w:val="22"/>
        </w:rPr>
        <w:t>e, with a capitated Behavioral H</w:t>
      </w:r>
      <w:r w:rsidRPr="00CE2033">
        <w:rPr>
          <w:rFonts w:cs="Calibri"/>
          <w:sz w:val="22"/>
        </w:rPr>
        <w:t>ealth plan</w:t>
      </w:r>
      <w:r>
        <w:rPr>
          <w:rFonts w:cs="Calibri"/>
          <w:sz w:val="22"/>
        </w:rPr>
        <w:t>.</w:t>
      </w:r>
    </w:p>
    <w:p w14:paraId="1E9BA7D5" w14:textId="77777777" w:rsidR="00B81057" w:rsidRPr="008F1242" w:rsidRDefault="00B81057" w:rsidP="00B81057">
      <w:pPr>
        <w:pStyle w:val="ListBullet2"/>
        <w:rPr>
          <w:sz w:val="22"/>
        </w:rPr>
      </w:pPr>
      <w:r w:rsidRPr="008F1242">
        <w:rPr>
          <w:sz w:val="22"/>
        </w:rPr>
        <w:t xml:space="preserve">Behavioral Health (BH) plan – a capitated BH model for members under the age of 65 and younger who are enrolled in the PCC Plan or a Primary Care ACO and children in the care and/or custody of the Department of Children and Families and the Department of Youth Services, or who have third-party insurance or are dually eligible members. </w:t>
      </w:r>
    </w:p>
    <w:p w14:paraId="548261C1" w14:textId="77777777" w:rsidR="00306F85" w:rsidRPr="009E6996" w:rsidRDefault="009E6996" w:rsidP="009E6996">
      <w:pPr>
        <w:pStyle w:val="ListBullet2"/>
        <w:numPr>
          <w:ilvl w:val="0"/>
          <w:numId w:val="1"/>
        </w:numPr>
        <w:rPr>
          <w:rFonts w:cs="Calibri"/>
          <w:sz w:val="22"/>
        </w:rPr>
      </w:pPr>
      <w:r>
        <w:rPr>
          <w:rFonts w:cs="Calibri"/>
          <w:sz w:val="22"/>
        </w:rPr>
        <w:t>One Care</w:t>
      </w:r>
      <w:r w:rsidR="0055051A">
        <w:rPr>
          <w:rFonts w:cs="Calibri"/>
          <w:sz w:val="22"/>
        </w:rPr>
        <w:t xml:space="preserve"> – a capitated model for dual</w:t>
      </w:r>
      <w:r w:rsidRPr="00CE2033">
        <w:rPr>
          <w:rFonts w:cs="Calibri"/>
          <w:sz w:val="22"/>
        </w:rPr>
        <w:t xml:space="preserve"> eligible members</w:t>
      </w:r>
      <w:r>
        <w:rPr>
          <w:rFonts w:cs="Calibri"/>
          <w:sz w:val="22"/>
        </w:rPr>
        <w:t xml:space="preserve"> ages 21-64.</w:t>
      </w:r>
    </w:p>
    <w:p w14:paraId="28ED1EFA" w14:textId="77777777" w:rsidR="00335817" w:rsidRDefault="00335817" w:rsidP="00335817">
      <w:pPr>
        <w:pStyle w:val="ListBullet2"/>
        <w:numPr>
          <w:ilvl w:val="0"/>
          <w:numId w:val="1"/>
        </w:numPr>
        <w:rPr>
          <w:rFonts w:cs="Calibri"/>
          <w:sz w:val="22"/>
        </w:rPr>
      </w:pPr>
      <w:r w:rsidRPr="00CE2033">
        <w:rPr>
          <w:rFonts w:cs="Calibri"/>
          <w:sz w:val="22"/>
        </w:rPr>
        <w:t>Senior Care Options (SCO) P</w:t>
      </w:r>
      <w:r w:rsidR="00D27E15">
        <w:rPr>
          <w:rFonts w:cs="Calibri"/>
          <w:sz w:val="22"/>
        </w:rPr>
        <w:t>rogram – a capitated model for</w:t>
      </w:r>
      <w:r w:rsidRPr="00CE2033">
        <w:rPr>
          <w:rFonts w:cs="Calibri"/>
          <w:sz w:val="22"/>
        </w:rPr>
        <w:t xml:space="preserve"> members age 65 and older</w:t>
      </w:r>
      <w:r w:rsidR="00D27E15">
        <w:rPr>
          <w:rFonts w:cs="Calibri"/>
          <w:sz w:val="22"/>
        </w:rPr>
        <w:t xml:space="preserve">, </w:t>
      </w:r>
      <w:r w:rsidR="00C95497">
        <w:rPr>
          <w:rFonts w:cs="Calibri"/>
          <w:sz w:val="22"/>
        </w:rPr>
        <w:t>including</w:t>
      </w:r>
      <w:r w:rsidR="00D27E15">
        <w:rPr>
          <w:rFonts w:cs="Calibri"/>
          <w:sz w:val="22"/>
        </w:rPr>
        <w:t xml:space="preserve"> dually eligible members.</w:t>
      </w:r>
    </w:p>
    <w:p w14:paraId="2BCA2BF2" w14:textId="77777777" w:rsidR="00F92CFF" w:rsidRPr="00AA334F" w:rsidRDefault="00F92CFF" w:rsidP="00F92CFF">
      <w:pPr>
        <w:pStyle w:val="Heading3"/>
        <w:numPr>
          <w:ilvl w:val="0"/>
          <w:numId w:val="0"/>
        </w:numPr>
        <w:ind w:left="144" w:hanging="144"/>
        <w:rPr>
          <w:rStyle w:val="IntenseEmphasis"/>
          <w:b/>
          <w:i/>
        </w:rPr>
      </w:pPr>
      <w:bookmarkStart w:id="10" w:name="_Toc522025625"/>
      <w:bookmarkStart w:id="11" w:name="_Toc523490105"/>
      <w:bookmarkStart w:id="12" w:name="_Toc525294273"/>
      <w:bookmarkStart w:id="13" w:name="_Toc529177865"/>
      <w:r w:rsidRPr="00AA334F">
        <w:rPr>
          <w:rStyle w:val="IntenseEmphasis"/>
          <w:b/>
          <w:i/>
        </w:rPr>
        <w:t>Accountable Care Organizations</w:t>
      </w:r>
      <w:bookmarkEnd w:id="10"/>
      <w:bookmarkEnd w:id="11"/>
      <w:bookmarkEnd w:id="12"/>
      <w:bookmarkEnd w:id="13"/>
    </w:p>
    <w:p w14:paraId="0604B590" w14:textId="77777777" w:rsidR="006F4C9F" w:rsidRDefault="00F92CFF" w:rsidP="00F92CFF">
      <w:pPr>
        <w:autoSpaceDE w:val="0"/>
        <w:autoSpaceDN w:val="0"/>
        <w:adjustRightInd w:val="0"/>
        <w:spacing w:after="0"/>
        <w:rPr>
          <w:rFonts w:asciiTheme="minorHAnsi" w:hAnsiTheme="minorHAnsi" w:cstheme="minorHAnsi"/>
        </w:rPr>
      </w:pPr>
      <w:r>
        <w:rPr>
          <w:rFonts w:asciiTheme="minorHAnsi" w:hAnsiTheme="minorHAnsi" w:cstheme="minorHAnsi"/>
        </w:rPr>
        <w:t>In 2018</w:t>
      </w:r>
      <w:r w:rsidRPr="00CE2033">
        <w:rPr>
          <w:rFonts w:asciiTheme="minorHAnsi" w:hAnsiTheme="minorHAnsi" w:cstheme="minorHAnsi"/>
        </w:rPr>
        <w:t xml:space="preserve">, MassHealth </w:t>
      </w:r>
      <w:r>
        <w:rPr>
          <w:rFonts w:asciiTheme="minorHAnsi" w:hAnsiTheme="minorHAnsi" w:cstheme="minorHAnsi"/>
        </w:rPr>
        <w:t xml:space="preserve">introduced a new </w:t>
      </w:r>
      <w:r w:rsidR="00014CC8">
        <w:rPr>
          <w:rFonts w:asciiTheme="minorHAnsi" w:hAnsiTheme="minorHAnsi" w:cstheme="minorHAnsi"/>
        </w:rPr>
        <w:t xml:space="preserve">managed care </w:t>
      </w:r>
      <w:r>
        <w:rPr>
          <w:rFonts w:asciiTheme="minorHAnsi" w:hAnsiTheme="minorHAnsi" w:cstheme="minorHAnsi"/>
        </w:rPr>
        <w:t>enrollment option to</w:t>
      </w:r>
      <w:r w:rsidRPr="00CE2033">
        <w:rPr>
          <w:rFonts w:asciiTheme="minorHAnsi" w:hAnsiTheme="minorHAnsi" w:cstheme="minorHAnsi"/>
        </w:rPr>
        <w:t xml:space="preserve"> its existing MCO and PCC plans</w:t>
      </w:r>
      <w:r>
        <w:rPr>
          <w:rFonts w:asciiTheme="minorHAnsi" w:hAnsiTheme="minorHAnsi" w:cstheme="minorHAnsi"/>
        </w:rPr>
        <w:t>. Beginning in March 2018,</w:t>
      </w:r>
      <w:r w:rsidRPr="00CE2033">
        <w:rPr>
          <w:rFonts w:asciiTheme="minorHAnsi" w:hAnsiTheme="minorHAnsi" w:cstheme="minorHAnsi"/>
        </w:rPr>
        <w:t xml:space="preserve"> members</w:t>
      </w:r>
      <w:r>
        <w:rPr>
          <w:rFonts w:asciiTheme="minorHAnsi" w:hAnsiTheme="minorHAnsi" w:cstheme="minorHAnsi"/>
        </w:rPr>
        <w:t xml:space="preserve"> were able</w:t>
      </w:r>
      <w:r w:rsidRPr="00CE2033">
        <w:rPr>
          <w:rFonts w:asciiTheme="minorHAnsi" w:hAnsiTheme="minorHAnsi" w:cstheme="minorHAnsi"/>
        </w:rPr>
        <w:t xml:space="preserve"> to enroll in Accountable Care Organizations.  Accountable Care Organizations (ACOs) are provider-led organizations that coordinate care, have</w:t>
      </w:r>
      <w:r>
        <w:rPr>
          <w:rFonts w:asciiTheme="minorHAnsi" w:hAnsiTheme="minorHAnsi" w:cstheme="minorHAnsi"/>
        </w:rPr>
        <w:t xml:space="preserve"> </w:t>
      </w:r>
      <w:r w:rsidRPr="00CE2033">
        <w:rPr>
          <w:rFonts w:asciiTheme="minorHAnsi" w:hAnsiTheme="minorHAnsi" w:cstheme="minorHAnsi"/>
        </w:rPr>
        <w:t>an enhanced role for pri</w:t>
      </w:r>
      <w:r>
        <w:rPr>
          <w:rFonts w:asciiTheme="minorHAnsi" w:hAnsiTheme="minorHAnsi" w:cstheme="minorHAnsi"/>
        </w:rPr>
        <w:t>mary care, and are rewarded for the value of care provided, measured by better outcomes</w:t>
      </w:r>
      <w:r w:rsidR="00014CC8">
        <w:rPr>
          <w:rFonts w:asciiTheme="minorHAnsi" w:hAnsiTheme="minorHAnsi" w:cstheme="minorHAnsi"/>
        </w:rPr>
        <w:t xml:space="preserve"> and reduced</w:t>
      </w:r>
      <w:r w:rsidR="00014CC8" w:rsidRPr="00014CC8">
        <w:rPr>
          <w:rFonts w:asciiTheme="minorHAnsi" w:hAnsiTheme="minorHAnsi" w:cstheme="minorHAnsi"/>
        </w:rPr>
        <w:t xml:space="preserve"> </w:t>
      </w:r>
      <w:r w:rsidR="00014CC8">
        <w:rPr>
          <w:rFonts w:asciiTheme="minorHAnsi" w:hAnsiTheme="minorHAnsi" w:cstheme="minorHAnsi"/>
        </w:rPr>
        <w:t>cost</w:t>
      </w:r>
      <w:r>
        <w:rPr>
          <w:rFonts w:asciiTheme="minorHAnsi" w:hAnsiTheme="minorHAnsi" w:cstheme="minorHAnsi"/>
        </w:rPr>
        <w:t>.</w:t>
      </w:r>
      <w:r w:rsidR="001F35EB">
        <w:rPr>
          <w:rFonts w:asciiTheme="minorHAnsi" w:hAnsiTheme="minorHAnsi" w:cstheme="minorHAnsi"/>
        </w:rPr>
        <w:t xml:space="preserve"> MassHealth established t</w:t>
      </w:r>
      <w:r>
        <w:rPr>
          <w:rFonts w:asciiTheme="minorHAnsi" w:hAnsiTheme="minorHAnsi" w:cstheme="minorHAnsi"/>
        </w:rPr>
        <w:t xml:space="preserve">hree types of ACO delivery models. </w:t>
      </w:r>
    </w:p>
    <w:p w14:paraId="7DB61632" w14:textId="7044655B" w:rsidR="006F4C9F" w:rsidRPr="00005AFB" w:rsidRDefault="006F4C9F" w:rsidP="00005AFB">
      <w:pPr>
        <w:pStyle w:val="ListParagraph"/>
        <w:numPr>
          <w:ilvl w:val="0"/>
          <w:numId w:val="56"/>
        </w:numPr>
        <w:autoSpaceDE w:val="0"/>
        <w:autoSpaceDN w:val="0"/>
        <w:adjustRightInd w:val="0"/>
        <w:spacing w:after="0"/>
        <w:rPr>
          <w:rFonts w:asciiTheme="minorHAnsi" w:hAnsiTheme="minorHAnsi" w:cstheme="minorHAnsi"/>
        </w:rPr>
      </w:pPr>
      <w:r w:rsidRPr="00005AFB">
        <w:rPr>
          <w:rFonts w:asciiTheme="minorHAnsi" w:hAnsiTheme="minorHAnsi" w:cstheme="minorHAnsi"/>
        </w:rPr>
        <w:t xml:space="preserve">An Accountable Care Partnership Plan is a network of PCPs who have exclusively partnered with an MCO to use their provider network to provide integrated and coordinated care for members.  Accountable Care Partnership Plans are paid a prospective capitation rate for all attributed </w:t>
      </w:r>
      <w:r w:rsidRPr="00005AFB">
        <w:rPr>
          <w:rFonts w:asciiTheme="minorHAnsi" w:hAnsiTheme="minorHAnsi" w:cstheme="minorHAnsi"/>
        </w:rPr>
        <w:lastRenderedPageBreak/>
        <w:t xml:space="preserve">members. Accountable Care </w:t>
      </w:r>
      <w:r w:rsidR="002E1315" w:rsidRPr="00005AFB">
        <w:rPr>
          <w:rFonts w:asciiTheme="minorHAnsi" w:hAnsiTheme="minorHAnsi" w:cstheme="minorHAnsi"/>
        </w:rPr>
        <w:t xml:space="preserve">Partnership </w:t>
      </w:r>
      <w:r w:rsidRPr="00005AFB">
        <w:rPr>
          <w:rFonts w:asciiTheme="minorHAnsi" w:hAnsiTheme="minorHAnsi" w:cstheme="minorHAnsi"/>
        </w:rPr>
        <w:t>Plan</w:t>
      </w:r>
      <w:r w:rsidR="002E1315" w:rsidRPr="00005AFB">
        <w:rPr>
          <w:rFonts w:asciiTheme="minorHAnsi" w:hAnsiTheme="minorHAnsi" w:cstheme="minorHAnsi"/>
        </w:rPr>
        <w:t>s</w:t>
      </w:r>
      <w:r w:rsidRPr="00005AFB">
        <w:rPr>
          <w:rFonts w:asciiTheme="minorHAnsi" w:hAnsiTheme="minorHAnsi" w:cstheme="minorHAnsi"/>
        </w:rPr>
        <w:t xml:space="preserve"> are responsible for all contractually covered services and take on full insurance risk. Accountable Care Partnership Plans pay provider claims for all plan-covered services. </w:t>
      </w:r>
    </w:p>
    <w:p w14:paraId="4D7E87E8" w14:textId="3400C347" w:rsidR="006F4C9F" w:rsidRPr="00BA2B17" w:rsidRDefault="006F4C9F" w:rsidP="00BA2B17">
      <w:pPr>
        <w:autoSpaceDE w:val="0"/>
        <w:autoSpaceDN w:val="0"/>
        <w:adjustRightInd w:val="0"/>
        <w:spacing w:after="0"/>
        <w:ind w:left="360"/>
        <w:contextualSpacing/>
        <w:rPr>
          <w:rFonts w:asciiTheme="minorHAnsi" w:hAnsiTheme="minorHAnsi" w:cstheme="minorHAnsi"/>
        </w:rPr>
      </w:pPr>
    </w:p>
    <w:p w14:paraId="0A309FFC" w14:textId="77777777" w:rsidR="006F4C9F" w:rsidRPr="006F4C9F" w:rsidRDefault="006F4C9F" w:rsidP="009729DB">
      <w:pPr>
        <w:pStyle w:val="ListParagraph"/>
        <w:numPr>
          <w:ilvl w:val="0"/>
          <w:numId w:val="50"/>
        </w:numPr>
      </w:pPr>
      <w:r w:rsidRPr="006F4C9F">
        <w:t xml:space="preserve">A Primary Care ACO is a network of PCPs who contract directly with MassHealth, using </w:t>
      </w:r>
      <w:proofErr w:type="spellStart"/>
      <w:r w:rsidRPr="006F4C9F">
        <w:t>MassHealth’s</w:t>
      </w:r>
      <w:proofErr w:type="spellEnd"/>
      <w:r w:rsidRPr="006F4C9F">
        <w:t xml:space="preserve"> provider network, including</w:t>
      </w:r>
      <w:r w:rsidR="006B4FBC">
        <w:t xml:space="preserve"> the BH Plan</w:t>
      </w:r>
      <w:r>
        <w:t xml:space="preserve"> </w:t>
      </w:r>
      <w:r w:rsidRPr="006F4C9F">
        <w:t xml:space="preserve">to provide integrated and coordinated care for members. A Primary Care ACO does not receive capitation payments for attributed members. MassHealth pays providers on a fee for service basis directly.  Behavioral Health providers must enroll with </w:t>
      </w:r>
      <w:r w:rsidR="006B4FBC">
        <w:t>the BH Plan</w:t>
      </w:r>
      <w:r w:rsidRPr="006F4C9F">
        <w:t xml:space="preserve"> and ar</w:t>
      </w:r>
      <w:r w:rsidR="006B4FBC">
        <w:t>e paid in accordance with their BH Plan</w:t>
      </w:r>
      <w:r w:rsidRPr="006F4C9F">
        <w:t xml:space="preserve"> provider agreements. </w:t>
      </w:r>
      <w:r w:rsidRPr="006F4C9F">
        <w:rPr>
          <w:color w:val="000000" w:themeColor="text1"/>
        </w:rPr>
        <w:t>Primary Care ACOs will use the MassHealth network for specialty services and have the option of defining a Referral Circle. If a member’s specialist is part of the Referral Circle identified by the member’s Primary Care ACO, the member will not need a referral to receive services from that specialist.</w:t>
      </w:r>
    </w:p>
    <w:p w14:paraId="06762BB7" w14:textId="77777777" w:rsidR="006F4C9F" w:rsidRPr="006F4C9F" w:rsidRDefault="006F4C9F" w:rsidP="006F4C9F">
      <w:pPr>
        <w:pStyle w:val="ListParagraph"/>
      </w:pPr>
    </w:p>
    <w:p w14:paraId="7E77C28D" w14:textId="77777777" w:rsidR="006F4C9F" w:rsidRPr="00E51295" w:rsidRDefault="006F4C9F" w:rsidP="00E51295">
      <w:pPr>
        <w:pStyle w:val="ListParagraph"/>
        <w:numPr>
          <w:ilvl w:val="0"/>
          <w:numId w:val="50"/>
        </w:numPr>
        <w:autoSpaceDE w:val="0"/>
        <w:autoSpaceDN w:val="0"/>
        <w:adjustRightInd w:val="0"/>
        <w:spacing w:after="0"/>
        <w:rPr>
          <w:rFonts w:asciiTheme="minorHAnsi" w:hAnsiTheme="minorHAnsi" w:cstheme="minorHAnsi"/>
        </w:rPr>
      </w:pPr>
      <w:r w:rsidRPr="006F4C9F">
        <w:rPr>
          <w:rFonts w:asciiTheme="minorHAnsi" w:hAnsiTheme="minorHAnsi" w:cstheme="minorHAnsi"/>
        </w:rPr>
        <w:t xml:space="preserve">An MCO-Administered ACO is a network of PCPs who may contract with one or multiple MCOs and use the MCO provider networks to provide integrated and coordinated care for members. MCO-Administered ACOs are not presented as an enrollment option because members will be enrolled with the MCO and attributed to the contracted ACO through the MCO they are enrolled with. MCOs pay claims to providers in their networks. </w:t>
      </w:r>
    </w:p>
    <w:p w14:paraId="536F8878" w14:textId="77777777" w:rsidR="006F4C9F" w:rsidRDefault="006F4C9F" w:rsidP="006F4C9F">
      <w:pPr>
        <w:autoSpaceDE w:val="0"/>
        <w:autoSpaceDN w:val="0"/>
        <w:adjustRightInd w:val="0"/>
        <w:spacing w:after="0"/>
        <w:ind w:left="360"/>
        <w:rPr>
          <w:rFonts w:asciiTheme="minorHAnsi" w:hAnsiTheme="minorHAnsi" w:cstheme="minorHAnsi"/>
        </w:rPr>
      </w:pPr>
    </w:p>
    <w:p w14:paraId="42928822" w14:textId="77777777" w:rsidR="00341010" w:rsidRDefault="00F92CFF" w:rsidP="00341010">
      <w:pPr>
        <w:autoSpaceDE w:val="0"/>
        <w:autoSpaceDN w:val="0"/>
        <w:adjustRightInd w:val="0"/>
        <w:spacing w:after="0"/>
        <w:rPr>
          <w:rFonts w:asciiTheme="minorHAnsi" w:hAnsiTheme="minorHAnsi" w:cstheme="minorHAnsi"/>
        </w:rPr>
      </w:pPr>
      <w:r w:rsidRPr="006F4C9F">
        <w:rPr>
          <w:rFonts w:asciiTheme="minorHAnsi" w:hAnsiTheme="minorHAnsi" w:cstheme="minorHAnsi"/>
        </w:rPr>
        <w:t xml:space="preserve">Key priorities </w:t>
      </w:r>
      <w:r w:rsidR="009B4952" w:rsidRPr="006F4C9F">
        <w:rPr>
          <w:rFonts w:asciiTheme="minorHAnsi" w:hAnsiTheme="minorHAnsi" w:cstheme="minorHAnsi"/>
        </w:rPr>
        <w:t>for all models in the</w:t>
      </w:r>
      <w:r w:rsidRPr="006F4C9F">
        <w:rPr>
          <w:rFonts w:asciiTheme="minorHAnsi" w:hAnsiTheme="minorHAnsi" w:cstheme="minorHAnsi"/>
        </w:rPr>
        <w:t xml:space="preserve"> ACO program include a focus on integration of members’ physical, behavioral health (BH) and long-term services and supports (LTSS) needs and building linkages to social services. </w:t>
      </w:r>
      <w:r w:rsidR="006F4C9F" w:rsidRPr="006F4C9F">
        <w:rPr>
          <w:rFonts w:asciiTheme="minorHAnsi" w:hAnsiTheme="minorHAnsi" w:cstheme="minorHAnsi"/>
        </w:rPr>
        <w:t>All ACOs are accountable for providing high-value, cross-continuum care across a range of measures. The ACO</w:t>
      </w:r>
      <w:r w:rsidR="006F4C9F">
        <w:rPr>
          <w:rFonts w:asciiTheme="minorHAnsi" w:hAnsiTheme="minorHAnsi" w:cstheme="minorHAnsi"/>
        </w:rPr>
        <w:t xml:space="preserve">s may earn savings if they </w:t>
      </w:r>
      <w:r w:rsidR="006F4C9F" w:rsidRPr="006F4C9F">
        <w:rPr>
          <w:rFonts w:asciiTheme="minorHAnsi" w:hAnsiTheme="minorHAnsi" w:cstheme="minorHAnsi"/>
        </w:rPr>
        <w:t>meet certain quality thresholds.</w:t>
      </w:r>
    </w:p>
    <w:p w14:paraId="353A1D4F" w14:textId="77777777" w:rsidR="00207DB8" w:rsidRDefault="001F7931" w:rsidP="00914EA4">
      <w:pPr>
        <w:pStyle w:val="Caption"/>
      </w:pPr>
      <w:r>
        <w:fldChar w:fldCharType="begin"/>
      </w:r>
      <w:r>
        <w:instrText xml:space="preserve"> REF _Ref521919011 \h </w:instrText>
      </w:r>
      <w:r>
        <w:rPr>
          <w:b w:val="0"/>
          <w:bCs w:val="0"/>
        </w:rPr>
      </w:r>
      <w:r>
        <w:fldChar w:fldCharType="separate"/>
      </w:r>
    </w:p>
    <w:p w14:paraId="1183259C" w14:textId="77777777" w:rsidR="00207DB8" w:rsidRDefault="00207DB8" w:rsidP="00914EA4">
      <w:pPr>
        <w:pStyle w:val="Caption"/>
      </w:pPr>
    </w:p>
    <w:p w14:paraId="6F469734" w14:textId="77777777" w:rsidR="00207DB8" w:rsidRDefault="00207DB8" w:rsidP="00914EA4">
      <w:pPr>
        <w:pStyle w:val="Caption"/>
      </w:pPr>
    </w:p>
    <w:p w14:paraId="02239550" w14:textId="77777777" w:rsidR="00207DB8" w:rsidRDefault="00207DB8" w:rsidP="00914EA4">
      <w:pPr>
        <w:pStyle w:val="Caption"/>
      </w:pPr>
    </w:p>
    <w:p w14:paraId="79C0FD5B" w14:textId="77777777" w:rsidR="00335817" w:rsidRDefault="00207DB8" w:rsidP="00335817">
      <w:r>
        <w:t xml:space="preserve">Table </w:t>
      </w:r>
      <w:r>
        <w:rPr>
          <w:noProof/>
        </w:rPr>
        <w:t>1</w:t>
      </w:r>
      <w:r>
        <w:t xml:space="preserve">: </w:t>
      </w:r>
      <w:r>
        <w:rPr>
          <w:rFonts w:cs="Calibri"/>
        </w:rPr>
        <w:t xml:space="preserve">Summary of Managed Care </w:t>
      </w:r>
      <w:r w:rsidR="001F7931">
        <w:fldChar w:fldCharType="end"/>
      </w:r>
      <w:r w:rsidR="00335817">
        <w:t>provides a li</w:t>
      </w:r>
      <w:r w:rsidR="005470DF">
        <w:t xml:space="preserve">st of the current </w:t>
      </w:r>
      <w:r w:rsidR="00306F85">
        <w:t xml:space="preserve">types of </w:t>
      </w:r>
      <w:r w:rsidR="005470DF">
        <w:t>managed care</w:t>
      </w:r>
      <w:r w:rsidR="009B4952">
        <w:t xml:space="preserve"> programs</w:t>
      </w:r>
      <w:r w:rsidR="00306F85">
        <w:t xml:space="preserve"> that serve</w:t>
      </w:r>
      <w:r w:rsidR="00335817">
        <w:t xml:space="preserve"> MassHealth </w:t>
      </w:r>
      <w:r w:rsidR="00306F85">
        <w:t>members</w:t>
      </w:r>
      <w:r w:rsidR="00335817">
        <w:t xml:space="preserve">.  All managed care programs typically operate on a calendar year with the exception of a shortened year in 2018 (March-December 2018) </w:t>
      </w:r>
      <w:r w:rsidR="001F7931">
        <w:t>when</w:t>
      </w:r>
      <w:r w:rsidR="004E4053">
        <w:t xml:space="preserve"> the MCO program contracts were re-procured and</w:t>
      </w:r>
      <w:r w:rsidR="001F7931">
        <w:t xml:space="preserve"> ACO</w:t>
      </w:r>
      <w:r w:rsidR="004E4053">
        <w:t xml:space="preserve"> programs were newly introduced. M</w:t>
      </w:r>
      <w:r w:rsidR="001F7931">
        <w:t>ore than</w:t>
      </w:r>
      <w:r w:rsidR="00335817">
        <w:t xml:space="preserve"> 850,000 members </w:t>
      </w:r>
      <w:r w:rsidR="00900572">
        <w:t xml:space="preserve">were enrolled </w:t>
      </w:r>
      <w:r w:rsidR="00A3647E">
        <w:t>with</w:t>
      </w:r>
      <w:r w:rsidR="002D6207">
        <w:t xml:space="preserve"> ACOs following the program launch in March</w:t>
      </w:r>
      <w:r w:rsidR="00F051C0">
        <w:t xml:space="preserve"> 2018</w:t>
      </w:r>
      <w:r w:rsidR="00335817">
        <w:t>.</w:t>
      </w:r>
    </w:p>
    <w:p w14:paraId="7BC49579" w14:textId="77777777" w:rsidR="00335817" w:rsidRPr="00BA2F54" w:rsidRDefault="00335817" w:rsidP="00BA2F54">
      <w:r>
        <w:t>In accordance with the managed care rule</w:t>
      </w:r>
      <w:r w:rsidR="00AA334F">
        <w:t xml:space="preserve">, the Accountable Care Partnership </w:t>
      </w:r>
      <w:r w:rsidR="003D34B5">
        <w:t>Plan</w:t>
      </w:r>
      <w:r w:rsidRPr="002D585D">
        <w:t>, MCO, One Care and</w:t>
      </w:r>
      <w:r>
        <w:t xml:space="preserve"> SCO programs are considered </w:t>
      </w:r>
      <w:r w:rsidR="003D34B5">
        <w:t>MCOs</w:t>
      </w:r>
      <w:r>
        <w:t xml:space="preserve">, and for the purposes of this document, will be referred to as </w:t>
      </w:r>
      <w:r w:rsidRPr="002D585D">
        <w:t>manage</w:t>
      </w:r>
      <w:r>
        <w:t>d</w:t>
      </w:r>
      <w:r w:rsidRPr="002D585D">
        <w:t xml:space="preserve"> care entities (MCEs).</w:t>
      </w:r>
      <w:r>
        <w:t xml:space="preserve"> Primary Care ACOs are considered primary care case management entities</w:t>
      </w:r>
      <w:r w:rsidR="003D34B5">
        <w:t xml:space="preserve"> (PCCM entities)</w:t>
      </w:r>
      <w:r>
        <w:t xml:space="preserve">. </w:t>
      </w:r>
      <w:proofErr w:type="spellStart"/>
      <w:r w:rsidR="003D34B5">
        <w:t>MassHealth’s</w:t>
      </w:r>
      <w:proofErr w:type="spellEnd"/>
      <w:r w:rsidR="003D34B5">
        <w:t xml:space="preserve"> </w:t>
      </w:r>
      <w:r w:rsidR="004E5D36">
        <w:t>BH</w:t>
      </w:r>
      <w:r w:rsidR="003D34B5">
        <w:t xml:space="preserve"> vendor, which serves members enrolled in the PCC Plan and Primary Care ACOs, and certain other populations, is a Prepaid Inpatient Health Plan (PIHP).  </w:t>
      </w:r>
      <w:r w:rsidR="00863244">
        <w:t xml:space="preserve">MassHealth does not contract with any Prepaid Ambulatory Health Plans (PAHPs) as defined in 438.2.  </w:t>
      </w:r>
      <w:r w:rsidRPr="002D585D">
        <w:t xml:space="preserve">The </w:t>
      </w:r>
      <w:r w:rsidR="00BA2F54">
        <w:t xml:space="preserve">quality strategy under 42 CFR 438.340 relates to MCOs, </w:t>
      </w:r>
      <w:r w:rsidR="004B45D5">
        <w:t>Prepaid Inpatient Health Plans (</w:t>
      </w:r>
      <w:r w:rsidR="00BA2F54">
        <w:t>PIHPs</w:t>
      </w:r>
      <w:r w:rsidR="004B45D5">
        <w:t>)</w:t>
      </w:r>
      <w:r w:rsidR="00BA2F54">
        <w:t>,</w:t>
      </w:r>
      <w:r w:rsidR="004B45D5">
        <w:t xml:space="preserve"> </w:t>
      </w:r>
      <w:r w:rsidR="00BA2F54">
        <w:t xml:space="preserve">and </w:t>
      </w:r>
      <w:r w:rsidR="00664881">
        <w:t xml:space="preserve">to </w:t>
      </w:r>
      <w:r w:rsidR="00BA2F54">
        <w:t>PCCM entities</w:t>
      </w:r>
      <w:r w:rsidR="00364D0C">
        <w:t xml:space="preserve"> as described in 438.310(c</w:t>
      </w:r>
      <w:proofErr w:type="gramStart"/>
      <w:r w:rsidR="00364D0C">
        <w:t>)(</w:t>
      </w:r>
      <w:proofErr w:type="gramEnd"/>
      <w:r w:rsidR="00364D0C">
        <w:t>2)</w:t>
      </w:r>
      <w:r w:rsidRPr="002D585D">
        <w:t>. Though not required</w:t>
      </w:r>
      <w:r w:rsidR="00664881">
        <w:t xml:space="preserve"> to comply with the managed care rule, MassHealth includes</w:t>
      </w:r>
      <w:r w:rsidRPr="002D585D">
        <w:t xml:space="preserve"> the PCC Plan</w:t>
      </w:r>
      <w:r w:rsidR="00366BC4">
        <w:t xml:space="preserve"> (a PCCM)</w:t>
      </w:r>
      <w:r w:rsidRPr="002D585D">
        <w:t xml:space="preserve"> in </w:t>
      </w:r>
      <w:r w:rsidR="00664881">
        <w:t xml:space="preserve">its </w:t>
      </w:r>
      <w:r w:rsidRPr="002D585D">
        <w:t>strategy, where appropriate.</w:t>
      </w:r>
    </w:p>
    <w:p w14:paraId="3FA74841" w14:textId="77777777" w:rsidR="00321A59" w:rsidRDefault="00321A59" w:rsidP="00914EA4">
      <w:pPr>
        <w:pStyle w:val="Caption"/>
      </w:pPr>
      <w:bookmarkStart w:id="14" w:name="_Ref521919011"/>
    </w:p>
    <w:p w14:paraId="0F8BC4DA" w14:textId="77777777" w:rsidR="00321A59" w:rsidRDefault="00321A59" w:rsidP="00914EA4">
      <w:pPr>
        <w:pStyle w:val="Caption"/>
      </w:pPr>
    </w:p>
    <w:p w14:paraId="000B8D81" w14:textId="77777777" w:rsidR="00321A59" w:rsidRDefault="00321A59" w:rsidP="00914EA4">
      <w:pPr>
        <w:pStyle w:val="Caption"/>
      </w:pPr>
    </w:p>
    <w:p w14:paraId="7B8D2777" w14:textId="77777777" w:rsidR="00321A59" w:rsidRDefault="00321A59" w:rsidP="00914EA4">
      <w:pPr>
        <w:pStyle w:val="Caption"/>
      </w:pPr>
    </w:p>
    <w:p w14:paraId="712FE89A" w14:textId="77777777" w:rsidR="00335817" w:rsidRDefault="00914EA4" w:rsidP="00914EA4">
      <w:pPr>
        <w:pStyle w:val="Caption"/>
        <w:rPr>
          <w:rFonts w:cs="Calibri"/>
        </w:rPr>
      </w:pPr>
      <w:r>
        <w:t xml:space="preserve">Table </w:t>
      </w:r>
      <w:r w:rsidR="00CB5E77">
        <w:rPr>
          <w:noProof/>
        </w:rPr>
        <w:fldChar w:fldCharType="begin"/>
      </w:r>
      <w:r w:rsidR="00CB5E77">
        <w:rPr>
          <w:noProof/>
        </w:rPr>
        <w:instrText xml:space="preserve"> SEQ Table \* ARABIC </w:instrText>
      </w:r>
      <w:r w:rsidR="00CB5E77">
        <w:rPr>
          <w:noProof/>
        </w:rPr>
        <w:fldChar w:fldCharType="separate"/>
      </w:r>
      <w:r w:rsidR="00207DB8">
        <w:rPr>
          <w:noProof/>
        </w:rPr>
        <w:t>1</w:t>
      </w:r>
      <w:r w:rsidR="00CB5E77">
        <w:rPr>
          <w:noProof/>
        </w:rPr>
        <w:fldChar w:fldCharType="end"/>
      </w:r>
      <w:r>
        <w:t xml:space="preserve">: </w:t>
      </w:r>
      <w:r w:rsidR="00335817">
        <w:rPr>
          <w:rFonts w:cs="Calibri"/>
        </w:rPr>
        <w:t xml:space="preserve">Summary of Managed Care </w:t>
      </w:r>
      <w:bookmarkEnd w:id="14"/>
      <w:r w:rsidR="007A67D3">
        <w:rPr>
          <w:rFonts w:cs="Calibri"/>
        </w:rPr>
        <w:t>Programs</w:t>
      </w:r>
      <w:r w:rsidR="00F92CFF">
        <w:rPr>
          <w:rFonts w:cs="Calibri"/>
        </w:rPr>
        <w:t xml:space="preserve"> in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196"/>
        <w:gridCol w:w="983"/>
        <w:gridCol w:w="1066"/>
        <w:gridCol w:w="1049"/>
        <w:gridCol w:w="980"/>
        <w:gridCol w:w="951"/>
        <w:gridCol w:w="920"/>
      </w:tblGrid>
      <w:tr w:rsidR="00335817" w:rsidRPr="00821C14" w14:paraId="3BD88513" w14:textId="77777777" w:rsidTr="00720ED0">
        <w:trPr>
          <w:trHeight w:val="221"/>
        </w:trPr>
        <w:tc>
          <w:tcPr>
            <w:tcW w:w="1702" w:type="dxa"/>
            <w:tcBorders>
              <w:bottom w:val="single" w:sz="4" w:space="0" w:color="auto"/>
            </w:tcBorders>
            <w:shd w:val="clear" w:color="auto" w:fill="B6DDE8" w:themeFill="accent5" w:themeFillTint="66"/>
          </w:tcPr>
          <w:p w14:paraId="55FB5D32" w14:textId="77777777" w:rsidR="00335817" w:rsidRPr="00720ED0" w:rsidRDefault="00335817" w:rsidP="00455862">
            <w:pPr>
              <w:pStyle w:val="ListBullet2"/>
              <w:keepNext/>
              <w:numPr>
                <w:ilvl w:val="0"/>
                <w:numId w:val="0"/>
              </w:numPr>
              <w:spacing w:after="0"/>
              <w:rPr>
                <w:rFonts w:cs="Calibri"/>
                <w:b/>
                <w:sz w:val="18"/>
                <w:szCs w:val="18"/>
              </w:rPr>
            </w:pPr>
          </w:p>
        </w:tc>
        <w:tc>
          <w:tcPr>
            <w:tcW w:w="5274" w:type="dxa"/>
            <w:gridSpan w:val="5"/>
            <w:shd w:val="clear" w:color="auto" w:fill="B6DDE8" w:themeFill="accent5" w:themeFillTint="66"/>
          </w:tcPr>
          <w:p w14:paraId="27332DBE" w14:textId="77777777" w:rsidR="00335817" w:rsidRPr="00720ED0" w:rsidRDefault="00335817" w:rsidP="00455862">
            <w:pPr>
              <w:pStyle w:val="ListBullet2"/>
              <w:keepNext/>
              <w:numPr>
                <w:ilvl w:val="0"/>
                <w:numId w:val="0"/>
              </w:numPr>
              <w:spacing w:after="0"/>
              <w:jc w:val="center"/>
              <w:rPr>
                <w:rFonts w:cs="Calibri"/>
                <w:b/>
                <w:sz w:val="18"/>
                <w:szCs w:val="18"/>
              </w:rPr>
            </w:pPr>
          </w:p>
        </w:tc>
        <w:tc>
          <w:tcPr>
            <w:tcW w:w="1871" w:type="dxa"/>
            <w:gridSpan w:val="2"/>
            <w:shd w:val="clear" w:color="auto" w:fill="B6DDE8" w:themeFill="accent5" w:themeFillTint="66"/>
          </w:tcPr>
          <w:p w14:paraId="716E9F0C" w14:textId="77777777" w:rsidR="00335817" w:rsidRPr="00720ED0" w:rsidRDefault="00335817" w:rsidP="00720ED0">
            <w:pPr>
              <w:pStyle w:val="ListBullet2"/>
              <w:keepNext/>
              <w:numPr>
                <w:ilvl w:val="0"/>
                <w:numId w:val="0"/>
              </w:numPr>
              <w:spacing w:after="0"/>
              <w:jc w:val="center"/>
              <w:rPr>
                <w:rFonts w:cs="Calibri"/>
                <w:b/>
                <w:sz w:val="18"/>
                <w:szCs w:val="18"/>
              </w:rPr>
            </w:pPr>
          </w:p>
        </w:tc>
      </w:tr>
      <w:tr w:rsidR="00335817" w:rsidRPr="00821C14" w14:paraId="3B40BB8C" w14:textId="77777777" w:rsidTr="00720ED0">
        <w:trPr>
          <w:trHeight w:val="210"/>
        </w:trPr>
        <w:tc>
          <w:tcPr>
            <w:tcW w:w="1702" w:type="dxa"/>
            <w:tcBorders>
              <w:top w:val="single" w:sz="4" w:space="0" w:color="auto"/>
              <w:bottom w:val="single" w:sz="4" w:space="0" w:color="auto"/>
            </w:tcBorders>
            <w:shd w:val="clear" w:color="auto" w:fill="B6DDE8" w:themeFill="accent5" w:themeFillTint="66"/>
          </w:tcPr>
          <w:p w14:paraId="7C75EB29" w14:textId="77777777" w:rsidR="00335817" w:rsidRPr="00720ED0" w:rsidRDefault="00335817" w:rsidP="00455862">
            <w:pPr>
              <w:pStyle w:val="ListBullet2"/>
              <w:keepNext/>
              <w:numPr>
                <w:ilvl w:val="0"/>
                <w:numId w:val="0"/>
              </w:numPr>
              <w:spacing w:after="0"/>
              <w:jc w:val="right"/>
              <w:rPr>
                <w:rFonts w:cs="Calibri"/>
                <w:b/>
                <w:sz w:val="18"/>
                <w:szCs w:val="18"/>
              </w:rPr>
            </w:pPr>
          </w:p>
        </w:tc>
        <w:tc>
          <w:tcPr>
            <w:tcW w:w="5274" w:type="dxa"/>
            <w:gridSpan w:val="5"/>
            <w:shd w:val="clear" w:color="auto" w:fill="B6DDE8" w:themeFill="accent5" w:themeFillTint="66"/>
          </w:tcPr>
          <w:p w14:paraId="52CB8C1D" w14:textId="77777777" w:rsidR="00335817" w:rsidRPr="00720ED0" w:rsidRDefault="0055051A" w:rsidP="00455862">
            <w:pPr>
              <w:pStyle w:val="ListBullet2"/>
              <w:keepNext/>
              <w:numPr>
                <w:ilvl w:val="0"/>
                <w:numId w:val="0"/>
              </w:numPr>
              <w:spacing w:after="0"/>
              <w:jc w:val="center"/>
              <w:rPr>
                <w:rFonts w:cs="Calibri"/>
                <w:b/>
                <w:sz w:val="18"/>
                <w:szCs w:val="18"/>
              </w:rPr>
            </w:pPr>
            <w:r>
              <w:rPr>
                <w:rFonts w:cs="Calibri"/>
                <w:b/>
                <w:sz w:val="18"/>
                <w:szCs w:val="18"/>
              </w:rPr>
              <w:t>Medicaid Only</w:t>
            </w:r>
          </w:p>
        </w:tc>
        <w:tc>
          <w:tcPr>
            <w:tcW w:w="1871" w:type="dxa"/>
            <w:gridSpan w:val="2"/>
            <w:shd w:val="clear" w:color="auto" w:fill="B6DDE8" w:themeFill="accent5" w:themeFillTint="66"/>
          </w:tcPr>
          <w:p w14:paraId="65CB1710" w14:textId="77777777" w:rsidR="00335817" w:rsidRPr="00720ED0" w:rsidRDefault="0055051A" w:rsidP="006F4C9F">
            <w:pPr>
              <w:pStyle w:val="ListBullet2"/>
              <w:keepNext/>
              <w:numPr>
                <w:ilvl w:val="0"/>
                <w:numId w:val="0"/>
              </w:numPr>
              <w:spacing w:after="0"/>
              <w:jc w:val="center"/>
              <w:rPr>
                <w:rFonts w:cs="Calibri"/>
                <w:b/>
                <w:sz w:val="18"/>
                <w:szCs w:val="18"/>
              </w:rPr>
            </w:pPr>
            <w:r>
              <w:rPr>
                <w:rFonts w:cs="Calibri"/>
                <w:b/>
                <w:sz w:val="18"/>
                <w:szCs w:val="18"/>
              </w:rPr>
              <w:t xml:space="preserve">Members </w:t>
            </w:r>
            <w:r w:rsidR="00335817" w:rsidRPr="00720ED0">
              <w:rPr>
                <w:rFonts w:cs="Calibri"/>
                <w:b/>
                <w:sz w:val="18"/>
                <w:szCs w:val="18"/>
              </w:rPr>
              <w:t>Dually eligible</w:t>
            </w:r>
            <w:r>
              <w:rPr>
                <w:rFonts w:cs="Calibri"/>
                <w:b/>
                <w:sz w:val="18"/>
                <w:szCs w:val="18"/>
              </w:rPr>
              <w:t xml:space="preserve"> or 65+</w:t>
            </w:r>
            <w:r w:rsidR="006F4C9F">
              <w:rPr>
                <w:rFonts w:cs="Calibri"/>
                <w:b/>
                <w:sz w:val="18"/>
                <w:szCs w:val="18"/>
              </w:rPr>
              <w:t>**</w:t>
            </w:r>
          </w:p>
        </w:tc>
      </w:tr>
      <w:tr w:rsidR="00335817" w:rsidRPr="00821C14" w14:paraId="6937CFBB" w14:textId="77777777" w:rsidTr="00720ED0">
        <w:trPr>
          <w:trHeight w:val="1324"/>
        </w:trPr>
        <w:tc>
          <w:tcPr>
            <w:tcW w:w="1702" w:type="dxa"/>
            <w:tcBorders>
              <w:top w:val="single" w:sz="4" w:space="0" w:color="auto"/>
            </w:tcBorders>
            <w:shd w:val="clear" w:color="auto" w:fill="DAEEF3" w:themeFill="accent5" w:themeFillTint="33"/>
          </w:tcPr>
          <w:p w14:paraId="3D67B191" w14:textId="77777777" w:rsidR="00335817" w:rsidRDefault="00335817" w:rsidP="00455862">
            <w:pPr>
              <w:pStyle w:val="ListBullet2"/>
              <w:keepNext/>
              <w:numPr>
                <w:ilvl w:val="0"/>
                <w:numId w:val="0"/>
              </w:numPr>
              <w:spacing w:after="0"/>
              <w:rPr>
                <w:rFonts w:cs="Calibri"/>
                <w:sz w:val="18"/>
                <w:szCs w:val="18"/>
              </w:rPr>
            </w:pPr>
          </w:p>
          <w:p w14:paraId="4E13DAFF" w14:textId="77777777" w:rsidR="00720ED0" w:rsidRPr="00821C14" w:rsidRDefault="00720ED0" w:rsidP="00455862">
            <w:pPr>
              <w:pStyle w:val="ListBullet2"/>
              <w:keepNext/>
              <w:numPr>
                <w:ilvl w:val="0"/>
                <w:numId w:val="0"/>
              </w:numPr>
              <w:spacing w:after="0"/>
              <w:rPr>
                <w:rFonts w:cs="Calibri"/>
                <w:sz w:val="18"/>
                <w:szCs w:val="18"/>
              </w:rPr>
            </w:pPr>
            <w:r>
              <w:rPr>
                <w:rFonts w:cs="Calibri"/>
                <w:sz w:val="18"/>
                <w:szCs w:val="18"/>
              </w:rPr>
              <w:t>Managed Care Program Type:</w:t>
            </w:r>
          </w:p>
        </w:tc>
        <w:tc>
          <w:tcPr>
            <w:tcW w:w="1196" w:type="dxa"/>
            <w:shd w:val="clear" w:color="auto" w:fill="DAEEF3" w:themeFill="accent5" w:themeFillTint="33"/>
            <w:vAlign w:val="center"/>
          </w:tcPr>
          <w:p w14:paraId="6AC541E0" w14:textId="77777777" w:rsidR="00335817" w:rsidRPr="00821C14" w:rsidRDefault="00335817" w:rsidP="00364D0C">
            <w:pPr>
              <w:pStyle w:val="ListBullet2"/>
              <w:keepNext/>
              <w:numPr>
                <w:ilvl w:val="0"/>
                <w:numId w:val="0"/>
              </w:numPr>
              <w:spacing w:after="0"/>
              <w:jc w:val="center"/>
              <w:rPr>
                <w:rFonts w:cs="Calibri"/>
                <w:sz w:val="18"/>
                <w:szCs w:val="18"/>
              </w:rPr>
            </w:pPr>
            <w:r>
              <w:rPr>
                <w:rFonts w:cs="Calibri"/>
                <w:sz w:val="18"/>
                <w:szCs w:val="18"/>
              </w:rPr>
              <w:t>Accountable Care Partnership Plan, ACO Program</w:t>
            </w:r>
          </w:p>
        </w:tc>
        <w:tc>
          <w:tcPr>
            <w:tcW w:w="983" w:type="dxa"/>
            <w:shd w:val="clear" w:color="auto" w:fill="DAEEF3" w:themeFill="accent5" w:themeFillTint="33"/>
            <w:vAlign w:val="center"/>
          </w:tcPr>
          <w:p w14:paraId="2C7D1507" w14:textId="77777777" w:rsidR="00335817" w:rsidRPr="00821C14" w:rsidRDefault="00335817" w:rsidP="00364D0C">
            <w:pPr>
              <w:pStyle w:val="ListBullet2"/>
              <w:keepNext/>
              <w:numPr>
                <w:ilvl w:val="0"/>
                <w:numId w:val="0"/>
              </w:numPr>
              <w:spacing w:after="0"/>
              <w:jc w:val="center"/>
              <w:rPr>
                <w:rFonts w:cs="Calibri"/>
                <w:sz w:val="18"/>
                <w:szCs w:val="18"/>
              </w:rPr>
            </w:pPr>
            <w:r>
              <w:rPr>
                <w:rFonts w:cs="Calibri"/>
                <w:sz w:val="18"/>
                <w:szCs w:val="18"/>
              </w:rPr>
              <w:t>Primary Care</w:t>
            </w:r>
            <w:r w:rsidR="00364D0C">
              <w:rPr>
                <w:rFonts w:cs="Calibri"/>
                <w:sz w:val="18"/>
                <w:szCs w:val="18"/>
              </w:rPr>
              <w:t>,</w:t>
            </w:r>
            <w:r>
              <w:rPr>
                <w:rFonts w:cs="Calibri"/>
                <w:sz w:val="18"/>
                <w:szCs w:val="18"/>
              </w:rPr>
              <w:t xml:space="preserve"> ACO Program (PCCM Entity)</w:t>
            </w:r>
          </w:p>
        </w:tc>
        <w:tc>
          <w:tcPr>
            <w:tcW w:w="1066" w:type="dxa"/>
            <w:shd w:val="clear" w:color="auto" w:fill="DAEEF3" w:themeFill="accent5" w:themeFillTint="33"/>
            <w:vAlign w:val="center"/>
          </w:tcPr>
          <w:p w14:paraId="559C81B0" w14:textId="77777777" w:rsidR="00335817" w:rsidRPr="00821C14" w:rsidRDefault="00335817" w:rsidP="00364D0C">
            <w:pPr>
              <w:pStyle w:val="ListBullet2"/>
              <w:keepNext/>
              <w:numPr>
                <w:ilvl w:val="0"/>
                <w:numId w:val="0"/>
              </w:numPr>
              <w:spacing w:after="0"/>
              <w:jc w:val="center"/>
              <w:rPr>
                <w:rFonts w:cs="Calibri"/>
                <w:sz w:val="18"/>
                <w:szCs w:val="18"/>
              </w:rPr>
            </w:pPr>
            <w:r w:rsidRPr="00821C14">
              <w:rPr>
                <w:rFonts w:cs="Calibri"/>
                <w:sz w:val="18"/>
                <w:szCs w:val="18"/>
              </w:rPr>
              <w:t>MCO Program</w:t>
            </w:r>
          </w:p>
        </w:tc>
        <w:tc>
          <w:tcPr>
            <w:tcW w:w="1049" w:type="dxa"/>
            <w:shd w:val="clear" w:color="auto" w:fill="DAEEF3" w:themeFill="accent5" w:themeFillTint="33"/>
            <w:vAlign w:val="center"/>
          </w:tcPr>
          <w:p w14:paraId="70281619" w14:textId="77777777" w:rsidR="00335817" w:rsidRPr="00821C14" w:rsidRDefault="00335817" w:rsidP="00364D0C">
            <w:pPr>
              <w:pStyle w:val="ListBullet2"/>
              <w:keepNext/>
              <w:numPr>
                <w:ilvl w:val="0"/>
                <w:numId w:val="0"/>
              </w:numPr>
              <w:spacing w:after="0"/>
              <w:jc w:val="center"/>
              <w:rPr>
                <w:rFonts w:cs="Calibri"/>
                <w:sz w:val="18"/>
                <w:szCs w:val="18"/>
              </w:rPr>
            </w:pPr>
            <w:r w:rsidRPr="00821C14">
              <w:rPr>
                <w:rFonts w:cs="Calibri"/>
                <w:sz w:val="18"/>
                <w:szCs w:val="18"/>
              </w:rPr>
              <w:t>PCC Plan</w:t>
            </w:r>
          </w:p>
        </w:tc>
        <w:tc>
          <w:tcPr>
            <w:tcW w:w="980" w:type="dxa"/>
            <w:shd w:val="clear" w:color="auto" w:fill="DAEEF3" w:themeFill="accent5" w:themeFillTint="33"/>
            <w:vAlign w:val="center"/>
          </w:tcPr>
          <w:p w14:paraId="4CE4C321" w14:textId="77777777" w:rsidR="00335817" w:rsidRPr="00821C14" w:rsidRDefault="00335817" w:rsidP="00364D0C">
            <w:pPr>
              <w:pStyle w:val="ListBullet2"/>
              <w:keepNext/>
              <w:numPr>
                <w:ilvl w:val="0"/>
                <w:numId w:val="0"/>
              </w:numPr>
              <w:spacing w:after="0"/>
              <w:jc w:val="center"/>
              <w:rPr>
                <w:rFonts w:cs="Calibri"/>
                <w:sz w:val="18"/>
                <w:szCs w:val="18"/>
              </w:rPr>
            </w:pPr>
            <w:r>
              <w:rPr>
                <w:rFonts w:cs="Calibri"/>
                <w:sz w:val="18"/>
                <w:szCs w:val="18"/>
              </w:rPr>
              <w:t>PIHP for BH</w:t>
            </w:r>
            <w:r w:rsidR="006F4C9F">
              <w:rPr>
                <w:rFonts w:cs="Calibri"/>
                <w:sz w:val="18"/>
                <w:szCs w:val="18"/>
              </w:rPr>
              <w:t>*</w:t>
            </w:r>
          </w:p>
        </w:tc>
        <w:tc>
          <w:tcPr>
            <w:tcW w:w="951" w:type="dxa"/>
            <w:shd w:val="clear" w:color="auto" w:fill="DAEEF3" w:themeFill="accent5" w:themeFillTint="33"/>
            <w:vAlign w:val="center"/>
          </w:tcPr>
          <w:p w14:paraId="7F1EA12D" w14:textId="77777777" w:rsidR="00335817" w:rsidRPr="00821C14" w:rsidRDefault="00335817" w:rsidP="0055051A">
            <w:pPr>
              <w:pStyle w:val="ListBullet2"/>
              <w:keepNext/>
              <w:numPr>
                <w:ilvl w:val="0"/>
                <w:numId w:val="0"/>
              </w:numPr>
              <w:spacing w:after="0"/>
              <w:jc w:val="center"/>
              <w:rPr>
                <w:rFonts w:cs="Calibri"/>
                <w:sz w:val="18"/>
                <w:szCs w:val="18"/>
              </w:rPr>
            </w:pPr>
            <w:r w:rsidRPr="00821C14">
              <w:rPr>
                <w:rFonts w:cs="Calibri"/>
                <w:sz w:val="18"/>
                <w:szCs w:val="18"/>
              </w:rPr>
              <w:t xml:space="preserve">One Care </w:t>
            </w:r>
          </w:p>
        </w:tc>
        <w:tc>
          <w:tcPr>
            <w:tcW w:w="920" w:type="dxa"/>
            <w:shd w:val="clear" w:color="auto" w:fill="DAEEF3" w:themeFill="accent5" w:themeFillTint="33"/>
            <w:vAlign w:val="center"/>
          </w:tcPr>
          <w:p w14:paraId="551A3388" w14:textId="77777777" w:rsidR="00335817" w:rsidRPr="00821C14" w:rsidRDefault="00335817" w:rsidP="00364D0C">
            <w:pPr>
              <w:pStyle w:val="ListBullet2"/>
              <w:keepNext/>
              <w:numPr>
                <w:ilvl w:val="0"/>
                <w:numId w:val="0"/>
              </w:numPr>
              <w:spacing w:after="0"/>
              <w:jc w:val="center"/>
              <w:rPr>
                <w:rFonts w:cs="Calibri"/>
                <w:sz w:val="18"/>
                <w:szCs w:val="18"/>
              </w:rPr>
            </w:pPr>
            <w:r w:rsidRPr="00821C14">
              <w:rPr>
                <w:rFonts w:cs="Calibri"/>
                <w:sz w:val="18"/>
                <w:szCs w:val="18"/>
              </w:rPr>
              <w:t>SCO Program</w:t>
            </w:r>
          </w:p>
        </w:tc>
      </w:tr>
      <w:tr w:rsidR="00335817" w:rsidRPr="00821C14" w14:paraId="75C6FB6A" w14:textId="77777777" w:rsidTr="00364D0C">
        <w:trPr>
          <w:trHeight w:val="441"/>
        </w:trPr>
        <w:tc>
          <w:tcPr>
            <w:tcW w:w="1702" w:type="dxa"/>
          </w:tcPr>
          <w:p w14:paraId="1D292548" w14:textId="77777777" w:rsidR="00335817" w:rsidRPr="00821C14" w:rsidRDefault="00364D0C" w:rsidP="00364D0C">
            <w:pPr>
              <w:pStyle w:val="ListBullet2"/>
              <w:keepNext/>
              <w:numPr>
                <w:ilvl w:val="0"/>
                <w:numId w:val="0"/>
              </w:numPr>
              <w:spacing w:after="0"/>
              <w:rPr>
                <w:rFonts w:cs="Calibri"/>
                <w:sz w:val="18"/>
                <w:szCs w:val="18"/>
              </w:rPr>
            </w:pPr>
            <w:r>
              <w:rPr>
                <w:rFonts w:cs="Calibri"/>
                <w:sz w:val="18"/>
                <w:szCs w:val="18"/>
              </w:rPr>
              <w:t xml:space="preserve">Number of </w:t>
            </w:r>
            <w:r w:rsidR="00335817">
              <w:rPr>
                <w:rFonts w:cs="Calibri"/>
                <w:sz w:val="18"/>
                <w:szCs w:val="18"/>
              </w:rPr>
              <w:t>Contractors</w:t>
            </w:r>
          </w:p>
        </w:tc>
        <w:tc>
          <w:tcPr>
            <w:tcW w:w="1196" w:type="dxa"/>
          </w:tcPr>
          <w:p w14:paraId="4E8807A8" w14:textId="77777777" w:rsidR="00335817" w:rsidRDefault="00335817" w:rsidP="00455862">
            <w:pPr>
              <w:pStyle w:val="ListBullet2"/>
              <w:keepNext/>
              <w:numPr>
                <w:ilvl w:val="0"/>
                <w:numId w:val="0"/>
              </w:numPr>
              <w:spacing w:after="0"/>
              <w:jc w:val="center"/>
              <w:rPr>
                <w:rFonts w:cs="Calibri"/>
                <w:sz w:val="18"/>
                <w:szCs w:val="18"/>
              </w:rPr>
            </w:pPr>
            <w:r>
              <w:rPr>
                <w:rFonts w:cs="Calibri"/>
                <w:sz w:val="18"/>
                <w:szCs w:val="18"/>
              </w:rPr>
              <w:t>13</w:t>
            </w:r>
          </w:p>
        </w:tc>
        <w:tc>
          <w:tcPr>
            <w:tcW w:w="983" w:type="dxa"/>
          </w:tcPr>
          <w:p w14:paraId="539AA354" w14:textId="77777777" w:rsidR="00335817" w:rsidRPr="00821C14" w:rsidRDefault="00335817" w:rsidP="00455862">
            <w:pPr>
              <w:pStyle w:val="ListBullet2"/>
              <w:keepNext/>
              <w:numPr>
                <w:ilvl w:val="0"/>
                <w:numId w:val="0"/>
              </w:numPr>
              <w:spacing w:after="0"/>
              <w:jc w:val="center"/>
              <w:rPr>
                <w:rFonts w:cs="Calibri"/>
                <w:sz w:val="18"/>
                <w:szCs w:val="18"/>
              </w:rPr>
            </w:pPr>
            <w:r>
              <w:rPr>
                <w:rFonts w:cs="Calibri"/>
                <w:sz w:val="18"/>
                <w:szCs w:val="18"/>
              </w:rPr>
              <w:t>3</w:t>
            </w:r>
          </w:p>
        </w:tc>
        <w:tc>
          <w:tcPr>
            <w:tcW w:w="1066" w:type="dxa"/>
          </w:tcPr>
          <w:p w14:paraId="6E78AB8C" w14:textId="77777777" w:rsidR="00335817" w:rsidRPr="00821C14" w:rsidRDefault="00335817" w:rsidP="00455862">
            <w:pPr>
              <w:pStyle w:val="ListBullet2"/>
              <w:keepNext/>
              <w:numPr>
                <w:ilvl w:val="0"/>
                <w:numId w:val="0"/>
              </w:numPr>
              <w:spacing w:after="0"/>
              <w:jc w:val="center"/>
              <w:rPr>
                <w:rFonts w:cs="Calibri"/>
                <w:sz w:val="18"/>
                <w:szCs w:val="18"/>
              </w:rPr>
            </w:pPr>
            <w:r>
              <w:rPr>
                <w:rFonts w:cs="Calibri"/>
                <w:sz w:val="18"/>
                <w:szCs w:val="18"/>
              </w:rPr>
              <w:t>2</w:t>
            </w:r>
          </w:p>
        </w:tc>
        <w:tc>
          <w:tcPr>
            <w:tcW w:w="1049" w:type="dxa"/>
          </w:tcPr>
          <w:p w14:paraId="265A187D" w14:textId="77777777" w:rsidR="00335817" w:rsidRPr="00821C14" w:rsidRDefault="00364D0C" w:rsidP="00455862">
            <w:pPr>
              <w:pStyle w:val="ListBullet2"/>
              <w:keepNext/>
              <w:numPr>
                <w:ilvl w:val="0"/>
                <w:numId w:val="0"/>
              </w:numPr>
              <w:spacing w:after="0"/>
              <w:jc w:val="center"/>
              <w:rPr>
                <w:rFonts w:cs="Calibri"/>
                <w:sz w:val="18"/>
                <w:szCs w:val="18"/>
              </w:rPr>
            </w:pPr>
            <w:r>
              <w:rPr>
                <w:rFonts w:cs="Calibri"/>
                <w:sz w:val="18"/>
                <w:szCs w:val="18"/>
              </w:rPr>
              <w:t>N/A</w:t>
            </w:r>
          </w:p>
        </w:tc>
        <w:tc>
          <w:tcPr>
            <w:tcW w:w="980" w:type="dxa"/>
          </w:tcPr>
          <w:p w14:paraId="696A4C59" w14:textId="77777777" w:rsidR="00335817" w:rsidRPr="00821C14" w:rsidRDefault="00335817" w:rsidP="00455862">
            <w:pPr>
              <w:pStyle w:val="ListBullet2"/>
              <w:keepNext/>
              <w:numPr>
                <w:ilvl w:val="0"/>
                <w:numId w:val="0"/>
              </w:numPr>
              <w:spacing w:after="0"/>
              <w:jc w:val="center"/>
              <w:rPr>
                <w:rFonts w:cs="Calibri"/>
                <w:sz w:val="18"/>
                <w:szCs w:val="18"/>
              </w:rPr>
            </w:pPr>
            <w:r>
              <w:rPr>
                <w:rFonts w:cs="Calibri"/>
                <w:sz w:val="18"/>
                <w:szCs w:val="18"/>
              </w:rPr>
              <w:t>1</w:t>
            </w:r>
          </w:p>
        </w:tc>
        <w:tc>
          <w:tcPr>
            <w:tcW w:w="951" w:type="dxa"/>
          </w:tcPr>
          <w:p w14:paraId="2DFFE37A" w14:textId="77777777" w:rsidR="00335817" w:rsidRPr="00821C14" w:rsidRDefault="00335817" w:rsidP="00455862">
            <w:pPr>
              <w:pStyle w:val="ListBullet2"/>
              <w:keepNext/>
              <w:numPr>
                <w:ilvl w:val="0"/>
                <w:numId w:val="0"/>
              </w:numPr>
              <w:spacing w:after="0"/>
              <w:jc w:val="center"/>
              <w:rPr>
                <w:rFonts w:cs="Calibri"/>
                <w:sz w:val="18"/>
                <w:szCs w:val="18"/>
              </w:rPr>
            </w:pPr>
            <w:r>
              <w:rPr>
                <w:rFonts w:cs="Calibri"/>
                <w:sz w:val="18"/>
                <w:szCs w:val="18"/>
              </w:rPr>
              <w:t>2</w:t>
            </w:r>
          </w:p>
        </w:tc>
        <w:tc>
          <w:tcPr>
            <w:tcW w:w="920" w:type="dxa"/>
          </w:tcPr>
          <w:p w14:paraId="4CC67D6F" w14:textId="77777777" w:rsidR="00335817" w:rsidRPr="00821C14" w:rsidRDefault="00335817" w:rsidP="00455862">
            <w:pPr>
              <w:pStyle w:val="ListBullet2"/>
              <w:keepNext/>
              <w:numPr>
                <w:ilvl w:val="0"/>
                <w:numId w:val="0"/>
              </w:numPr>
              <w:spacing w:after="0"/>
              <w:jc w:val="center"/>
              <w:rPr>
                <w:rFonts w:cs="Calibri"/>
                <w:sz w:val="18"/>
                <w:szCs w:val="18"/>
              </w:rPr>
            </w:pPr>
            <w:r>
              <w:rPr>
                <w:rFonts w:cs="Calibri"/>
                <w:sz w:val="18"/>
                <w:szCs w:val="18"/>
              </w:rPr>
              <w:t>6</w:t>
            </w:r>
          </w:p>
        </w:tc>
      </w:tr>
      <w:tr w:rsidR="00335817" w:rsidRPr="00821C14" w14:paraId="3ABFD075" w14:textId="77777777" w:rsidTr="00364D0C">
        <w:trPr>
          <w:trHeight w:val="431"/>
        </w:trPr>
        <w:tc>
          <w:tcPr>
            <w:tcW w:w="1702" w:type="dxa"/>
          </w:tcPr>
          <w:p w14:paraId="6DA80784" w14:textId="77777777" w:rsidR="00335817" w:rsidRPr="00821C14" w:rsidRDefault="00335817" w:rsidP="00455862">
            <w:pPr>
              <w:pStyle w:val="ListBullet2"/>
              <w:keepNext/>
              <w:numPr>
                <w:ilvl w:val="0"/>
                <w:numId w:val="0"/>
              </w:numPr>
              <w:spacing w:after="0"/>
              <w:rPr>
                <w:rFonts w:cs="Calibri"/>
                <w:sz w:val="18"/>
                <w:szCs w:val="18"/>
              </w:rPr>
            </w:pPr>
            <w:r>
              <w:rPr>
                <w:rFonts w:cs="Calibri"/>
                <w:sz w:val="18"/>
                <w:szCs w:val="18"/>
              </w:rPr>
              <w:t>Federal Authority</w:t>
            </w:r>
          </w:p>
        </w:tc>
        <w:tc>
          <w:tcPr>
            <w:tcW w:w="1196" w:type="dxa"/>
          </w:tcPr>
          <w:p w14:paraId="62355673" w14:textId="77777777" w:rsidR="00335817" w:rsidRDefault="00335817" w:rsidP="00455862">
            <w:pPr>
              <w:pStyle w:val="ListBullet2"/>
              <w:keepNext/>
              <w:numPr>
                <w:ilvl w:val="0"/>
                <w:numId w:val="0"/>
              </w:numPr>
              <w:spacing w:after="0"/>
              <w:jc w:val="center"/>
              <w:rPr>
                <w:rFonts w:cs="Calibri"/>
                <w:sz w:val="18"/>
                <w:szCs w:val="18"/>
              </w:rPr>
            </w:pPr>
            <w:r>
              <w:rPr>
                <w:rFonts w:cs="Calibri"/>
                <w:sz w:val="18"/>
                <w:szCs w:val="18"/>
              </w:rPr>
              <w:t>1115 waiver</w:t>
            </w:r>
          </w:p>
        </w:tc>
        <w:tc>
          <w:tcPr>
            <w:tcW w:w="983" w:type="dxa"/>
          </w:tcPr>
          <w:p w14:paraId="33427197" w14:textId="77777777" w:rsidR="00335817" w:rsidRPr="00821C14" w:rsidRDefault="00335817" w:rsidP="00455862">
            <w:pPr>
              <w:pStyle w:val="ListBullet2"/>
              <w:keepNext/>
              <w:numPr>
                <w:ilvl w:val="0"/>
                <w:numId w:val="0"/>
              </w:numPr>
              <w:spacing w:after="0"/>
              <w:jc w:val="center"/>
              <w:rPr>
                <w:rFonts w:cs="Calibri"/>
                <w:sz w:val="18"/>
                <w:szCs w:val="18"/>
              </w:rPr>
            </w:pPr>
            <w:r>
              <w:rPr>
                <w:rFonts w:cs="Calibri"/>
                <w:sz w:val="18"/>
                <w:szCs w:val="18"/>
              </w:rPr>
              <w:t>1115 waiver</w:t>
            </w:r>
          </w:p>
        </w:tc>
        <w:tc>
          <w:tcPr>
            <w:tcW w:w="1066" w:type="dxa"/>
          </w:tcPr>
          <w:p w14:paraId="170C7258" w14:textId="77777777" w:rsidR="00335817" w:rsidRPr="00821C14" w:rsidRDefault="00335817" w:rsidP="00455862">
            <w:pPr>
              <w:pStyle w:val="ListBullet2"/>
              <w:keepNext/>
              <w:numPr>
                <w:ilvl w:val="0"/>
                <w:numId w:val="0"/>
              </w:numPr>
              <w:spacing w:after="0"/>
              <w:jc w:val="center"/>
              <w:rPr>
                <w:rFonts w:cs="Calibri"/>
                <w:sz w:val="18"/>
                <w:szCs w:val="18"/>
              </w:rPr>
            </w:pPr>
            <w:r>
              <w:rPr>
                <w:rFonts w:cs="Calibri"/>
                <w:sz w:val="18"/>
                <w:szCs w:val="18"/>
              </w:rPr>
              <w:t>1115 waiver</w:t>
            </w:r>
          </w:p>
        </w:tc>
        <w:tc>
          <w:tcPr>
            <w:tcW w:w="1049" w:type="dxa"/>
          </w:tcPr>
          <w:p w14:paraId="538B4E31" w14:textId="77777777" w:rsidR="00335817" w:rsidRPr="00821C14" w:rsidRDefault="00335817" w:rsidP="00455862">
            <w:pPr>
              <w:pStyle w:val="ListBullet2"/>
              <w:keepNext/>
              <w:numPr>
                <w:ilvl w:val="0"/>
                <w:numId w:val="0"/>
              </w:numPr>
              <w:spacing w:after="0"/>
              <w:jc w:val="center"/>
              <w:rPr>
                <w:rFonts w:cs="Calibri"/>
                <w:sz w:val="18"/>
                <w:szCs w:val="18"/>
              </w:rPr>
            </w:pPr>
            <w:r>
              <w:rPr>
                <w:rFonts w:cs="Calibri"/>
                <w:sz w:val="18"/>
                <w:szCs w:val="18"/>
              </w:rPr>
              <w:t>1115 waiver</w:t>
            </w:r>
          </w:p>
        </w:tc>
        <w:tc>
          <w:tcPr>
            <w:tcW w:w="980" w:type="dxa"/>
          </w:tcPr>
          <w:p w14:paraId="22439ECB" w14:textId="77777777" w:rsidR="00335817" w:rsidRPr="00821C14" w:rsidRDefault="00335817" w:rsidP="00455862">
            <w:pPr>
              <w:pStyle w:val="ListBullet2"/>
              <w:keepNext/>
              <w:numPr>
                <w:ilvl w:val="0"/>
                <w:numId w:val="0"/>
              </w:numPr>
              <w:spacing w:after="0"/>
              <w:jc w:val="center"/>
              <w:rPr>
                <w:rFonts w:cs="Calibri"/>
                <w:sz w:val="18"/>
                <w:szCs w:val="18"/>
              </w:rPr>
            </w:pPr>
            <w:r>
              <w:rPr>
                <w:rFonts w:cs="Calibri"/>
                <w:sz w:val="18"/>
                <w:szCs w:val="18"/>
              </w:rPr>
              <w:t>1115 waiver</w:t>
            </w:r>
          </w:p>
        </w:tc>
        <w:tc>
          <w:tcPr>
            <w:tcW w:w="951" w:type="dxa"/>
          </w:tcPr>
          <w:p w14:paraId="172FA84B" w14:textId="77777777" w:rsidR="00335817" w:rsidRPr="00821C14" w:rsidRDefault="00335817" w:rsidP="00455862">
            <w:pPr>
              <w:pStyle w:val="ListBullet2"/>
              <w:keepNext/>
              <w:numPr>
                <w:ilvl w:val="0"/>
                <w:numId w:val="0"/>
              </w:numPr>
              <w:spacing w:after="0"/>
              <w:jc w:val="center"/>
              <w:rPr>
                <w:rFonts w:cs="Calibri"/>
                <w:sz w:val="18"/>
                <w:szCs w:val="18"/>
              </w:rPr>
            </w:pPr>
            <w:r>
              <w:rPr>
                <w:rFonts w:cs="Calibri"/>
                <w:sz w:val="18"/>
                <w:szCs w:val="18"/>
              </w:rPr>
              <w:t>Demonstration</w:t>
            </w:r>
          </w:p>
        </w:tc>
        <w:tc>
          <w:tcPr>
            <w:tcW w:w="920" w:type="dxa"/>
          </w:tcPr>
          <w:p w14:paraId="1A57F0DB" w14:textId="77777777" w:rsidR="00335817" w:rsidRPr="00821C14" w:rsidRDefault="00335817" w:rsidP="00455862">
            <w:pPr>
              <w:pStyle w:val="ListBullet2"/>
              <w:keepNext/>
              <w:numPr>
                <w:ilvl w:val="0"/>
                <w:numId w:val="0"/>
              </w:numPr>
              <w:spacing w:after="0"/>
              <w:jc w:val="center"/>
              <w:rPr>
                <w:rFonts w:cs="Calibri"/>
                <w:sz w:val="18"/>
                <w:szCs w:val="18"/>
              </w:rPr>
            </w:pPr>
            <w:r>
              <w:rPr>
                <w:rFonts w:cs="Calibri"/>
                <w:sz w:val="18"/>
                <w:szCs w:val="18"/>
              </w:rPr>
              <w:t>1915(a)/</w:t>
            </w:r>
            <w:r>
              <w:rPr>
                <w:rFonts w:cs="Calibri"/>
                <w:sz w:val="18"/>
                <w:szCs w:val="18"/>
              </w:rPr>
              <w:br/>
              <w:t>1915(c)</w:t>
            </w:r>
          </w:p>
        </w:tc>
      </w:tr>
      <w:tr w:rsidR="00335817" w:rsidRPr="00821C14" w14:paraId="7FAD2839" w14:textId="77777777" w:rsidTr="00364D0C">
        <w:trPr>
          <w:trHeight w:val="441"/>
        </w:trPr>
        <w:tc>
          <w:tcPr>
            <w:tcW w:w="1702" w:type="dxa"/>
          </w:tcPr>
          <w:p w14:paraId="6BACFC9B" w14:textId="77777777" w:rsidR="00335817" w:rsidRPr="00821C14" w:rsidRDefault="00335817" w:rsidP="00455862">
            <w:pPr>
              <w:pStyle w:val="ListBullet2"/>
              <w:keepNext/>
              <w:numPr>
                <w:ilvl w:val="0"/>
                <w:numId w:val="0"/>
              </w:numPr>
              <w:spacing w:after="0"/>
              <w:rPr>
                <w:rFonts w:cs="Calibri"/>
                <w:sz w:val="18"/>
                <w:szCs w:val="18"/>
              </w:rPr>
            </w:pPr>
            <w:r>
              <w:rPr>
                <w:rFonts w:cs="Calibri"/>
                <w:sz w:val="18"/>
                <w:szCs w:val="18"/>
              </w:rPr>
              <w:t>Type of Contract</w:t>
            </w:r>
          </w:p>
        </w:tc>
        <w:tc>
          <w:tcPr>
            <w:tcW w:w="1196" w:type="dxa"/>
          </w:tcPr>
          <w:p w14:paraId="6663B9EC" w14:textId="77777777" w:rsidR="00335817" w:rsidRDefault="00335817" w:rsidP="00366BC4">
            <w:pPr>
              <w:pStyle w:val="ListBullet2"/>
              <w:keepNext/>
              <w:numPr>
                <w:ilvl w:val="0"/>
                <w:numId w:val="0"/>
              </w:numPr>
              <w:spacing w:after="0"/>
              <w:jc w:val="center"/>
              <w:rPr>
                <w:rFonts w:cs="Calibri"/>
                <w:sz w:val="18"/>
                <w:szCs w:val="18"/>
              </w:rPr>
            </w:pPr>
            <w:r>
              <w:rPr>
                <w:rFonts w:cs="Calibri"/>
                <w:sz w:val="18"/>
                <w:szCs w:val="18"/>
              </w:rPr>
              <w:t>Managed Care</w:t>
            </w:r>
            <w:r w:rsidR="00366BC4">
              <w:rPr>
                <w:rFonts w:cs="Calibri"/>
                <w:sz w:val="18"/>
                <w:szCs w:val="18"/>
              </w:rPr>
              <w:t xml:space="preserve"> Organization</w:t>
            </w:r>
          </w:p>
        </w:tc>
        <w:tc>
          <w:tcPr>
            <w:tcW w:w="983" w:type="dxa"/>
          </w:tcPr>
          <w:p w14:paraId="1AE07711" w14:textId="77777777" w:rsidR="00335817" w:rsidRPr="00821C14" w:rsidRDefault="00335817" w:rsidP="00455862">
            <w:pPr>
              <w:pStyle w:val="ListBullet2"/>
              <w:keepNext/>
              <w:numPr>
                <w:ilvl w:val="0"/>
                <w:numId w:val="0"/>
              </w:numPr>
              <w:spacing w:after="0"/>
              <w:jc w:val="center"/>
              <w:rPr>
                <w:rFonts w:cs="Calibri"/>
                <w:sz w:val="18"/>
                <w:szCs w:val="18"/>
              </w:rPr>
            </w:pPr>
            <w:r>
              <w:rPr>
                <w:rFonts w:cs="Calibri"/>
                <w:sz w:val="18"/>
                <w:szCs w:val="18"/>
              </w:rPr>
              <w:t>PCCM Entity</w:t>
            </w:r>
          </w:p>
        </w:tc>
        <w:tc>
          <w:tcPr>
            <w:tcW w:w="1066" w:type="dxa"/>
          </w:tcPr>
          <w:p w14:paraId="304482F8" w14:textId="77777777" w:rsidR="00335817" w:rsidRPr="00821C14" w:rsidRDefault="00364D0C" w:rsidP="00455862">
            <w:pPr>
              <w:pStyle w:val="ListBullet2"/>
              <w:keepNext/>
              <w:numPr>
                <w:ilvl w:val="0"/>
                <w:numId w:val="0"/>
              </w:numPr>
              <w:spacing w:after="0"/>
              <w:jc w:val="center"/>
              <w:rPr>
                <w:rFonts w:cs="Calibri"/>
                <w:sz w:val="18"/>
                <w:szCs w:val="18"/>
              </w:rPr>
            </w:pPr>
            <w:r>
              <w:rPr>
                <w:rFonts w:cs="Calibri"/>
                <w:sz w:val="18"/>
                <w:szCs w:val="18"/>
              </w:rPr>
              <w:t>Managed Care</w:t>
            </w:r>
            <w:r w:rsidR="00366BC4">
              <w:rPr>
                <w:rFonts w:cs="Calibri"/>
                <w:sz w:val="18"/>
                <w:szCs w:val="18"/>
              </w:rPr>
              <w:t xml:space="preserve"> Organization</w:t>
            </w:r>
          </w:p>
        </w:tc>
        <w:tc>
          <w:tcPr>
            <w:tcW w:w="1049" w:type="dxa"/>
          </w:tcPr>
          <w:p w14:paraId="4F613BFC" w14:textId="77777777" w:rsidR="00335817" w:rsidRPr="00821C14" w:rsidRDefault="00366BC4" w:rsidP="00455862">
            <w:pPr>
              <w:pStyle w:val="ListBullet2"/>
              <w:keepNext/>
              <w:numPr>
                <w:ilvl w:val="0"/>
                <w:numId w:val="0"/>
              </w:numPr>
              <w:spacing w:after="0"/>
              <w:jc w:val="center"/>
              <w:rPr>
                <w:rFonts w:cs="Calibri"/>
                <w:sz w:val="18"/>
                <w:szCs w:val="18"/>
              </w:rPr>
            </w:pPr>
            <w:r>
              <w:rPr>
                <w:rFonts w:cs="Calibri"/>
                <w:sz w:val="18"/>
                <w:szCs w:val="18"/>
              </w:rPr>
              <w:t>PCCM</w:t>
            </w:r>
            <w:r w:rsidR="00364D0C">
              <w:rPr>
                <w:rFonts w:cs="Calibri"/>
                <w:sz w:val="18"/>
                <w:szCs w:val="18"/>
              </w:rPr>
              <w:t xml:space="preserve"> </w:t>
            </w:r>
          </w:p>
        </w:tc>
        <w:tc>
          <w:tcPr>
            <w:tcW w:w="980" w:type="dxa"/>
          </w:tcPr>
          <w:p w14:paraId="60470EDB" w14:textId="77777777" w:rsidR="00335817" w:rsidRPr="00821C14" w:rsidRDefault="00364D0C" w:rsidP="00455862">
            <w:pPr>
              <w:pStyle w:val="ListBullet2"/>
              <w:keepNext/>
              <w:numPr>
                <w:ilvl w:val="0"/>
                <w:numId w:val="0"/>
              </w:numPr>
              <w:spacing w:after="0"/>
              <w:jc w:val="center"/>
              <w:rPr>
                <w:rFonts w:cs="Calibri"/>
                <w:sz w:val="18"/>
                <w:szCs w:val="18"/>
              </w:rPr>
            </w:pPr>
            <w:r>
              <w:rPr>
                <w:rFonts w:cs="Calibri"/>
                <w:sz w:val="18"/>
                <w:szCs w:val="18"/>
              </w:rPr>
              <w:t>PIHP</w:t>
            </w:r>
          </w:p>
        </w:tc>
        <w:tc>
          <w:tcPr>
            <w:tcW w:w="951" w:type="dxa"/>
          </w:tcPr>
          <w:p w14:paraId="2111DF5F" w14:textId="77777777" w:rsidR="00335817" w:rsidRPr="00821C14" w:rsidRDefault="00364D0C" w:rsidP="00455862">
            <w:pPr>
              <w:pStyle w:val="ListBullet2"/>
              <w:keepNext/>
              <w:numPr>
                <w:ilvl w:val="0"/>
                <w:numId w:val="0"/>
              </w:numPr>
              <w:spacing w:after="0"/>
              <w:jc w:val="center"/>
              <w:rPr>
                <w:rFonts w:cs="Calibri"/>
                <w:sz w:val="18"/>
                <w:szCs w:val="18"/>
              </w:rPr>
            </w:pPr>
            <w:r>
              <w:rPr>
                <w:rFonts w:cs="Calibri"/>
                <w:sz w:val="18"/>
                <w:szCs w:val="18"/>
              </w:rPr>
              <w:t>Managed Care</w:t>
            </w:r>
            <w:r w:rsidR="00366BC4">
              <w:rPr>
                <w:rFonts w:cs="Calibri"/>
                <w:sz w:val="18"/>
                <w:szCs w:val="18"/>
              </w:rPr>
              <w:t xml:space="preserve"> Organization</w:t>
            </w:r>
          </w:p>
        </w:tc>
        <w:tc>
          <w:tcPr>
            <w:tcW w:w="920" w:type="dxa"/>
          </w:tcPr>
          <w:p w14:paraId="45B303FF" w14:textId="77777777" w:rsidR="00335817" w:rsidRPr="00821C14" w:rsidRDefault="00364D0C" w:rsidP="00455862">
            <w:pPr>
              <w:pStyle w:val="ListBullet2"/>
              <w:keepNext/>
              <w:numPr>
                <w:ilvl w:val="0"/>
                <w:numId w:val="0"/>
              </w:numPr>
              <w:spacing w:after="0"/>
              <w:jc w:val="center"/>
              <w:rPr>
                <w:rFonts w:cs="Calibri"/>
                <w:sz w:val="18"/>
                <w:szCs w:val="18"/>
              </w:rPr>
            </w:pPr>
            <w:r>
              <w:rPr>
                <w:rFonts w:cs="Calibri"/>
                <w:sz w:val="18"/>
                <w:szCs w:val="18"/>
              </w:rPr>
              <w:t>Managed Care</w:t>
            </w:r>
            <w:r w:rsidR="00366BC4">
              <w:rPr>
                <w:rFonts w:cs="Calibri"/>
                <w:sz w:val="18"/>
                <w:szCs w:val="18"/>
              </w:rPr>
              <w:t xml:space="preserve"> Organization</w:t>
            </w:r>
          </w:p>
        </w:tc>
      </w:tr>
      <w:tr w:rsidR="00335817" w:rsidRPr="00821C14" w14:paraId="3A0FDF5F" w14:textId="77777777" w:rsidTr="00364D0C">
        <w:trPr>
          <w:trHeight w:val="452"/>
        </w:trPr>
        <w:tc>
          <w:tcPr>
            <w:tcW w:w="1702" w:type="dxa"/>
          </w:tcPr>
          <w:p w14:paraId="30ED03B3" w14:textId="77777777" w:rsidR="00335817" w:rsidRPr="00821C14" w:rsidRDefault="00335817" w:rsidP="00455862">
            <w:pPr>
              <w:pStyle w:val="ListBullet2"/>
              <w:keepNext/>
              <w:numPr>
                <w:ilvl w:val="0"/>
                <w:numId w:val="0"/>
              </w:numPr>
              <w:spacing w:after="0"/>
              <w:rPr>
                <w:rFonts w:cs="Calibri"/>
                <w:sz w:val="18"/>
                <w:szCs w:val="18"/>
              </w:rPr>
            </w:pPr>
            <w:r>
              <w:rPr>
                <w:rFonts w:cs="Calibri"/>
                <w:sz w:val="18"/>
                <w:szCs w:val="18"/>
              </w:rPr>
              <w:t>Approximate Membership</w:t>
            </w:r>
          </w:p>
        </w:tc>
        <w:tc>
          <w:tcPr>
            <w:tcW w:w="1196" w:type="dxa"/>
          </w:tcPr>
          <w:p w14:paraId="0FB3C093" w14:textId="77777777" w:rsidR="00335817" w:rsidRDefault="00364D0C" w:rsidP="00455862">
            <w:pPr>
              <w:pStyle w:val="ListBullet2"/>
              <w:keepNext/>
              <w:numPr>
                <w:ilvl w:val="0"/>
                <w:numId w:val="0"/>
              </w:numPr>
              <w:spacing w:after="0"/>
              <w:jc w:val="center"/>
              <w:rPr>
                <w:rFonts w:cs="Calibri"/>
                <w:sz w:val="18"/>
                <w:szCs w:val="18"/>
              </w:rPr>
            </w:pPr>
            <w:r>
              <w:rPr>
                <w:rFonts w:cs="Calibri"/>
                <w:sz w:val="18"/>
                <w:szCs w:val="18"/>
              </w:rPr>
              <w:t>511,755</w:t>
            </w:r>
          </w:p>
        </w:tc>
        <w:tc>
          <w:tcPr>
            <w:tcW w:w="983" w:type="dxa"/>
          </w:tcPr>
          <w:p w14:paraId="7DEF7302" w14:textId="77777777" w:rsidR="00335817" w:rsidRPr="00821C14" w:rsidRDefault="00335817" w:rsidP="00364D0C">
            <w:pPr>
              <w:pStyle w:val="ListBullet2"/>
              <w:keepNext/>
              <w:numPr>
                <w:ilvl w:val="0"/>
                <w:numId w:val="0"/>
              </w:numPr>
              <w:spacing w:after="0"/>
              <w:jc w:val="center"/>
              <w:rPr>
                <w:rFonts w:cs="Calibri"/>
                <w:sz w:val="18"/>
                <w:szCs w:val="18"/>
              </w:rPr>
            </w:pPr>
            <w:r>
              <w:rPr>
                <w:rFonts w:cs="Calibri"/>
                <w:sz w:val="18"/>
                <w:szCs w:val="18"/>
              </w:rPr>
              <w:t>340,</w:t>
            </w:r>
            <w:r w:rsidR="00364D0C">
              <w:rPr>
                <w:rFonts w:cs="Calibri"/>
                <w:sz w:val="18"/>
                <w:szCs w:val="18"/>
              </w:rPr>
              <w:t>694</w:t>
            </w:r>
          </w:p>
        </w:tc>
        <w:tc>
          <w:tcPr>
            <w:tcW w:w="1066" w:type="dxa"/>
          </w:tcPr>
          <w:p w14:paraId="661C08FD" w14:textId="77777777" w:rsidR="00335817" w:rsidRPr="00821C14" w:rsidRDefault="00364D0C" w:rsidP="00455862">
            <w:pPr>
              <w:pStyle w:val="ListBullet2"/>
              <w:keepNext/>
              <w:numPr>
                <w:ilvl w:val="0"/>
                <w:numId w:val="0"/>
              </w:numPr>
              <w:spacing w:after="0"/>
              <w:jc w:val="center"/>
              <w:rPr>
                <w:rFonts w:cs="Calibri"/>
                <w:sz w:val="18"/>
                <w:szCs w:val="18"/>
              </w:rPr>
            </w:pPr>
            <w:r>
              <w:rPr>
                <w:rFonts w:cs="Calibri"/>
                <w:sz w:val="18"/>
                <w:szCs w:val="18"/>
              </w:rPr>
              <w:t>170,569</w:t>
            </w:r>
          </w:p>
        </w:tc>
        <w:tc>
          <w:tcPr>
            <w:tcW w:w="1049" w:type="dxa"/>
          </w:tcPr>
          <w:p w14:paraId="5C91B616" w14:textId="77777777" w:rsidR="00335817" w:rsidRPr="00821C14" w:rsidRDefault="00364D0C" w:rsidP="00455862">
            <w:pPr>
              <w:pStyle w:val="ListBullet2"/>
              <w:keepNext/>
              <w:numPr>
                <w:ilvl w:val="0"/>
                <w:numId w:val="0"/>
              </w:numPr>
              <w:spacing w:after="0"/>
              <w:jc w:val="center"/>
              <w:rPr>
                <w:rFonts w:cs="Calibri"/>
                <w:sz w:val="18"/>
                <w:szCs w:val="18"/>
              </w:rPr>
            </w:pPr>
            <w:r>
              <w:rPr>
                <w:rFonts w:cs="Calibri"/>
                <w:sz w:val="18"/>
                <w:szCs w:val="18"/>
              </w:rPr>
              <w:t>118,515</w:t>
            </w:r>
          </w:p>
        </w:tc>
        <w:tc>
          <w:tcPr>
            <w:tcW w:w="980" w:type="dxa"/>
          </w:tcPr>
          <w:p w14:paraId="5D036493" w14:textId="77777777" w:rsidR="00335817" w:rsidRPr="00821C14" w:rsidRDefault="00364D0C" w:rsidP="00455862">
            <w:pPr>
              <w:pStyle w:val="ListBullet2"/>
              <w:keepNext/>
              <w:numPr>
                <w:ilvl w:val="0"/>
                <w:numId w:val="0"/>
              </w:numPr>
              <w:spacing w:after="0"/>
              <w:jc w:val="center"/>
              <w:rPr>
                <w:rFonts w:cs="Calibri"/>
                <w:sz w:val="18"/>
                <w:szCs w:val="18"/>
              </w:rPr>
            </w:pPr>
            <w:r>
              <w:rPr>
                <w:rFonts w:cs="Calibri"/>
                <w:sz w:val="18"/>
                <w:szCs w:val="18"/>
              </w:rPr>
              <w:t>524,970</w:t>
            </w:r>
          </w:p>
        </w:tc>
        <w:tc>
          <w:tcPr>
            <w:tcW w:w="951" w:type="dxa"/>
          </w:tcPr>
          <w:p w14:paraId="66363B89" w14:textId="77777777" w:rsidR="00335817" w:rsidRPr="00821C14" w:rsidRDefault="00335817" w:rsidP="00364D0C">
            <w:pPr>
              <w:pStyle w:val="ListBullet2"/>
              <w:keepNext/>
              <w:numPr>
                <w:ilvl w:val="0"/>
                <w:numId w:val="0"/>
              </w:numPr>
              <w:spacing w:after="0"/>
              <w:jc w:val="center"/>
              <w:rPr>
                <w:rFonts w:cs="Calibri"/>
                <w:sz w:val="18"/>
                <w:szCs w:val="18"/>
              </w:rPr>
            </w:pPr>
            <w:r>
              <w:rPr>
                <w:rFonts w:cs="Calibri"/>
                <w:sz w:val="18"/>
                <w:szCs w:val="18"/>
              </w:rPr>
              <w:t>20,</w:t>
            </w:r>
            <w:r w:rsidR="00364D0C">
              <w:rPr>
                <w:rFonts w:cs="Calibri"/>
                <w:sz w:val="18"/>
                <w:szCs w:val="18"/>
              </w:rPr>
              <w:t>540</w:t>
            </w:r>
          </w:p>
        </w:tc>
        <w:tc>
          <w:tcPr>
            <w:tcW w:w="920" w:type="dxa"/>
          </w:tcPr>
          <w:p w14:paraId="4996D255" w14:textId="77777777" w:rsidR="00335817" w:rsidRPr="00821C14" w:rsidRDefault="00364D0C" w:rsidP="00455862">
            <w:pPr>
              <w:pStyle w:val="ListBullet2"/>
              <w:keepNext/>
              <w:numPr>
                <w:ilvl w:val="0"/>
                <w:numId w:val="0"/>
              </w:numPr>
              <w:spacing w:after="0"/>
              <w:jc w:val="center"/>
              <w:rPr>
                <w:rFonts w:cs="Calibri"/>
                <w:sz w:val="18"/>
                <w:szCs w:val="18"/>
              </w:rPr>
            </w:pPr>
            <w:r>
              <w:rPr>
                <w:rFonts w:cs="Calibri"/>
                <w:sz w:val="18"/>
                <w:szCs w:val="18"/>
              </w:rPr>
              <w:t>57,468</w:t>
            </w:r>
          </w:p>
        </w:tc>
      </w:tr>
    </w:tbl>
    <w:p w14:paraId="0DF906D9" w14:textId="77777777" w:rsidR="006F4C9F" w:rsidRDefault="006F4C9F" w:rsidP="006F4C9F">
      <w:pPr>
        <w:pStyle w:val="ListBullet2"/>
        <w:numPr>
          <w:ilvl w:val="0"/>
          <w:numId w:val="0"/>
        </w:numPr>
      </w:pPr>
      <w:r>
        <w:t xml:space="preserve">*  some children enrolled in </w:t>
      </w:r>
      <w:r w:rsidR="006B4FBC">
        <w:t>the BH Plan</w:t>
      </w:r>
      <w:r>
        <w:t xml:space="preserve"> have TPL or are also enrolled in Medicare </w:t>
      </w:r>
    </w:p>
    <w:p w14:paraId="7C56BB8A" w14:textId="6AA3A109" w:rsidR="00EB63B4" w:rsidRDefault="00F42C16" w:rsidP="00EB63B4">
      <w:pPr>
        <w:pStyle w:val="ListBullet2"/>
        <w:numPr>
          <w:ilvl w:val="0"/>
          <w:numId w:val="0"/>
        </w:numPr>
      </w:pPr>
      <w:r>
        <w:t>*</w:t>
      </w:r>
      <w:r w:rsidR="006F4C9F">
        <w:t>*</w:t>
      </w:r>
      <w:r>
        <w:t>some SCO Members are Medicaid-only members</w:t>
      </w:r>
      <w:bookmarkStart w:id="15" w:name="_Toc522025626"/>
    </w:p>
    <w:p w14:paraId="2665A847" w14:textId="00AC901D" w:rsidR="005507E6" w:rsidRPr="00EB63B4" w:rsidRDefault="003E3E12" w:rsidP="00EB63B4">
      <w:pPr>
        <w:pStyle w:val="Heading2"/>
      </w:pPr>
      <w:bookmarkStart w:id="16" w:name="_Toc529177866"/>
      <w:r>
        <w:rPr>
          <w:rStyle w:val="IntenseEmphasis"/>
          <w:b/>
          <w:i w:val="0"/>
        </w:rPr>
        <w:t>F</w:t>
      </w:r>
      <w:r w:rsidR="006A7A3D">
        <w:rPr>
          <w:rStyle w:val="IntenseEmphasis"/>
          <w:b/>
          <w:i w:val="0"/>
        </w:rPr>
        <w:t xml:space="preserve">ee-For-Service </w:t>
      </w:r>
      <w:r>
        <w:rPr>
          <w:rStyle w:val="IntenseEmphasis"/>
          <w:b/>
          <w:i w:val="0"/>
        </w:rPr>
        <w:t>Programs</w:t>
      </w:r>
      <w:bookmarkEnd w:id="16"/>
    </w:p>
    <w:p w14:paraId="24F56B1C" w14:textId="77777777" w:rsidR="005507E6" w:rsidRDefault="005507E6" w:rsidP="005507E6">
      <w:r>
        <w:t xml:space="preserve">MassHealth operates several programs outside the purview of the managed care rule that </w:t>
      </w:r>
      <w:r w:rsidR="006A7A3D">
        <w:t xml:space="preserve">cover </w:t>
      </w:r>
      <w:r>
        <w:t xml:space="preserve">services provided on a fee-for-service basis. </w:t>
      </w:r>
      <w:r w:rsidRPr="001410D8">
        <w:t xml:space="preserve">While these programs are </w:t>
      </w:r>
      <w:r w:rsidR="00842112">
        <w:t xml:space="preserve">beyond the required </w:t>
      </w:r>
      <w:r w:rsidRPr="001410D8">
        <w:t>the scope of the managed care quality strategy, they play an important role in care delivery in Massachusetts</w:t>
      </w:r>
      <w:r>
        <w:t xml:space="preserve">. </w:t>
      </w:r>
    </w:p>
    <w:p w14:paraId="761AD74D" w14:textId="77777777" w:rsidR="003B3DAA" w:rsidRDefault="007A77C1" w:rsidP="003B3DAA">
      <w:pPr>
        <w:contextualSpacing/>
        <w:rPr>
          <w:rStyle w:val="IntenseEmphasis"/>
          <w:sz w:val="24"/>
        </w:rPr>
      </w:pPr>
      <w:r w:rsidRPr="007A77C1">
        <w:rPr>
          <w:rStyle w:val="IntenseEmphasis"/>
          <w:sz w:val="24"/>
        </w:rPr>
        <w:t xml:space="preserve">Long-Term </w:t>
      </w:r>
      <w:r w:rsidR="005507E6" w:rsidRPr="007A77C1">
        <w:rPr>
          <w:rStyle w:val="IntenseEmphasis"/>
          <w:sz w:val="24"/>
        </w:rPr>
        <w:t xml:space="preserve">Services </w:t>
      </w:r>
      <w:r w:rsidRPr="007A77C1">
        <w:rPr>
          <w:rStyle w:val="IntenseEmphasis"/>
          <w:sz w:val="24"/>
        </w:rPr>
        <w:t xml:space="preserve">and </w:t>
      </w:r>
      <w:r w:rsidR="005507E6" w:rsidRPr="007A77C1">
        <w:rPr>
          <w:rStyle w:val="IntenseEmphasis"/>
          <w:sz w:val="24"/>
        </w:rPr>
        <w:t>Supports</w:t>
      </w:r>
    </w:p>
    <w:p w14:paraId="7EC2A5C5" w14:textId="77777777" w:rsidR="007A77C1" w:rsidRPr="003B3DAA" w:rsidRDefault="005507E6" w:rsidP="003B3DAA">
      <w:pPr>
        <w:contextualSpacing/>
        <w:rPr>
          <w:rFonts w:asciiTheme="minorHAnsi" w:hAnsiTheme="minorHAnsi"/>
          <w:b/>
          <w:bCs/>
          <w:i/>
          <w:iCs/>
          <w:color w:val="4F81BD"/>
          <w:sz w:val="24"/>
        </w:rPr>
      </w:pPr>
      <w:r>
        <w:t xml:space="preserve">MassHealth </w:t>
      </w:r>
      <w:r w:rsidR="007A77C1">
        <w:t xml:space="preserve">provides a robust system of care for members of all ages who require services to enable them to live independently and with dignity, participate in communities, and improve quality of life. </w:t>
      </w:r>
      <w:r>
        <w:t>State plan LTSS se</w:t>
      </w:r>
      <w:r w:rsidR="00E97B0D">
        <w:t xml:space="preserve">rvices are offered through a variety of </w:t>
      </w:r>
      <w:r w:rsidR="00591293">
        <w:t>delivery systems</w:t>
      </w:r>
      <w:r w:rsidR="00E97B0D">
        <w:t xml:space="preserve">, including fee-for-service, managed care entities, and the PACE program. </w:t>
      </w:r>
      <w:r w:rsidR="006F7FC8">
        <w:t xml:space="preserve">Services managed by the MassHealth Office of </w:t>
      </w:r>
      <w:r w:rsidR="00E97B0D">
        <w:t>Long-</w:t>
      </w:r>
      <w:r w:rsidR="006F7FC8">
        <w:t xml:space="preserve">Term Service </w:t>
      </w:r>
      <w:r>
        <w:t xml:space="preserve">and </w:t>
      </w:r>
      <w:r w:rsidR="006F7FC8">
        <w:t xml:space="preserve">Supports </w:t>
      </w:r>
      <w:r w:rsidR="007A77C1">
        <w:t xml:space="preserve">include: </w:t>
      </w:r>
    </w:p>
    <w:p w14:paraId="0C5E8010" w14:textId="77777777" w:rsidR="007A77C1" w:rsidRDefault="005507E6" w:rsidP="009729DB">
      <w:pPr>
        <w:pStyle w:val="ListParagraph"/>
        <w:numPr>
          <w:ilvl w:val="0"/>
          <w:numId w:val="48"/>
        </w:numPr>
      </w:pPr>
      <w:r>
        <w:t>Community-b</w:t>
      </w:r>
      <w:r w:rsidR="007A77C1">
        <w:t xml:space="preserve">ased LTSS: Adult Day Health, Adult Foster Care, Continuous Skilled Nursing, Day Habilitation, Group Foster Care and Personal Care Attendant Program (PCA) </w:t>
      </w:r>
    </w:p>
    <w:p w14:paraId="2063A547" w14:textId="77777777" w:rsidR="006F7FC8" w:rsidRDefault="007A77C1" w:rsidP="009729DB">
      <w:pPr>
        <w:pStyle w:val="ListParagraph"/>
        <w:numPr>
          <w:ilvl w:val="0"/>
          <w:numId w:val="48"/>
        </w:numPr>
      </w:pPr>
      <w:r>
        <w:t xml:space="preserve">Facility-based </w:t>
      </w:r>
      <w:r w:rsidR="005507E6">
        <w:t>LTSS</w:t>
      </w:r>
      <w:r>
        <w:t>: Nursing Facility Services</w:t>
      </w:r>
      <w:r w:rsidR="005507E6">
        <w:t xml:space="preserve"> </w:t>
      </w:r>
      <w:r>
        <w:t>and Chronic Disease and Re</w:t>
      </w:r>
      <w:r w:rsidR="005507E6">
        <w:t xml:space="preserve">habilitation Hospital Services </w:t>
      </w:r>
      <w:r>
        <w:t xml:space="preserve"> </w:t>
      </w:r>
    </w:p>
    <w:p w14:paraId="29C868DD" w14:textId="77777777" w:rsidR="007A77C1" w:rsidRDefault="007A77C1" w:rsidP="009729DB">
      <w:pPr>
        <w:pStyle w:val="ListParagraph"/>
        <w:numPr>
          <w:ilvl w:val="0"/>
          <w:numId w:val="48"/>
        </w:numPr>
      </w:pPr>
      <w:r>
        <w:t>Other Covered Services</w:t>
      </w:r>
      <w:r w:rsidR="0078457A">
        <w:t>, including</w:t>
      </w:r>
      <w:r>
        <w:t>: Durable Medical Equipment</w:t>
      </w:r>
      <w:r w:rsidR="0078457A">
        <w:t xml:space="preserve"> </w:t>
      </w:r>
      <w:r>
        <w:t xml:space="preserve">(DME), Orthotics and Prosthetics, Oxygen and Respiratory Therapy, Hospice Services, Home Health Agency (except Continuous Skilled Nursing), </w:t>
      </w:r>
      <w:r w:rsidR="00591293">
        <w:t xml:space="preserve">Nursing Facility and Chronic Disease </w:t>
      </w:r>
      <w:r w:rsidR="006F7FC8">
        <w:t>Rehabilitation</w:t>
      </w:r>
      <w:r w:rsidR="00591293">
        <w:t xml:space="preserve"> Hospital (CDRH) services for the first 100 days, </w:t>
      </w:r>
      <w:r>
        <w:t>and Therapies (including Physical Therapy, Occupational Therapy and Speech Therapy).</w:t>
      </w:r>
    </w:p>
    <w:p w14:paraId="086BB87C" w14:textId="77777777" w:rsidR="000B0EEF" w:rsidRDefault="0078457A" w:rsidP="007A77C1">
      <w:r>
        <w:lastRenderedPageBreak/>
        <w:t xml:space="preserve">The One Care, SCO, and PACE programs cover all community-based and facility-based LTSS services and Other Covered Services.  </w:t>
      </w:r>
      <w:r w:rsidR="007A77C1">
        <w:t>ACO</w:t>
      </w:r>
      <w:r>
        <w:t>s</w:t>
      </w:r>
      <w:r w:rsidR="007A77C1">
        <w:t xml:space="preserve"> and MCO</w:t>
      </w:r>
      <w:r>
        <w:t>s</w:t>
      </w:r>
      <w:r w:rsidR="007A77C1">
        <w:t xml:space="preserve"> </w:t>
      </w:r>
      <w:r>
        <w:t>cover</w:t>
      </w:r>
      <w:r w:rsidR="007A77C1">
        <w:t xml:space="preserve"> </w:t>
      </w:r>
      <w:r>
        <w:t xml:space="preserve">the </w:t>
      </w:r>
      <w:r w:rsidR="007A77C1">
        <w:t>set of Other Covered Services</w:t>
      </w:r>
      <w:r w:rsidR="007C72DF">
        <w:t xml:space="preserve">. </w:t>
      </w:r>
      <w:r w:rsidR="007A67D3">
        <w:t xml:space="preserve">LTSS services, including Nursing Facility Services and </w:t>
      </w:r>
      <w:r w:rsidR="00591293">
        <w:t>CDRH</w:t>
      </w:r>
      <w:r w:rsidR="007A67D3">
        <w:t xml:space="preserve"> services after the first 100 days, </w:t>
      </w:r>
      <w:r w:rsidR="007A77C1">
        <w:t>are provided on a fee-for-service (FFS) basis by MassHealth direc</w:t>
      </w:r>
      <w:r w:rsidR="007A67D3">
        <w:t>tly</w:t>
      </w:r>
      <w:r w:rsidR="00FE2ADE">
        <w:t xml:space="preserve"> to eligible members</w:t>
      </w:r>
      <w:r w:rsidR="007A67D3">
        <w:t>.</w:t>
      </w:r>
      <w:r w:rsidR="00D154B0">
        <w:t xml:space="preserve"> In future years,</w:t>
      </w:r>
      <w:r w:rsidR="00591293">
        <w:t xml:space="preserve"> it is expected that</w:t>
      </w:r>
      <w:r w:rsidR="00D154B0">
        <w:t xml:space="preserve"> some or all LTSS services </w:t>
      </w:r>
      <w:r w:rsidR="00591293">
        <w:t>will be</w:t>
      </w:r>
      <w:r w:rsidR="00D154B0">
        <w:t xml:space="preserve"> ACO and MCO</w:t>
      </w:r>
      <w:r w:rsidR="00591293">
        <w:t>-covered services</w:t>
      </w:r>
      <w:r w:rsidR="00D154B0">
        <w:t xml:space="preserve">. </w:t>
      </w:r>
    </w:p>
    <w:p w14:paraId="27912A7D" w14:textId="77777777" w:rsidR="00720ED0" w:rsidRPr="00AA334F" w:rsidRDefault="00720ED0" w:rsidP="00720ED0">
      <w:pPr>
        <w:pStyle w:val="Heading3"/>
        <w:numPr>
          <w:ilvl w:val="0"/>
          <w:numId w:val="0"/>
        </w:numPr>
        <w:rPr>
          <w:rStyle w:val="IntenseEmphasis"/>
          <w:b/>
          <w:i/>
        </w:rPr>
      </w:pPr>
      <w:bookmarkStart w:id="17" w:name="_Toc523490107"/>
      <w:bookmarkStart w:id="18" w:name="_Toc525294275"/>
      <w:bookmarkStart w:id="19" w:name="_Toc529177867"/>
      <w:r w:rsidRPr="00AA334F">
        <w:rPr>
          <w:rStyle w:val="IntenseEmphasis"/>
          <w:b/>
          <w:i/>
        </w:rPr>
        <w:t>Hospital Programs</w:t>
      </w:r>
      <w:bookmarkEnd w:id="15"/>
      <w:bookmarkEnd w:id="17"/>
      <w:bookmarkEnd w:id="18"/>
      <w:bookmarkEnd w:id="19"/>
    </w:p>
    <w:p w14:paraId="0717D528" w14:textId="77777777" w:rsidR="00720ED0" w:rsidRDefault="00720ED0" w:rsidP="00FC407C">
      <w:r>
        <w:t xml:space="preserve">MassHealth manages </w:t>
      </w:r>
      <w:r w:rsidR="00391006">
        <w:t xml:space="preserve">an acute care </w:t>
      </w:r>
      <w:r>
        <w:t>hospital network and providers for its Fee-for-Service, PCC Plan and Primary Ca</w:t>
      </w:r>
      <w:r w:rsidR="001410D8">
        <w:t xml:space="preserve">re ACO populations. </w:t>
      </w:r>
      <w:r w:rsidR="00391006">
        <w:t xml:space="preserve"> MassHealth also manages a psychiatric hospital network and providers for its Fee-For-Service program. </w:t>
      </w:r>
    </w:p>
    <w:p w14:paraId="3859078B" w14:textId="69C89590" w:rsidR="00A40538" w:rsidRDefault="00720ED0" w:rsidP="00FC407C">
      <w:pPr>
        <w:rPr>
          <w:rFonts w:asciiTheme="minorHAnsi" w:hAnsiTheme="minorHAnsi" w:cs="Arial"/>
        </w:rPr>
      </w:pPr>
      <w:bookmarkStart w:id="20" w:name="_Toc523490108"/>
      <w:r w:rsidRPr="00FC407C">
        <w:rPr>
          <w:rFonts w:asciiTheme="minorHAnsi" w:hAnsiTheme="minorHAnsi" w:cs="Arial"/>
        </w:rPr>
        <w:t xml:space="preserve">As part of their contractual obligations with the </w:t>
      </w:r>
      <w:r w:rsidR="002C231C" w:rsidRPr="00FC407C">
        <w:rPr>
          <w:rFonts w:asciiTheme="minorHAnsi" w:hAnsiTheme="minorHAnsi" w:cs="Arial"/>
        </w:rPr>
        <w:t>Commonwealth</w:t>
      </w:r>
      <w:r w:rsidRPr="00FC407C">
        <w:rPr>
          <w:rFonts w:asciiTheme="minorHAnsi" w:hAnsiTheme="minorHAnsi" w:cs="Arial"/>
        </w:rPr>
        <w:t>, acute care and psychiatric hospital providers are required to participate in quality initiatives that require a</w:t>
      </w:r>
      <w:r w:rsidR="0016719A" w:rsidRPr="00FC407C">
        <w:rPr>
          <w:rFonts w:asciiTheme="minorHAnsi" w:hAnsiTheme="minorHAnsi" w:cs="Arial"/>
        </w:rPr>
        <w:t xml:space="preserve"> portion of the hospital’s reimbursement to be based on its performance on quality indicators</w:t>
      </w:r>
      <w:bookmarkEnd w:id="20"/>
    </w:p>
    <w:p w14:paraId="4A83392F" w14:textId="77777777" w:rsidR="00FA42C6" w:rsidRDefault="005228BD" w:rsidP="00135BC2">
      <w:pPr>
        <w:pStyle w:val="Heading2"/>
        <w:rPr>
          <w:rStyle w:val="IntenseEmphasis"/>
          <w:sz w:val="24"/>
        </w:rPr>
      </w:pPr>
      <w:bookmarkStart w:id="21" w:name="_Toc529177868"/>
      <w:r>
        <w:t xml:space="preserve">Other </w:t>
      </w:r>
      <w:r w:rsidR="00924D90">
        <w:t xml:space="preserve">MassHealth </w:t>
      </w:r>
      <w:r>
        <w:t>Programs</w:t>
      </w:r>
      <w:bookmarkEnd w:id="21"/>
      <w:r w:rsidRPr="005228BD">
        <w:rPr>
          <w:rStyle w:val="IntenseEmphasis"/>
          <w:sz w:val="24"/>
        </w:rPr>
        <w:t xml:space="preserve"> </w:t>
      </w:r>
    </w:p>
    <w:p w14:paraId="2735AA2D" w14:textId="77777777" w:rsidR="00DD63CB" w:rsidRPr="00DD63CB" w:rsidRDefault="00DD63CB" w:rsidP="00DD63CB">
      <w:r>
        <w:t>Other programs, services and supports provide important care to members.</w:t>
      </w:r>
    </w:p>
    <w:p w14:paraId="19021EAE" w14:textId="77777777" w:rsidR="00135BC2" w:rsidRDefault="00FA42C6" w:rsidP="00135BC2">
      <w:pPr>
        <w:spacing w:after="0"/>
        <w:contextualSpacing/>
        <w:rPr>
          <w:rStyle w:val="IntenseEmphasis"/>
          <w:sz w:val="24"/>
        </w:rPr>
      </w:pPr>
      <w:r>
        <w:rPr>
          <w:rStyle w:val="IntenseEmphasis"/>
          <w:sz w:val="24"/>
        </w:rPr>
        <w:t xml:space="preserve">Program of All Inclusive Care of the Elderly </w:t>
      </w:r>
    </w:p>
    <w:p w14:paraId="12D1E9E1" w14:textId="015FBBFA" w:rsidR="005228BD" w:rsidRPr="00135BC2" w:rsidRDefault="00FA42C6" w:rsidP="00135BC2">
      <w:pPr>
        <w:spacing w:after="0"/>
        <w:contextualSpacing/>
        <w:rPr>
          <w:rFonts w:asciiTheme="minorHAnsi" w:hAnsiTheme="minorHAnsi"/>
          <w:b/>
          <w:bCs/>
          <w:i/>
          <w:iCs/>
          <w:color w:val="4F81BD"/>
          <w:sz w:val="24"/>
        </w:rPr>
      </w:pPr>
      <w:r>
        <w:t>The Program of</w:t>
      </w:r>
      <w:r w:rsidRPr="00CE2033">
        <w:t xml:space="preserve"> All -Inclusive Care for the Elderly (PACE)</w:t>
      </w:r>
      <w:r>
        <w:t xml:space="preserve"> is for</w:t>
      </w:r>
      <w:r w:rsidRPr="00CE2033">
        <w:t xml:space="preserve"> members age 55 and older </w:t>
      </w:r>
      <w:r>
        <w:t xml:space="preserve">who </w:t>
      </w:r>
      <w:r w:rsidR="00591293">
        <w:t>require a</w:t>
      </w:r>
      <w:r>
        <w:t xml:space="preserve"> Nursing </w:t>
      </w:r>
      <w:r w:rsidR="00591293">
        <w:t>facility</w:t>
      </w:r>
      <w:r>
        <w:t xml:space="preserve"> level of care. PACE provides </w:t>
      </w:r>
      <w:r w:rsidRPr="00CE2033">
        <w:t xml:space="preserve">managed care through direct contracts with </w:t>
      </w:r>
      <w:r>
        <w:t xml:space="preserve">PACE </w:t>
      </w:r>
      <w:r w:rsidRPr="00CE2033">
        <w:t>providers rather than through managed care entities</w:t>
      </w:r>
      <w:r>
        <w:t xml:space="preserve">. </w:t>
      </w:r>
      <w:r w:rsidRPr="000B0EEF">
        <w:t>The PACE model is centered on the core belief that given a choice, most elders, the disabled, and their families would choose to receive care in their homes and communitie</w:t>
      </w:r>
      <w:r>
        <w:t xml:space="preserve">s rather than in a nursing home. </w:t>
      </w:r>
    </w:p>
    <w:p w14:paraId="630F1E29" w14:textId="77777777" w:rsidR="00135BC2" w:rsidRPr="00135BC2" w:rsidRDefault="00135BC2" w:rsidP="00135BC2">
      <w:pPr>
        <w:contextualSpacing/>
        <w:rPr>
          <w:rFonts w:asciiTheme="minorHAnsi" w:hAnsiTheme="minorHAnsi"/>
          <w:b/>
          <w:bCs/>
          <w:i/>
          <w:iCs/>
          <w:color w:val="4F81BD"/>
          <w:sz w:val="24"/>
        </w:rPr>
      </w:pPr>
    </w:p>
    <w:p w14:paraId="164340E7" w14:textId="77777777" w:rsidR="00135BC2" w:rsidRDefault="005228BD" w:rsidP="00135BC2">
      <w:pPr>
        <w:spacing w:after="0"/>
        <w:contextualSpacing/>
        <w:rPr>
          <w:rStyle w:val="IntenseEmphasis"/>
          <w:sz w:val="24"/>
        </w:rPr>
      </w:pPr>
      <w:r w:rsidRPr="00953662">
        <w:rPr>
          <w:rStyle w:val="IntenseEmphasis"/>
          <w:sz w:val="24"/>
        </w:rPr>
        <w:t>Community Partners Program</w:t>
      </w:r>
    </w:p>
    <w:p w14:paraId="749AABCE" w14:textId="2D1D8A0D" w:rsidR="005228BD" w:rsidRPr="00135BC2" w:rsidRDefault="005228BD" w:rsidP="00135BC2">
      <w:pPr>
        <w:spacing w:after="0"/>
        <w:contextualSpacing/>
        <w:rPr>
          <w:rFonts w:asciiTheme="minorHAnsi" w:hAnsiTheme="minorHAnsi"/>
          <w:b/>
          <w:bCs/>
          <w:i/>
          <w:iCs/>
          <w:color w:val="4F81BD"/>
          <w:sz w:val="24"/>
        </w:rPr>
      </w:pPr>
      <w:r>
        <w:rPr>
          <w:rStyle w:val="IntenseEmphasis"/>
          <w:b w:val="0"/>
          <w:i w:val="0"/>
          <w:color w:val="auto"/>
        </w:rPr>
        <w:t xml:space="preserve">One of </w:t>
      </w:r>
      <w:proofErr w:type="spellStart"/>
      <w:r>
        <w:rPr>
          <w:rStyle w:val="IntenseEmphasis"/>
          <w:b w:val="0"/>
          <w:i w:val="0"/>
          <w:color w:val="auto"/>
        </w:rPr>
        <w:t>MassHealth’s</w:t>
      </w:r>
      <w:proofErr w:type="spellEnd"/>
      <w:r>
        <w:rPr>
          <w:rStyle w:val="IntenseEmphasis"/>
          <w:b w:val="0"/>
          <w:i w:val="0"/>
          <w:color w:val="auto"/>
        </w:rPr>
        <w:t xml:space="preserve"> strategies to improve coordinated care and population health management is to invest in </w:t>
      </w:r>
      <w:r>
        <w:t>C</w:t>
      </w:r>
      <w:r w:rsidRPr="00EF4717">
        <w:t>ommunity Partne</w:t>
      </w:r>
      <w:r>
        <w:t xml:space="preserve">rs to collaborate with ACOs and MCOs to </w:t>
      </w:r>
      <w:r w:rsidRPr="00EF4717">
        <w:t xml:space="preserve">provide care coordination and care management supports to individuals with significant behavioral health issues </w:t>
      </w:r>
      <w:r>
        <w:t>needs</w:t>
      </w:r>
      <w:r w:rsidRPr="00EF4717">
        <w:t xml:space="preserve"> and/or complex long</w:t>
      </w:r>
      <w:r>
        <w:t>-</w:t>
      </w:r>
      <w:r w:rsidRPr="00EF4717">
        <w:t>term services and supports (LTSS) need</w:t>
      </w:r>
      <w:r>
        <w:t xml:space="preserve">.  </w:t>
      </w:r>
      <w:r>
        <w:rPr>
          <w:rFonts w:cs="Calibri"/>
        </w:rPr>
        <w:t>Eligible members include ACO or MCO members who are adults with complex BH needs, or children and adults with complex LTSS needs. C</w:t>
      </w:r>
      <w:r>
        <w:t xml:space="preserve">P </w:t>
      </w:r>
      <w:r w:rsidR="00677349">
        <w:t xml:space="preserve">supports </w:t>
      </w:r>
      <w:r>
        <w:t xml:space="preserve">are not available to members in the PCC Plan or in </w:t>
      </w:r>
      <w:proofErr w:type="spellStart"/>
      <w:r>
        <w:t>MassHealth’s</w:t>
      </w:r>
      <w:proofErr w:type="spellEnd"/>
      <w:r>
        <w:t xml:space="preserve"> fee-for-service program unless the member is affiliated with the Department of Mental Health’s Adult Community Clinical Supports program. </w:t>
      </w:r>
    </w:p>
    <w:p w14:paraId="6CBE0155" w14:textId="77777777" w:rsidR="00A40538" w:rsidRPr="00C22C1B" w:rsidRDefault="00A40538" w:rsidP="007C72DF">
      <w:pPr>
        <w:pStyle w:val="Heading2"/>
      </w:pPr>
      <w:bookmarkStart w:id="22" w:name="_Toc522025627"/>
      <w:bookmarkStart w:id="23" w:name="_Toc529177869"/>
      <w:r w:rsidRPr="00C22C1B">
        <w:rPr>
          <w:bCs w:val="0"/>
          <w:iCs/>
        </w:rPr>
        <w:t>Strategic Partnerships</w:t>
      </w:r>
      <w:bookmarkEnd w:id="22"/>
      <w:bookmarkEnd w:id="23"/>
    </w:p>
    <w:p w14:paraId="504611B0" w14:textId="77777777" w:rsidR="00A40538" w:rsidRPr="00821C14" w:rsidRDefault="00A40538" w:rsidP="00A40538">
      <w:pPr>
        <w:rPr>
          <w:rFonts w:cs="Calibri"/>
        </w:rPr>
      </w:pPr>
      <w:r w:rsidRPr="00821C14">
        <w:rPr>
          <w:rFonts w:cs="Calibri"/>
        </w:rPr>
        <w:t xml:space="preserve">MassHealth managed care is implemented in an environment where </w:t>
      </w:r>
      <w:r>
        <w:rPr>
          <w:rFonts w:cs="Calibri"/>
        </w:rPr>
        <w:t>multiple strategic partners within</w:t>
      </w:r>
      <w:r w:rsidRPr="00821C14">
        <w:rPr>
          <w:rFonts w:cs="Calibri"/>
        </w:rPr>
        <w:t xml:space="preserve"> the </w:t>
      </w:r>
      <w:r w:rsidR="002C231C">
        <w:rPr>
          <w:rFonts w:cs="Calibri"/>
        </w:rPr>
        <w:t>Commonwealth</w:t>
      </w:r>
      <w:r w:rsidR="002C231C" w:rsidRPr="00821C14">
        <w:rPr>
          <w:rFonts w:cs="Calibri"/>
        </w:rPr>
        <w:t xml:space="preserve"> </w:t>
      </w:r>
      <w:r w:rsidRPr="00821C14">
        <w:rPr>
          <w:rFonts w:cs="Calibri"/>
        </w:rPr>
        <w:t>participate</w:t>
      </w:r>
      <w:r>
        <w:rPr>
          <w:rFonts w:cs="Calibri"/>
        </w:rPr>
        <w:t xml:space="preserve"> in the design and operation of its managed care programs</w:t>
      </w:r>
      <w:r w:rsidRPr="00821C14">
        <w:rPr>
          <w:rFonts w:cs="Calibri"/>
        </w:rPr>
        <w:t>. Strategic partners include:</w:t>
      </w:r>
    </w:p>
    <w:p w14:paraId="2B2177DD" w14:textId="77777777" w:rsidR="00A40538" w:rsidRPr="00821C14" w:rsidRDefault="00A40538" w:rsidP="009729DB">
      <w:pPr>
        <w:pStyle w:val="ListParagraph"/>
        <w:numPr>
          <w:ilvl w:val="0"/>
          <w:numId w:val="35"/>
        </w:numPr>
      </w:pPr>
      <w:r w:rsidRPr="00821C14">
        <w:t>Department of Mental Health</w:t>
      </w:r>
    </w:p>
    <w:p w14:paraId="3E00147B" w14:textId="77777777" w:rsidR="00A40538" w:rsidRDefault="00A40538" w:rsidP="009729DB">
      <w:pPr>
        <w:pStyle w:val="ListParagraph"/>
        <w:numPr>
          <w:ilvl w:val="0"/>
          <w:numId w:val="35"/>
        </w:numPr>
      </w:pPr>
      <w:r w:rsidRPr="00821C14">
        <w:t>Department of Public Health</w:t>
      </w:r>
    </w:p>
    <w:p w14:paraId="241E7931" w14:textId="77777777" w:rsidR="00ED0821" w:rsidRPr="00821C14" w:rsidRDefault="00ED0821" w:rsidP="009729DB">
      <w:pPr>
        <w:pStyle w:val="ListParagraph"/>
        <w:numPr>
          <w:ilvl w:val="0"/>
          <w:numId w:val="35"/>
        </w:numPr>
      </w:pPr>
      <w:r>
        <w:t>Department of Transitional Assistance</w:t>
      </w:r>
    </w:p>
    <w:p w14:paraId="401C23B8" w14:textId="77777777" w:rsidR="00A40538" w:rsidRPr="00821C14" w:rsidRDefault="00A40538" w:rsidP="009729DB">
      <w:pPr>
        <w:pStyle w:val="ListParagraph"/>
        <w:numPr>
          <w:ilvl w:val="0"/>
          <w:numId w:val="35"/>
        </w:numPr>
      </w:pPr>
      <w:r w:rsidRPr="00821C14">
        <w:t>Department of Youth Services</w:t>
      </w:r>
    </w:p>
    <w:p w14:paraId="1293184C" w14:textId="77777777" w:rsidR="00A40538" w:rsidRPr="00821C14" w:rsidRDefault="00A40538" w:rsidP="009729DB">
      <w:pPr>
        <w:pStyle w:val="ListParagraph"/>
        <w:numPr>
          <w:ilvl w:val="0"/>
          <w:numId w:val="35"/>
        </w:numPr>
      </w:pPr>
      <w:r w:rsidRPr="00821C14">
        <w:t>Department of Children and Families</w:t>
      </w:r>
    </w:p>
    <w:p w14:paraId="3017D5E8" w14:textId="77777777" w:rsidR="00C137E2" w:rsidRDefault="00A40538" w:rsidP="009729DB">
      <w:pPr>
        <w:pStyle w:val="ListParagraph"/>
        <w:numPr>
          <w:ilvl w:val="0"/>
          <w:numId w:val="35"/>
        </w:numPr>
      </w:pPr>
      <w:r w:rsidRPr="00821C14">
        <w:t>Depar</w:t>
      </w:r>
      <w:r>
        <w:t>tment of Developmental Services</w:t>
      </w:r>
      <w:r w:rsidR="00C137E2">
        <w:t xml:space="preserve"> </w:t>
      </w:r>
    </w:p>
    <w:p w14:paraId="1D75E4E6" w14:textId="77777777" w:rsidR="00A40538" w:rsidRDefault="00C137E2" w:rsidP="009729DB">
      <w:pPr>
        <w:pStyle w:val="ListParagraph"/>
        <w:numPr>
          <w:ilvl w:val="0"/>
          <w:numId w:val="35"/>
        </w:numPr>
      </w:pPr>
      <w:r>
        <w:t>Executive Office of Elder Affairs</w:t>
      </w:r>
    </w:p>
    <w:p w14:paraId="4EDB0732" w14:textId="77777777" w:rsidR="00C137E2" w:rsidRDefault="00C137E2" w:rsidP="00720ED0"/>
    <w:p w14:paraId="43AFF97B" w14:textId="77777777" w:rsidR="00C137E2" w:rsidRDefault="00C137E2" w:rsidP="00C137E2">
      <w:pPr>
        <w:ind w:left="360"/>
        <w:sectPr w:rsidR="00C137E2" w:rsidSect="00F013F5">
          <w:headerReference w:type="default" r:id="rId16"/>
          <w:type w:val="continuous"/>
          <w:pgSz w:w="12240" w:h="15840" w:code="1"/>
          <w:pgMar w:top="1440" w:right="1440" w:bottom="1440" w:left="1440" w:header="720" w:footer="720" w:gutter="0"/>
          <w:pgNumType w:start="1"/>
          <w:cols w:space="720"/>
          <w:docGrid w:linePitch="360"/>
        </w:sectPr>
      </w:pPr>
    </w:p>
    <w:p w14:paraId="5102C83D" w14:textId="38A258DD" w:rsidR="0097050A" w:rsidRPr="00FA1C0F" w:rsidRDefault="0097050A" w:rsidP="00C22C1B">
      <w:pPr>
        <w:pStyle w:val="Heading1"/>
      </w:pPr>
      <w:bookmarkStart w:id="24" w:name="_Ref522018218"/>
      <w:bookmarkStart w:id="25" w:name="_Ref522018323"/>
      <w:bookmarkStart w:id="26" w:name="_Ref522018325"/>
      <w:bookmarkStart w:id="27" w:name="_Ref522018569"/>
      <w:bookmarkStart w:id="28" w:name="_Ref522020283"/>
      <w:bookmarkStart w:id="29" w:name="_Ref522020333"/>
      <w:bookmarkStart w:id="30" w:name="_Ref522020453"/>
      <w:bookmarkStart w:id="31" w:name="_Ref522020650"/>
      <w:bookmarkStart w:id="32" w:name="_Toc529177870"/>
      <w:r>
        <w:lastRenderedPageBreak/>
        <w:t xml:space="preserve">Quality Management </w:t>
      </w:r>
      <w:r w:rsidR="002E178B">
        <w:t>at</w:t>
      </w:r>
      <w:r>
        <w:t xml:space="preserve"> MassHealth</w:t>
      </w:r>
      <w:bookmarkEnd w:id="24"/>
      <w:bookmarkEnd w:id="25"/>
      <w:bookmarkEnd w:id="26"/>
      <w:bookmarkEnd w:id="27"/>
      <w:bookmarkEnd w:id="28"/>
      <w:bookmarkEnd w:id="29"/>
      <w:bookmarkEnd w:id="30"/>
      <w:bookmarkEnd w:id="31"/>
      <w:bookmarkEnd w:id="32"/>
    </w:p>
    <w:p w14:paraId="72C89CDB" w14:textId="77777777" w:rsidR="00B52A8F" w:rsidRDefault="00822981" w:rsidP="00822981">
      <w:pPr>
        <w:pStyle w:val="Heading2"/>
      </w:pPr>
      <w:bookmarkStart w:id="33" w:name="_Toc529177871"/>
      <w:r>
        <w:t>Functional Quality Management</w:t>
      </w:r>
      <w:bookmarkEnd w:id="33"/>
      <w:r>
        <w:t xml:space="preserve"> </w:t>
      </w:r>
    </w:p>
    <w:p w14:paraId="15366F74" w14:textId="6761301A" w:rsidR="006B702A" w:rsidRDefault="0097050A" w:rsidP="0097050A">
      <w:pPr>
        <w:rPr>
          <w:rFonts w:cs="Calibri"/>
        </w:rPr>
      </w:pPr>
      <w:r w:rsidRPr="00244442">
        <w:rPr>
          <w:rFonts w:cs="Calibri"/>
        </w:rPr>
        <w:t>MassHealth quality managem</w:t>
      </w:r>
      <w:r>
        <w:rPr>
          <w:rFonts w:cs="Calibri"/>
        </w:rPr>
        <w:t>e</w:t>
      </w:r>
      <w:r w:rsidRPr="00244442">
        <w:rPr>
          <w:rFonts w:cs="Calibri"/>
        </w:rPr>
        <w:t>nt cut</w:t>
      </w:r>
      <w:r w:rsidR="00822981">
        <w:rPr>
          <w:rFonts w:cs="Calibri"/>
        </w:rPr>
        <w:t>s</w:t>
      </w:r>
      <w:r w:rsidRPr="00244442">
        <w:rPr>
          <w:rFonts w:cs="Calibri"/>
        </w:rPr>
        <w:t xml:space="preserve"> across all programs and units</w:t>
      </w:r>
      <w:r w:rsidR="00822981">
        <w:rPr>
          <w:rFonts w:cs="Calibri"/>
        </w:rPr>
        <w:t xml:space="preserve">, </w:t>
      </w:r>
      <w:r w:rsidR="00AA334F">
        <w:rPr>
          <w:rFonts w:cs="Calibri"/>
        </w:rPr>
        <w:t xml:space="preserve">with each unit contributing </w:t>
      </w:r>
      <w:r w:rsidR="00900572">
        <w:rPr>
          <w:rFonts w:cs="Calibri"/>
        </w:rPr>
        <w:t xml:space="preserve">to and supporting </w:t>
      </w:r>
      <w:r w:rsidR="00822981">
        <w:rPr>
          <w:rFonts w:cs="Calibri"/>
        </w:rPr>
        <w:t>key functions</w:t>
      </w:r>
      <w:r w:rsidRPr="00244442">
        <w:rPr>
          <w:rFonts w:cs="Calibri"/>
        </w:rPr>
        <w:t xml:space="preserve">. </w:t>
      </w:r>
      <w:r w:rsidR="00822981">
        <w:rPr>
          <w:rFonts w:cs="Calibri"/>
        </w:rPr>
        <w:t xml:space="preserve">As demonstrated </w:t>
      </w:r>
      <w:r>
        <w:rPr>
          <w:rFonts w:cs="Calibri"/>
        </w:rPr>
        <w:t xml:space="preserve">in </w:t>
      </w:r>
      <w:r w:rsidR="00822981">
        <w:rPr>
          <w:rFonts w:cs="Calibri"/>
        </w:rPr>
        <w:fldChar w:fldCharType="begin"/>
      </w:r>
      <w:r w:rsidR="00822981">
        <w:rPr>
          <w:rFonts w:cs="Calibri"/>
        </w:rPr>
        <w:instrText xml:space="preserve"> REF _Ref521921793 \h </w:instrText>
      </w:r>
      <w:r w:rsidR="00822981">
        <w:rPr>
          <w:rFonts w:cs="Calibri"/>
        </w:rPr>
      </w:r>
      <w:r w:rsidR="00822981">
        <w:rPr>
          <w:rFonts w:cs="Calibri"/>
        </w:rPr>
        <w:fldChar w:fldCharType="separate"/>
      </w:r>
      <w:r w:rsidR="00207DB8">
        <w:t xml:space="preserve">Figure </w:t>
      </w:r>
      <w:r w:rsidR="00207DB8">
        <w:rPr>
          <w:noProof/>
        </w:rPr>
        <w:t>1</w:t>
      </w:r>
      <w:r w:rsidR="00207DB8">
        <w:rPr>
          <w:rFonts w:cs="Calibri"/>
        </w:rPr>
        <w:t xml:space="preserve">: </w:t>
      </w:r>
      <w:r w:rsidR="00207DB8" w:rsidRPr="00821C14">
        <w:rPr>
          <w:rFonts w:cs="Calibri"/>
        </w:rPr>
        <w:t>Functional Chart of Quality Management in MassHealt</w:t>
      </w:r>
      <w:r w:rsidR="00822981">
        <w:rPr>
          <w:rFonts w:cs="Calibri"/>
        </w:rPr>
        <w:fldChar w:fldCharType="end"/>
      </w:r>
      <w:r w:rsidR="00441ADC">
        <w:rPr>
          <w:rFonts w:cs="Calibri"/>
        </w:rPr>
        <w:t>h</w:t>
      </w:r>
      <w:r>
        <w:rPr>
          <w:rFonts w:cs="Calibri"/>
        </w:rPr>
        <w:t xml:space="preserve">, </w:t>
      </w:r>
      <w:r w:rsidR="00AA334F">
        <w:rPr>
          <w:rFonts w:cs="Calibri"/>
        </w:rPr>
        <w:t>four major unit</w:t>
      </w:r>
      <w:r w:rsidR="00822981">
        <w:rPr>
          <w:rFonts w:cs="Calibri"/>
        </w:rPr>
        <w:t>s</w:t>
      </w:r>
      <w:r w:rsidR="000152F3">
        <w:rPr>
          <w:rFonts w:cs="Calibri"/>
        </w:rPr>
        <w:t xml:space="preserve"> </w:t>
      </w:r>
      <w:r w:rsidR="00B87322">
        <w:rPr>
          <w:rFonts w:cs="Calibri"/>
        </w:rPr>
        <w:t xml:space="preserve">at </w:t>
      </w:r>
      <w:r w:rsidR="000152F3">
        <w:rPr>
          <w:rFonts w:cs="Calibri"/>
        </w:rPr>
        <w:t xml:space="preserve">MassHealth </w:t>
      </w:r>
      <w:r w:rsidR="00900572">
        <w:rPr>
          <w:rFonts w:cs="Calibri"/>
        </w:rPr>
        <w:t xml:space="preserve">work in conjunction with a centralized quality office to plan and implement </w:t>
      </w:r>
      <w:r w:rsidR="00AA334F">
        <w:rPr>
          <w:rFonts w:cs="Calibri"/>
        </w:rPr>
        <w:t>quality</w:t>
      </w:r>
      <w:r w:rsidR="00822981">
        <w:rPr>
          <w:rFonts w:cs="Calibri"/>
        </w:rPr>
        <w:t xml:space="preserve"> programs</w:t>
      </w:r>
      <w:r w:rsidR="000152F3">
        <w:rPr>
          <w:rFonts w:cs="Calibri"/>
        </w:rPr>
        <w:t xml:space="preserve">. </w:t>
      </w:r>
      <w:r w:rsidR="0050083F">
        <w:rPr>
          <w:rFonts w:cs="Calibri"/>
        </w:rPr>
        <w:t>Program director</w:t>
      </w:r>
      <w:r w:rsidR="00B87322">
        <w:rPr>
          <w:rFonts w:cs="Calibri"/>
        </w:rPr>
        <w:t xml:space="preserve">s </w:t>
      </w:r>
      <w:r w:rsidR="00822981">
        <w:rPr>
          <w:rFonts w:cs="Calibri"/>
        </w:rPr>
        <w:t xml:space="preserve">work </w:t>
      </w:r>
      <w:r w:rsidR="00B87322">
        <w:rPr>
          <w:rFonts w:cs="Calibri"/>
        </w:rPr>
        <w:t xml:space="preserve">in collaboration with </w:t>
      </w:r>
      <w:r w:rsidR="00CC7DCA">
        <w:rPr>
          <w:rFonts w:cs="Calibri"/>
        </w:rPr>
        <w:t xml:space="preserve">each other, </w:t>
      </w:r>
      <w:r w:rsidR="00B52A8F">
        <w:rPr>
          <w:rFonts w:cs="Calibri"/>
        </w:rPr>
        <w:t xml:space="preserve">quality and </w:t>
      </w:r>
      <w:r w:rsidR="00B87322">
        <w:rPr>
          <w:rFonts w:cs="Calibri"/>
        </w:rPr>
        <w:t>other function</w:t>
      </w:r>
      <w:r w:rsidR="00822981">
        <w:rPr>
          <w:rFonts w:cs="Calibri"/>
        </w:rPr>
        <w:t>al units</w:t>
      </w:r>
      <w:r w:rsidR="00B87322">
        <w:rPr>
          <w:rFonts w:cs="Calibri"/>
        </w:rPr>
        <w:t xml:space="preserve"> across the organization</w:t>
      </w:r>
      <w:r w:rsidR="00822981">
        <w:rPr>
          <w:rFonts w:cs="Calibri"/>
        </w:rPr>
        <w:t xml:space="preserve">, such as </w:t>
      </w:r>
      <w:r w:rsidR="00B52A8F">
        <w:rPr>
          <w:rFonts w:cs="Calibri"/>
        </w:rPr>
        <w:t>clinical affairs, analytics</w:t>
      </w:r>
      <w:r w:rsidR="00822981">
        <w:rPr>
          <w:rFonts w:cs="Calibri"/>
        </w:rPr>
        <w:t>, legal</w:t>
      </w:r>
      <w:r w:rsidR="007A4AA2">
        <w:rPr>
          <w:rFonts w:cs="Calibri"/>
        </w:rPr>
        <w:t>,</w:t>
      </w:r>
      <w:r w:rsidR="00822981">
        <w:rPr>
          <w:rFonts w:cs="Calibri"/>
        </w:rPr>
        <w:t xml:space="preserve"> </w:t>
      </w:r>
      <w:r w:rsidR="007E1245">
        <w:rPr>
          <w:rFonts w:cs="Calibri"/>
        </w:rPr>
        <w:t>finance</w:t>
      </w:r>
      <w:r w:rsidR="00C51FB9">
        <w:rPr>
          <w:rFonts w:cs="Calibri"/>
        </w:rPr>
        <w:t xml:space="preserve">, </w:t>
      </w:r>
      <w:r w:rsidR="00052EB3">
        <w:rPr>
          <w:rFonts w:cs="Calibri"/>
        </w:rPr>
        <w:t xml:space="preserve">and </w:t>
      </w:r>
      <w:r w:rsidR="00C51FB9">
        <w:rPr>
          <w:rFonts w:cs="Calibri"/>
        </w:rPr>
        <w:t>policy</w:t>
      </w:r>
      <w:r w:rsidR="007E1245">
        <w:rPr>
          <w:rFonts w:cs="Calibri"/>
        </w:rPr>
        <w:t xml:space="preserve"> </w:t>
      </w:r>
      <w:r w:rsidR="00822981">
        <w:rPr>
          <w:rFonts w:cs="Calibri"/>
        </w:rPr>
        <w:t xml:space="preserve">to </w:t>
      </w:r>
      <w:r w:rsidR="00C51FB9">
        <w:rPr>
          <w:rFonts w:cs="Calibri"/>
        </w:rPr>
        <w:t xml:space="preserve">develop, </w:t>
      </w:r>
      <w:r w:rsidR="00822981">
        <w:rPr>
          <w:rFonts w:cs="Calibri"/>
        </w:rPr>
        <w:t>implement</w:t>
      </w:r>
      <w:r w:rsidR="00C51FB9">
        <w:rPr>
          <w:rFonts w:cs="Calibri"/>
        </w:rPr>
        <w:t xml:space="preserve"> and monitor</w:t>
      </w:r>
      <w:r w:rsidR="00822981">
        <w:rPr>
          <w:rFonts w:cs="Calibri"/>
        </w:rPr>
        <w:t xml:space="preserve"> quality programs and activities</w:t>
      </w:r>
      <w:r w:rsidR="007E1245">
        <w:rPr>
          <w:rFonts w:cs="Calibri"/>
        </w:rPr>
        <w:t xml:space="preserve">.  </w:t>
      </w:r>
    </w:p>
    <w:p w14:paraId="645E6C36" w14:textId="77777777" w:rsidR="00AA334F" w:rsidRDefault="00566129" w:rsidP="00AA334F">
      <w:pPr>
        <w:rPr>
          <w:rFonts w:cs="Calibri"/>
          <w:i/>
        </w:rPr>
      </w:pPr>
      <w:bookmarkStart w:id="34" w:name="_Ref521921793"/>
      <w:r>
        <w:t xml:space="preserve">Figure </w:t>
      </w:r>
      <w:r w:rsidR="00CB5E77">
        <w:rPr>
          <w:noProof/>
        </w:rPr>
        <w:fldChar w:fldCharType="begin"/>
      </w:r>
      <w:r w:rsidR="00CB5E77">
        <w:rPr>
          <w:noProof/>
        </w:rPr>
        <w:instrText xml:space="preserve"> SEQ Figure \* ARABIC </w:instrText>
      </w:r>
      <w:r w:rsidR="00CB5E77">
        <w:rPr>
          <w:noProof/>
        </w:rPr>
        <w:fldChar w:fldCharType="separate"/>
      </w:r>
      <w:r w:rsidR="00207DB8">
        <w:rPr>
          <w:noProof/>
        </w:rPr>
        <w:t>1</w:t>
      </w:r>
      <w:r w:rsidR="00CB5E77">
        <w:rPr>
          <w:noProof/>
        </w:rPr>
        <w:fldChar w:fldCharType="end"/>
      </w:r>
      <w:r>
        <w:rPr>
          <w:rFonts w:cs="Calibri"/>
        </w:rPr>
        <w:t xml:space="preserve">: </w:t>
      </w:r>
      <w:r w:rsidR="0097050A" w:rsidRPr="00821C14">
        <w:rPr>
          <w:rFonts w:cs="Calibri"/>
        </w:rPr>
        <w:t>Functional Chart of Quality Management in MassHealt</w:t>
      </w:r>
      <w:bookmarkEnd w:id="34"/>
      <w:r w:rsidR="00AA334F">
        <w:rPr>
          <w:rFonts w:cs="Calibri"/>
        </w:rPr>
        <w:t>h</w:t>
      </w:r>
    </w:p>
    <w:p w14:paraId="156A40DE" w14:textId="77777777" w:rsidR="004A1947" w:rsidRPr="003406F7" w:rsidRDefault="006136C3" w:rsidP="00AA334F">
      <w:pPr>
        <w:rPr>
          <w:rFonts w:cs="Calibri"/>
          <w:i/>
        </w:rPr>
      </w:pPr>
      <w:r>
        <w:rPr>
          <w:noProof/>
        </w:rPr>
        <w:drawing>
          <wp:inline distT="0" distB="0" distL="0" distR="0" wp14:anchorId="158041EB" wp14:editId="746D92EF">
            <wp:extent cx="5943600" cy="162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622425"/>
                    </a:xfrm>
                    <a:prstGeom prst="rect">
                      <a:avLst/>
                    </a:prstGeom>
                  </pic:spPr>
                </pic:pic>
              </a:graphicData>
            </a:graphic>
          </wp:inline>
        </w:drawing>
      </w:r>
    </w:p>
    <w:p w14:paraId="284731AF" w14:textId="77777777" w:rsidR="006136C3" w:rsidRPr="006136C3" w:rsidRDefault="006136C3" w:rsidP="00AA334F">
      <w:pPr>
        <w:rPr>
          <w:rFonts w:cs="Calibri"/>
          <w:sz w:val="18"/>
        </w:rPr>
      </w:pPr>
      <w:r w:rsidRPr="006136C3">
        <w:rPr>
          <w:rFonts w:cs="Calibri"/>
          <w:sz w:val="18"/>
        </w:rPr>
        <w:t>*T</w:t>
      </w:r>
      <w:r w:rsidR="007B0EC3">
        <w:rPr>
          <w:rFonts w:cs="Calibri"/>
          <w:sz w:val="18"/>
        </w:rPr>
        <w:t>he Office of Behavioral Health</w:t>
      </w:r>
      <w:r w:rsidR="00774943">
        <w:rPr>
          <w:rFonts w:cs="Calibri"/>
          <w:sz w:val="18"/>
        </w:rPr>
        <w:t xml:space="preserve"> </w:t>
      </w:r>
      <w:r w:rsidRPr="006136C3">
        <w:rPr>
          <w:rFonts w:cs="Calibri"/>
          <w:sz w:val="18"/>
        </w:rPr>
        <w:t xml:space="preserve">contributes to oversight of behavioral health-related contractual obligations across programs.  </w:t>
      </w:r>
    </w:p>
    <w:p w14:paraId="4E49C06B" w14:textId="77777777" w:rsidR="00C86156" w:rsidRPr="00AA334F" w:rsidRDefault="00AA334F" w:rsidP="00AA334F">
      <w:pPr>
        <w:rPr>
          <w:rFonts w:cs="Calibri"/>
        </w:rPr>
      </w:pPr>
      <w:r>
        <w:rPr>
          <w:rFonts w:cs="Calibri"/>
        </w:rPr>
        <w:t>Key quality f</w:t>
      </w:r>
      <w:r w:rsidRPr="00244442">
        <w:rPr>
          <w:rFonts w:cs="Calibri"/>
        </w:rPr>
        <w:t>unctions include designing for quality, measurement, and</w:t>
      </w:r>
      <w:r>
        <w:rPr>
          <w:rFonts w:cs="Calibri"/>
        </w:rPr>
        <w:t xml:space="preserve"> improvement.  </w:t>
      </w:r>
      <w:r w:rsidRPr="00244442">
        <w:rPr>
          <w:rFonts w:cs="Calibri"/>
        </w:rPr>
        <w:t>These functions may be conducted at the member</w:t>
      </w:r>
      <w:r>
        <w:rPr>
          <w:rFonts w:cs="Calibri"/>
        </w:rPr>
        <w:t xml:space="preserve">, provider, health plan or MassHealth level. </w:t>
      </w:r>
      <w:r w:rsidRPr="00244442">
        <w:rPr>
          <w:rFonts w:cs="Calibri"/>
        </w:rPr>
        <w:t xml:space="preserve"> </w:t>
      </w:r>
    </w:p>
    <w:tbl>
      <w:tblPr>
        <w:tblStyle w:val="LightList-Accent1"/>
        <w:tblW w:w="0" w:type="auto"/>
        <w:tblLook w:val="04A0" w:firstRow="1" w:lastRow="0" w:firstColumn="1" w:lastColumn="0" w:noHBand="0" w:noVBand="1"/>
      </w:tblPr>
      <w:tblGrid>
        <w:gridCol w:w="3192"/>
        <w:gridCol w:w="3192"/>
        <w:gridCol w:w="3192"/>
      </w:tblGrid>
      <w:tr w:rsidR="009A2EAF" w14:paraId="6A2762C9" w14:textId="77777777" w:rsidTr="009A2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bottom w:val="single" w:sz="8" w:space="0" w:color="4F81BD" w:themeColor="accent1"/>
            </w:tcBorders>
          </w:tcPr>
          <w:p w14:paraId="7E67AB66" w14:textId="77777777" w:rsidR="009A2EAF" w:rsidRPr="009A2EAF" w:rsidRDefault="009A2EAF" w:rsidP="009A2EAF">
            <w:pPr>
              <w:jc w:val="center"/>
            </w:pPr>
            <w:r w:rsidRPr="009A2EAF">
              <w:t xml:space="preserve">Quality Functions </w:t>
            </w:r>
            <w:r w:rsidRPr="009A2EAF">
              <w:br/>
              <w:t>(Supported by MassHealth Quality Office and Programs)</w:t>
            </w:r>
          </w:p>
        </w:tc>
      </w:tr>
      <w:tr w:rsidR="009A2EAF" w14:paraId="7A0949BD" w14:textId="77777777" w:rsidTr="009A2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8" w:space="0" w:color="4F81BD" w:themeColor="accent1"/>
            </w:tcBorders>
          </w:tcPr>
          <w:p w14:paraId="0405A73E" w14:textId="77777777" w:rsidR="009A2EAF" w:rsidRDefault="009A2EAF" w:rsidP="00AA334F">
            <w:pPr>
              <w:jc w:val="center"/>
              <w:rPr>
                <w:b w:val="0"/>
                <w:i/>
              </w:rPr>
            </w:pPr>
            <w:r w:rsidRPr="009A2EAF">
              <w:rPr>
                <w:b w:val="0"/>
                <w:i/>
              </w:rPr>
              <w:t>Design for Quality</w:t>
            </w:r>
          </w:p>
          <w:p w14:paraId="67EDB06A" w14:textId="77777777" w:rsidR="007E1245" w:rsidRPr="009A2EAF" w:rsidRDefault="007E1245" w:rsidP="00AA334F">
            <w:pPr>
              <w:jc w:val="center"/>
              <w:rPr>
                <w:b w:val="0"/>
                <w:i/>
              </w:rPr>
            </w:pPr>
            <w:r>
              <w:rPr>
                <w:b w:val="0"/>
                <w:i/>
              </w:rPr>
              <w:t>Quality Program Planning and Implementation</w:t>
            </w:r>
          </w:p>
        </w:tc>
        <w:tc>
          <w:tcPr>
            <w:tcW w:w="3192" w:type="dxa"/>
            <w:tcBorders>
              <w:left w:val="single" w:sz="8" w:space="0" w:color="4F81BD" w:themeColor="accent1"/>
              <w:right w:val="single" w:sz="8" w:space="0" w:color="4F81BD" w:themeColor="accent1"/>
            </w:tcBorders>
          </w:tcPr>
          <w:p w14:paraId="2495C9DF" w14:textId="77777777" w:rsidR="009A2EAF" w:rsidRDefault="009A2EAF" w:rsidP="00AA334F">
            <w:pPr>
              <w:jc w:val="center"/>
              <w:cnfStyle w:val="000000100000" w:firstRow="0" w:lastRow="0" w:firstColumn="0" w:lastColumn="0" w:oddVBand="0" w:evenVBand="0" w:oddHBand="1" w:evenHBand="0" w:firstRowFirstColumn="0" w:firstRowLastColumn="0" w:lastRowFirstColumn="0" w:lastRowLastColumn="0"/>
              <w:rPr>
                <w:i/>
              </w:rPr>
            </w:pPr>
            <w:r>
              <w:rPr>
                <w:i/>
              </w:rPr>
              <w:t>Measurement and Monitoring</w:t>
            </w:r>
          </w:p>
          <w:p w14:paraId="216E310D" w14:textId="77777777" w:rsidR="007E1245" w:rsidRPr="009A2EAF" w:rsidRDefault="007E1245" w:rsidP="00AA334F">
            <w:pPr>
              <w:jc w:val="center"/>
              <w:cnfStyle w:val="000000100000" w:firstRow="0" w:lastRow="0" w:firstColumn="0" w:lastColumn="0" w:oddVBand="0" w:evenVBand="0" w:oddHBand="1" w:evenHBand="0" w:firstRowFirstColumn="0" w:firstRowLastColumn="0" w:lastRowFirstColumn="0" w:lastRowLastColumn="0"/>
              <w:rPr>
                <w:i/>
              </w:rPr>
            </w:pPr>
            <w:r>
              <w:rPr>
                <w:i/>
              </w:rPr>
              <w:t>Data Analysis and Quality Improvement</w:t>
            </w:r>
          </w:p>
        </w:tc>
        <w:tc>
          <w:tcPr>
            <w:tcW w:w="3192" w:type="dxa"/>
            <w:tcBorders>
              <w:left w:val="single" w:sz="8" w:space="0" w:color="4F81BD" w:themeColor="accent1"/>
            </w:tcBorders>
          </w:tcPr>
          <w:p w14:paraId="1B5C8CAD" w14:textId="77777777" w:rsidR="009A2EAF" w:rsidRDefault="009A2EAF" w:rsidP="00AA334F">
            <w:pPr>
              <w:jc w:val="center"/>
              <w:cnfStyle w:val="000000100000" w:firstRow="0" w:lastRow="0" w:firstColumn="0" w:lastColumn="0" w:oddVBand="0" w:evenVBand="0" w:oddHBand="1" w:evenHBand="0" w:firstRowFirstColumn="0" w:firstRowLastColumn="0" w:lastRowFirstColumn="0" w:lastRowLastColumn="0"/>
              <w:rPr>
                <w:i/>
              </w:rPr>
            </w:pPr>
            <w:r w:rsidRPr="009A2EAF">
              <w:rPr>
                <w:i/>
              </w:rPr>
              <w:t>Remediation and Evaluation</w:t>
            </w:r>
          </w:p>
          <w:p w14:paraId="488D913A" w14:textId="77777777" w:rsidR="007E1245" w:rsidRPr="009A2EAF" w:rsidRDefault="007E1245" w:rsidP="00AA334F">
            <w:pPr>
              <w:jc w:val="center"/>
              <w:cnfStyle w:val="000000100000" w:firstRow="0" w:lastRow="0" w:firstColumn="0" w:lastColumn="0" w:oddVBand="0" w:evenVBand="0" w:oddHBand="1" w:evenHBand="0" w:firstRowFirstColumn="0" w:firstRowLastColumn="0" w:lastRowFirstColumn="0" w:lastRowLastColumn="0"/>
              <w:rPr>
                <w:i/>
              </w:rPr>
            </w:pPr>
            <w:r>
              <w:rPr>
                <w:i/>
              </w:rPr>
              <w:t>Assessment, Evaluation and Report</w:t>
            </w:r>
          </w:p>
        </w:tc>
      </w:tr>
      <w:tr w:rsidR="009A2EAF" w14:paraId="3EA5E9CB" w14:textId="77777777" w:rsidTr="009A2EAF">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515ED889" w14:textId="77777777" w:rsidR="009A2EAF" w:rsidRDefault="009A2EAF" w:rsidP="00AA334F">
            <w:pPr>
              <w:jc w:val="center"/>
            </w:pPr>
            <w:r w:rsidRPr="009A2EAF">
              <w:rPr>
                <w:color w:val="FFFFFF" w:themeColor="background1"/>
              </w:rPr>
              <w:t>Activities</w:t>
            </w:r>
          </w:p>
        </w:tc>
      </w:tr>
      <w:tr w:rsidR="009A2EAF" w14:paraId="398152A2" w14:textId="77777777" w:rsidTr="009A2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8" w:space="0" w:color="4F81BD" w:themeColor="accent1"/>
            </w:tcBorders>
          </w:tcPr>
          <w:p w14:paraId="7E06EB68" w14:textId="77777777" w:rsidR="009A2EAF" w:rsidRPr="009A2EAF" w:rsidRDefault="009A2EAF" w:rsidP="00AA334F">
            <w:pPr>
              <w:jc w:val="center"/>
              <w:rPr>
                <w:b w:val="0"/>
                <w:i/>
              </w:rPr>
            </w:pPr>
            <w:r w:rsidRPr="009A2EAF">
              <w:rPr>
                <w:b w:val="0"/>
                <w:i/>
              </w:rPr>
              <w:t>Member-focused</w:t>
            </w:r>
          </w:p>
        </w:tc>
        <w:tc>
          <w:tcPr>
            <w:tcW w:w="3192" w:type="dxa"/>
            <w:tcBorders>
              <w:left w:val="single" w:sz="8" w:space="0" w:color="4F81BD" w:themeColor="accent1"/>
              <w:right w:val="single" w:sz="8" w:space="0" w:color="4F81BD" w:themeColor="accent1"/>
            </w:tcBorders>
          </w:tcPr>
          <w:p w14:paraId="6A81ECBD" w14:textId="77777777" w:rsidR="009A2EAF" w:rsidRPr="009A2EAF" w:rsidRDefault="009A2EAF" w:rsidP="00AA334F">
            <w:pPr>
              <w:jc w:val="center"/>
              <w:cnfStyle w:val="000000100000" w:firstRow="0" w:lastRow="0" w:firstColumn="0" w:lastColumn="0" w:oddVBand="0" w:evenVBand="0" w:oddHBand="1" w:evenHBand="0" w:firstRowFirstColumn="0" w:firstRowLastColumn="0" w:lastRowFirstColumn="0" w:lastRowLastColumn="0"/>
              <w:rPr>
                <w:i/>
              </w:rPr>
            </w:pPr>
            <w:r w:rsidRPr="009A2EAF">
              <w:rPr>
                <w:i/>
              </w:rPr>
              <w:t>Provider-focused</w:t>
            </w:r>
          </w:p>
        </w:tc>
        <w:tc>
          <w:tcPr>
            <w:tcW w:w="3192" w:type="dxa"/>
            <w:tcBorders>
              <w:left w:val="single" w:sz="8" w:space="0" w:color="4F81BD" w:themeColor="accent1"/>
            </w:tcBorders>
          </w:tcPr>
          <w:p w14:paraId="15640786" w14:textId="77777777" w:rsidR="009A2EAF" w:rsidRPr="009A2EAF" w:rsidRDefault="009A2EAF" w:rsidP="00AA334F">
            <w:pPr>
              <w:jc w:val="center"/>
              <w:cnfStyle w:val="000000100000" w:firstRow="0" w:lastRow="0" w:firstColumn="0" w:lastColumn="0" w:oddVBand="0" w:evenVBand="0" w:oddHBand="1" w:evenHBand="0" w:firstRowFirstColumn="0" w:firstRowLastColumn="0" w:lastRowFirstColumn="0" w:lastRowLastColumn="0"/>
              <w:rPr>
                <w:i/>
              </w:rPr>
            </w:pPr>
            <w:r w:rsidRPr="009A2EAF">
              <w:rPr>
                <w:i/>
              </w:rPr>
              <w:t>Agency-focused</w:t>
            </w:r>
          </w:p>
        </w:tc>
      </w:tr>
    </w:tbl>
    <w:p w14:paraId="314BD81C" w14:textId="77777777" w:rsidR="00A01071" w:rsidRDefault="00A01071" w:rsidP="00A01071">
      <w:pPr>
        <w:pStyle w:val="ListParagraph"/>
        <w:ind w:left="0"/>
        <w:rPr>
          <w:rFonts w:cs="Calibri"/>
        </w:rPr>
      </w:pPr>
    </w:p>
    <w:p w14:paraId="45AE7A0C" w14:textId="77777777" w:rsidR="00CC2E46" w:rsidRPr="00A01071" w:rsidRDefault="00A01071" w:rsidP="00A01071">
      <w:pPr>
        <w:pStyle w:val="ListParagraph"/>
        <w:ind w:left="0"/>
        <w:rPr>
          <w:rFonts w:cs="Calibri"/>
        </w:rPr>
      </w:pPr>
      <w:r>
        <w:rPr>
          <w:rFonts w:cs="Calibri"/>
        </w:rPr>
        <w:t>Quality management functions are present at various levels within the agency, leveraging core quality proces</w:t>
      </w:r>
      <w:r w:rsidR="007A67D3">
        <w:rPr>
          <w:rFonts w:cs="Calibri"/>
        </w:rPr>
        <w:t>ses in a centralized unit (</w:t>
      </w:r>
      <w:r w:rsidR="001451B0">
        <w:rPr>
          <w:rFonts w:cs="Calibri"/>
        </w:rPr>
        <w:t xml:space="preserve">i.e., </w:t>
      </w:r>
      <w:r w:rsidR="007A67D3">
        <w:rPr>
          <w:rFonts w:cs="Calibri"/>
        </w:rPr>
        <w:t>the</w:t>
      </w:r>
      <w:r>
        <w:rPr>
          <w:rFonts w:cs="Calibri"/>
        </w:rPr>
        <w:t xml:space="preserve"> MassHealth Quality Office) as well as an internal MassHealth Quality Committee that includes representatives from quality programs</w:t>
      </w:r>
      <w:r w:rsidR="002273C6">
        <w:rPr>
          <w:rFonts w:cs="Calibri"/>
        </w:rPr>
        <w:t>.</w:t>
      </w:r>
      <w:r>
        <w:rPr>
          <w:rFonts w:cs="Calibri"/>
        </w:rPr>
        <w:t xml:space="preserve"> This model enables MassHealth to effectively develop and manage overarching priorities and quality strategies that align across the agency, as well as address program-specific implementation processes and population needs. </w:t>
      </w:r>
    </w:p>
    <w:p w14:paraId="518CE9F6" w14:textId="7836C3AC" w:rsidR="00A01071" w:rsidRDefault="006B702A" w:rsidP="00A01071">
      <w:r>
        <w:t xml:space="preserve">As seen in </w:t>
      </w:r>
      <w:fldSimple w:instr=" REF _Ref521922158 ">
        <w:r w:rsidR="00207DB8" w:rsidRPr="00914EA4">
          <w:t xml:space="preserve">Figure </w:t>
        </w:r>
        <w:r w:rsidR="00207DB8">
          <w:rPr>
            <w:noProof/>
          </w:rPr>
          <w:t>2</w:t>
        </w:r>
      </w:fldSimple>
      <w:r>
        <w:t xml:space="preserve">, the quality management </w:t>
      </w:r>
      <w:r w:rsidR="001451B0">
        <w:t xml:space="preserve">process </w:t>
      </w:r>
      <w:r>
        <w:t>follows a plan-do-study-act</w:t>
      </w:r>
      <w:r w:rsidR="007A67D3">
        <w:t xml:space="preserve"> (PDSA) model. Under this model</w:t>
      </w:r>
      <w:r>
        <w:t xml:space="preserve">, MassHealth plans for quality initiatives, identifies and measures key metrics, reacts to these findings by intervening to continuously improve the process, and evaluates for success in its programs </w:t>
      </w:r>
      <w:r>
        <w:lastRenderedPageBreak/>
        <w:t xml:space="preserve">using short-term and longitudinal </w:t>
      </w:r>
      <w:r w:rsidR="00AA334F">
        <w:t>evaluation indicators</w:t>
      </w:r>
      <w:r>
        <w:t xml:space="preserve">. </w:t>
      </w:r>
      <w:r w:rsidR="00F757BF">
        <w:t xml:space="preserve"> </w:t>
      </w:r>
      <w:r w:rsidR="00C1668C">
        <w:t>A</w:t>
      </w:r>
      <w:r w:rsidR="00F757BF">
        <w:t>dditional tools or methodologies</w:t>
      </w:r>
      <w:r w:rsidR="00C1668C">
        <w:t xml:space="preserve"> </w:t>
      </w:r>
      <w:r w:rsidR="00F757BF">
        <w:t>may</w:t>
      </w:r>
      <w:r w:rsidR="00005544">
        <w:t xml:space="preserve"> also</w:t>
      </w:r>
      <w:r w:rsidR="00F757BF">
        <w:t xml:space="preserve"> </w:t>
      </w:r>
      <w:r w:rsidR="00C1668C">
        <w:t>be incorporated to compliment this process further</w:t>
      </w:r>
      <w:r w:rsidR="00005AFB">
        <w:t xml:space="preserve"> as necessary</w:t>
      </w:r>
      <w:r w:rsidR="00971D42">
        <w:t>.</w:t>
      </w:r>
    </w:p>
    <w:p w14:paraId="25F866C6" w14:textId="77777777" w:rsidR="00A01071" w:rsidRDefault="00A01071" w:rsidP="00A01071">
      <w:pPr>
        <w:sectPr w:rsidR="00A01071" w:rsidSect="002C1AD5">
          <w:headerReference w:type="default" r:id="rId18"/>
          <w:type w:val="continuous"/>
          <w:pgSz w:w="12240" w:h="15840" w:code="1"/>
          <w:pgMar w:top="1440" w:right="1440" w:bottom="1440" w:left="1440" w:header="720" w:footer="720" w:gutter="0"/>
          <w:cols w:space="720"/>
          <w:docGrid w:linePitch="360"/>
        </w:sectPr>
      </w:pPr>
      <w:r>
        <w:t>The quality strategy continues to evolve to reflect the balance of centralized and program-level activity, increase the alignment of priorities and goals (where appropriate) and develop increased strategic</w:t>
      </w:r>
      <w:r w:rsidR="000D6149">
        <w:t xml:space="preserve"> focus across the organization. </w:t>
      </w:r>
    </w:p>
    <w:p w14:paraId="458B7CB1" w14:textId="77777777" w:rsidR="006B702A" w:rsidRPr="006B702A" w:rsidRDefault="006B702A" w:rsidP="006B702A"/>
    <w:p w14:paraId="133B6613" w14:textId="77777777" w:rsidR="003406F7" w:rsidRDefault="009811A4" w:rsidP="00AA334F">
      <w:pPr>
        <w:pStyle w:val="Caption"/>
        <w:jc w:val="center"/>
      </w:pPr>
      <w:bookmarkStart w:id="35" w:name="_Ref521922158"/>
      <w:r w:rsidRPr="00914EA4">
        <w:t xml:space="preserve">Figure </w:t>
      </w:r>
      <w:r w:rsidR="00CB5E77">
        <w:rPr>
          <w:noProof/>
        </w:rPr>
        <w:fldChar w:fldCharType="begin"/>
      </w:r>
      <w:r w:rsidR="00CB5E77">
        <w:rPr>
          <w:noProof/>
        </w:rPr>
        <w:instrText xml:space="preserve"> SEQ Figure \* ARABIC </w:instrText>
      </w:r>
      <w:r w:rsidR="00CB5E77">
        <w:rPr>
          <w:noProof/>
        </w:rPr>
        <w:fldChar w:fldCharType="separate"/>
      </w:r>
      <w:r w:rsidR="00207DB8">
        <w:rPr>
          <w:noProof/>
        </w:rPr>
        <w:t>2</w:t>
      </w:r>
      <w:r w:rsidR="00CB5E77">
        <w:rPr>
          <w:noProof/>
        </w:rPr>
        <w:fldChar w:fldCharType="end"/>
      </w:r>
      <w:bookmarkEnd w:id="35"/>
      <w:r w:rsidRPr="00914EA4">
        <w:t>:</w:t>
      </w:r>
      <w:r>
        <w:t xml:space="preserve"> MassHealth Quality Management Process</w:t>
      </w:r>
    </w:p>
    <w:p w14:paraId="68C79D39" w14:textId="77777777" w:rsidR="0097050A" w:rsidRPr="00244442" w:rsidRDefault="0077735F" w:rsidP="00AA334F">
      <w:pPr>
        <w:pStyle w:val="Caption"/>
        <w:jc w:val="center"/>
        <w:rPr>
          <w:rFonts w:cs="Calibri"/>
        </w:rPr>
      </w:pPr>
      <w:r>
        <w:rPr>
          <w:rFonts w:cs="Calibri"/>
          <w:noProof/>
        </w:rPr>
        <w:drawing>
          <wp:inline distT="0" distB="0" distL="0" distR="0" wp14:anchorId="2AAACE5E" wp14:editId="75BBA338">
            <wp:extent cx="4200525" cy="2828925"/>
            <wp:effectExtent l="0" t="0" r="9525" b="9525"/>
            <wp:docPr id="4" name="Picture 4" descr="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on1.jpg"/>
                    <pic:cNvPicPr>
                      <a:picLocks noChangeAspect="1" noChangeArrowheads="1"/>
                    </pic:cNvPicPr>
                  </pic:nvPicPr>
                  <pic:blipFill>
                    <a:blip r:embed="rId19">
                      <a:extLst>
                        <a:ext uri="{28A0092B-C50C-407E-A947-70E740481C1C}">
                          <a14:useLocalDpi xmlns:a14="http://schemas.microsoft.com/office/drawing/2010/main" val="0"/>
                        </a:ext>
                      </a:extLst>
                    </a:blip>
                    <a:srcRect l="13785" t="17519" r="13298" b="18167"/>
                    <a:stretch>
                      <a:fillRect/>
                    </a:stretch>
                  </pic:blipFill>
                  <pic:spPr bwMode="auto">
                    <a:xfrm>
                      <a:off x="0" y="0"/>
                      <a:ext cx="4200525" cy="2828925"/>
                    </a:xfrm>
                    <a:prstGeom prst="rect">
                      <a:avLst/>
                    </a:prstGeom>
                    <a:noFill/>
                    <a:ln>
                      <a:noFill/>
                    </a:ln>
                  </pic:spPr>
                </pic:pic>
              </a:graphicData>
            </a:graphic>
          </wp:inline>
        </w:drawing>
      </w:r>
    </w:p>
    <w:p w14:paraId="4CE787FF" w14:textId="77777777" w:rsidR="00641881" w:rsidRDefault="00641881" w:rsidP="00AF60BF">
      <w:pPr>
        <w:pStyle w:val="Heading2"/>
      </w:pPr>
      <w:bookmarkStart w:id="36" w:name="_Toc529177872"/>
      <w:r>
        <w:t>MassHealth Quality Office</w:t>
      </w:r>
      <w:bookmarkEnd w:id="36"/>
    </w:p>
    <w:p w14:paraId="695917E1" w14:textId="77777777" w:rsidR="0050083F" w:rsidRDefault="00036897" w:rsidP="00036897">
      <w:pPr>
        <w:rPr>
          <w:rFonts w:cs="Calibri"/>
        </w:rPr>
      </w:pPr>
      <w:r>
        <w:rPr>
          <w:rFonts w:cs="Calibri"/>
        </w:rPr>
        <w:t>T</w:t>
      </w:r>
      <w:r w:rsidRPr="00244442">
        <w:rPr>
          <w:rFonts w:cs="Calibri"/>
        </w:rPr>
        <w:t xml:space="preserve">he </w:t>
      </w:r>
      <w:r w:rsidR="000F5E68">
        <w:rPr>
          <w:rFonts w:cs="Calibri"/>
        </w:rPr>
        <w:t xml:space="preserve">MassHealth Quality Office </w:t>
      </w:r>
      <w:r w:rsidR="00AF60BF">
        <w:rPr>
          <w:rFonts w:cs="Calibri"/>
        </w:rPr>
        <w:t xml:space="preserve">is a central office </w:t>
      </w:r>
      <w:r w:rsidR="00E447B4">
        <w:rPr>
          <w:rFonts w:cs="Calibri"/>
        </w:rPr>
        <w:t xml:space="preserve">that </w:t>
      </w:r>
      <w:r w:rsidR="00AF60BF">
        <w:rPr>
          <w:rFonts w:cs="Calibri"/>
        </w:rPr>
        <w:t>support</w:t>
      </w:r>
      <w:r w:rsidR="00E447B4">
        <w:rPr>
          <w:rFonts w:cs="Calibri"/>
        </w:rPr>
        <w:t>s</w:t>
      </w:r>
      <w:r>
        <w:rPr>
          <w:rFonts w:cs="Calibri"/>
        </w:rPr>
        <w:t xml:space="preserve"> program </w:t>
      </w:r>
      <w:r w:rsidR="00B76878">
        <w:rPr>
          <w:rFonts w:cs="Calibri"/>
        </w:rPr>
        <w:t>development</w:t>
      </w:r>
      <w:r>
        <w:rPr>
          <w:rFonts w:cs="Calibri"/>
        </w:rPr>
        <w:t>, implementation</w:t>
      </w:r>
      <w:r w:rsidR="00B76878">
        <w:rPr>
          <w:rFonts w:cs="Calibri"/>
        </w:rPr>
        <w:t xml:space="preserve"> planning</w:t>
      </w:r>
      <w:r w:rsidR="00AF60BF">
        <w:rPr>
          <w:rFonts w:cs="Calibri"/>
        </w:rPr>
        <w:t>,</w:t>
      </w:r>
      <w:r w:rsidR="00E447B4">
        <w:rPr>
          <w:rFonts w:cs="Calibri"/>
        </w:rPr>
        <w:t xml:space="preserve"> </w:t>
      </w:r>
      <w:r w:rsidR="00B76878">
        <w:rPr>
          <w:rFonts w:cs="Calibri"/>
        </w:rPr>
        <w:t>analysis</w:t>
      </w:r>
      <w:r w:rsidR="00E447B4">
        <w:rPr>
          <w:rFonts w:cs="Calibri"/>
        </w:rPr>
        <w:t xml:space="preserve">, </w:t>
      </w:r>
      <w:proofErr w:type="gramStart"/>
      <w:r w:rsidR="005D5467">
        <w:rPr>
          <w:rFonts w:cs="Calibri"/>
        </w:rPr>
        <w:t>performance</w:t>
      </w:r>
      <w:proofErr w:type="gramEnd"/>
      <w:r w:rsidR="00E447B4">
        <w:rPr>
          <w:rFonts w:cs="Calibri"/>
        </w:rPr>
        <w:t xml:space="preserve"> monitoring</w:t>
      </w:r>
      <w:r>
        <w:rPr>
          <w:rFonts w:cs="Calibri"/>
        </w:rPr>
        <w:t xml:space="preserve"> and evaluation activities across</w:t>
      </w:r>
      <w:r w:rsidR="00E447B4">
        <w:rPr>
          <w:rFonts w:cs="Calibri"/>
        </w:rPr>
        <w:t xml:space="preserve"> </w:t>
      </w:r>
      <w:r>
        <w:rPr>
          <w:rFonts w:cs="Calibri"/>
        </w:rPr>
        <w:t xml:space="preserve">programs. </w:t>
      </w:r>
      <w:r w:rsidR="00A01071">
        <w:rPr>
          <w:rFonts w:cs="Calibri"/>
        </w:rPr>
        <w:t>Key components of q</w:t>
      </w:r>
      <w:r w:rsidR="00612B92">
        <w:rPr>
          <w:rFonts w:cs="Calibri"/>
        </w:rPr>
        <w:t>uality management are summarize</w:t>
      </w:r>
      <w:r w:rsidR="00A01071">
        <w:rPr>
          <w:rFonts w:cs="Calibri"/>
        </w:rPr>
        <w:t>d</w:t>
      </w:r>
      <w:r w:rsidR="00612B92">
        <w:rPr>
          <w:rFonts w:cs="Calibri"/>
        </w:rPr>
        <w:t xml:space="preserve"> </w:t>
      </w:r>
      <w:r w:rsidR="00A01071">
        <w:rPr>
          <w:rFonts w:cs="Calibri"/>
        </w:rPr>
        <w:t xml:space="preserve">in Figure 3. </w:t>
      </w:r>
    </w:p>
    <w:p w14:paraId="19F5EF34" w14:textId="77777777" w:rsidR="003406F7" w:rsidRDefault="0050083F" w:rsidP="0050083F">
      <w:pPr>
        <w:pStyle w:val="Caption"/>
        <w:rPr>
          <w:rFonts w:cs="Calibri"/>
        </w:rPr>
      </w:pPr>
      <w:r>
        <w:t xml:space="preserve">Figure </w:t>
      </w:r>
      <w:r w:rsidR="00CB5E77">
        <w:rPr>
          <w:noProof/>
        </w:rPr>
        <w:fldChar w:fldCharType="begin"/>
      </w:r>
      <w:r w:rsidR="00CB5E77">
        <w:rPr>
          <w:noProof/>
        </w:rPr>
        <w:instrText xml:space="preserve"> SEQ Figure \* ARABIC </w:instrText>
      </w:r>
      <w:r w:rsidR="00CB5E77">
        <w:rPr>
          <w:noProof/>
        </w:rPr>
        <w:fldChar w:fldCharType="separate"/>
      </w:r>
      <w:r w:rsidR="00207DB8">
        <w:rPr>
          <w:noProof/>
        </w:rPr>
        <w:t>3</w:t>
      </w:r>
      <w:r w:rsidR="00CB5E77">
        <w:rPr>
          <w:noProof/>
        </w:rPr>
        <w:fldChar w:fldCharType="end"/>
      </w:r>
      <w:r w:rsidR="001833AC">
        <w:t>: Quality Management</w:t>
      </w:r>
      <w:r w:rsidR="00036897">
        <w:rPr>
          <w:rFonts w:cs="Calibri"/>
        </w:rPr>
        <w:t xml:space="preserve"> </w:t>
      </w:r>
      <w:r w:rsidR="00B76878">
        <w:rPr>
          <w:rFonts w:cs="Calibri"/>
        </w:rPr>
        <w:t xml:space="preserve"> </w:t>
      </w:r>
    </w:p>
    <w:p w14:paraId="0AE656EA" w14:textId="77777777" w:rsidR="003406F7" w:rsidRDefault="003406F7" w:rsidP="0050083F">
      <w:pPr>
        <w:jc w:val="center"/>
        <w:rPr>
          <w:rFonts w:cs="Calibri"/>
        </w:rPr>
      </w:pPr>
      <w:r>
        <w:rPr>
          <w:noProof/>
        </w:rPr>
        <w:drawing>
          <wp:inline distT="0" distB="0" distL="0" distR="0" wp14:anchorId="3A718897" wp14:editId="6BB9CB6D">
            <wp:extent cx="3448050" cy="2325961"/>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48050" cy="2325961"/>
                    </a:xfrm>
                    <a:prstGeom prst="rect">
                      <a:avLst/>
                    </a:prstGeom>
                  </pic:spPr>
                </pic:pic>
              </a:graphicData>
            </a:graphic>
          </wp:inline>
        </w:drawing>
      </w:r>
    </w:p>
    <w:p w14:paraId="41A10B40" w14:textId="77777777" w:rsidR="00036897" w:rsidRDefault="00612B92" w:rsidP="00036897">
      <w:pPr>
        <w:rPr>
          <w:rFonts w:cs="Calibri"/>
        </w:rPr>
      </w:pPr>
      <w:r>
        <w:rPr>
          <w:rFonts w:cs="Calibri"/>
        </w:rPr>
        <w:lastRenderedPageBreak/>
        <w:t>MassHealth Quality Office a</w:t>
      </w:r>
      <w:r w:rsidR="00036897">
        <w:rPr>
          <w:rFonts w:cs="Calibri"/>
        </w:rPr>
        <w:t>ctivities include but are not limited to</w:t>
      </w:r>
      <w:r w:rsidR="00982DAC">
        <w:rPr>
          <w:rFonts w:cs="Calibri"/>
        </w:rPr>
        <w:t xml:space="preserve"> working </w:t>
      </w:r>
      <w:r w:rsidR="00E447B4">
        <w:rPr>
          <w:rFonts w:cs="Calibri"/>
        </w:rPr>
        <w:t xml:space="preserve">collaboratively </w:t>
      </w:r>
      <w:r w:rsidR="00982DAC">
        <w:rPr>
          <w:rFonts w:cs="Calibri"/>
        </w:rPr>
        <w:t xml:space="preserve">with programs </w:t>
      </w:r>
      <w:r w:rsidR="00830BDA">
        <w:rPr>
          <w:rFonts w:cs="Calibri"/>
        </w:rPr>
        <w:t>to</w:t>
      </w:r>
      <w:r w:rsidR="00036897">
        <w:rPr>
          <w:rFonts w:cs="Calibri"/>
        </w:rPr>
        <w:t>:</w:t>
      </w:r>
    </w:p>
    <w:p w14:paraId="5A397196" w14:textId="77777777" w:rsidR="00036897" w:rsidRDefault="00830BDA" w:rsidP="009729DB">
      <w:pPr>
        <w:pStyle w:val="ListParagraph"/>
        <w:numPr>
          <w:ilvl w:val="0"/>
          <w:numId w:val="32"/>
        </w:numPr>
        <w:rPr>
          <w:rFonts w:cs="Calibri"/>
        </w:rPr>
      </w:pPr>
      <w:r>
        <w:rPr>
          <w:rFonts w:cs="Calibri"/>
        </w:rPr>
        <w:t>Identify</w:t>
      </w:r>
      <w:r w:rsidR="00036897">
        <w:rPr>
          <w:rFonts w:cs="Calibri"/>
        </w:rPr>
        <w:t xml:space="preserve"> and select measures and specifications  for use in quality</w:t>
      </w:r>
      <w:r w:rsidR="005D5467">
        <w:rPr>
          <w:rFonts w:cs="Calibri"/>
        </w:rPr>
        <w:t xml:space="preserve"> incentive </w:t>
      </w:r>
      <w:r w:rsidR="00036897">
        <w:rPr>
          <w:rFonts w:cs="Calibri"/>
        </w:rPr>
        <w:t>programs</w:t>
      </w:r>
    </w:p>
    <w:p w14:paraId="68C77170" w14:textId="77777777" w:rsidR="00B76878" w:rsidRDefault="00830BDA" w:rsidP="009729DB">
      <w:pPr>
        <w:pStyle w:val="ListParagraph"/>
        <w:numPr>
          <w:ilvl w:val="0"/>
          <w:numId w:val="32"/>
        </w:numPr>
        <w:rPr>
          <w:rFonts w:cs="Calibri"/>
        </w:rPr>
      </w:pPr>
      <w:r>
        <w:rPr>
          <w:rFonts w:cs="Calibri"/>
        </w:rPr>
        <w:t xml:space="preserve">Develop </w:t>
      </w:r>
      <w:r w:rsidR="00E447B4">
        <w:rPr>
          <w:rFonts w:cs="Calibri"/>
        </w:rPr>
        <w:t>performance benchmarks</w:t>
      </w:r>
      <w:r>
        <w:rPr>
          <w:rFonts w:cs="Calibri"/>
        </w:rPr>
        <w:t xml:space="preserve"> and </w:t>
      </w:r>
      <w:r w:rsidR="00AF60BF">
        <w:rPr>
          <w:rFonts w:cs="Calibri"/>
        </w:rPr>
        <w:t>targets</w:t>
      </w:r>
      <w:r>
        <w:rPr>
          <w:rFonts w:cs="Calibri"/>
        </w:rPr>
        <w:t xml:space="preserve"> </w:t>
      </w:r>
      <w:r w:rsidR="00E447B4">
        <w:rPr>
          <w:rFonts w:cs="Calibri"/>
        </w:rPr>
        <w:t xml:space="preserve">and other </w:t>
      </w:r>
      <w:r w:rsidR="00A9309F">
        <w:rPr>
          <w:rFonts w:cs="Calibri"/>
        </w:rPr>
        <w:t>quality program requirements</w:t>
      </w:r>
    </w:p>
    <w:p w14:paraId="4657CFBF" w14:textId="77777777" w:rsidR="00982DAC" w:rsidRDefault="00830BDA" w:rsidP="009729DB">
      <w:pPr>
        <w:pStyle w:val="ListParagraph"/>
        <w:numPr>
          <w:ilvl w:val="0"/>
          <w:numId w:val="32"/>
        </w:numPr>
        <w:rPr>
          <w:rFonts w:cs="Calibri"/>
        </w:rPr>
      </w:pPr>
      <w:r>
        <w:rPr>
          <w:rFonts w:cs="Calibri"/>
        </w:rPr>
        <w:t>Procure</w:t>
      </w:r>
      <w:r w:rsidR="00036897">
        <w:rPr>
          <w:rFonts w:cs="Calibri"/>
        </w:rPr>
        <w:t xml:space="preserve"> and </w:t>
      </w:r>
      <w:r w:rsidR="00036897" w:rsidRPr="00E64C5A">
        <w:rPr>
          <w:rFonts w:cs="Calibri"/>
        </w:rPr>
        <w:t>manage</w:t>
      </w:r>
      <w:r>
        <w:rPr>
          <w:rFonts w:cs="Calibri"/>
        </w:rPr>
        <w:t xml:space="preserve"> vendors</w:t>
      </w:r>
      <w:r w:rsidR="00036897" w:rsidRPr="00E64C5A">
        <w:rPr>
          <w:rFonts w:cs="Calibri"/>
        </w:rPr>
        <w:t xml:space="preserve"> for </w:t>
      </w:r>
      <w:r w:rsidR="00036897">
        <w:rPr>
          <w:rFonts w:cs="Calibri"/>
        </w:rPr>
        <w:t xml:space="preserve">data collection, </w:t>
      </w:r>
      <w:r>
        <w:rPr>
          <w:rFonts w:cs="Calibri"/>
        </w:rPr>
        <w:t xml:space="preserve">audit, </w:t>
      </w:r>
      <w:r w:rsidR="00036897">
        <w:rPr>
          <w:rFonts w:cs="Calibri"/>
        </w:rPr>
        <w:t xml:space="preserve">external quality review </w:t>
      </w:r>
      <w:r w:rsidR="00E447B4">
        <w:rPr>
          <w:rFonts w:cs="Calibri"/>
        </w:rPr>
        <w:t xml:space="preserve">and other </w:t>
      </w:r>
      <w:r w:rsidR="00036897">
        <w:rPr>
          <w:rFonts w:cs="Calibri"/>
        </w:rPr>
        <w:t>services</w:t>
      </w:r>
    </w:p>
    <w:p w14:paraId="31C9A81B" w14:textId="77777777" w:rsidR="00E447B4" w:rsidRDefault="00830BDA" w:rsidP="009729DB">
      <w:pPr>
        <w:pStyle w:val="ListParagraph"/>
        <w:numPr>
          <w:ilvl w:val="0"/>
          <w:numId w:val="32"/>
        </w:numPr>
        <w:rPr>
          <w:rFonts w:cs="Calibri"/>
        </w:rPr>
      </w:pPr>
      <w:r>
        <w:rPr>
          <w:rFonts w:cs="Calibri"/>
        </w:rPr>
        <w:t xml:space="preserve">Monitor </w:t>
      </w:r>
      <w:r w:rsidR="00E447B4">
        <w:rPr>
          <w:rFonts w:cs="Calibri"/>
        </w:rPr>
        <w:t>and assess</w:t>
      </w:r>
      <w:r>
        <w:rPr>
          <w:rFonts w:cs="Calibri"/>
        </w:rPr>
        <w:t xml:space="preserve"> qu</w:t>
      </w:r>
      <w:r w:rsidR="00E447B4">
        <w:rPr>
          <w:rFonts w:cs="Calibri"/>
        </w:rPr>
        <w:t>ality measure performance and improvement programs</w:t>
      </w:r>
    </w:p>
    <w:p w14:paraId="2042E5DB" w14:textId="77777777" w:rsidR="00036897" w:rsidRPr="00982DAC" w:rsidRDefault="00982DAC" w:rsidP="009729DB">
      <w:pPr>
        <w:pStyle w:val="ListParagraph"/>
        <w:numPr>
          <w:ilvl w:val="0"/>
          <w:numId w:val="32"/>
        </w:numPr>
        <w:rPr>
          <w:rFonts w:cs="Calibri"/>
        </w:rPr>
      </w:pPr>
      <w:r w:rsidRPr="00982DAC">
        <w:rPr>
          <w:rFonts w:cs="Calibri"/>
        </w:rPr>
        <w:t>F</w:t>
      </w:r>
      <w:r w:rsidR="00830BDA">
        <w:rPr>
          <w:rFonts w:cs="Calibri"/>
        </w:rPr>
        <w:t>acilitate</w:t>
      </w:r>
      <w:r w:rsidRPr="00982DAC">
        <w:rPr>
          <w:rFonts w:cs="Calibri"/>
        </w:rPr>
        <w:t xml:space="preserve"> and </w:t>
      </w:r>
      <w:r w:rsidR="00036897" w:rsidRPr="00982DAC">
        <w:rPr>
          <w:rFonts w:cs="Calibri"/>
        </w:rPr>
        <w:t>participat</w:t>
      </w:r>
      <w:r w:rsidR="00830BDA">
        <w:rPr>
          <w:rFonts w:cs="Calibri"/>
        </w:rPr>
        <w:t>e</w:t>
      </w:r>
      <w:r w:rsidR="00036897" w:rsidRPr="00982DAC">
        <w:rPr>
          <w:rFonts w:cs="Calibri"/>
        </w:rPr>
        <w:t xml:space="preserve"> in cross-cutting quality ini</w:t>
      </w:r>
      <w:r w:rsidR="00E447B4">
        <w:rPr>
          <w:rFonts w:cs="Calibri"/>
        </w:rPr>
        <w:t>tiatives throughout MassHealth</w:t>
      </w:r>
    </w:p>
    <w:p w14:paraId="4178D86D" w14:textId="77777777" w:rsidR="00E447B4" w:rsidRDefault="00830BDA" w:rsidP="009729DB">
      <w:pPr>
        <w:pStyle w:val="ListParagraph"/>
        <w:numPr>
          <w:ilvl w:val="0"/>
          <w:numId w:val="32"/>
        </w:numPr>
        <w:rPr>
          <w:rFonts w:cs="Calibri"/>
        </w:rPr>
      </w:pPr>
      <w:r>
        <w:rPr>
          <w:rFonts w:cs="Calibri"/>
        </w:rPr>
        <w:t>Coordinate</w:t>
      </w:r>
      <w:r w:rsidR="00E447B4">
        <w:rPr>
          <w:rFonts w:cs="Calibri"/>
        </w:rPr>
        <w:t xml:space="preserve"> and participat</w:t>
      </w:r>
      <w:r>
        <w:rPr>
          <w:rFonts w:cs="Calibri"/>
        </w:rPr>
        <w:t>e</w:t>
      </w:r>
      <w:r w:rsidR="00E447B4">
        <w:rPr>
          <w:rFonts w:cs="Calibri"/>
        </w:rPr>
        <w:t xml:space="preserve"> in external stakeholder engagement</w:t>
      </w:r>
    </w:p>
    <w:p w14:paraId="5413AD94" w14:textId="77777777" w:rsidR="000152F3" w:rsidRDefault="000152F3" w:rsidP="00F14BE0">
      <w:pPr>
        <w:pStyle w:val="Heading2"/>
      </w:pPr>
      <w:bookmarkStart w:id="37" w:name="_Toc529177873"/>
      <w:r>
        <w:t>MassHealth Quality Committee</w:t>
      </w:r>
      <w:bookmarkEnd w:id="37"/>
      <w:r>
        <w:t xml:space="preserve"> </w:t>
      </w:r>
    </w:p>
    <w:p w14:paraId="11F6FAC2" w14:textId="77777777" w:rsidR="00D833BE" w:rsidRDefault="00A9309F" w:rsidP="00641881">
      <w:pPr>
        <w:rPr>
          <w:rFonts w:asciiTheme="minorHAnsi" w:hAnsiTheme="minorHAnsi"/>
        </w:rPr>
      </w:pPr>
      <w:r>
        <w:rPr>
          <w:rFonts w:cs="Calibri"/>
        </w:rPr>
        <w:t>To support agency-wide collaboration</w:t>
      </w:r>
      <w:r w:rsidR="004938F6">
        <w:rPr>
          <w:rFonts w:cs="Calibri"/>
        </w:rPr>
        <w:t>, str</w:t>
      </w:r>
      <w:r w:rsidR="00D833BE">
        <w:rPr>
          <w:rFonts w:cs="Calibri"/>
        </w:rPr>
        <w:t xml:space="preserve">ategy and program development, </w:t>
      </w:r>
      <w:r w:rsidR="004938F6">
        <w:rPr>
          <w:rFonts w:cs="Calibri"/>
        </w:rPr>
        <w:t>t</w:t>
      </w:r>
      <w:r w:rsidR="0097050A" w:rsidRPr="00244442">
        <w:rPr>
          <w:rFonts w:cs="Calibri"/>
        </w:rPr>
        <w:t>he MassHealth Quality Committee</w:t>
      </w:r>
      <w:r w:rsidR="004742A6">
        <w:rPr>
          <w:rFonts w:cs="Calibri"/>
        </w:rPr>
        <w:t xml:space="preserve"> is convened by the MassHealth Quality Office, </w:t>
      </w:r>
      <w:r w:rsidR="005B7B5A">
        <w:rPr>
          <w:rFonts w:cs="Calibri"/>
        </w:rPr>
        <w:t xml:space="preserve">and </w:t>
      </w:r>
      <w:r w:rsidR="005B7B5A" w:rsidRPr="008E7C68">
        <w:rPr>
          <w:rFonts w:asciiTheme="minorHAnsi" w:hAnsiTheme="minorHAnsi"/>
        </w:rPr>
        <w:t>serves as a forum to</w:t>
      </w:r>
      <w:r w:rsidR="00D833BE">
        <w:rPr>
          <w:rFonts w:asciiTheme="minorHAnsi" w:hAnsiTheme="minorHAnsi"/>
        </w:rPr>
        <w:t>:</w:t>
      </w:r>
      <w:r w:rsidR="005B7B5A" w:rsidRPr="008E7C68">
        <w:rPr>
          <w:rFonts w:asciiTheme="minorHAnsi" w:hAnsiTheme="minorHAnsi"/>
        </w:rPr>
        <w:t xml:space="preserve"> </w:t>
      </w:r>
    </w:p>
    <w:p w14:paraId="4AFE9ED8" w14:textId="77777777" w:rsidR="00D833BE" w:rsidRPr="00D833BE" w:rsidRDefault="00D833BE" w:rsidP="009729DB">
      <w:pPr>
        <w:pStyle w:val="ListParagraph"/>
        <w:numPr>
          <w:ilvl w:val="0"/>
          <w:numId w:val="37"/>
        </w:numPr>
        <w:rPr>
          <w:rFonts w:cs="Calibri"/>
          <w:color w:val="000000"/>
        </w:rPr>
      </w:pPr>
      <w:r>
        <w:rPr>
          <w:rFonts w:asciiTheme="minorHAnsi" w:hAnsiTheme="minorHAnsi"/>
        </w:rPr>
        <w:t>S</w:t>
      </w:r>
      <w:r w:rsidR="00A9309F" w:rsidRPr="00D833BE">
        <w:rPr>
          <w:rFonts w:asciiTheme="minorHAnsi" w:hAnsiTheme="minorHAnsi"/>
        </w:rPr>
        <w:t>hare</w:t>
      </w:r>
      <w:r w:rsidR="004938F6" w:rsidRPr="00D833BE">
        <w:rPr>
          <w:rFonts w:asciiTheme="minorHAnsi" w:hAnsiTheme="minorHAnsi"/>
        </w:rPr>
        <w:t xml:space="preserve"> program activities and </w:t>
      </w:r>
      <w:r>
        <w:rPr>
          <w:rFonts w:asciiTheme="minorHAnsi" w:hAnsiTheme="minorHAnsi"/>
        </w:rPr>
        <w:t>developments</w:t>
      </w:r>
    </w:p>
    <w:p w14:paraId="2520B16B" w14:textId="77777777" w:rsidR="00D833BE" w:rsidRPr="00D833BE" w:rsidRDefault="00D833BE" w:rsidP="009729DB">
      <w:pPr>
        <w:pStyle w:val="ListParagraph"/>
        <w:numPr>
          <w:ilvl w:val="0"/>
          <w:numId w:val="37"/>
        </w:numPr>
        <w:rPr>
          <w:rFonts w:cs="Calibri"/>
          <w:color w:val="000000"/>
        </w:rPr>
      </w:pPr>
      <w:r>
        <w:rPr>
          <w:rFonts w:asciiTheme="minorHAnsi" w:hAnsiTheme="minorHAnsi"/>
        </w:rPr>
        <w:t>D</w:t>
      </w:r>
      <w:r w:rsidR="005B7B5A" w:rsidRPr="00D833BE">
        <w:rPr>
          <w:rFonts w:asciiTheme="minorHAnsi" w:hAnsiTheme="minorHAnsi"/>
        </w:rPr>
        <w:t>iscuss</w:t>
      </w:r>
      <w:r w:rsidR="004938F6" w:rsidRPr="00D833BE">
        <w:rPr>
          <w:rFonts w:asciiTheme="minorHAnsi" w:hAnsiTheme="minorHAnsi"/>
        </w:rPr>
        <w:t xml:space="preserve"> cross-cutting</w:t>
      </w:r>
      <w:r>
        <w:rPr>
          <w:rFonts w:asciiTheme="minorHAnsi" w:hAnsiTheme="minorHAnsi"/>
        </w:rPr>
        <w:t xml:space="preserve"> quality program</w:t>
      </w:r>
      <w:r w:rsidR="004938F6" w:rsidRPr="00D833BE">
        <w:rPr>
          <w:rFonts w:asciiTheme="minorHAnsi" w:hAnsiTheme="minorHAnsi"/>
        </w:rPr>
        <w:t xml:space="preserve"> issues</w:t>
      </w:r>
    </w:p>
    <w:p w14:paraId="72430D64" w14:textId="77777777" w:rsidR="00D833BE" w:rsidRPr="00D833BE" w:rsidRDefault="00D833BE" w:rsidP="009729DB">
      <w:pPr>
        <w:pStyle w:val="ListParagraph"/>
        <w:numPr>
          <w:ilvl w:val="0"/>
          <w:numId w:val="37"/>
        </w:numPr>
        <w:rPr>
          <w:rFonts w:cs="Calibri"/>
          <w:color w:val="000000"/>
        </w:rPr>
      </w:pPr>
      <w:r>
        <w:rPr>
          <w:rFonts w:asciiTheme="minorHAnsi" w:hAnsiTheme="minorHAnsi"/>
        </w:rPr>
        <w:t>D</w:t>
      </w:r>
      <w:r w:rsidR="004938F6" w:rsidRPr="00D833BE">
        <w:rPr>
          <w:rFonts w:asciiTheme="minorHAnsi" w:hAnsiTheme="minorHAnsi"/>
        </w:rPr>
        <w:t>evelop and</w:t>
      </w:r>
      <w:r w:rsidR="005B7B5A" w:rsidRPr="00D833BE">
        <w:rPr>
          <w:rFonts w:asciiTheme="minorHAnsi" w:hAnsiTheme="minorHAnsi"/>
        </w:rPr>
        <w:t xml:space="preserve"> recommend approaches to </w:t>
      </w:r>
      <w:r w:rsidR="004938F6" w:rsidRPr="00D833BE">
        <w:rPr>
          <w:rFonts w:asciiTheme="minorHAnsi" w:hAnsiTheme="minorHAnsi"/>
        </w:rPr>
        <w:t xml:space="preserve">addressing </w:t>
      </w:r>
      <w:r w:rsidR="00830BDA" w:rsidRPr="00D833BE">
        <w:rPr>
          <w:rFonts w:asciiTheme="minorHAnsi" w:hAnsiTheme="minorHAnsi"/>
        </w:rPr>
        <w:t xml:space="preserve">quality </w:t>
      </w:r>
      <w:r w:rsidR="005B7B5A" w:rsidRPr="00D833BE">
        <w:rPr>
          <w:rFonts w:asciiTheme="minorHAnsi" w:hAnsiTheme="minorHAnsi"/>
        </w:rPr>
        <w:t>measurement, improvement, and evaluation activities</w:t>
      </w:r>
      <w:r w:rsidR="0097050A" w:rsidRPr="00244442">
        <w:t xml:space="preserve">. </w:t>
      </w:r>
    </w:p>
    <w:p w14:paraId="1165A606" w14:textId="77777777" w:rsidR="00D833BE" w:rsidRPr="00D833BE" w:rsidRDefault="00D833BE" w:rsidP="009729DB">
      <w:pPr>
        <w:pStyle w:val="ListParagraph"/>
        <w:numPr>
          <w:ilvl w:val="0"/>
          <w:numId w:val="37"/>
        </w:numPr>
        <w:rPr>
          <w:rFonts w:cs="Calibri"/>
          <w:color w:val="000000"/>
        </w:rPr>
      </w:pPr>
      <w:r>
        <w:rPr>
          <w:rFonts w:asciiTheme="minorHAnsi" w:hAnsiTheme="minorHAnsi"/>
        </w:rPr>
        <w:t xml:space="preserve">Review data to assess performance </w:t>
      </w:r>
      <w:r w:rsidR="0020531D" w:rsidRPr="00FE08C3">
        <w:t>measures</w:t>
      </w:r>
      <w:r w:rsidR="0020531D">
        <w:t xml:space="preserve"> and</w:t>
      </w:r>
      <w:r w:rsidR="0020531D" w:rsidRPr="00FE08C3">
        <w:t xml:space="preserve"> activities</w:t>
      </w:r>
      <w:r w:rsidR="0020531D">
        <w:t xml:space="preserve"> and the extent to which they may result in improved </w:t>
      </w:r>
      <w:r w:rsidR="0020531D" w:rsidRPr="00FE08C3">
        <w:t xml:space="preserve"> efficiency or </w:t>
      </w:r>
      <w:r w:rsidR="00540624">
        <w:t xml:space="preserve">effectiveness of </w:t>
      </w:r>
      <w:r w:rsidR="0020531D" w:rsidRPr="00FE08C3">
        <w:t>programs</w:t>
      </w:r>
    </w:p>
    <w:p w14:paraId="039EEEDA" w14:textId="77777777" w:rsidR="00641881" w:rsidRPr="00D833BE" w:rsidRDefault="000152F3" w:rsidP="00641881">
      <w:pPr>
        <w:rPr>
          <w:rFonts w:cs="Calibri"/>
          <w:color w:val="000000"/>
        </w:rPr>
      </w:pPr>
      <w:r w:rsidRPr="00D833BE">
        <w:rPr>
          <w:rFonts w:cs="Calibri"/>
          <w:color w:val="000000"/>
        </w:rPr>
        <w:t xml:space="preserve">This workgroup is </w:t>
      </w:r>
      <w:r w:rsidR="00355E68">
        <w:rPr>
          <w:rFonts w:cs="Calibri"/>
          <w:color w:val="000000"/>
        </w:rPr>
        <w:t xml:space="preserve">comprised of quality </w:t>
      </w:r>
      <w:r w:rsidR="00355E68" w:rsidRPr="00821C14">
        <w:rPr>
          <w:rFonts w:cs="Calibri"/>
          <w:color w:val="000000"/>
        </w:rPr>
        <w:t xml:space="preserve">staff </w:t>
      </w:r>
      <w:r w:rsidR="00355E68">
        <w:rPr>
          <w:rFonts w:cs="Calibri"/>
          <w:color w:val="000000"/>
        </w:rPr>
        <w:t xml:space="preserve">integral to the development and alignment of </w:t>
      </w:r>
      <w:r w:rsidR="00355E68" w:rsidRPr="00821C14">
        <w:rPr>
          <w:rFonts w:cs="Calibri"/>
          <w:color w:val="000000"/>
        </w:rPr>
        <w:t>contractual</w:t>
      </w:r>
      <w:r w:rsidR="00355E68">
        <w:rPr>
          <w:rFonts w:cs="Calibri"/>
          <w:color w:val="000000"/>
        </w:rPr>
        <w:t>, quality</w:t>
      </w:r>
      <w:r w:rsidR="00355E68" w:rsidRPr="00821C14">
        <w:rPr>
          <w:rFonts w:cs="Calibri"/>
          <w:color w:val="000000"/>
        </w:rPr>
        <w:t xml:space="preserve"> and programmatic activities</w:t>
      </w:r>
      <w:r w:rsidR="009E2EB5" w:rsidRPr="00D833BE">
        <w:rPr>
          <w:rFonts w:cs="Calibri"/>
          <w:color w:val="000000"/>
        </w:rPr>
        <w:t>.</w:t>
      </w:r>
      <w:r w:rsidR="009E1E31">
        <w:rPr>
          <w:rFonts w:cs="Calibri"/>
          <w:color w:val="000000"/>
        </w:rPr>
        <w:t xml:space="preserve"> </w:t>
      </w:r>
      <w:r w:rsidR="0097050A" w:rsidRPr="00244442">
        <w:t>Th</w:t>
      </w:r>
      <w:r>
        <w:t xml:space="preserve">e </w:t>
      </w:r>
      <w:r w:rsidR="0097050A" w:rsidRPr="00244442">
        <w:t>work</w:t>
      </w:r>
      <w:r>
        <w:t xml:space="preserve"> of the quality </w:t>
      </w:r>
      <w:r w:rsidR="00566129">
        <w:t>committee</w:t>
      </w:r>
      <w:r w:rsidR="0097050A" w:rsidRPr="00244442">
        <w:t xml:space="preserve"> is guided by the triple aim of providing better health and better services for MassHealth members while maintaining cost-efficiency</w:t>
      </w:r>
      <w:r>
        <w:t xml:space="preserve">. </w:t>
      </w:r>
      <w:r w:rsidR="009811A4">
        <w:t xml:space="preserve">Several key committee activities are described </w:t>
      </w:r>
      <w:proofErr w:type="spellStart"/>
      <w:r w:rsidR="00612B92">
        <w:t>within</w:t>
      </w:r>
      <w:r w:rsidR="009811A4">
        <w:fldChar w:fldCharType="begin"/>
      </w:r>
      <w:r w:rsidR="009811A4">
        <w:instrText xml:space="preserve"> REF _Ref516754432 \h </w:instrText>
      </w:r>
      <w:r w:rsidR="009811A4">
        <w:fldChar w:fldCharType="separate"/>
      </w:r>
      <w:r w:rsidR="00207DB8">
        <w:t>Table</w:t>
      </w:r>
      <w:proofErr w:type="spellEnd"/>
      <w:r w:rsidR="00207DB8">
        <w:t xml:space="preserve"> </w:t>
      </w:r>
      <w:r w:rsidR="00207DB8">
        <w:rPr>
          <w:noProof/>
        </w:rPr>
        <w:t>2</w:t>
      </w:r>
      <w:r w:rsidR="00207DB8">
        <w:t>: MassHealth Quality Committee Key Activities</w:t>
      </w:r>
      <w:r w:rsidR="009811A4">
        <w:fldChar w:fldCharType="end"/>
      </w:r>
    </w:p>
    <w:p w14:paraId="033DDD4B" w14:textId="77777777" w:rsidR="009811A4" w:rsidRDefault="00D833BE" w:rsidP="00D833BE">
      <w:pPr>
        <w:pStyle w:val="Caption"/>
      </w:pPr>
      <w:bookmarkStart w:id="38" w:name="_Ref521924371"/>
      <w:bookmarkStart w:id="39" w:name="_Ref516754432"/>
      <w:r>
        <w:t xml:space="preserve">Table </w:t>
      </w:r>
      <w:r w:rsidR="00CB5E77">
        <w:rPr>
          <w:noProof/>
        </w:rPr>
        <w:fldChar w:fldCharType="begin"/>
      </w:r>
      <w:r w:rsidR="00CB5E77">
        <w:rPr>
          <w:noProof/>
        </w:rPr>
        <w:instrText xml:space="preserve"> SEQ Table \* ARABIC </w:instrText>
      </w:r>
      <w:r w:rsidR="00CB5E77">
        <w:rPr>
          <w:noProof/>
        </w:rPr>
        <w:fldChar w:fldCharType="separate"/>
      </w:r>
      <w:r w:rsidR="00207DB8">
        <w:rPr>
          <w:noProof/>
        </w:rPr>
        <w:t>2</w:t>
      </w:r>
      <w:r w:rsidR="00CB5E77">
        <w:rPr>
          <w:noProof/>
        </w:rPr>
        <w:fldChar w:fldCharType="end"/>
      </w:r>
      <w:bookmarkEnd w:id="38"/>
      <w:r>
        <w:t>: MassHealth Quality Committee Key Activities</w:t>
      </w:r>
      <w:bookmarkEnd w:id="39"/>
    </w:p>
    <w:tbl>
      <w:tblPr>
        <w:tblStyle w:val="TableGrid"/>
        <w:tblW w:w="0" w:type="auto"/>
        <w:tblLook w:val="04A0" w:firstRow="1" w:lastRow="0" w:firstColumn="1" w:lastColumn="0" w:noHBand="0" w:noVBand="1"/>
      </w:tblPr>
      <w:tblGrid>
        <w:gridCol w:w="4788"/>
        <w:gridCol w:w="4590"/>
      </w:tblGrid>
      <w:tr w:rsidR="009811A4" w14:paraId="0994E15C" w14:textId="77777777" w:rsidTr="009E1E31">
        <w:trPr>
          <w:trHeight w:val="350"/>
        </w:trPr>
        <w:tc>
          <w:tcPr>
            <w:tcW w:w="4788" w:type="dxa"/>
            <w:shd w:val="clear" w:color="auto" w:fill="B8CCE4" w:themeFill="accent1" w:themeFillTint="66"/>
            <w:vAlign w:val="center"/>
          </w:tcPr>
          <w:p w14:paraId="775F2D48" w14:textId="77777777" w:rsidR="009811A4" w:rsidRPr="00E65DCD" w:rsidRDefault="009811A4" w:rsidP="009E1E31">
            <w:pPr>
              <w:jc w:val="center"/>
              <w:rPr>
                <w:b/>
              </w:rPr>
            </w:pPr>
            <w:r w:rsidRPr="00E65DCD">
              <w:rPr>
                <w:b/>
              </w:rPr>
              <w:t>Activity</w:t>
            </w:r>
          </w:p>
        </w:tc>
        <w:tc>
          <w:tcPr>
            <w:tcW w:w="4590" w:type="dxa"/>
            <w:shd w:val="clear" w:color="auto" w:fill="B8CCE4" w:themeFill="accent1" w:themeFillTint="66"/>
            <w:vAlign w:val="center"/>
          </w:tcPr>
          <w:p w14:paraId="1959155A" w14:textId="77777777" w:rsidR="009811A4" w:rsidRPr="00E65DCD" w:rsidRDefault="009811A4" w:rsidP="009E1E31">
            <w:pPr>
              <w:jc w:val="center"/>
              <w:rPr>
                <w:b/>
              </w:rPr>
            </w:pPr>
            <w:r w:rsidRPr="00E65DCD">
              <w:rPr>
                <w:b/>
              </w:rPr>
              <w:t>Tasks</w:t>
            </w:r>
          </w:p>
        </w:tc>
      </w:tr>
      <w:tr w:rsidR="009811A4" w14:paraId="09275D43" w14:textId="77777777" w:rsidTr="00030C60">
        <w:trPr>
          <w:trHeight w:hRule="exact" w:val="360"/>
        </w:trPr>
        <w:tc>
          <w:tcPr>
            <w:tcW w:w="4788" w:type="dxa"/>
            <w:vMerge w:val="restart"/>
            <w:shd w:val="clear" w:color="auto" w:fill="DAEEF3" w:themeFill="accent5" w:themeFillTint="33"/>
            <w:vAlign w:val="center"/>
          </w:tcPr>
          <w:p w14:paraId="2F963AB9" w14:textId="77777777" w:rsidR="009811A4" w:rsidRPr="00E65DCD" w:rsidRDefault="009E2EB5" w:rsidP="009811A4">
            <w:pPr>
              <w:jc w:val="center"/>
              <w:rPr>
                <w:b/>
              </w:rPr>
            </w:pPr>
            <w:r w:rsidRPr="00E65DCD">
              <w:rPr>
                <w:b/>
              </w:rPr>
              <w:t xml:space="preserve">Quality </w:t>
            </w:r>
            <w:r w:rsidR="009811A4" w:rsidRPr="00E65DCD">
              <w:rPr>
                <w:b/>
              </w:rPr>
              <w:t>P</w:t>
            </w:r>
            <w:r w:rsidR="009E1E31" w:rsidRPr="00E65DCD">
              <w:rPr>
                <w:b/>
              </w:rPr>
              <w:t>rogram P</w:t>
            </w:r>
            <w:r w:rsidR="009811A4" w:rsidRPr="00E65DCD">
              <w:rPr>
                <w:b/>
              </w:rPr>
              <w:t>lanning</w:t>
            </w:r>
          </w:p>
        </w:tc>
        <w:tc>
          <w:tcPr>
            <w:tcW w:w="4590" w:type="dxa"/>
            <w:vAlign w:val="center"/>
          </w:tcPr>
          <w:p w14:paraId="31579CCE" w14:textId="77777777" w:rsidR="009811A4" w:rsidRPr="00E65DCD" w:rsidRDefault="009811A4" w:rsidP="006B3437">
            <w:r w:rsidRPr="00E65DCD">
              <w:t>Obtain stakeholder input</w:t>
            </w:r>
          </w:p>
        </w:tc>
      </w:tr>
      <w:tr w:rsidR="009E2EB5" w14:paraId="1AAD56E8" w14:textId="77777777" w:rsidTr="00030C60">
        <w:trPr>
          <w:trHeight w:hRule="exact" w:val="360"/>
        </w:trPr>
        <w:tc>
          <w:tcPr>
            <w:tcW w:w="4788" w:type="dxa"/>
            <w:vMerge/>
            <w:shd w:val="clear" w:color="auto" w:fill="DAEEF3" w:themeFill="accent5" w:themeFillTint="33"/>
            <w:vAlign w:val="center"/>
          </w:tcPr>
          <w:p w14:paraId="46317F53" w14:textId="77777777" w:rsidR="009E2EB5" w:rsidRPr="00E65DCD" w:rsidRDefault="009E2EB5" w:rsidP="009811A4">
            <w:pPr>
              <w:jc w:val="center"/>
              <w:rPr>
                <w:b/>
              </w:rPr>
            </w:pPr>
          </w:p>
        </w:tc>
        <w:tc>
          <w:tcPr>
            <w:tcW w:w="4590" w:type="dxa"/>
            <w:vAlign w:val="center"/>
          </w:tcPr>
          <w:p w14:paraId="73EE5E87" w14:textId="77777777" w:rsidR="009E2EB5" w:rsidRPr="00E65DCD" w:rsidRDefault="009E2EB5" w:rsidP="006B3437">
            <w:r w:rsidRPr="00E65DCD">
              <w:t>Define program priorities</w:t>
            </w:r>
          </w:p>
        </w:tc>
      </w:tr>
      <w:tr w:rsidR="009811A4" w14:paraId="119987BE" w14:textId="77777777" w:rsidTr="00030C60">
        <w:trPr>
          <w:trHeight w:hRule="exact" w:val="360"/>
        </w:trPr>
        <w:tc>
          <w:tcPr>
            <w:tcW w:w="4788" w:type="dxa"/>
            <w:vMerge/>
            <w:shd w:val="clear" w:color="auto" w:fill="DAEEF3" w:themeFill="accent5" w:themeFillTint="33"/>
            <w:vAlign w:val="center"/>
          </w:tcPr>
          <w:p w14:paraId="06EBD17C" w14:textId="77777777" w:rsidR="009811A4" w:rsidRPr="00E65DCD" w:rsidRDefault="009811A4" w:rsidP="009811A4">
            <w:pPr>
              <w:jc w:val="center"/>
              <w:rPr>
                <w:b/>
              </w:rPr>
            </w:pPr>
          </w:p>
        </w:tc>
        <w:tc>
          <w:tcPr>
            <w:tcW w:w="4590" w:type="dxa"/>
            <w:vAlign w:val="center"/>
          </w:tcPr>
          <w:p w14:paraId="1FD0354D" w14:textId="77777777" w:rsidR="009811A4" w:rsidRPr="00E65DCD" w:rsidRDefault="009811A4" w:rsidP="006B3437">
            <w:r w:rsidRPr="00E65DCD">
              <w:t>Select measures</w:t>
            </w:r>
          </w:p>
        </w:tc>
      </w:tr>
      <w:tr w:rsidR="009811A4" w14:paraId="4EB664FD" w14:textId="77777777" w:rsidTr="00030C60">
        <w:trPr>
          <w:trHeight w:hRule="exact" w:val="360"/>
        </w:trPr>
        <w:tc>
          <w:tcPr>
            <w:tcW w:w="4788" w:type="dxa"/>
            <w:vMerge/>
            <w:shd w:val="clear" w:color="auto" w:fill="DAEEF3" w:themeFill="accent5" w:themeFillTint="33"/>
            <w:vAlign w:val="center"/>
          </w:tcPr>
          <w:p w14:paraId="49F9436A" w14:textId="77777777" w:rsidR="009811A4" w:rsidRPr="00E65DCD" w:rsidRDefault="009811A4" w:rsidP="009811A4">
            <w:pPr>
              <w:jc w:val="center"/>
              <w:rPr>
                <w:b/>
              </w:rPr>
            </w:pPr>
          </w:p>
        </w:tc>
        <w:tc>
          <w:tcPr>
            <w:tcW w:w="4590" w:type="dxa"/>
            <w:vAlign w:val="center"/>
          </w:tcPr>
          <w:p w14:paraId="7A9C069B" w14:textId="77777777" w:rsidR="009811A4" w:rsidRPr="00E65DCD" w:rsidRDefault="009811A4" w:rsidP="006B3437">
            <w:r w:rsidRPr="00E65DCD">
              <w:t xml:space="preserve">Assess alignment and relevance across programs </w:t>
            </w:r>
          </w:p>
        </w:tc>
      </w:tr>
      <w:tr w:rsidR="009811A4" w14:paraId="0E59E4A2" w14:textId="77777777" w:rsidTr="009E2EB5">
        <w:trPr>
          <w:trHeight w:hRule="exact" w:val="703"/>
        </w:trPr>
        <w:tc>
          <w:tcPr>
            <w:tcW w:w="4788" w:type="dxa"/>
            <w:vMerge w:val="restart"/>
            <w:shd w:val="clear" w:color="auto" w:fill="DAEEF3" w:themeFill="accent5" w:themeFillTint="33"/>
            <w:vAlign w:val="center"/>
          </w:tcPr>
          <w:p w14:paraId="464D2157" w14:textId="77777777" w:rsidR="009811A4" w:rsidRPr="00E65DCD" w:rsidRDefault="009811A4" w:rsidP="009811A4">
            <w:pPr>
              <w:jc w:val="center"/>
              <w:rPr>
                <w:b/>
              </w:rPr>
            </w:pPr>
            <w:r w:rsidRPr="00E65DCD">
              <w:rPr>
                <w:b/>
              </w:rPr>
              <w:t>Implementation</w:t>
            </w:r>
          </w:p>
        </w:tc>
        <w:tc>
          <w:tcPr>
            <w:tcW w:w="4590" w:type="dxa"/>
            <w:vAlign w:val="center"/>
          </w:tcPr>
          <w:p w14:paraId="1804E1DF" w14:textId="77777777" w:rsidR="009811A4" w:rsidRPr="00E65DCD" w:rsidRDefault="009811A4" w:rsidP="006B3437">
            <w:r w:rsidRPr="00E65DCD">
              <w:t>Identify goals and/or benchmarks</w:t>
            </w:r>
            <w:r w:rsidR="009E2EB5" w:rsidRPr="00E65DCD">
              <w:t xml:space="preserve"> for performance and quality improvement</w:t>
            </w:r>
          </w:p>
        </w:tc>
      </w:tr>
      <w:tr w:rsidR="009811A4" w14:paraId="27CD65C8" w14:textId="77777777" w:rsidTr="00030C60">
        <w:trPr>
          <w:trHeight w:hRule="exact" w:val="360"/>
        </w:trPr>
        <w:tc>
          <w:tcPr>
            <w:tcW w:w="4788" w:type="dxa"/>
            <w:vMerge/>
            <w:shd w:val="clear" w:color="auto" w:fill="DAEEF3" w:themeFill="accent5" w:themeFillTint="33"/>
            <w:vAlign w:val="center"/>
          </w:tcPr>
          <w:p w14:paraId="29A4CC4E" w14:textId="77777777" w:rsidR="009811A4" w:rsidRPr="00E65DCD" w:rsidRDefault="009811A4" w:rsidP="009811A4">
            <w:pPr>
              <w:jc w:val="center"/>
              <w:rPr>
                <w:b/>
              </w:rPr>
            </w:pPr>
          </w:p>
        </w:tc>
        <w:tc>
          <w:tcPr>
            <w:tcW w:w="4590" w:type="dxa"/>
            <w:vAlign w:val="center"/>
          </w:tcPr>
          <w:p w14:paraId="323EA1AE" w14:textId="77777777" w:rsidR="009811A4" w:rsidRPr="00E65DCD" w:rsidRDefault="009811A4" w:rsidP="006B3437">
            <w:r w:rsidRPr="00E65DCD">
              <w:t xml:space="preserve">Plan for data monitoring and use </w:t>
            </w:r>
          </w:p>
        </w:tc>
      </w:tr>
      <w:tr w:rsidR="009811A4" w14:paraId="60C39A4B" w14:textId="77777777" w:rsidTr="00030C60">
        <w:trPr>
          <w:trHeight w:hRule="exact" w:val="360"/>
        </w:trPr>
        <w:tc>
          <w:tcPr>
            <w:tcW w:w="4788" w:type="dxa"/>
            <w:vMerge w:val="restart"/>
            <w:shd w:val="clear" w:color="auto" w:fill="DAEEF3" w:themeFill="accent5" w:themeFillTint="33"/>
            <w:vAlign w:val="center"/>
          </w:tcPr>
          <w:p w14:paraId="0DC66DC5" w14:textId="77777777" w:rsidR="009811A4" w:rsidRPr="00E65DCD" w:rsidRDefault="009811A4" w:rsidP="009811A4">
            <w:pPr>
              <w:jc w:val="center"/>
              <w:rPr>
                <w:b/>
              </w:rPr>
            </w:pPr>
            <w:r w:rsidRPr="00E65DCD">
              <w:rPr>
                <w:b/>
              </w:rPr>
              <w:t>Quality Improvement</w:t>
            </w:r>
          </w:p>
        </w:tc>
        <w:tc>
          <w:tcPr>
            <w:tcW w:w="4590" w:type="dxa"/>
            <w:vAlign w:val="center"/>
          </w:tcPr>
          <w:p w14:paraId="106DD651" w14:textId="77777777" w:rsidR="009811A4" w:rsidRPr="00E65DCD" w:rsidRDefault="009811A4" w:rsidP="006B3437">
            <w:r w:rsidRPr="00E65DCD">
              <w:t>Identify best practices</w:t>
            </w:r>
          </w:p>
        </w:tc>
      </w:tr>
      <w:tr w:rsidR="009811A4" w14:paraId="022F2AB7" w14:textId="77777777" w:rsidTr="00030C60">
        <w:trPr>
          <w:trHeight w:hRule="exact" w:val="360"/>
        </w:trPr>
        <w:tc>
          <w:tcPr>
            <w:tcW w:w="4788" w:type="dxa"/>
            <w:vMerge/>
            <w:shd w:val="clear" w:color="auto" w:fill="DAEEF3" w:themeFill="accent5" w:themeFillTint="33"/>
            <w:vAlign w:val="center"/>
          </w:tcPr>
          <w:p w14:paraId="4B032A47" w14:textId="77777777" w:rsidR="009811A4" w:rsidRPr="00E65DCD" w:rsidRDefault="009811A4" w:rsidP="009811A4">
            <w:pPr>
              <w:jc w:val="center"/>
              <w:rPr>
                <w:b/>
              </w:rPr>
            </w:pPr>
          </w:p>
        </w:tc>
        <w:tc>
          <w:tcPr>
            <w:tcW w:w="4590" w:type="dxa"/>
            <w:vAlign w:val="center"/>
          </w:tcPr>
          <w:p w14:paraId="5379C95F" w14:textId="77777777" w:rsidR="009811A4" w:rsidRPr="00E65DCD" w:rsidRDefault="009811A4" w:rsidP="006B3437">
            <w:r w:rsidRPr="00E65DCD">
              <w:t xml:space="preserve">Modify process and make improvements </w:t>
            </w:r>
          </w:p>
        </w:tc>
      </w:tr>
      <w:tr w:rsidR="009811A4" w14:paraId="15C164EE" w14:textId="77777777" w:rsidTr="00030C60">
        <w:trPr>
          <w:trHeight w:hRule="exact" w:val="360"/>
        </w:trPr>
        <w:tc>
          <w:tcPr>
            <w:tcW w:w="4788" w:type="dxa"/>
            <w:vMerge w:val="restart"/>
            <w:shd w:val="clear" w:color="auto" w:fill="DAEEF3" w:themeFill="accent5" w:themeFillTint="33"/>
            <w:vAlign w:val="center"/>
          </w:tcPr>
          <w:p w14:paraId="668662DA" w14:textId="77777777" w:rsidR="009811A4" w:rsidRPr="00E65DCD" w:rsidRDefault="009811A4" w:rsidP="009811A4">
            <w:pPr>
              <w:jc w:val="center"/>
              <w:rPr>
                <w:b/>
              </w:rPr>
            </w:pPr>
            <w:r w:rsidRPr="00E65DCD">
              <w:rPr>
                <w:b/>
              </w:rPr>
              <w:t>Program Evaluation</w:t>
            </w:r>
          </w:p>
        </w:tc>
        <w:tc>
          <w:tcPr>
            <w:tcW w:w="4590" w:type="dxa"/>
            <w:vAlign w:val="center"/>
          </w:tcPr>
          <w:p w14:paraId="4C8B4420" w14:textId="77777777" w:rsidR="009811A4" w:rsidRPr="00E65DCD" w:rsidRDefault="009811A4" w:rsidP="006B3437">
            <w:r w:rsidRPr="00E65DCD">
              <w:t>Determine efficiency and effectiveness</w:t>
            </w:r>
          </w:p>
        </w:tc>
      </w:tr>
      <w:tr w:rsidR="009811A4" w14:paraId="1A89E1F3" w14:textId="77777777" w:rsidTr="00030C60">
        <w:trPr>
          <w:trHeight w:hRule="exact" w:val="360"/>
        </w:trPr>
        <w:tc>
          <w:tcPr>
            <w:tcW w:w="4788" w:type="dxa"/>
            <w:vMerge/>
            <w:shd w:val="clear" w:color="auto" w:fill="DAEEF3" w:themeFill="accent5" w:themeFillTint="33"/>
          </w:tcPr>
          <w:p w14:paraId="3749C81E" w14:textId="77777777" w:rsidR="009811A4" w:rsidRPr="00E65DCD" w:rsidRDefault="009811A4" w:rsidP="009811A4"/>
        </w:tc>
        <w:tc>
          <w:tcPr>
            <w:tcW w:w="4590" w:type="dxa"/>
            <w:vAlign w:val="center"/>
          </w:tcPr>
          <w:p w14:paraId="248EEF95" w14:textId="77777777" w:rsidR="009811A4" w:rsidRPr="00E65DCD" w:rsidRDefault="009811A4" w:rsidP="006B3437">
            <w:r w:rsidRPr="00E65DCD">
              <w:t xml:space="preserve">Consider outcomes-based impact for members </w:t>
            </w:r>
          </w:p>
        </w:tc>
      </w:tr>
    </w:tbl>
    <w:p w14:paraId="36ADF14F" w14:textId="77777777" w:rsidR="00AE0F49" w:rsidRDefault="00AE0F49" w:rsidP="00D833BE">
      <w:pPr>
        <w:pStyle w:val="Heading2"/>
      </w:pPr>
      <w:bookmarkStart w:id="40" w:name="_Toc529177874"/>
      <w:r>
        <w:lastRenderedPageBreak/>
        <w:t xml:space="preserve">Quality </w:t>
      </w:r>
      <w:r w:rsidR="00D833BE">
        <w:t>Steering Committee</w:t>
      </w:r>
      <w:bookmarkEnd w:id="40"/>
      <w:r w:rsidR="00D833BE">
        <w:t xml:space="preserve"> </w:t>
      </w:r>
    </w:p>
    <w:p w14:paraId="4A0F28DC" w14:textId="77777777" w:rsidR="00AE0F49" w:rsidRDefault="00AE0F49" w:rsidP="00AE0F49">
      <w:r>
        <w:t xml:space="preserve">A Quality Steering Committee is under development to provide oversight and direction in the </w:t>
      </w:r>
      <w:r w:rsidR="00355E68">
        <w:t>identification</w:t>
      </w:r>
      <w:r>
        <w:t xml:space="preserve"> of strategic priorities, guiding principles and policies in quality program planning and management</w:t>
      </w:r>
      <w:r w:rsidR="00612B92">
        <w:t xml:space="preserve"> across the agency</w:t>
      </w:r>
      <w:r>
        <w:t xml:space="preserve">.  The </w:t>
      </w:r>
      <w:r w:rsidR="00612B92">
        <w:t>group</w:t>
      </w:r>
      <w:r w:rsidR="001451B0">
        <w:t xml:space="preserve"> will </w:t>
      </w:r>
      <w:r>
        <w:t>also serve to promote cross-program workgroups and initiatives</w:t>
      </w:r>
      <w:r w:rsidR="00355E68">
        <w:t xml:space="preserve"> </w:t>
      </w:r>
      <w:r w:rsidR="00222B25">
        <w:t>(s</w:t>
      </w:r>
      <w:r w:rsidR="00355E68">
        <w:t xml:space="preserve">uch as </w:t>
      </w:r>
      <w:r w:rsidR="004E209D">
        <w:t>the MassHealth Quality Committee</w:t>
      </w:r>
      <w:r w:rsidR="00222B25">
        <w:t xml:space="preserve">) </w:t>
      </w:r>
      <w:r>
        <w:t>to align these priorities and policies, and focus resources</w:t>
      </w:r>
      <w:r w:rsidR="00355E68">
        <w:t xml:space="preserve"> to achieve </w:t>
      </w:r>
      <w:r w:rsidR="004E209D">
        <w:t xml:space="preserve">the </w:t>
      </w:r>
      <w:r w:rsidR="002C231C">
        <w:t xml:space="preserve">Commonwealth’s </w:t>
      </w:r>
      <w:r w:rsidR="004E209D">
        <w:t>goals and objectives</w:t>
      </w:r>
      <w:r>
        <w:t xml:space="preserve">.  The Quality Steering Committee </w:t>
      </w:r>
      <w:r w:rsidR="001451B0">
        <w:t xml:space="preserve">will </w:t>
      </w:r>
      <w:r>
        <w:t>i</w:t>
      </w:r>
      <w:r w:rsidR="00A729F7">
        <w:t xml:space="preserve">nclude </w:t>
      </w:r>
      <w:r w:rsidR="00E30EC8">
        <w:t xml:space="preserve">senior </w:t>
      </w:r>
      <w:r w:rsidR="005925A8">
        <w:t>leaders</w:t>
      </w:r>
      <w:r w:rsidR="00E30EC8">
        <w:t xml:space="preserve"> representing</w:t>
      </w:r>
      <w:r>
        <w:t xml:space="preserve"> </w:t>
      </w:r>
      <w:r w:rsidR="00E30EC8">
        <w:t xml:space="preserve">programs, </w:t>
      </w:r>
      <w:r>
        <w:t>quality</w:t>
      </w:r>
      <w:r w:rsidR="00E30EC8">
        <w:t xml:space="preserve">, </w:t>
      </w:r>
      <w:r>
        <w:t xml:space="preserve">clinical quality </w:t>
      </w:r>
      <w:r w:rsidR="003B4CFE">
        <w:t>subject matter experts</w:t>
      </w:r>
      <w:r>
        <w:t xml:space="preserve">, </w:t>
      </w:r>
      <w:r w:rsidR="00E30EC8">
        <w:t>IT/</w:t>
      </w:r>
      <w:r>
        <w:t>data systems and analytics,</w:t>
      </w:r>
      <w:r w:rsidR="005925A8">
        <w:t xml:space="preserve"> policy</w:t>
      </w:r>
      <w:r>
        <w:t xml:space="preserve">, legal and finance.  The committee </w:t>
      </w:r>
      <w:r w:rsidR="001451B0">
        <w:t>will be co-</w:t>
      </w:r>
      <w:r>
        <w:t xml:space="preserve">chaired by the Chief Medical Officer and </w:t>
      </w:r>
      <w:r w:rsidR="00A729F7">
        <w:t xml:space="preserve">the head of the MassHealth Quality Office, the </w:t>
      </w:r>
      <w:r>
        <w:t>MassHealth Quality Director.</w:t>
      </w:r>
    </w:p>
    <w:p w14:paraId="429F4C80" w14:textId="77777777" w:rsidR="0097050A" w:rsidRPr="00821C14" w:rsidRDefault="0097050A" w:rsidP="0097050A">
      <w:pPr>
        <w:pStyle w:val="Heading2"/>
        <w:rPr>
          <w:rFonts w:ascii="Calibri" w:hAnsi="Calibri" w:cs="Calibri"/>
        </w:rPr>
      </w:pPr>
      <w:r w:rsidRPr="00821C14">
        <w:rPr>
          <w:rFonts w:ascii="Calibri" w:hAnsi="Calibri" w:cs="Calibri"/>
        </w:rPr>
        <w:t xml:space="preserve">  </w:t>
      </w:r>
      <w:bookmarkStart w:id="41" w:name="_Toc529177875"/>
      <w:r w:rsidR="005D5467">
        <w:rPr>
          <w:rFonts w:ascii="Calibri" w:hAnsi="Calibri" w:cs="Calibri"/>
        </w:rPr>
        <w:t xml:space="preserve">Quality </w:t>
      </w:r>
      <w:r>
        <w:rPr>
          <w:rFonts w:ascii="Calibri" w:hAnsi="Calibri" w:cs="Calibri"/>
        </w:rPr>
        <w:t xml:space="preserve">Strategy Development </w:t>
      </w:r>
      <w:r w:rsidR="0043386C">
        <w:rPr>
          <w:rFonts w:ascii="Calibri" w:hAnsi="Calibri" w:cs="Calibri"/>
        </w:rPr>
        <w:t>Process</w:t>
      </w:r>
      <w:bookmarkEnd w:id="41"/>
    </w:p>
    <w:p w14:paraId="0C38AF1E" w14:textId="33F2C225" w:rsidR="005C6B31" w:rsidRPr="00B00CEB" w:rsidRDefault="0097050A" w:rsidP="00B90FB5">
      <w:pPr>
        <w:rPr>
          <w:rFonts w:cs="Calibri"/>
          <w:color w:val="000000"/>
        </w:rPr>
      </w:pPr>
      <w:r w:rsidRPr="00821C14">
        <w:rPr>
          <w:rFonts w:cs="Calibri"/>
          <w:color w:val="000000"/>
        </w:rPr>
        <w:t>The 201</w:t>
      </w:r>
      <w:r>
        <w:rPr>
          <w:rFonts w:cs="Calibri"/>
          <w:color w:val="000000"/>
        </w:rPr>
        <w:t>8</w:t>
      </w:r>
      <w:r w:rsidR="00C21F50">
        <w:rPr>
          <w:rFonts w:cs="Calibri"/>
          <w:color w:val="000000"/>
        </w:rPr>
        <w:t xml:space="preserve"> Comprehensive Quali</w:t>
      </w:r>
      <w:r w:rsidR="00AE0F49">
        <w:rPr>
          <w:rFonts w:cs="Calibri"/>
          <w:color w:val="000000"/>
        </w:rPr>
        <w:t xml:space="preserve">ty </w:t>
      </w:r>
      <w:r w:rsidRPr="00821C14">
        <w:rPr>
          <w:rFonts w:cs="Calibri"/>
          <w:color w:val="000000"/>
        </w:rPr>
        <w:t>Strategy</w:t>
      </w:r>
      <w:r w:rsidR="00C21F50">
        <w:rPr>
          <w:rFonts w:cs="Calibri"/>
          <w:color w:val="000000"/>
        </w:rPr>
        <w:t xml:space="preserve"> (CQS)</w:t>
      </w:r>
      <w:r w:rsidRPr="00821C14">
        <w:rPr>
          <w:rFonts w:cs="Calibri"/>
          <w:color w:val="000000"/>
        </w:rPr>
        <w:t xml:space="preserve"> was drafted </w:t>
      </w:r>
      <w:r w:rsidR="00455862">
        <w:rPr>
          <w:rFonts w:cs="Calibri"/>
          <w:color w:val="000000"/>
        </w:rPr>
        <w:t xml:space="preserve">with </w:t>
      </w:r>
      <w:r w:rsidR="00AE0F49">
        <w:rPr>
          <w:rFonts w:cs="Calibri"/>
          <w:color w:val="000000"/>
        </w:rPr>
        <w:t xml:space="preserve">guidance and </w:t>
      </w:r>
      <w:r w:rsidR="00455862">
        <w:rPr>
          <w:rFonts w:cs="Calibri"/>
          <w:color w:val="000000"/>
        </w:rPr>
        <w:t>input from the</w:t>
      </w:r>
      <w:r w:rsidR="00E21A92">
        <w:rPr>
          <w:rFonts w:cs="Calibri"/>
          <w:color w:val="000000"/>
        </w:rPr>
        <w:t xml:space="preserve"> MassHealth Quality C</w:t>
      </w:r>
      <w:r>
        <w:rPr>
          <w:rFonts w:cs="Calibri"/>
          <w:color w:val="000000"/>
        </w:rPr>
        <w:t>ommittee</w:t>
      </w:r>
      <w:r w:rsidR="00C21F50">
        <w:rPr>
          <w:rFonts w:cs="Calibri"/>
          <w:color w:val="000000"/>
        </w:rPr>
        <w:t xml:space="preserve">. The CQS </w:t>
      </w:r>
      <w:r w:rsidR="001D338A">
        <w:rPr>
          <w:rFonts w:cs="Calibri"/>
          <w:color w:val="000000"/>
        </w:rPr>
        <w:t>is</w:t>
      </w:r>
      <w:r w:rsidR="00C21F50">
        <w:rPr>
          <w:rFonts w:cs="Calibri"/>
          <w:color w:val="000000"/>
        </w:rPr>
        <w:t xml:space="preserve"> considered</w:t>
      </w:r>
      <w:r w:rsidR="001D338A">
        <w:rPr>
          <w:rFonts w:cs="Calibri"/>
          <w:color w:val="000000"/>
        </w:rPr>
        <w:t xml:space="preserve"> a living document reflective of the ongoing quality program development and implementation</w:t>
      </w:r>
      <w:r w:rsidR="00AE0F49">
        <w:rPr>
          <w:rFonts w:cs="Calibri"/>
          <w:color w:val="000000"/>
        </w:rPr>
        <w:t xml:space="preserve">.  The </w:t>
      </w:r>
      <w:r w:rsidR="003B4CFE">
        <w:rPr>
          <w:rFonts w:cs="Calibri"/>
          <w:color w:val="000000"/>
        </w:rPr>
        <w:t xml:space="preserve">CQS </w:t>
      </w:r>
      <w:r w:rsidR="00AE0F49">
        <w:rPr>
          <w:rFonts w:cs="Calibri"/>
          <w:color w:val="000000"/>
        </w:rPr>
        <w:t xml:space="preserve">draws upon </w:t>
      </w:r>
      <w:r w:rsidR="00E21A92">
        <w:rPr>
          <w:rFonts w:cs="Calibri"/>
          <w:color w:val="000000"/>
        </w:rPr>
        <w:t xml:space="preserve">shared goals, objectives </w:t>
      </w:r>
      <w:r w:rsidR="00AE0F49">
        <w:rPr>
          <w:rFonts w:cs="Calibri"/>
          <w:color w:val="000000"/>
        </w:rPr>
        <w:t xml:space="preserve">and </w:t>
      </w:r>
      <w:r w:rsidR="00582244">
        <w:rPr>
          <w:rFonts w:cs="Calibri"/>
          <w:color w:val="000000"/>
        </w:rPr>
        <w:t>priorities</w:t>
      </w:r>
      <w:r w:rsidR="00AE0F49">
        <w:rPr>
          <w:rFonts w:cs="Calibri"/>
          <w:color w:val="000000"/>
        </w:rPr>
        <w:t xml:space="preserve"> across programs as well as unique </w:t>
      </w:r>
      <w:r w:rsidR="00582244">
        <w:rPr>
          <w:rFonts w:cs="Calibri"/>
          <w:color w:val="000000"/>
        </w:rPr>
        <w:t>objectives and activities</w:t>
      </w:r>
      <w:r w:rsidR="00AE0F49">
        <w:rPr>
          <w:rFonts w:cs="Calibri"/>
          <w:color w:val="000000"/>
        </w:rPr>
        <w:t xml:space="preserve"> </w:t>
      </w:r>
      <w:r w:rsidR="007A67D3">
        <w:rPr>
          <w:rFonts w:cs="Calibri"/>
          <w:color w:val="000000"/>
        </w:rPr>
        <w:t>developed to meet</w:t>
      </w:r>
      <w:r w:rsidR="00AE0F49">
        <w:rPr>
          <w:rFonts w:cs="Calibri"/>
          <w:color w:val="000000"/>
        </w:rPr>
        <w:t xml:space="preserve"> </w:t>
      </w:r>
      <w:r w:rsidR="00582244">
        <w:rPr>
          <w:rFonts w:cs="Calibri"/>
          <w:color w:val="000000"/>
        </w:rPr>
        <w:t xml:space="preserve">the needs of </w:t>
      </w:r>
      <w:r w:rsidR="00AE0F49">
        <w:rPr>
          <w:rFonts w:cs="Calibri"/>
          <w:color w:val="000000"/>
        </w:rPr>
        <w:t xml:space="preserve">specific populations.  </w:t>
      </w:r>
      <w:r w:rsidR="00E21A92">
        <w:rPr>
          <w:rFonts w:cs="Calibri"/>
          <w:color w:val="000000"/>
        </w:rPr>
        <w:t xml:space="preserve">Following </w:t>
      </w:r>
      <w:r w:rsidRPr="00821C14">
        <w:rPr>
          <w:rFonts w:cs="Calibri"/>
          <w:color w:val="000000"/>
        </w:rPr>
        <w:t xml:space="preserve">internal review by the executive staff </w:t>
      </w:r>
      <w:r w:rsidR="00E21A92">
        <w:rPr>
          <w:rFonts w:cs="Calibri"/>
          <w:color w:val="000000"/>
        </w:rPr>
        <w:t>and MassHealth program quality representatives</w:t>
      </w:r>
      <w:r w:rsidRPr="00821C14">
        <w:rPr>
          <w:rFonts w:cs="Calibri"/>
          <w:color w:val="000000"/>
        </w:rPr>
        <w:t xml:space="preserve">, the </w:t>
      </w:r>
      <w:r w:rsidR="003B4CFE">
        <w:rPr>
          <w:rFonts w:cs="Calibri"/>
          <w:color w:val="000000"/>
        </w:rPr>
        <w:t>CQS</w:t>
      </w:r>
      <w:r w:rsidR="003B4CFE" w:rsidRPr="00821C14">
        <w:rPr>
          <w:rFonts w:cs="Calibri"/>
          <w:color w:val="000000"/>
        </w:rPr>
        <w:t xml:space="preserve"> </w:t>
      </w:r>
      <w:r w:rsidRPr="00821C14">
        <w:rPr>
          <w:rFonts w:cs="Calibri"/>
          <w:color w:val="000000"/>
        </w:rPr>
        <w:t xml:space="preserve">was made available to external stakeholders </w:t>
      </w:r>
      <w:r w:rsidR="00E21A92">
        <w:rPr>
          <w:rFonts w:cs="Calibri"/>
          <w:color w:val="000000"/>
        </w:rPr>
        <w:t xml:space="preserve">through </w:t>
      </w:r>
      <w:r w:rsidR="00AE001D">
        <w:rPr>
          <w:rFonts w:cs="Calibri"/>
          <w:color w:val="000000"/>
        </w:rPr>
        <w:t xml:space="preserve">the posting of </w:t>
      </w:r>
      <w:r w:rsidR="000012ED">
        <w:rPr>
          <w:rFonts w:cs="Calibri"/>
          <w:color w:val="000000"/>
        </w:rPr>
        <w:t xml:space="preserve">a </w:t>
      </w:r>
      <w:r w:rsidR="00E21A92">
        <w:rPr>
          <w:rFonts w:cs="Calibri"/>
          <w:color w:val="000000"/>
        </w:rPr>
        <w:t xml:space="preserve">draft document </w:t>
      </w:r>
      <w:r w:rsidR="000012ED">
        <w:rPr>
          <w:rFonts w:cs="Calibri"/>
          <w:color w:val="000000"/>
        </w:rPr>
        <w:t xml:space="preserve">for public comment </w:t>
      </w:r>
      <w:r w:rsidR="00E21A92">
        <w:rPr>
          <w:rFonts w:cs="Calibri"/>
          <w:color w:val="000000"/>
        </w:rPr>
        <w:t>on the MassHealth web site</w:t>
      </w:r>
      <w:r w:rsidR="00C21F50">
        <w:rPr>
          <w:rFonts w:cs="Calibri"/>
          <w:color w:val="000000"/>
        </w:rPr>
        <w:t>.</w:t>
      </w:r>
    </w:p>
    <w:p w14:paraId="3DA29ABA" w14:textId="5CA60144" w:rsidR="005C6B31" w:rsidRDefault="00B14650" w:rsidP="005C6B31">
      <w:r>
        <w:t>Input on the CQS</w:t>
      </w:r>
      <w:r w:rsidR="00DE45F0">
        <w:t xml:space="preserve"> will be</w:t>
      </w:r>
      <w:r>
        <w:t xml:space="preserve"> </w:t>
      </w:r>
      <w:r w:rsidR="00135BC2">
        <w:t>obtained</w:t>
      </w:r>
      <w:r>
        <w:t xml:space="preserve"> through </w:t>
      </w:r>
      <w:r w:rsidR="00971D42">
        <w:t>engagement and</w:t>
      </w:r>
      <w:r w:rsidR="006523B9">
        <w:t xml:space="preserve"> </w:t>
      </w:r>
      <w:r>
        <w:t>comments</w:t>
      </w:r>
      <w:r w:rsidR="005C6B31">
        <w:t xml:space="preserve"> </w:t>
      </w:r>
      <w:r w:rsidR="00B00CEB">
        <w:t xml:space="preserve">from </w:t>
      </w:r>
      <w:r w:rsidR="005C6B31">
        <w:t>external stakeholders</w:t>
      </w:r>
      <w:r>
        <w:t>. This feedback informs</w:t>
      </w:r>
      <w:r w:rsidR="006523B9">
        <w:t xml:space="preserve"> </w:t>
      </w:r>
      <w:r w:rsidR="005C6B31">
        <w:t>the development and annual update</w:t>
      </w:r>
      <w:r w:rsidR="006523B9">
        <w:t>, as necessary,</w:t>
      </w:r>
      <w:r w:rsidR="005C6B31">
        <w:t xml:space="preserve"> of MassHealth quality programs.  Through various committees, forums and opportunities for comment, stakeholders have highlighted important areas for continued commitment and ongoing development </w:t>
      </w:r>
      <w:r w:rsidR="00B00CEB">
        <w:t>as part of the CQS.</w:t>
      </w:r>
      <w:r>
        <w:t xml:space="preserve"> The strategy was posted for public comment in October 2018.</w:t>
      </w:r>
      <w:r w:rsidR="00B00CEB">
        <w:t xml:space="preserve"> Specific opportunities</w:t>
      </w:r>
      <w:r w:rsidR="003D4CC8">
        <w:t xml:space="preserve"> for</w:t>
      </w:r>
      <w:r>
        <w:t xml:space="preserve"> advancement of </w:t>
      </w:r>
      <w:r w:rsidR="003D4CC8">
        <w:t>the current CQS</w:t>
      </w:r>
      <w:r w:rsidR="00B00CEB">
        <w:t xml:space="preserve"> are discussed </w:t>
      </w:r>
      <w:r w:rsidR="00135BC2">
        <w:t>in</w:t>
      </w:r>
      <w:r w:rsidR="00B00CEB" w:rsidRPr="00135BC2">
        <w:t xml:space="preserve"> </w:t>
      </w:r>
      <w:r w:rsidR="00A12E78" w:rsidRPr="00135BC2">
        <w:fldChar w:fldCharType="begin"/>
      </w:r>
      <w:r w:rsidR="00A12E78" w:rsidRPr="00135BC2">
        <w:instrText xml:space="preserve"> REF _Ref529178014 \r \h </w:instrText>
      </w:r>
      <w:r w:rsidR="00135BC2">
        <w:instrText xml:space="preserve"> \* MERGEFORMAT </w:instrText>
      </w:r>
      <w:r w:rsidR="00A12E78" w:rsidRPr="00135BC2">
        <w:fldChar w:fldCharType="separate"/>
      </w:r>
      <w:r w:rsidR="00207DB8">
        <w:t>Section 4.4</w:t>
      </w:r>
      <w:r w:rsidR="00A12E78" w:rsidRPr="00135BC2">
        <w:fldChar w:fldCharType="end"/>
      </w:r>
      <w:r w:rsidR="00B00CEB" w:rsidRPr="00135BC2">
        <w:t>).</w:t>
      </w:r>
    </w:p>
    <w:p w14:paraId="02B21882" w14:textId="7040C96E" w:rsidR="00B90FB5" w:rsidRPr="00B00CEB" w:rsidRDefault="00B90FB5" w:rsidP="004151B7">
      <w:pPr>
        <w:pStyle w:val="Heading2"/>
      </w:pPr>
      <w:bookmarkStart w:id="42" w:name="_Toc529177876"/>
      <w:r w:rsidRPr="00B00CEB">
        <w:t xml:space="preserve">External </w:t>
      </w:r>
      <w:r w:rsidR="00B00CEB">
        <w:t>S</w:t>
      </w:r>
      <w:r w:rsidRPr="00B00CEB">
        <w:t xml:space="preserve">takeholder </w:t>
      </w:r>
      <w:r w:rsidR="00B00CEB">
        <w:t>E</w:t>
      </w:r>
      <w:r w:rsidRPr="00B00CEB">
        <w:t>ngagement</w:t>
      </w:r>
      <w:bookmarkEnd w:id="42"/>
    </w:p>
    <w:p w14:paraId="6A0DD850" w14:textId="0EA16BB1" w:rsidR="00945D40" w:rsidRDefault="00945D40" w:rsidP="00B90FB5">
      <w:pPr>
        <w:rPr>
          <w:rFonts w:cs="Calibri"/>
          <w:color w:val="000000"/>
        </w:rPr>
      </w:pPr>
      <w:r>
        <w:rPr>
          <w:rFonts w:cs="Calibri"/>
          <w:color w:val="000000"/>
        </w:rPr>
        <w:t>S</w:t>
      </w:r>
      <w:r w:rsidR="00B90FB5">
        <w:rPr>
          <w:rFonts w:cs="Calibri"/>
          <w:color w:val="000000"/>
        </w:rPr>
        <w:t xml:space="preserve">takeholder engagement </w:t>
      </w:r>
      <w:r>
        <w:rPr>
          <w:rFonts w:cs="Calibri"/>
          <w:color w:val="000000"/>
        </w:rPr>
        <w:t xml:space="preserve">is </w:t>
      </w:r>
      <w:r w:rsidR="00B90FB5">
        <w:rPr>
          <w:rFonts w:cs="Calibri"/>
          <w:color w:val="000000"/>
        </w:rPr>
        <w:t xml:space="preserve">a critical </w:t>
      </w:r>
      <w:r w:rsidR="00B00CEB">
        <w:rPr>
          <w:rFonts w:cs="Calibri"/>
          <w:color w:val="000000"/>
        </w:rPr>
        <w:t xml:space="preserve">component </w:t>
      </w:r>
      <w:r>
        <w:rPr>
          <w:rFonts w:cs="Calibri"/>
          <w:color w:val="000000"/>
        </w:rPr>
        <w:t>to</w:t>
      </w:r>
      <w:r w:rsidR="00B90FB5">
        <w:rPr>
          <w:rFonts w:cs="Calibri"/>
          <w:color w:val="000000"/>
        </w:rPr>
        <w:t xml:space="preserve"> ongoing </w:t>
      </w:r>
      <w:r>
        <w:rPr>
          <w:rFonts w:cs="Calibri"/>
          <w:color w:val="000000"/>
        </w:rPr>
        <w:t>MassHealth</w:t>
      </w:r>
      <w:r w:rsidR="005775AE">
        <w:rPr>
          <w:rFonts w:cs="Calibri"/>
          <w:color w:val="000000"/>
        </w:rPr>
        <w:t xml:space="preserve"> </w:t>
      </w:r>
      <w:r w:rsidR="00B90FB5">
        <w:rPr>
          <w:rFonts w:cs="Calibri"/>
          <w:color w:val="000000"/>
        </w:rPr>
        <w:t>quality program planning</w:t>
      </w:r>
      <w:r w:rsidR="008942F6">
        <w:rPr>
          <w:rFonts w:cs="Calibri"/>
          <w:color w:val="000000"/>
        </w:rPr>
        <w:t xml:space="preserve">, </w:t>
      </w:r>
      <w:r w:rsidR="00B90FB5">
        <w:rPr>
          <w:rFonts w:cs="Calibri"/>
          <w:color w:val="000000"/>
        </w:rPr>
        <w:t>monitoring</w:t>
      </w:r>
      <w:r w:rsidR="00667CB4">
        <w:rPr>
          <w:rFonts w:cs="Calibri"/>
          <w:color w:val="000000"/>
        </w:rPr>
        <w:t xml:space="preserve"> </w:t>
      </w:r>
      <w:r w:rsidR="008942F6">
        <w:rPr>
          <w:rFonts w:cs="Calibri"/>
          <w:color w:val="000000"/>
        </w:rPr>
        <w:t xml:space="preserve">and </w:t>
      </w:r>
      <w:r>
        <w:rPr>
          <w:rFonts w:cs="Calibri"/>
          <w:color w:val="000000"/>
        </w:rPr>
        <w:t xml:space="preserve">also </w:t>
      </w:r>
      <w:r w:rsidR="00B00CEB">
        <w:rPr>
          <w:rFonts w:cs="Calibri"/>
          <w:color w:val="000000"/>
        </w:rPr>
        <w:t>the CQS</w:t>
      </w:r>
      <w:r w:rsidR="00B90FB5">
        <w:rPr>
          <w:rFonts w:cs="Calibri"/>
          <w:color w:val="000000"/>
        </w:rPr>
        <w:t>.</w:t>
      </w:r>
      <w:r w:rsidR="005775AE">
        <w:rPr>
          <w:rFonts w:cs="Calibri"/>
          <w:color w:val="000000"/>
        </w:rPr>
        <w:t xml:space="preserve">  </w:t>
      </w:r>
      <w:r w:rsidR="00A006B6">
        <w:rPr>
          <w:rFonts w:cs="Calibri"/>
          <w:color w:val="000000"/>
        </w:rPr>
        <w:t>MassHealth engages with various s</w:t>
      </w:r>
      <w:r>
        <w:rPr>
          <w:rFonts w:cs="Calibri"/>
          <w:color w:val="000000"/>
        </w:rPr>
        <w:t>takeholders represent</w:t>
      </w:r>
      <w:r w:rsidR="00A006B6">
        <w:rPr>
          <w:rFonts w:cs="Calibri"/>
          <w:color w:val="000000"/>
        </w:rPr>
        <w:t>ing</w:t>
      </w:r>
      <w:r>
        <w:rPr>
          <w:rFonts w:cs="Calibri"/>
          <w:color w:val="000000"/>
        </w:rPr>
        <w:t xml:space="preserve"> payers, providers, members, member advocates, associations</w:t>
      </w:r>
      <w:r w:rsidR="008942F6">
        <w:rPr>
          <w:rFonts w:cs="Calibri"/>
          <w:color w:val="000000"/>
        </w:rPr>
        <w:t xml:space="preserve">, </w:t>
      </w:r>
      <w:r>
        <w:rPr>
          <w:rFonts w:cs="Calibri"/>
          <w:color w:val="000000"/>
        </w:rPr>
        <w:t>other EOHHS state agencies as</w:t>
      </w:r>
      <w:r w:rsidR="008942F6">
        <w:rPr>
          <w:rFonts w:cs="Calibri"/>
          <w:color w:val="000000"/>
        </w:rPr>
        <w:t xml:space="preserve"> </w:t>
      </w:r>
      <w:r>
        <w:rPr>
          <w:rFonts w:cs="Calibri"/>
          <w:color w:val="000000"/>
        </w:rPr>
        <w:t>well as subject matter experts addressing special population (</w:t>
      </w:r>
      <w:r w:rsidR="008942F6">
        <w:rPr>
          <w:rFonts w:cs="Calibri"/>
          <w:color w:val="000000"/>
        </w:rPr>
        <w:t xml:space="preserve">e.g., </w:t>
      </w:r>
      <w:r>
        <w:rPr>
          <w:rFonts w:cs="Calibri"/>
          <w:color w:val="000000"/>
        </w:rPr>
        <w:t xml:space="preserve">BH, LTSS) and quality </w:t>
      </w:r>
      <w:r w:rsidR="00A006B6">
        <w:rPr>
          <w:rFonts w:cs="Calibri"/>
          <w:color w:val="000000"/>
        </w:rPr>
        <w:t xml:space="preserve">areas (e.g., member experience, measurement, SDOH).  Examples include: </w:t>
      </w:r>
    </w:p>
    <w:p w14:paraId="7839B5A8" w14:textId="52684E2A" w:rsidR="00A006B6" w:rsidRDefault="00FC75B9" w:rsidP="00511BC2">
      <w:pPr>
        <w:pStyle w:val="ListParagraph"/>
        <w:numPr>
          <w:ilvl w:val="0"/>
          <w:numId w:val="54"/>
        </w:numPr>
        <w:rPr>
          <w:rFonts w:cs="Calibri"/>
          <w:color w:val="000000"/>
        </w:rPr>
      </w:pPr>
      <w:r>
        <w:rPr>
          <w:rFonts w:cs="Calibri"/>
          <w:color w:val="000000"/>
        </w:rPr>
        <w:t>Delivery System Reform Incentive Payment (</w:t>
      </w:r>
      <w:r w:rsidR="00A006B6">
        <w:rPr>
          <w:rFonts w:cs="Calibri"/>
          <w:color w:val="000000"/>
        </w:rPr>
        <w:t>DSRIP</w:t>
      </w:r>
      <w:r>
        <w:rPr>
          <w:rFonts w:cs="Calibri"/>
          <w:color w:val="000000"/>
        </w:rPr>
        <w:t>)</w:t>
      </w:r>
      <w:r w:rsidR="00A006B6">
        <w:rPr>
          <w:rFonts w:cs="Calibri"/>
          <w:color w:val="000000"/>
        </w:rPr>
        <w:t xml:space="preserve"> Quality Sub-Committee</w:t>
      </w:r>
    </w:p>
    <w:p w14:paraId="71DA6D18" w14:textId="32D9C1F3" w:rsidR="00A006B6" w:rsidRPr="004375FD" w:rsidRDefault="006C257B" w:rsidP="00511BC2">
      <w:pPr>
        <w:pStyle w:val="ListParagraph"/>
        <w:numPr>
          <w:ilvl w:val="0"/>
          <w:numId w:val="54"/>
        </w:numPr>
        <w:rPr>
          <w:rFonts w:cs="Calibri"/>
        </w:rPr>
      </w:pPr>
      <w:r w:rsidRPr="004375FD">
        <w:t>EOHHS’ Quality Measurement Taskforce</w:t>
      </w:r>
      <w:r w:rsidRPr="004375FD">
        <w:rPr>
          <w:rFonts w:cs="Calibri"/>
        </w:rPr>
        <w:t xml:space="preserve"> </w:t>
      </w:r>
      <w:r w:rsidR="00E531F8" w:rsidRPr="004375FD">
        <w:rPr>
          <w:rFonts w:cs="Calibri"/>
        </w:rPr>
        <w:t xml:space="preserve"> (also called </w:t>
      </w:r>
      <w:r w:rsidR="00E531F8" w:rsidRPr="004375FD">
        <w:t>EOHHS Quality Alignment Taskforce)</w:t>
      </w:r>
    </w:p>
    <w:p w14:paraId="1AB70A99" w14:textId="14A11FBC" w:rsidR="00A006B6" w:rsidRDefault="00A006B6" w:rsidP="00511BC2">
      <w:pPr>
        <w:pStyle w:val="ListParagraph"/>
        <w:numPr>
          <w:ilvl w:val="0"/>
          <w:numId w:val="54"/>
        </w:numPr>
        <w:rPr>
          <w:rFonts w:cs="Calibri"/>
          <w:color w:val="000000"/>
        </w:rPr>
      </w:pPr>
      <w:r>
        <w:rPr>
          <w:rFonts w:cs="Calibri"/>
          <w:color w:val="000000"/>
        </w:rPr>
        <w:t>ACO/MCO Quality Program Office Hours</w:t>
      </w:r>
      <w:r w:rsidR="006523B9">
        <w:rPr>
          <w:rFonts w:cs="Calibri"/>
          <w:color w:val="000000"/>
        </w:rPr>
        <w:t xml:space="preserve"> for ACO and MCO contractors</w:t>
      </w:r>
    </w:p>
    <w:p w14:paraId="0A2A318E" w14:textId="678C5BD5" w:rsidR="00A574A3" w:rsidRDefault="00A574A3" w:rsidP="00511BC2">
      <w:pPr>
        <w:pStyle w:val="ListParagraph"/>
        <w:numPr>
          <w:ilvl w:val="0"/>
          <w:numId w:val="54"/>
        </w:numPr>
        <w:rPr>
          <w:rFonts w:cs="Calibri"/>
          <w:color w:val="000000"/>
        </w:rPr>
      </w:pPr>
      <w:r>
        <w:rPr>
          <w:rFonts w:cs="Calibri"/>
          <w:color w:val="000000"/>
        </w:rPr>
        <w:t>Acute Hospital Quality Taskforce Advisory</w:t>
      </w:r>
    </w:p>
    <w:p w14:paraId="0EABEBD3" w14:textId="114CA1A9" w:rsidR="00A574A3" w:rsidRPr="004375FD" w:rsidRDefault="00A574A3" w:rsidP="00511BC2">
      <w:pPr>
        <w:pStyle w:val="ListParagraph"/>
        <w:numPr>
          <w:ilvl w:val="0"/>
          <w:numId w:val="54"/>
        </w:numPr>
        <w:rPr>
          <w:rFonts w:cs="Calibri"/>
        </w:rPr>
      </w:pPr>
      <w:r>
        <w:rPr>
          <w:rFonts w:cs="Calibri"/>
          <w:color w:val="000000"/>
        </w:rPr>
        <w:t xml:space="preserve">BH and LTSS CP </w:t>
      </w:r>
      <w:r w:rsidR="00946883" w:rsidRPr="004375FD">
        <w:rPr>
          <w:rFonts w:cs="Calibri"/>
        </w:rPr>
        <w:t>meetings</w:t>
      </w:r>
    </w:p>
    <w:p w14:paraId="1CF13BB1" w14:textId="1E02B754" w:rsidR="00946883" w:rsidRPr="004375FD" w:rsidRDefault="00A37AF3" w:rsidP="00511BC2">
      <w:pPr>
        <w:pStyle w:val="ListParagraph"/>
        <w:numPr>
          <w:ilvl w:val="0"/>
          <w:numId w:val="54"/>
        </w:numPr>
        <w:rPr>
          <w:rFonts w:cs="Calibri"/>
        </w:rPr>
      </w:pPr>
      <w:r w:rsidRPr="004375FD">
        <w:rPr>
          <w:rFonts w:cs="Calibri"/>
        </w:rPr>
        <w:t>OTLSS Stakeholder</w:t>
      </w:r>
      <w:r w:rsidR="00946883" w:rsidRPr="004375FD">
        <w:rPr>
          <w:rFonts w:cs="Calibri"/>
        </w:rPr>
        <w:t xml:space="preserve"> meetings</w:t>
      </w:r>
    </w:p>
    <w:p w14:paraId="226A0FF1" w14:textId="55A8781D" w:rsidR="006C257B" w:rsidRPr="004375FD" w:rsidRDefault="006C257B" w:rsidP="00511BC2">
      <w:pPr>
        <w:pStyle w:val="ListParagraph"/>
        <w:numPr>
          <w:ilvl w:val="0"/>
          <w:numId w:val="54"/>
        </w:numPr>
        <w:rPr>
          <w:rFonts w:cs="Calibri"/>
        </w:rPr>
      </w:pPr>
      <w:r w:rsidRPr="004375FD">
        <w:t>One Care Implementation Council</w:t>
      </w:r>
    </w:p>
    <w:p w14:paraId="6BBDD55E" w14:textId="239F8AEC" w:rsidR="00946883" w:rsidRPr="004375FD" w:rsidRDefault="00946883" w:rsidP="00511BC2">
      <w:pPr>
        <w:pStyle w:val="ListParagraph"/>
        <w:numPr>
          <w:ilvl w:val="0"/>
          <w:numId w:val="54"/>
        </w:numPr>
        <w:rPr>
          <w:rFonts w:cs="Calibri"/>
        </w:rPr>
      </w:pPr>
      <w:r w:rsidRPr="004375FD">
        <w:t>Monthly meetings with provider groups including Home Health, Adult Foster Care, Durable Medical Equipment, and Personal Care Management.</w:t>
      </w:r>
    </w:p>
    <w:p w14:paraId="5C4ED729" w14:textId="77777777" w:rsidR="004375FD" w:rsidRDefault="004375FD" w:rsidP="004375FD">
      <w:pPr>
        <w:pStyle w:val="ListParagraph"/>
        <w:numPr>
          <w:ilvl w:val="0"/>
          <w:numId w:val="54"/>
        </w:numPr>
        <w:rPr>
          <w:rFonts w:cs="Calibri"/>
        </w:rPr>
      </w:pPr>
      <w:r w:rsidRPr="004375FD">
        <w:rPr>
          <w:rFonts w:cs="Calibri"/>
        </w:rPr>
        <w:t xml:space="preserve">Monthly meetings with </w:t>
      </w:r>
      <w:r w:rsidR="009542B1" w:rsidRPr="004375FD">
        <w:rPr>
          <w:rFonts w:cs="Calibri"/>
        </w:rPr>
        <w:t>Children</w:t>
      </w:r>
      <w:r>
        <w:rPr>
          <w:rFonts w:cs="Calibri"/>
        </w:rPr>
        <w:t xml:space="preserve">’s </w:t>
      </w:r>
      <w:r w:rsidR="009542B1" w:rsidRPr="004375FD">
        <w:rPr>
          <w:rFonts w:cs="Calibri"/>
        </w:rPr>
        <w:t xml:space="preserve">Behavioral Health Initiative (CBHI) providers and CBHI Network management staff from MCO/ACOs/MBHP. </w:t>
      </w:r>
    </w:p>
    <w:p w14:paraId="7CE27B59" w14:textId="57A12E56" w:rsidR="004375FD" w:rsidRPr="004375FD" w:rsidRDefault="00A9255E" w:rsidP="004375FD">
      <w:pPr>
        <w:pStyle w:val="ListParagraph"/>
        <w:numPr>
          <w:ilvl w:val="0"/>
          <w:numId w:val="54"/>
        </w:numPr>
        <w:rPr>
          <w:rFonts w:cs="Calibri"/>
        </w:rPr>
      </w:pPr>
      <w:r w:rsidRPr="004375FD">
        <w:t xml:space="preserve">Monthly Advocates Meetings attended by several member advocate organizations </w:t>
      </w:r>
    </w:p>
    <w:p w14:paraId="4A472171" w14:textId="77777777" w:rsidR="004375FD" w:rsidRDefault="00945D40" w:rsidP="004375FD">
      <w:pPr>
        <w:rPr>
          <w:rFonts w:cs="Calibri"/>
          <w:color w:val="000000"/>
        </w:rPr>
      </w:pPr>
      <w:r w:rsidRPr="004375FD">
        <w:rPr>
          <w:rFonts w:cs="Calibri"/>
          <w:color w:val="000000"/>
        </w:rPr>
        <w:t>MassHealth and its p</w:t>
      </w:r>
      <w:r w:rsidR="005775AE" w:rsidRPr="004375FD">
        <w:rPr>
          <w:rFonts w:cs="Calibri"/>
          <w:color w:val="000000"/>
        </w:rPr>
        <w:t>rograms engage stakeholders</w:t>
      </w:r>
      <w:r w:rsidRPr="004375FD">
        <w:rPr>
          <w:rFonts w:cs="Calibri"/>
          <w:color w:val="000000"/>
        </w:rPr>
        <w:t xml:space="preserve"> through</w:t>
      </w:r>
      <w:r w:rsidR="00A006B6" w:rsidRPr="004375FD">
        <w:rPr>
          <w:rFonts w:cs="Calibri"/>
          <w:color w:val="000000"/>
        </w:rPr>
        <w:t xml:space="preserve"> these various </w:t>
      </w:r>
      <w:r w:rsidRPr="004375FD">
        <w:rPr>
          <w:rFonts w:cs="Calibri"/>
          <w:color w:val="000000"/>
        </w:rPr>
        <w:t>committees</w:t>
      </w:r>
      <w:r w:rsidR="008F0F42" w:rsidRPr="004375FD">
        <w:rPr>
          <w:rFonts w:cs="Calibri"/>
          <w:color w:val="000000"/>
        </w:rPr>
        <w:t xml:space="preserve"> and initiatives</w:t>
      </w:r>
      <w:r w:rsidR="00A37AF3" w:rsidRPr="004375FD">
        <w:rPr>
          <w:rFonts w:cs="Calibri"/>
          <w:color w:val="000000"/>
        </w:rPr>
        <w:t xml:space="preserve">, in order to </w:t>
      </w:r>
      <w:r w:rsidR="00557FD6" w:rsidRPr="004375FD">
        <w:rPr>
          <w:rFonts w:cs="Calibri"/>
          <w:color w:val="000000"/>
        </w:rPr>
        <w:t>obtain input from</w:t>
      </w:r>
      <w:r w:rsidR="00A37AF3" w:rsidRPr="004375FD">
        <w:rPr>
          <w:rFonts w:cs="Calibri"/>
          <w:color w:val="000000"/>
        </w:rPr>
        <w:t xml:space="preserve"> a broad set of organizations and individual stakeholders. Stakeholder </w:t>
      </w:r>
      <w:r w:rsidR="00A37AF3" w:rsidRPr="004375FD">
        <w:rPr>
          <w:rFonts w:cs="Calibri"/>
          <w:color w:val="000000"/>
        </w:rPr>
        <w:lastRenderedPageBreak/>
        <w:t>engagement will continue to represent an</w:t>
      </w:r>
      <w:r w:rsidR="003D4CC8" w:rsidRPr="004375FD">
        <w:rPr>
          <w:rFonts w:cs="Calibri"/>
          <w:color w:val="000000"/>
        </w:rPr>
        <w:t xml:space="preserve"> </w:t>
      </w:r>
      <w:r w:rsidR="00A37AF3" w:rsidRPr="004375FD">
        <w:rPr>
          <w:rFonts w:cs="Calibri"/>
          <w:color w:val="000000"/>
        </w:rPr>
        <w:t>important source of guidance for specific quality program</w:t>
      </w:r>
      <w:r w:rsidR="005B7BFE" w:rsidRPr="004375FD">
        <w:rPr>
          <w:rFonts w:cs="Calibri"/>
          <w:color w:val="000000"/>
        </w:rPr>
        <w:t>s</w:t>
      </w:r>
      <w:r w:rsidR="00A37AF3" w:rsidRPr="004375FD">
        <w:rPr>
          <w:rFonts w:cs="Calibri"/>
          <w:color w:val="000000"/>
        </w:rPr>
        <w:t xml:space="preserve"> as well as broader strategic </w:t>
      </w:r>
      <w:r w:rsidR="005B7BFE" w:rsidRPr="004375FD">
        <w:rPr>
          <w:rFonts w:cs="Calibri"/>
          <w:color w:val="000000"/>
        </w:rPr>
        <w:t xml:space="preserve">agency and statewide </w:t>
      </w:r>
      <w:r w:rsidR="00A37AF3" w:rsidRPr="004375FD">
        <w:rPr>
          <w:rFonts w:cs="Calibri"/>
          <w:color w:val="000000"/>
        </w:rPr>
        <w:t>development</w:t>
      </w:r>
      <w:r w:rsidR="005B7BFE" w:rsidRPr="004375FD">
        <w:rPr>
          <w:rFonts w:cs="Calibri"/>
          <w:color w:val="000000"/>
        </w:rPr>
        <w:t xml:space="preserve"> of quality strategies and initiatives.</w:t>
      </w:r>
      <w:r w:rsidR="00B254FE" w:rsidRPr="004375FD">
        <w:rPr>
          <w:rFonts w:cs="Calibri"/>
          <w:color w:val="000000"/>
        </w:rPr>
        <w:t xml:space="preserve">  MassHealth members are key stakeholder</w:t>
      </w:r>
      <w:r w:rsidR="00940C87" w:rsidRPr="004375FD">
        <w:rPr>
          <w:rFonts w:cs="Calibri"/>
          <w:color w:val="000000"/>
        </w:rPr>
        <w:t>s</w:t>
      </w:r>
      <w:r w:rsidR="005B1A8A" w:rsidRPr="004375FD">
        <w:rPr>
          <w:rFonts w:cs="Calibri"/>
          <w:color w:val="000000"/>
        </w:rPr>
        <w:t>,</w:t>
      </w:r>
      <w:r w:rsidR="00B254FE" w:rsidRPr="004375FD">
        <w:rPr>
          <w:rFonts w:cs="Calibri"/>
          <w:color w:val="000000"/>
        </w:rPr>
        <w:t xml:space="preserve"> and </w:t>
      </w:r>
      <w:r w:rsidR="00940C87" w:rsidRPr="004375FD">
        <w:rPr>
          <w:rFonts w:cs="Calibri"/>
          <w:color w:val="000000"/>
        </w:rPr>
        <w:t>MassHealth maintains its commitment to</w:t>
      </w:r>
      <w:r w:rsidR="00B254FE" w:rsidRPr="004375FD">
        <w:rPr>
          <w:rFonts w:cs="Calibri"/>
          <w:color w:val="000000"/>
        </w:rPr>
        <w:t xml:space="preserve"> engage and incorporate</w:t>
      </w:r>
      <w:r w:rsidR="00940C87" w:rsidRPr="004375FD">
        <w:rPr>
          <w:rFonts w:cs="Calibri"/>
          <w:color w:val="000000"/>
        </w:rPr>
        <w:t xml:space="preserve"> member </w:t>
      </w:r>
      <w:r w:rsidR="00B254FE" w:rsidRPr="004375FD">
        <w:rPr>
          <w:rFonts w:cs="Calibri"/>
          <w:color w:val="000000"/>
        </w:rPr>
        <w:t>input</w:t>
      </w:r>
      <w:r w:rsidR="004375FD">
        <w:rPr>
          <w:rFonts w:cs="Calibri"/>
          <w:color w:val="000000"/>
        </w:rPr>
        <w:t xml:space="preserve"> across all programs.</w:t>
      </w:r>
      <w:bookmarkStart w:id="43" w:name="_Toc529177877"/>
    </w:p>
    <w:p w14:paraId="5304C755" w14:textId="25DAB63B" w:rsidR="00C21F50" w:rsidRPr="000E7914" w:rsidRDefault="004375FD" w:rsidP="004375FD">
      <w:pPr>
        <w:pStyle w:val="Heading2"/>
      </w:pPr>
      <w:r w:rsidRPr="000E7914">
        <w:t xml:space="preserve"> </w:t>
      </w:r>
      <w:r w:rsidR="00C21F50" w:rsidRPr="000E7914">
        <w:t xml:space="preserve">Review </w:t>
      </w:r>
      <w:r w:rsidR="00C21F50">
        <w:t>and Update of</w:t>
      </w:r>
      <w:r w:rsidR="00C21F50" w:rsidRPr="000E7914">
        <w:t xml:space="preserve"> Quality Strategy</w:t>
      </w:r>
      <w:bookmarkEnd w:id="43"/>
      <w:r w:rsidR="00C21F50" w:rsidRPr="000E7914">
        <w:t xml:space="preserve"> </w:t>
      </w:r>
    </w:p>
    <w:p w14:paraId="475C7560" w14:textId="47598E27" w:rsidR="00932E12" w:rsidRDefault="00C21F50" w:rsidP="00C21F50">
      <w:r>
        <w:t xml:space="preserve">MassHealth will conduct an annual review </w:t>
      </w:r>
      <w:r w:rsidR="006B195F">
        <w:t xml:space="preserve">of </w:t>
      </w:r>
      <w:r>
        <w:t>the</w:t>
      </w:r>
      <w:r w:rsidRPr="00875DFB">
        <w:t xml:space="preserve"> </w:t>
      </w:r>
      <w:r>
        <w:t>CQS</w:t>
      </w:r>
      <w:r w:rsidR="007C2419">
        <w:t xml:space="preserve"> and, a</w:t>
      </w:r>
      <w:r>
        <w:t>t least every three years,</w:t>
      </w:r>
      <w:r w:rsidR="00612B92">
        <w:t xml:space="preserve"> </w:t>
      </w:r>
      <w:r>
        <w:t xml:space="preserve">complete an update to its quality strategy. As part of this </w:t>
      </w:r>
      <w:r w:rsidR="004375FD">
        <w:t xml:space="preserve">triennial </w:t>
      </w:r>
      <w:r>
        <w:t>update process, MassHealth</w:t>
      </w:r>
      <w:r w:rsidRPr="00875DFB">
        <w:t xml:space="preserve"> will solicit input </w:t>
      </w:r>
      <w:r>
        <w:t xml:space="preserve">from internal and external stakeholders and </w:t>
      </w:r>
      <w:r w:rsidRPr="00875DFB">
        <w:t xml:space="preserve">through </w:t>
      </w:r>
      <w:r>
        <w:t xml:space="preserve">a public comment period. </w:t>
      </w:r>
      <w:r w:rsidRPr="00875DFB">
        <w:t xml:space="preserve">The feedback provided by stakeholders, including </w:t>
      </w:r>
      <w:r w:rsidR="006B195F" w:rsidRPr="00875DFB">
        <w:t>M</w:t>
      </w:r>
      <w:r w:rsidR="006B195F">
        <w:t xml:space="preserve">assHealth </w:t>
      </w:r>
      <w:r w:rsidR="00612B92">
        <w:t>members</w:t>
      </w:r>
      <w:r w:rsidR="00612B92" w:rsidRPr="00875DFB">
        <w:t xml:space="preserve"> and</w:t>
      </w:r>
      <w:r w:rsidRPr="00875DFB">
        <w:t xml:space="preserve"> their representatives, will be taken into consideration and incorporated</w:t>
      </w:r>
      <w:r w:rsidR="008F0F42">
        <w:t>, as appropriate,</w:t>
      </w:r>
      <w:r w:rsidRPr="00875DFB">
        <w:t xml:space="preserve"> into </w:t>
      </w:r>
      <w:r w:rsidR="00612B92">
        <w:t>an updated</w:t>
      </w:r>
      <w:r w:rsidR="000F5E68">
        <w:t xml:space="preserve"> CQS</w:t>
      </w:r>
      <w:r w:rsidRPr="00875DFB">
        <w:t>.</w:t>
      </w:r>
      <w:r w:rsidR="00932E12">
        <w:t xml:space="preserve"> </w:t>
      </w:r>
    </w:p>
    <w:p w14:paraId="795FE084" w14:textId="6408F987" w:rsidR="00C21F50" w:rsidRDefault="00C21F50" w:rsidP="00C21F50">
      <w:r w:rsidRPr="007D7DF3">
        <w:t>MassHealth will work with CMS to ensure that the CQS</w:t>
      </w:r>
      <w:r>
        <w:t xml:space="preserve"> meets all content requirements set forth in 42 CFR 438.340.</w:t>
      </w:r>
      <w:r w:rsidRPr="007D7DF3">
        <w:t xml:space="preserve"> MassHealth will continue to comply with the reporting requirements of its approved waivers</w:t>
      </w:r>
      <w:r w:rsidR="006B195F">
        <w:t>,</w:t>
      </w:r>
      <w:r w:rsidRPr="007D7DF3">
        <w:t xml:space="preserve"> submitting quarterly and annual reports to CMS on the implementation and effectiveness of the waivers.</w:t>
      </w:r>
      <w:r w:rsidR="005B1A8A">
        <w:t xml:space="preserve"> </w:t>
      </w:r>
    </w:p>
    <w:p w14:paraId="6E352395" w14:textId="77777777" w:rsidR="00C21F50" w:rsidRPr="00875DFB" w:rsidRDefault="00C21F50" w:rsidP="00C21F50">
      <w:r>
        <w:t>In accordance with 42 CFR 438.204(b</w:t>
      </w:r>
      <w:proofErr w:type="gramStart"/>
      <w:r>
        <w:t>)(</w:t>
      </w:r>
      <w:proofErr w:type="gramEnd"/>
      <w:r>
        <w:t xml:space="preserve">11), the state must define what constitutes a “significant change” that would require revision of the </w:t>
      </w:r>
      <w:r w:rsidR="001451B0">
        <w:t>CQS</w:t>
      </w:r>
      <w:r>
        <w:t xml:space="preserve"> at an interval more frequent than three years. Massachusetts identified </w:t>
      </w:r>
      <w:r w:rsidRPr="00875DFB">
        <w:t xml:space="preserve">factors </w:t>
      </w:r>
      <w:r>
        <w:t xml:space="preserve">that would necessitate strategy revision before the third year. They include: </w:t>
      </w:r>
      <w:r w:rsidRPr="00875DFB">
        <w:t xml:space="preserve"> </w:t>
      </w:r>
    </w:p>
    <w:p w14:paraId="07A3003F" w14:textId="77777777" w:rsidR="00C21F50" w:rsidRDefault="00C21F50" w:rsidP="009729DB">
      <w:pPr>
        <w:pStyle w:val="ListParagraph"/>
        <w:numPr>
          <w:ilvl w:val="0"/>
          <w:numId w:val="39"/>
        </w:numPr>
        <w:spacing w:after="0"/>
      </w:pPr>
      <w:r>
        <w:rPr>
          <w:rFonts w:cs="Calibri"/>
          <w:color w:val="000000"/>
        </w:rPr>
        <w:t>A</w:t>
      </w:r>
      <w:r w:rsidRPr="00EB1864">
        <w:rPr>
          <w:rFonts w:cs="Calibri"/>
          <w:color w:val="000000"/>
        </w:rPr>
        <w:t xml:space="preserve"> dramatic restructuring of quali</w:t>
      </w:r>
      <w:r>
        <w:rPr>
          <w:rFonts w:cs="Calibri"/>
          <w:color w:val="000000"/>
        </w:rPr>
        <w:t>ty management within the agency</w:t>
      </w:r>
      <w:r w:rsidRPr="00875DFB">
        <w:t xml:space="preserve"> </w:t>
      </w:r>
    </w:p>
    <w:p w14:paraId="134D20C5" w14:textId="77777777" w:rsidR="00C21F50" w:rsidRPr="00875DFB" w:rsidRDefault="00C21F50" w:rsidP="009729DB">
      <w:pPr>
        <w:pStyle w:val="ListParagraph"/>
        <w:numPr>
          <w:ilvl w:val="0"/>
          <w:numId w:val="39"/>
        </w:numPr>
        <w:spacing w:after="0"/>
      </w:pPr>
      <w:r w:rsidRPr="00875DFB">
        <w:t xml:space="preserve">A material change in the </w:t>
      </w:r>
      <w:r>
        <w:t>numbers, types, or timeframes for quality</w:t>
      </w:r>
      <w:r w:rsidRPr="00875DFB">
        <w:t xml:space="preserve"> reporting</w:t>
      </w:r>
      <w:r>
        <w:t>;</w:t>
      </w:r>
      <w:r w:rsidRPr="00875DFB" w:rsidDel="00B400E2">
        <w:t xml:space="preserve"> </w:t>
      </w:r>
    </w:p>
    <w:p w14:paraId="10EEDBAB" w14:textId="77777777" w:rsidR="00C21F50" w:rsidRDefault="00C21F50" w:rsidP="009729DB">
      <w:pPr>
        <w:pStyle w:val="ListParagraph"/>
        <w:numPr>
          <w:ilvl w:val="0"/>
          <w:numId w:val="31"/>
        </w:numPr>
      </w:pPr>
      <w:r>
        <w:t xml:space="preserve">Identified </w:t>
      </w:r>
      <w:r w:rsidRPr="00875DFB">
        <w:t>pattern</w:t>
      </w:r>
      <w:r>
        <w:t>s</w:t>
      </w:r>
      <w:r w:rsidRPr="00875DFB">
        <w:t xml:space="preserve"> of quality deficiencies identified through analysis of the annual reporting </w:t>
      </w:r>
      <w:r>
        <w:t xml:space="preserve">or performance </w:t>
      </w:r>
      <w:r w:rsidRPr="00875DFB">
        <w:t xml:space="preserve">data submitted by </w:t>
      </w:r>
      <w:r>
        <w:t>MCEs</w:t>
      </w:r>
    </w:p>
    <w:p w14:paraId="366DE824" w14:textId="77777777" w:rsidR="00C21F50" w:rsidRDefault="00C21F50" w:rsidP="009729DB">
      <w:pPr>
        <w:pStyle w:val="ListParagraph"/>
        <w:numPr>
          <w:ilvl w:val="0"/>
          <w:numId w:val="31"/>
        </w:numPr>
      </w:pPr>
      <w:r w:rsidRPr="00875DFB">
        <w:t xml:space="preserve">Changes to quality standards </w:t>
      </w:r>
      <w:r>
        <w:t xml:space="preserve">or requirements </w:t>
      </w:r>
      <w:r w:rsidRPr="00875DFB">
        <w:t>resulting from regulatory authorities or legislation at the state or federal level, or</w:t>
      </w:r>
    </w:p>
    <w:p w14:paraId="5ABA2AA4" w14:textId="77777777" w:rsidR="005B1A8A" w:rsidRDefault="00C21F50" w:rsidP="009729DB">
      <w:pPr>
        <w:pStyle w:val="ListParagraph"/>
        <w:numPr>
          <w:ilvl w:val="0"/>
          <w:numId w:val="31"/>
        </w:numPr>
      </w:pPr>
      <w:r w:rsidRPr="00875DFB">
        <w:t xml:space="preserve">A </w:t>
      </w:r>
      <w:r>
        <w:t xml:space="preserve">significant </w:t>
      </w:r>
      <w:r w:rsidRPr="00875DFB">
        <w:t>change in membership demographics or the provider network</w:t>
      </w:r>
      <w:r>
        <w:t xml:space="preserve">.  </w:t>
      </w:r>
    </w:p>
    <w:p w14:paraId="316F8FAF" w14:textId="5D2409E2" w:rsidR="00C21F50" w:rsidRDefault="00C21F50" w:rsidP="005B1A8A">
      <w:r w:rsidRPr="00875DFB">
        <w:t xml:space="preserve"> </w:t>
      </w:r>
      <w:r w:rsidR="005B1A8A">
        <w:t>The most recent version of the CQS will be available on the MassHealth web site.</w:t>
      </w:r>
    </w:p>
    <w:p w14:paraId="1FE807EA" w14:textId="77777777" w:rsidR="00C21F50" w:rsidRDefault="00C21F50" w:rsidP="00C21F50">
      <w:pPr>
        <w:pStyle w:val="Heading2"/>
      </w:pPr>
      <w:bookmarkStart w:id="44" w:name="_Toc529177878"/>
      <w:r>
        <w:t>Evaluating the Effectiveness of the Quality Strategy</w:t>
      </w:r>
      <w:bookmarkEnd w:id="44"/>
      <w:r>
        <w:t xml:space="preserve"> </w:t>
      </w:r>
    </w:p>
    <w:p w14:paraId="23845F98" w14:textId="77777777" w:rsidR="00C21F50" w:rsidRDefault="00C21F50" w:rsidP="00C21F50">
      <w:r>
        <w:t>MassHealth will engage in regular activities to assess the effectiveness of its Comp</w:t>
      </w:r>
      <w:r w:rsidR="002C14CB">
        <w:t>rehensive Quality Strategy. These</w:t>
      </w:r>
      <w:r>
        <w:t xml:space="preserve"> include: </w:t>
      </w:r>
    </w:p>
    <w:p w14:paraId="3C79B99A" w14:textId="27E95893" w:rsidR="00005544" w:rsidRDefault="00C21F50" w:rsidP="009729DB">
      <w:pPr>
        <w:pStyle w:val="ListParagraph"/>
        <w:numPr>
          <w:ilvl w:val="0"/>
          <w:numId w:val="40"/>
        </w:numPr>
      </w:pPr>
      <w:r>
        <w:t>Annual st</w:t>
      </w:r>
      <w:r w:rsidR="00145DDE">
        <w:t>rategy review process conducted by internal stakeholders</w:t>
      </w:r>
    </w:p>
    <w:p w14:paraId="3E0C6FBA" w14:textId="77777777" w:rsidR="00C21F50" w:rsidRDefault="00C21F50" w:rsidP="009729DB">
      <w:pPr>
        <w:pStyle w:val="ListParagraph"/>
        <w:numPr>
          <w:ilvl w:val="0"/>
          <w:numId w:val="36"/>
        </w:numPr>
      </w:pPr>
      <w:r>
        <w:t>Use of performance indicators to assess progress toward quality goals and objectives. MassHealth will review performance on key indicators</w:t>
      </w:r>
      <w:r w:rsidR="007C2419" w:rsidRPr="007C2419">
        <w:t xml:space="preserve"> </w:t>
      </w:r>
      <w:r w:rsidR="007C2419">
        <w:t>annually</w:t>
      </w:r>
      <w:r>
        <w:t>, reviewing rates at the plan and program levels. MassHealth will also review trended performance data to identify patterns of high or low rates that may require additional action.</w:t>
      </w:r>
    </w:p>
    <w:p w14:paraId="7E27049D" w14:textId="77777777" w:rsidR="00C21F50" w:rsidRDefault="00C21F50" w:rsidP="009729DB">
      <w:pPr>
        <w:pStyle w:val="ListParagraph"/>
        <w:numPr>
          <w:ilvl w:val="0"/>
          <w:numId w:val="36"/>
        </w:numPr>
      </w:pPr>
      <w:r>
        <w:t xml:space="preserve">Annual review of External Quality Review </w:t>
      </w:r>
      <w:r w:rsidR="00955EA6">
        <w:t xml:space="preserve">(EQR) </w:t>
      </w:r>
      <w:r>
        <w:t xml:space="preserve">reports to assess the effectiveness of managed care programs in providing quality, accessible services.  EQR technical reports include comparative plan performance </w:t>
      </w:r>
      <w:r w:rsidR="00E47781">
        <w:t>on performance improvement projects, performance measurement validation and compliance reviews. The reports will also include</w:t>
      </w:r>
      <w:r>
        <w:t xml:space="preserve"> </w:t>
      </w:r>
      <w:r w:rsidR="00E47781">
        <w:t>recommendations on</w:t>
      </w:r>
      <w:r>
        <w:t xml:space="preserve"> how the </w:t>
      </w:r>
      <w:r w:rsidR="002C231C">
        <w:t xml:space="preserve">Commonwealth </w:t>
      </w:r>
      <w:r>
        <w:t>can target goals and objectives in the quality strategy to better support improvement in the quality, timeliness, and access to health care services furnished to Medicaid beneficiaries.</w:t>
      </w:r>
    </w:p>
    <w:p w14:paraId="39E8F744" w14:textId="6DD75431" w:rsidR="002E178B" w:rsidRDefault="002E178B" w:rsidP="00370C37">
      <w:pPr>
        <w:rPr>
          <w:rFonts w:cs="Calibri"/>
          <w:color w:val="000000"/>
        </w:rPr>
        <w:sectPr w:rsidR="002E178B" w:rsidSect="002C1AD5">
          <w:type w:val="continuous"/>
          <w:pgSz w:w="12240" w:h="15840" w:code="1"/>
          <w:pgMar w:top="1440" w:right="1440" w:bottom="1440" w:left="1440" w:header="720" w:footer="720" w:gutter="0"/>
          <w:cols w:space="720"/>
          <w:docGrid w:linePitch="360"/>
        </w:sectPr>
      </w:pPr>
    </w:p>
    <w:p w14:paraId="3962CBD6" w14:textId="77777777" w:rsidR="0097050A" w:rsidRPr="002C1AD5" w:rsidRDefault="002C1AD5" w:rsidP="002C1AD5">
      <w:pPr>
        <w:pStyle w:val="Heading1"/>
      </w:pPr>
      <w:bookmarkStart w:id="45" w:name="_Ref522020145"/>
      <w:bookmarkStart w:id="46" w:name="_Ref522020300"/>
      <w:bookmarkStart w:id="47" w:name="_Ref522020404"/>
      <w:bookmarkStart w:id="48" w:name="_Ref522020626"/>
      <w:bookmarkStart w:id="49" w:name="_Toc529177879"/>
      <w:r w:rsidRPr="002C1AD5">
        <w:lastRenderedPageBreak/>
        <w:t>M</w:t>
      </w:r>
      <w:r w:rsidR="0097050A" w:rsidRPr="002C1AD5">
        <w:t>assHealth Quality Strategy</w:t>
      </w:r>
      <w:bookmarkEnd w:id="45"/>
      <w:bookmarkEnd w:id="46"/>
      <w:bookmarkEnd w:id="47"/>
      <w:bookmarkEnd w:id="48"/>
      <w:bookmarkEnd w:id="49"/>
    </w:p>
    <w:p w14:paraId="1E32AC4F" w14:textId="77777777" w:rsidR="00730D1A" w:rsidRDefault="00730D1A" w:rsidP="00730D1A">
      <w:r>
        <w:t xml:space="preserve">MassHealth </w:t>
      </w:r>
      <w:r w:rsidR="001918A5">
        <w:t xml:space="preserve">identified </w:t>
      </w:r>
      <w:r>
        <w:t>key priority areas</w:t>
      </w:r>
      <w:r w:rsidRPr="00730D1A">
        <w:t xml:space="preserve"> </w:t>
      </w:r>
      <w:r>
        <w:t>and quality goals that are applicable across programs and determi</w:t>
      </w:r>
      <w:r w:rsidR="001918A5">
        <w:t xml:space="preserve">ne an appropriate </w:t>
      </w:r>
      <w:r>
        <w:t xml:space="preserve">measurement strategy to assess progress against these goals.  </w:t>
      </w:r>
    </w:p>
    <w:p w14:paraId="190904D4" w14:textId="77777777" w:rsidR="00116EF2" w:rsidRPr="00301C41" w:rsidRDefault="00116EF2" w:rsidP="00116EF2">
      <w:pPr>
        <w:pStyle w:val="Heading2"/>
      </w:pPr>
      <w:bookmarkStart w:id="50" w:name="_Toc529177880"/>
      <w:r w:rsidRPr="00301C41">
        <w:t>MassHealth</w:t>
      </w:r>
      <w:r w:rsidR="002C1AD5">
        <w:t xml:space="preserve"> Priority Areas and</w:t>
      </w:r>
      <w:r w:rsidRPr="00301C41">
        <w:t xml:space="preserve"> Quality Goals</w:t>
      </w:r>
      <w:bookmarkEnd w:id="50"/>
    </w:p>
    <w:p w14:paraId="0A0B005A" w14:textId="77777777" w:rsidR="002C1AD5" w:rsidRPr="00F42E7D" w:rsidRDefault="002C1AD5" w:rsidP="002C1AD5">
      <w:r>
        <w:rPr>
          <w:rFonts w:cs="Calibri"/>
        </w:rPr>
        <w:t xml:space="preserve">In accordance with the desire to create a comprehensive quality strategy, </w:t>
      </w:r>
      <w:r>
        <w:t xml:space="preserve">the following high-level priority areas were selected to drive improvement in population health among MassHealth members. </w:t>
      </w:r>
    </w:p>
    <w:p w14:paraId="63192D2C" w14:textId="77777777" w:rsidR="002C1AD5" w:rsidRPr="0063388B" w:rsidRDefault="002C1AD5" w:rsidP="009729DB">
      <w:pPr>
        <w:numPr>
          <w:ilvl w:val="0"/>
          <w:numId w:val="27"/>
        </w:numPr>
        <w:tabs>
          <w:tab w:val="left" w:pos="720"/>
        </w:tabs>
        <w:spacing w:after="120"/>
        <w:rPr>
          <w:rFonts w:cs="Arial"/>
          <w:b/>
        </w:rPr>
      </w:pPr>
      <w:r>
        <w:rPr>
          <w:rFonts w:cs="Arial"/>
        </w:rPr>
        <w:t>Promoting Maternal, Child and Family Health</w:t>
      </w:r>
    </w:p>
    <w:p w14:paraId="57E6DED4" w14:textId="77777777" w:rsidR="002C1AD5" w:rsidRPr="0063388B" w:rsidRDefault="002C1AD5" w:rsidP="009729DB">
      <w:pPr>
        <w:numPr>
          <w:ilvl w:val="0"/>
          <w:numId w:val="27"/>
        </w:numPr>
        <w:tabs>
          <w:tab w:val="left" w:pos="720"/>
        </w:tabs>
        <w:spacing w:after="120"/>
        <w:rPr>
          <w:rFonts w:cs="Arial"/>
          <w:b/>
        </w:rPr>
      </w:pPr>
      <w:r>
        <w:rPr>
          <w:rFonts w:cs="Arial"/>
        </w:rPr>
        <w:t xml:space="preserve">Healthy </w:t>
      </w:r>
      <w:r w:rsidR="000F5E68">
        <w:rPr>
          <w:rFonts w:cs="Arial"/>
        </w:rPr>
        <w:t>L</w:t>
      </w:r>
      <w:r>
        <w:rPr>
          <w:rFonts w:cs="Arial"/>
        </w:rPr>
        <w:t>iving and Chronic Disease Prevention and Control</w:t>
      </w:r>
    </w:p>
    <w:p w14:paraId="4EFF4FCB" w14:textId="77777777" w:rsidR="002C1AD5" w:rsidRPr="0063388B" w:rsidRDefault="00E47781" w:rsidP="009729DB">
      <w:pPr>
        <w:numPr>
          <w:ilvl w:val="0"/>
          <w:numId w:val="27"/>
        </w:numPr>
        <w:tabs>
          <w:tab w:val="left" w:pos="720"/>
        </w:tabs>
        <w:spacing w:after="120"/>
        <w:rPr>
          <w:rFonts w:cs="Arial"/>
          <w:b/>
        </w:rPr>
      </w:pPr>
      <w:r>
        <w:rPr>
          <w:rFonts w:cs="Arial"/>
        </w:rPr>
        <w:t>Reducing Emergency Department</w:t>
      </w:r>
      <w:r w:rsidR="000F5E68">
        <w:rPr>
          <w:rFonts w:cs="Arial"/>
        </w:rPr>
        <w:t xml:space="preserve"> and Hospital U</w:t>
      </w:r>
      <w:r w:rsidR="002C1AD5">
        <w:rPr>
          <w:rFonts w:cs="Arial"/>
        </w:rPr>
        <w:t>tilization</w:t>
      </w:r>
    </w:p>
    <w:p w14:paraId="33A5045A" w14:textId="77777777" w:rsidR="002C1AD5" w:rsidRPr="0063388B" w:rsidRDefault="000F5E68" w:rsidP="009729DB">
      <w:pPr>
        <w:numPr>
          <w:ilvl w:val="0"/>
          <w:numId w:val="27"/>
        </w:numPr>
        <w:tabs>
          <w:tab w:val="left" w:pos="720"/>
        </w:tabs>
        <w:spacing w:after="120"/>
        <w:rPr>
          <w:rFonts w:cs="Arial"/>
          <w:b/>
        </w:rPr>
      </w:pPr>
      <w:r>
        <w:rPr>
          <w:rFonts w:cs="Arial"/>
        </w:rPr>
        <w:t>Promoting Mental Health and Reducing Addiction by Prevention, Treatment and Care I</w:t>
      </w:r>
      <w:r w:rsidR="002C1AD5">
        <w:rPr>
          <w:rFonts w:cs="Arial"/>
        </w:rPr>
        <w:t>ntegration</w:t>
      </w:r>
    </w:p>
    <w:p w14:paraId="5CA4AFDC" w14:textId="77777777" w:rsidR="002C1AD5" w:rsidRPr="002C1AD5" w:rsidRDefault="000F5E68" w:rsidP="009729DB">
      <w:pPr>
        <w:numPr>
          <w:ilvl w:val="0"/>
          <w:numId w:val="27"/>
        </w:numPr>
        <w:tabs>
          <w:tab w:val="left" w:pos="720"/>
        </w:tabs>
        <w:spacing w:after="120"/>
        <w:rPr>
          <w:rFonts w:cs="Arial"/>
          <w:b/>
        </w:rPr>
      </w:pPr>
      <w:r>
        <w:rPr>
          <w:rFonts w:cs="Arial"/>
        </w:rPr>
        <w:t>Promoting Person-centered Long-term Services and S</w:t>
      </w:r>
      <w:r w:rsidR="002C1AD5">
        <w:rPr>
          <w:rFonts w:cs="Arial"/>
        </w:rPr>
        <w:t>upports</w:t>
      </w:r>
    </w:p>
    <w:p w14:paraId="34FB697B" w14:textId="77777777" w:rsidR="002C1AD5" w:rsidRPr="002C1AD5" w:rsidRDefault="002C1AD5" w:rsidP="002C1AD5">
      <w:pPr>
        <w:tabs>
          <w:tab w:val="left" w:pos="720"/>
        </w:tabs>
        <w:spacing w:after="120"/>
        <w:rPr>
          <w:rFonts w:cs="Calibri"/>
        </w:rPr>
      </w:pPr>
      <w:r>
        <w:t xml:space="preserve">These priorities </w:t>
      </w:r>
      <w:r w:rsidR="00E47781">
        <w:t>guide</w:t>
      </w:r>
      <w:r w:rsidR="00FF0464">
        <w:t xml:space="preserve"> many agency activities, including </w:t>
      </w:r>
      <w:r>
        <w:t xml:space="preserve">key quality measurement </w:t>
      </w:r>
      <w:r w:rsidR="00FF0464">
        <w:t xml:space="preserve">activities which </w:t>
      </w:r>
      <w:r>
        <w:t>assess the quality of care provided to MassHealth members</w:t>
      </w:r>
      <w:r w:rsidR="00FF0464">
        <w:rPr>
          <w:rFonts w:cs="Calibri"/>
        </w:rPr>
        <w:t>. In alignment with these principles, the</w:t>
      </w:r>
      <w:r w:rsidRPr="002C1AD5">
        <w:rPr>
          <w:rFonts w:cs="Calibri"/>
        </w:rPr>
        <w:t xml:space="preserve"> agency ide</w:t>
      </w:r>
      <w:r>
        <w:rPr>
          <w:rFonts w:cs="Calibri"/>
        </w:rPr>
        <w:t xml:space="preserve">ntified a set </w:t>
      </w:r>
      <w:r w:rsidR="00DA6DE1">
        <w:rPr>
          <w:rFonts w:cs="Calibri"/>
        </w:rPr>
        <w:t xml:space="preserve">of </w:t>
      </w:r>
      <w:r w:rsidRPr="00E47781">
        <w:rPr>
          <w:rFonts w:cs="Calibri"/>
        </w:rPr>
        <w:t>quality goals</w:t>
      </w:r>
      <w:r>
        <w:rPr>
          <w:rFonts w:cs="Calibri"/>
        </w:rPr>
        <w:t xml:space="preserve"> to inform the</w:t>
      </w:r>
      <w:r w:rsidRPr="002C1AD5">
        <w:rPr>
          <w:rFonts w:cs="Calibri"/>
        </w:rPr>
        <w:t xml:space="preserve"> development, implementation, and oversight of quality across MassHealth programs.  In addition, MassHealth programs identified key activities that </w:t>
      </w:r>
      <w:r w:rsidR="004D301F">
        <w:rPr>
          <w:rFonts w:cs="Calibri"/>
        </w:rPr>
        <w:t>serve as examples of work that is being</w:t>
      </w:r>
      <w:r w:rsidRPr="002C1AD5">
        <w:rPr>
          <w:rFonts w:cs="Calibri"/>
        </w:rPr>
        <w:t xml:space="preserve"> conducted in sup</w:t>
      </w:r>
      <w:r w:rsidR="004D301F">
        <w:rPr>
          <w:rFonts w:cs="Calibri"/>
        </w:rPr>
        <w:t xml:space="preserve">port of these goals. </w:t>
      </w:r>
      <w:r w:rsidR="008B7964">
        <w:rPr>
          <w:rFonts w:cs="Calibri"/>
        </w:rPr>
        <w:t xml:space="preserve">They are meant to provide a snapshot of key activities, rather than a comprehensive list. </w:t>
      </w:r>
      <w:r w:rsidR="00DF7733">
        <w:rPr>
          <w:rFonts w:cs="Calibri"/>
        </w:rPr>
        <w:t xml:space="preserve">Some activities may </w:t>
      </w:r>
      <w:r w:rsidR="008B7964">
        <w:rPr>
          <w:rFonts w:cs="Calibri"/>
        </w:rPr>
        <w:t>support</w:t>
      </w:r>
      <w:r w:rsidR="00DF7733">
        <w:rPr>
          <w:rFonts w:cs="Calibri"/>
        </w:rPr>
        <w:t xml:space="preserve"> more than one goal</w:t>
      </w:r>
      <w:r w:rsidR="008B7964">
        <w:rPr>
          <w:rFonts w:cs="Calibri"/>
        </w:rPr>
        <w:t xml:space="preserve">. </w:t>
      </w:r>
    </w:p>
    <w:p w14:paraId="2C0A765E" w14:textId="77777777" w:rsidR="00884939" w:rsidRDefault="00941F19" w:rsidP="00914EA4">
      <w:r>
        <w:t xml:space="preserve">The overarching </w:t>
      </w:r>
      <w:r w:rsidR="00914EA4">
        <w:t>M</w:t>
      </w:r>
      <w:r>
        <w:t xml:space="preserve">assHealth Quality Goals, </w:t>
      </w:r>
      <w:r w:rsidR="00914EA4">
        <w:t xml:space="preserve">in addition to associated </w:t>
      </w:r>
      <w:r w:rsidR="003B4CFE">
        <w:t>agency</w:t>
      </w:r>
      <w:r w:rsidR="00914EA4">
        <w:t xml:space="preserve">-wide </w:t>
      </w:r>
      <w:r w:rsidR="002C1AD5">
        <w:t xml:space="preserve">objectives and activities, </w:t>
      </w:r>
      <w:r>
        <w:t xml:space="preserve">are identified in </w:t>
      </w:r>
      <w:r>
        <w:fldChar w:fldCharType="begin"/>
      </w:r>
      <w:r>
        <w:instrText xml:space="preserve"> REF _Ref521585961 \h </w:instrText>
      </w:r>
      <w:r>
        <w:fldChar w:fldCharType="separate"/>
      </w:r>
      <w:r w:rsidR="00207DB8">
        <w:t xml:space="preserve">Table </w:t>
      </w:r>
      <w:r w:rsidR="00207DB8">
        <w:rPr>
          <w:noProof/>
        </w:rPr>
        <w:t>3</w:t>
      </w:r>
      <w:r w:rsidR="00207DB8">
        <w:t>: MassHealth Quality Goals, Objectives and Activities</w:t>
      </w:r>
      <w:r>
        <w:fldChar w:fldCharType="end"/>
      </w:r>
      <w:r w:rsidR="001D338A">
        <w:t xml:space="preserve"> These goals, </w:t>
      </w:r>
      <w:r w:rsidR="00453640">
        <w:t>objectives</w:t>
      </w:r>
      <w:r w:rsidR="001D338A">
        <w:t xml:space="preserve"> and activities</w:t>
      </w:r>
      <w:r w:rsidR="00453640">
        <w:t xml:space="preserve"> </w:t>
      </w:r>
      <w:r w:rsidR="00BC317F">
        <w:t>are the</w:t>
      </w:r>
      <w:r w:rsidR="001451B0">
        <w:t xml:space="preserve"> </w:t>
      </w:r>
      <w:r w:rsidR="00914EA4">
        <w:t xml:space="preserve">framework through which Massachusetts conceives of and executes its vision for </w:t>
      </w:r>
      <w:r>
        <w:t>advancing the</w:t>
      </w:r>
      <w:r w:rsidR="00914EA4" w:rsidRPr="00C76441">
        <w:rPr>
          <w:rFonts w:cs="Calibri"/>
        </w:rPr>
        <w:t xml:space="preserve"> Triple Aim of “better health,</w:t>
      </w:r>
      <w:r w:rsidR="00914EA4">
        <w:rPr>
          <w:rFonts w:cs="Calibri"/>
        </w:rPr>
        <w:t xml:space="preserve"> better healthcare, </w:t>
      </w:r>
      <w:r w:rsidR="002C1AD5">
        <w:rPr>
          <w:rFonts w:cs="Calibri"/>
        </w:rPr>
        <w:t>and lower</w:t>
      </w:r>
      <w:r w:rsidR="00914EA4">
        <w:rPr>
          <w:rFonts w:cs="Calibri"/>
        </w:rPr>
        <w:t xml:space="preserve"> cost.”</w:t>
      </w:r>
    </w:p>
    <w:p w14:paraId="286BB018" w14:textId="77777777" w:rsidR="00914EA4" w:rsidRDefault="001D338A" w:rsidP="001D338A">
      <w:pPr>
        <w:pStyle w:val="Caption"/>
      </w:pPr>
      <w:bookmarkStart w:id="51" w:name="_Ref521585961"/>
      <w:r>
        <w:t xml:space="preserve">Table </w:t>
      </w:r>
      <w:r w:rsidR="00CB5E77">
        <w:rPr>
          <w:noProof/>
        </w:rPr>
        <w:fldChar w:fldCharType="begin"/>
      </w:r>
      <w:r w:rsidR="00CB5E77">
        <w:rPr>
          <w:noProof/>
        </w:rPr>
        <w:instrText xml:space="preserve"> SEQ Table \* ARABIC </w:instrText>
      </w:r>
      <w:r w:rsidR="00CB5E77">
        <w:rPr>
          <w:noProof/>
        </w:rPr>
        <w:fldChar w:fldCharType="separate"/>
      </w:r>
      <w:r w:rsidR="00207DB8">
        <w:rPr>
          <w:noProof/>
        </w:rPr>
        <w:t>3</w:t>
      </w:r>
      <w:r w:rsidR="00CB5E77">
        <w:rPr>
          <w:noProof/>
        </w:rPr>
        <w:fldChar w:fldCharType="end"/>
      </w:r>
      <w:r>
        <w:t xml:space="preserve">: </w:t>
      </w:r>
      <w:r w:rsidR="00914EA4">
        <w:t>MassHealth Quality Goals, Objectives and Activities</w:t>
      </w:r>
      <w:bookmarkEnd w:id="51"/>
    </w:p>
    <w:tbl>
      <w:tblPr>
        <w:tblStyle w:val="TableGrid2"/>
        <w:tblW w:w="0" w:type="auto"/>
        <w:tblLook w:val="04A0" w:firstRow="1" w:lastRow="0" w:firstColumn="1" w:lastColumn="0" w:noHBand="0" w:noVBand="1"/>
      </w:tblPr>
      <w:tblGrid>
        <w:gridCol w:w="3192"/>
        <w:gridCol w:w="3192"/>
        <w:gridCol w:w="3192"/>
      </w:tblGrid>
      <w:tr w:rsidR="00720C85" w:rsidRPr="00720C85" w14:paraId="21A89906" w14:textId="77777777" w:rsidTr="00720C85">
        <w:tc>
          <w:tcPr>
            <w:tcW w:w="3192" w:type="dxa"/>
            <w:shd w:val="clear" w:color="auto" w:fill="17365D" w:themeFill="text2" w:themeFillShade="BF"/>
          </w:tcPr>
          <w:p w14:paraId="464F482F" w14:textId="77777777" w:rsidR="00720C85" w:rsidRPr="00720C85" w:rsidRDefault="00720C85" w:rsidP="00720C85">
            <w:pPr>
              <w:spacing w:after="0"/>
              <w:jc w:val="center"/>
              <w:rPr>
                <w:b/>
                <w:color w:val="FFFFFF" w:themeColor="background1"/>
                <w:sz w:val="28"/>
              </w:rPr>
            </w:pPr>
            <w:r w:rsidRPr="00720C85">
              <w:rPr>
                <w:b/>
                <w:color w:val="FFFFFF" w:themeColor="background1"/>
                <w:sz w:val="28"/>
              </w:rPr>
              <w:t>Quality Goal</w:t>
            </w:r>
          </w:p>
        </w:tc>
        <w:tc>
          <w:tcPr>
            <w:tcW w:w="3192" w:type="dxa"/>
            <w:shd w:val="clear" w:color="auto" w:fill="17365D" w:themeFill="text2" w:themeFillShade="BF"/>
          </w:tcPr>
          <w:p w14:paraId="6A910724" w14:textId="77777777" w:rsidR="00720C85" w:rsidRPr="00720C85" w:rsidRDefault="00720C85" w:rsidP="00720C85">
            <w:pPr>
              <w:spacing w:after="0"/>
              <w:jc w:val="center"/>
              <w:rPr>
                <w:b/>
                <w:color w:val="FFFFFF" w:themeColor="background1"/>
                <w:sz w:val="28"/>
              </w:rPr>
            </w:pPr>
            <w:r w:rsidRPr="00720C85">
              <w:rPr>
                <w:b/>
                <w:color w:val="FFFFFF" w:themeColor="background1"/>
                <w:sz w:val="28"/>
              </w:rPr>
              <w:t>Objectives</w:t>
            </w:r>
          </w:p>
        </w:tc>
        <w:tc>
          <w:tcPr>
            <w:tcW w:w="3192" w:type="dxa"/>
            <w:shd w:val="clear" w:color="auto" w:fill="17365D" w:themeFill="text2" w:themeFillShade="BF"/>
          </w:tcPr>
          <w:p w14:paraId="58CBE8A3" w14:textId="77777777" w:rsidR="00720C85" w:rsidRPr="00720C85" w:rsidRDefault="00720C85" w:rsidP="00720C85">
            <w:pPr>
              <w:spacing w:after="0"/>
              <w:jc w:val="center"/>
              <w:rPr>
                <w:b/>
                <w:color w:val="FFFFFF" w:themeColor="background1"/>
                <w:sz w:val="28"/>
              </w:rPr>
            </w:pPr>
            <w:r w:rsidRPr="00720C85">
              <w:rPr>
                <w:b/>
                <w:color w:val="FFFFFF" w:themeColor="background1"/>
                <w:sz w:val="28"/>
              </w:rPr>
              <w:t>Activities</w:t>
            </w:r>
            <w:r w:rsidR="00E30EC8">
              <w:rPr>
                <w:b/>
                <w:color w:val="FFFFFF" w:themeColor="background1"/>
                <w:sz w:val="28"/>
              </w:rPr>
              <w:t xml:space="preserve"> (Examples)</w:t>
            </w:r>
          </w:p>
        </w:tc>
      </w:tr>
      <w:tr w:rsidR="00720C85" w:rsidRPr="00720C85" w14:paraId="0811BEFE" w14:textId="77777777" w:rsidTr="00953FB8">
        <w:tc>
          <w:tcPr>
            <w:tcW w:w="3192" w:type="dxa"/>
            <w:shd w:val="clear" w:color="auto" w:fill="8DB3E2" w:themeFill="text2" w:themeFillTint="66"/>
          </w:tcPr>
          <w:p w14:paraId="5C032C8E" w14:textId="77777777" w:rsidR="00720C85" w:rsidRPr="00720C85" w:rsidRDefault="00720C85" w:rsidP="001451B0">
            <w:pPr>
              <w:spacing w:after="0"/>
              <w:rPr>
                <w:b/>
              </w:rPr>
            </w:pPr>
            <w:r w:rsidRPr="00720C85">
              <w:rPr>
                <w:b/>
              </w:rPr>
              <w:t xml:space="preserve">1. Transform to a </w:t>
            </w:r>
            <w:r w:rsidR="001451B0">
              <w:rPr>
                <w:b/>
              </w:rPr>
              <w:t>member</w:t>
            </w:r>
            <w:r w:rsidRPr="00720C85">
              <w:rPr>
                <w:b/>
              </w:rPr>
              <w:t>-centered culture of care focused on engaging members in their health</w:t>
            </w:r>
          </w:p>
        </w:tc>
        <w:tc>
          <w:tcPr>
            <w:tcW w:w="3192" w:type="dxa"/>
            <w:shd w:val="clear" w:color="auto" w:fill="auto"/>
          </w:tcPr>
          <w:p w14:paraId="00D13854" w14:textId="77777777" w:rsidR="00720C85" w:rsidRPr="00720C85" w:rsidRDefault="00720C85" w:rsidP="00720C85">
            <w:pPr>
              <w:spacing w:after="0"/>
            </w:pPr>
            <w:r w:rsidRPr="00720C85">
              <w:t>1.1 Ensure the delivery of information that is clear, engaging, timely, accessible, and culturally and linguistically appropriate to our members and providers</w:t>
            </w:r>
          </w:p>
          <w:p w14:paraId="756AA1D7" w14:textId="77777777" w:rsidR="00720C85" w:rsidRPr="00720C85" w:rsidRDefault="00720C85" w:rsidP="00720C85">
            <w:pPr>
              <w:spacing w:after="0"/>
            </w:pPr>
          </w:p>
          <w:p w14:paraId="16CF9F35" w14:textId="77777777" w:rsidR="00720C85" w:rsidRPr="00720C85" w:rsidRDefault="00720C85" w:rsidP="00720C85">
            <w:pPr>
              <w:spacing w:after="0"/>
            </w:pPr>
          </w:p>
          <w:p w14:paraId="361B7B10" w14:textId="77777777" w:rsidR="00720C85" w:rsidRPr="00720C85" w:rsidRDefault="00720C85" w:rsidP="00720C85">
            <w:pPr>
              <w:spacing w:after="0"/>
            </w:pPr>
            <w:r w:rsidRPr="00720C85">
              <w:t>1.2 Solicit regular member and provider feedback to drive process improvement and report back lessons learned and next steps</w:t>
            </w:r>
          </w:p>
        </w:tc>
        <w:tc>
          <w:tcPr>
            <w:tcW w:w="3192" w:type="dxa"/>
            <w:shd w:val="clear" w:color="auto" w:fill="auto"/>
          </w:tcPr>
          <w:p w14:paraId="574CE13D" w14:textId="77777777" w:rsidR="00720C85" w:rsidRPr="00720C85" w:rsidRDefault="008B7964" w:rsidP="009729DB">
            <w:pPr>
              <w:numPr>
                <w:ilvl w:val="0"/>
                <w:numId w:val="19"/>
              </w:numPr>
              <w:spacing w:after="0"/>
              <w:ind w:left="360"/>
              <w:contextualSpacing/>
            </w:pPr>
            <w:r>
              <w:t>Facilitate a d</w:t>
            </w:r>
            <w:r w:rsidR="00720C85" w:rsidRPr="00720C85">
              <w:t xml:space="preserve">edicated workgroup focused on Medical and Diagnostic Accessibility </w:t>
            </w:r>
          </w:p>
          <w:p w14:paraId="3B69C57D" w14:textId="77777777" w:rsidR="00720C85" w:rsidRPr="00720C85" w:rsidRDefault="00720C85" w:rsidP="009729DB">
            <w:pPr>
              <w:numPr>
                <w:ilvl w:val="0"/>
                <w:numId w:val="19"/>
              </w:numPr>
              <w:spacing w:after="0"/>
              <w:ind w:left="360"/>
              <w:contextualSpacing/>
            </w:pPr>
            <w:r w:rsidRPr="00720C85">
              <w:t>Measure</w:t>
            </w:r>
            <w:r w:rsidR="004D301F">
              <w:t xml:space="preserve"> </w:t>
            </w:r>
            <w:r w:rsidRPr="00720C85">
              <w:t xml:space="preserve">member experience </w:t>
            </w:r>
          </w:p>
          <w:p w14:paraId="63CA2E90" w14:textId="77777777" w:rsidR="008B7964" w:rsidRPr="00720C85" w:rsidRDefault="008B7964" w:rsidP="009729DB">
            <w:pPr>
              <w:numPr>
                <w:ilvl w:val="0"/>
                <w:numId w:val="19"/>
              </w:numPr>
              <w:spacing w:after="0"/>
              <w:ind w:left="360"/>
              <w:contextualSpacing/>
            </w:pPr>
            <w:r>
              <w:t>Provide d</w:t>
            </w:r>
            <w:r w:rsidRPr="00720C85">
              <w:t>isability</w:t>
            </w:r>
            <w:r>
              <w:t xml:space="preserve"> access </w:t>
            </w:r>
            <w:r w:rsidRPr="00720C85">
              <w:t xml:space="preserve">incentive payments aimed to improve accessibility for medical and diagnostic equipment for members with disabilities (438.6c) </w:t>
            </w:r>
          </w:p>
          <w:p w14:paraId="5E694891" w14:textId="77777777" w:rsidR="00720C85" w:rsidRPr="00720C85" w:rsidRDefault="00720C85" w:rsidP="00720C85">
            <w:pPr>
              <w:spacing w:after="0"/>
              <w:ind w:left="360"/>
              <w:contextualSpacing/>
            </w:pPr>
          </w:p>
        </w:tc>
      </w:tr>
      <w:tr w:rsidR="00720C85" w:rsidRPr="00720C85" w14:paraId="34F89E9D" w14:textId="77777777" w:rsidTr="00953FB8">
        <w:tc>
          <w:tcPr>
            <w:tcW w:w="3192" w:type="dxa"/>
            <w:shd w:val="clear" w:color="auto" w:fill="8DB3E2" w:themeFill="text2" w:themeFillTint="66"/>
          </w:tcPr>
          <w:p w14:paraId="2BD8C15C" w14:textId="77777777" w:rsidR="00720C85" w:rsidRPr="00720C85" w:rsidRDefault="00720C85" w:rsidP="00720C85">
            <w:pPr>
              <w:spacing w:after="0"/>
              <w:rPr>
                <w:b/>
              </w:rPr>
            </w:pPr>
            <w:r w:rsidRPr="00720C85">
              <w:rPr>
                <w:b/>
              </w:rPr>
              <w:t xml:space="preserve">2. Improve communication, coordination and care </w:t>
            </w:r>
            <w:r w:rsidRPr="00720C85">
              <w:rPr>
                <w:b/>
              </w:rPr>
              <w:lastRenderedPageBreak/>
              <w:t>integration</w:t>
            </w:r>
          </w:p>
          <w:p w14:paraId="357EAAE8" w14:textId="77777777" w:rsidR="00720C85" w:rsidRPr="00720C85" w:rsidRDefault="00720C85" w:rsidP="00720C85">
            <w:pPr>
              <w:spacing w:after="0"/>
              <w:rPr>
                <w:b/>
              </w:rPr>
            </w:pPr>
          </w:p>
        </w:tc>
        <w:tc>
          <w:tcPr>
            <w:tcW w:w="3192" w:type="dxa"/>
            <w:shd w:val="clear" w:color="auto" w:fill="DBE5F1" w:themeFill="accent1" w:themeFillTint="33"/>
          </w:tcPr>
          <w:p w14:paraId="576F60DE" w14:textId="77777777" w:rsidR="00720C85" w:rsidRPr="00720C85" w:rsidRDefault="00720C85" w:rsidP="00720C85">
            <w:pPr>
              <w:spacing w:after="0"/>
            </w:pPr>
            <w:r w:rsidRPr="00720C85">
              <w:lastRenderedPageBreak/>
              <w:t xml:space="preserve"> 2.1 Enact payment and delivery system reforms that promote </w:t>
            </w:r>
            <w:r w:rsidRPr="00720C85">
              <w:lastRenderedPageBreak/>
              <w:t>integrated, coordinated care and hold providers accountable for the quality and total cost of care</w:t>
            </w:r>
          </w:p>
          <w:p w14:paraId="66E415A3" w14:textId="77777777" w:rsidR="00720C85" w:rsidRPr="00720C85" w:rsidRDefault="00720C85" w:rsidP="00720C85">
            <w:pPr>
              <w:spacing w:after="0"/>
            </w:pPr>
          </w:p>
          <w:p w14:paraId="571F0B1F" w14:textId="77777777" w:rsidR="00720C85" w:rsidRDefault="00720C85" w:rsidP="00720C85">
            <w:pPr>
              <w:spacing w:after="0"/>
            </w:pPr>
            <w:r w:rsidRPr="00720C85">
              <w:t xml:space="preserve">2.2 Ensure care coordination is seamless and easy to navigate from a member perspective. </w:t>
            </w:r>
          </w:p>
          <w:p w14:paraId="5CFA763B" w14:textId="77777777" w:rsidR="00EB5885" w:rsidRDefault="00EB5885" w:rsidP="00720C85">
            <w:pPr>
              <w:spacing w:after="0"/>
            </w:pPr>
          </w:p>
          <w:p w14:paraId="0F96AAB3" w14:textId="77777777" w:rsidR="00EB5885" w:rsidRPr="00720C85" w:rsidRDefault="00EB5885" w:rsidP="00720C85">
            <w:pPr>
              <w:spacing w:after="0"/>
            </w:pPr>
            <w:r>
              <w:t xml:space="preserve">2.3 </w:t>
            </w:r>
            <w:r w:rsidRPr="00EB5885">
              <w:t>Implement delivery system and provide</w:t>
            </w:r>
            <w:r w:rsidR="00555704">
              <w:t>r payment initiatives under MCO or</w:t>
            </w:r>
            <w:r w:rsidRPr="00EB5885">
              <w:t xml:space="preserve"> PIHP contracts.</w:t>
            </w:r>
          </w:p>
          <w:p w14:paraId="221F52C5" w14:textId="77777777" w:rsidR="00720C85" w:rsidRPr="00720C85" w:rsidRDefault="00720C85" w:rsidP="00720C85">
            <w:pPr>
              <w:spacing w:after="0"/>
            </w:pPr>
          </w:p>
        </w:tc>
        <w:tc>
          <w:tcPr>
            <w:tcW w:w="3192" w:type="dxa"/>
            <w:shd w:val="clear" w:color="auto" w:fill="DBE5F1" w:themeFill="accent1" w:themeFillTint="33"/>
          </w:tcPr>
          <w:p w14:paraId="26B71CD2" w14:textId="77777777" w:rsidR="00720C85" w:rsidRPr="00720C85" w:rsidRDefault="008B7964" w:rsidP="009729DB">
            <w:pPr>
              <w:numPr>
                <w:ilvl w:val="0"/>
                <w:numId w:val="19"/>
              </w:numPr>
              <w:spacing w:after="0"/>
              <w:ind w:left="360"/>
              <w:contextualSpacing/>
            </w:pPr>
            <w:r>
              <w:lastRenderedPageBreak/>
              <w:t>Implement p</w:t>
            </w:r>
            <w:r w:rsidR="00720C85" w:rsidRPr="00720C85">
              <w:t>ay-for-reporting</w:t>
            </w:r>
            <w:r w:rsidR="005925A8">
              <w:t xml:space="preserve"> for the following activities: </w:t>
            </w:r>
            <w:r w:rsidR="00700901">
              <w:lastRenderedPageBreak/>
              <w:t>C</w:t>
            </w:r>
            <w:r w:rsidR="00720C85" w:rsidRPr="00720C85">
              <w:t xml:space="preserve">are plan coordination, comprehensive assessment, health-related social service assessment (ACO) </w:t>
            </w:r>
          </w:p>
          <w:p w14:paraId="59D9622E" w14:textId="77777777" w:rsidR="00720C85" w:rsidRPr="00720C85" w:rsidRDefault="00720C85" w:rsidP="009729DB">
            <w:pPr>
              <w:numPr>
                <w:ilvl w:val="0"/>
                <w:numId w:val="19"/>
              </w:numPr>
              <w:spacing w:after="0"/>
              <w:ind w:left="360"/>
              <w:contextualSpacing/>
            </w:pPr>
            <w:r w:rsidRPr="00720C85">
              <w:t>Inclu</w:t>
            </w:r>
            <w:r w:rsidR="008B7964">
              <w:t>de</w:t>
            </w:r>
            <w:r w:rsidRPr="00720C85">
              <w:t xml:space="preserve"> community health workers as part of </w:t>
            </w:r>
            <w:r w:rsidR="006B4FBC">
              <w:t>the BH Plan</w:t>
            </w:r>
            <w:r w:rsidRPr="00720C85">
              <w:t xml:space="preserve"> staffing in PCC Practices </w:t>
            </w:r>
          </w:p>
          <w:p w14:paraId="039859E7" w14:textId="77777777" w:rsidR="00720C85" w:rsidRPr="00720C85" w:rsidRDefault="008B7964" w:rsidP="009729DB">
            <w:pPr>
              <w:numPr>
                <w:ilvl w:val="0"/>
                <w:numId w:val="19"/>
              </w:numPr>
              <w:spacing w:after="0"/>
              <w:ind w:left="360"/>
              <w:contextualSpacing/>
            </w:pPr>
            <w:r>
              <w:t>Provide</w:t>
            </w:r>
            <w:r w:rsidRPr="00720C85">
              <w:t xml:space="preserve"> </w:t>
            </w:r>
            <w:r>
              <w:t>c</w:t>
            </w:r>
            <w:r w:rsidR="00720C85" w:rsidRPr="00720C85">
              <w:t>are coordination and case management services to enrollees through plans (</w:t>
            </w:r>
            <w:r w:rsidR="009E6996">
              <w:t>One Care</w:t>
            </w:r>
            <w:r w:rsidR="00720C85" w:rsidRPr="00720C85">
              <w:t xml:space="preserve">) </w:t>
            </w:r>
          </w:p>
          <w:p w14:paraId="06BDA892" w14:textId="77777777" w:rsidR="00720C85" w:rsidRPr="00720C85" w:rsidRDefault="00720C85" w:rsidP="00720C85">
            <w:pPr>
              <w:spacing w:after="0"/>
            </w:pPr>
          </w:p>
        </w:tc>
      </w:tr>
      <w:tr w:rsidR="00720C85" w:rsidRPr="00720C85" w14:paraId="15277E72" w14:textId="77777777" w:rsidTr="00953FB8">
        <w:tc>
          <w:tcPr>
            <w:tcW w:w="3192" w:type="dxa"/>
            <w:shd w:val="clear" w:color="auto" w:fill="8DB3E2" w:themeFill="text2" w:themeFillTint="66"/>
          </w:tcPr>
          <w:p w14:paraId="40E9C201" w14:textId="77777777" w:rsidR="00720C85" w:rsidRPr="00720C85" w:rsidRDefault="00720C85" w:rsidP="00700901">
            <w:pPr>
              <w:spacing w:after="0"/>
              <w:rPr>
                <w:b/>
              </w:rPr>
            </w:pPr>
            <w:r w:rsidRPr="00720C85">
              <w:rPr>
                <w:b/>
              </w:rPr>
              <w:lastRenderedPageBreak/>
              <w:t xml:space="preserve">3. </w:t>
            </w:r>
            <w:r w:rsidR="00700901">
              <w:rPr>
                <w:rFonts w:cs="Calibri"/>
                <w:b/>
              </w:rPr>
              <w:t xml:space="preserve">Focus on </w:t>
            </w:r>
            <w:r w:rsidRPr="00720C85">
              <w:rPr>
                <w:rFonts w:cs="Calibri"/>
                <w:b/>
              </w:rPr>
              <w:t xml:space="preserve"> preventative, patient-centered primary care, and community-based services and supports</w:t>
            </w:r>
          </w:p>
        </w:tc>
        <w:tc>
          <w:tcPr>
            <w:tcW w:w="3192" w:type="dxa"/>
            <w:shd w:val="clear" w:color="auto" w:fill="auto"/>
          </w:tcPr>
          <w:p w14:paraId="62C47974" w14:textId="77777777" w:rsidR="00720C85" w:rsidRPr="00720C85" w:rsidRDefault="00720C85" w:rsidP="00720C85">
            <w:pPr>
              <w:spacing w:after="0"/>
            </w:pPr>
            <w:r w:rsidRPr="00720C85">
              <w:t xml:space="preserve">3.1 Ensure that members will have access to an interdisciplinary care team,        including appropriate representation from community-based </w:t>
            </w:r>
            <w:r w:rsidR="004E5D36">
              <w:t>BH</w:t>
            </w:r>
            <w:r w:rsidRPr="00720C85">
              <w:t xml:space="preserve"> and LTSS providers.</w:t>
            </w:r>
          </w:p>
          <w:p w14:paraId="26742FDC" w14:textId="77777777" w:rsidR="00720C85" w:rsidRPr="00720C85" w:rsidRDefault="00720C85" w:rsidP="00720C85">
            <w:pPr>
              <w:spacing w:after="0"/>
            </w:pPr>
          </w:p>
          <w:p w14:paraId="525CC0CB" w14:textId="77777777" w:rsidR="00720C85" w:rsidRPr="00720C85" w:rsidRDefault="00720C85" w:rsidP="00720C85">
            <w:pPr>
              <w:spacing w:after="0"/>
            </w:pPr>
            <w:r w:rsidRPr="00720C85">
              <w:t>3.2 Engage community-based organizations in partnerships to better communicate with our members and to improve member access</w:t>
            </w:r>
          </w:p>
          <w:p w14:paraId="4B5D1C96" w14:textId="77777777" w:rsidR="00720C85" w:rsidRPr="00720C85" w:rsidRDefault="00720C85" w:rsidP="00720C85">
            <w:pPr>
              <w:spacing w:after="0"/>
            </w:pPr>
          </w:p>
        </w:tc>
        <w:tc>
          <w:tcPr>
            <w:tcW w:w="3192" w:type="dxa"/>
            <w:shd w:val="clear" w:color="auto" w:fill="auto"/>
          </w:tcPr>
          <w:p w14:paraId="4E1E9576" w14:textId="77777777" w:rsidR="00720C85" w:rsidRPr="00720C85" w:rsidRDefault="008B7964" w:rsidP="009729DB">
            <w:pPr>
              <w:numPr>
                <w:ilvl w:val="0"/>
                <w:numId w:val="20"/>
              </w:numPr>
              <w:spacing w:after="0"/>
              <w:ind w:left="360"/>
              <w:contextualSpacing/>
            </w:pPr>
            <w:r>
              <w:t>Implement i</w:t>
            </w:r>
            <w:r w:rsidR="00720C85" w:rsidRPr="00720C85">
              <w:t xml:space="preserve">ntegrated Care and </w:t>
            </w:r>
            <w:r w:rsidR="004E5D36">
              <w:t>BH</w:t>
            </w:r>
            <w:r w:rsidR="00720C85" w:rsidRPr="00720C85">
              <w:t xml:space="preserve"> Quality Incentive payments to improve integration of for primary care members, and those receiving </w:t>
            </w:r>
            <w:r w:rsidR="004E5D36">
              <w:t>BH</w:t>
            </w:r>
            <w:r w:rsidR="00720C85" w:rsidRPr="00720C85">
              <w:t xml:space="preserve"> services, respectively  </w:t>
            </w:r>
          </w:p>
          <w:p w14:paraId="0658AA16" w14:textId="77777777" w:rsidR="00720C85" w:rsidRPr="00720C85" w:rsidRDefault="008B7964" w:rsidP="009729DB">
            <w:pPr>
              <w:numPr>
                <w:ilvl w:val="0"/>
                <w:numId w:val="20"/>
              </w:numPr>
              <w:spacing w:after="0"/>
              <w:ind w:left="360"/>
              <w:contextualSpacing/>
            </w:pPr>
            <w:r>
              <w:t>Require i</w:t>
            </w:r>
            <w:r w:rsidR="00720C85" w:rsidRPr="00720C85">
              <w:t xml:space="preserve">nterdisciplinary care teams include input from </w:t>
            </w:r>
            <w:r w:rsidR="004E5D36">
              <w:t>BH</w:t>
            </w:r>
            <w:r w:rsidR="00720C85" w:rsidRPr="00720C85">
              <w:t xml:space="preserve"> providers </w:t>
            </w:r>
          </w:p>
          <w:p w14:paraId="1281B5C8" w14:textId="77777777" w:rsidR="00720C85" w:rsidRPr="001F35EB" w:rsidRDefault="008B7964" w:rsidP="001F35EB">
            <w:pPr>
              <w:numPr>
                <w:ilvl w:val="0"/>
                <w:numId w:val="20"/>
              </w:numPr>
              <w:spacing w:after="0"/>
              <w:ind w:left="360"/>
              <w:contextualSpacing/>
            </w:pPr>
            <w:r>
              <w:t xml:space="preserve">Require </w:t>
            </w:r>
            <w:r w:rsidR="00720C85" w:rsidRPr="00720C85">
              <w:t>ACOs and Commun</w:t>
            </w:r>
            <w:r w:rsidR="00872C45">
              <w:t>ity Partners to report on and n</w:t>
            </w:r>
            <w:r w:rsidR="00720C85" w:rsidRPr="00720C85">
              <w:t>umerous metrics related to BH, SUD, and integration</w:t>
            </w:r>
            <w:r w:rsidRPr="00720C85">
              <w:t xml:space="preserve"> </w:t>
            </w:r>
            <w:r>
              <w:t xml:space="preserve">that </w:t>
            </w:r>
            <w:r w:rsidRPr="00720C85">
              <w:t>may qualify for shared savings</w:t>
            </w:r>
            <w:r w:rsidR="00720C85" w:rsidRPr="00720C85">
              <w:t>.</w:t>
            </w:r>
          </w:p>
        </w:tc>
      </w:tr>
      <w:tr w:rsidR="00720C85" w:rsidRPr="00720C85" w14:paraId="38572EC7" w14:textId="77777777" w:rsidTr="00953FB8">
        <w:tc>
          <w:tcPr>
            <w:tcW w:w="3192" w:type="dxa"/>
            <w:shd w:val="clear" w:color="auto" w:fill="8DB3E2" w:themeFill="text2" w:themeFillTint="66"/>
          </w:tcPr>
          <w:p w14:paraId="272A8527" w14:textId="77777777" w:rsidR="00720C85" w:rsidRPr="00720C85" w:rsidRDefault="00720C85" w:rsidP="00720C85">
            <w:pPr>
              <w:spacing w:after="0"/>
              <w:contextualSpacing/>
              <w:rPr>
                <w:b/>
              </w:rPr>
            </w:pPr>
            <w:r w:rsidRPr="00720C85">
              <w:rPr>
                <w:b/>
              </w:rPr>
              <w:t>4. Promote effective prevention and treatment to address chronic diseases or priority conditions</w:t>
            </w:r>
          </w:p>
          <w:p w14:paraId="2542E350" w14:textId="77777777" w:rsidR="00720C85" w:rsidRPr="00720C85" w:rsidRDefault="00720C85" w:rsidP="00720C85">
            <w:pPr>
              <w:spacing w:after="0"/>
              <w:rPr>
                <w:b/>
              </w:rPr>
            </w:pPr>
          </w:p>
        </w:tc>
        <w:tc>
          <w:tcPr>
            <w:tcW w:w="3192" w:type="dxa"/>
            <w:shd w:val="clear" w:color="auto" w:fill="DBE5F1" w:themeFill="accent1" w:themeFillTint="33"/>
          </w:tcPr>
          <w:p w14:paraId="12174C1B" w14:textId="77777777" w:rsidR="00720C85" w:rsidRPr="00720C85" w:rsidRDefault="00720C85" w:rsidP="00720C85">
            <w:pPr>
              <w:spacing w:after="0"/>
            </w:pPr>
            <w:r w:rsidRPr="00720C85">
              <w:t xml:space="preserve">4.1 Improve population health and care coordination through payment reform </w:t>
            </w:r>
          </w:p>
          <w:p w14:paraId="22CF6BB2" w14:textId="77777777" w:rsidR="00720C85" w:rsidRPr="00720C85" w:rsidRDefault="00720C85" w:rsidP="00720C85">
            <w:pPr>
              <w:spacing w:after="0"/>
            </w:pPr>
          </w:p>
          <w:p w14:paraId="0A6354DF" w14:textId="77777777" w:rsidR="00720C85" w:rsidRPr="00720C85" w:rsidRDefault="00720C85" w:rsidP="00720C85">
            <w:pPr>
              <w:spacing w:after="0"/>
            </w:pPr>
            <w:r w:rsidRPr="00720C85">
              <w:t>4.2 Prioritize access to integrated models of care delivery for high-cost members with complex care needs</w:t>
            </w:r>
          </w:p>
          <w:p w14:paraId="1FBBB43F" w14:textId="77777777" w:rsidR="00720C85" w:rsidRPr="00720C85" w:rsidRDefault="00720C85" w:rsidP="00720C85">
            <w:pPr>
              <w:spacing w:after="0"/>
            </w:pPr>
          </w:p>
          <w:p w14:paraId="7EFEA86E" w14:textId="77777777" w:rsidR="00720C85" w:rsidRPr="00720C85" w:rsidRDefault="00720C85" w:rsidP="00720C85">
            <w:pPr>
              <w:spacing w:after="0"/>
            </w:pPr>
            <w:r w:rsidRPr="00720C85">
              <w:t>4.3 Promote active member engagement in the development of their care plan and self-management strategies for chronic diseases</w:t>
            </w:r>
          </w:p>
          <w:p w14:paraId="0A90721C" w14:textId="77777777" w:rsidR="00720C85" w:rsidRPr="00720C85" w:rsidRDefault="00720C85" w:rsidP="00720C85">
            <w:pPr>
              <w:spacing w:after="0"/>
            </w:pPr>
          </w:p>
          <w:p w14:paraId="6276503F" w14:textId="77777777" w:rsidR="00720C85" w:rsidRPr="00720C85" w:rsidRDefault="00720C85" w:rsidP="00720C85">
            <w:pPr>
              <w:spacing w:after="0"/>
            </w:pPr>
            <w:r w:rsidRPr="00720C85">
              <w:t>4.4 Address the opioid addiction crisis by expanding access to a broad spectrum of recovery-oriented substance use</w:t>
            </w:r>
            <w:r w:rsidR="00790B0B">
              <w:t xml:space="preserve"> disorder </w:t>
            </w:r>
            <w:r w:rsidR="00790B0B">
              <w:lastRenderedPageBreak/>
              <w:t>services.</w:t>
            </w:r>
          </w:p>
          <w:p w14:paraId="6FF163F0" w14:textId="77777777" w:rsidR="00720C85" w:rsidRPr="00720C85" w:rsidRDefault="00720C85" w:rsidP="00720C85">
            <w:pPr>
              <w:spacing w:after="0"/>
            </w:pPr>
          </w:p>
        </w:tc>
        <w:tc>
          <w:tcPr>
            <w:tcW w:w="3192" w:type="dxa"/>
            <w:shd w:val="clear" w:color="auto" w:fill="DBE5F1" w:themeFill="accent1" w:themeFillTint="33"/>
          </w:tcPr>
          <w:p w14:paraId="1A93F356" w14:textId="77777777" w:rsidR="00720C85" w:rsidRPr="001F35EB" w:rsidRDefault="008B7964" w:rsidP="001F35EB">
            <w:pPr>
              <w:pStyle w:val="ListParagraph"/>
              <w:numPr>
                <w:ilvl w:val="0"/>
                <w:numId w:val="52"/>
              </w:numPr>
              <w:spacing w:after="0"/>
              <w:ind w:left="366"/>
            </w:pPr>
            <w:r w:rsidRPr="001F35EB">
              <w:lastRenderedPageBreak/>
              <w:t xml:space="preserve">Require </w:t>
            </w:r>
            <w:r w:rsidR="00720C85" w:rsidRPr="001F35EB">
              <w:t>ACO report</w:t>
            </w:r>
            <w:r w:rsidR="00700901" w:rsidRPr="001F35EB">
              <w:t>ing</w:t>
            </w:r>
            <w:r w:rsidR="00720C85" w:rsidRPr="001F35EB">
              <w:t xml:space="preserve"> </w:t>
            </w:r>
            <w:r w:rsidR="00700901" w:rsidRPr="001F35EB">
              <w:t xml:space="preserve">and performance </w:t>
            </w:r>
            <w:r w:rsidR="00720C85" w:rsidRPr="001F35EB">
              <w:t xml:space="preserve">on Prevention and Wellness and Chronic Disease Management </w:t>
            </w:r>
          </w:p>
          <w:p w14:paraId="38EAFB8A" w14:textId="77777777" w:rsidR="00720C85" w:rsidRPr="00720C85" w:rsidRDefault="008B7964" w:rsidP="00D45B23">
            <w:pPr>
              <w:numPr>
                <w:ilvl w:val="0"/>
                <w:numId w:val="21"/>
              </w:numPr>
              <w:spacing w:after="0"/>
              <w:ind w:left="366"/>
              <w:contextualSpacing/>
            </w:pPr>
            <w:r>
              <w:t>Expand</w:t>
            </w:r>
            <w:r w:rsidRPr="00720C85">
              <w:t xml:space="preserve"> </w:t>
            </w:r>
            <w:r w:rsidR="00720C85" w:rsidRPr="00720C85">
              <w:t xml:space="preserve">practice-based and plan-based care management via </w:t>
            </w:r>
            <w:r>
              <w:t>BH Plan</w:t>
            </w:r>
            <w:r w:rsidR="00720C85" w:rsidRPr="00720C85">
              <w:t xml:space="preserve"> contract </w:t>
            </w:r>
          </w:p>
          <w:p w14:paraId="29C0BA0C" w14:textId="77777777" w:rsidR="00720C85" w:rsidRPr="00720C85" w:rsidRDefault="008B7964" w:rsidP="00D45B23">
            <w:pPr>
              <w:numPr>
                <w:ilvl w:val="0"/>
                <w:numId w:val="21"/>
              </w:numPr>
              <w:spacing w:after="0"/>
              <w:ind w:left="366"/>
              <w:contextualSpacing/>
            </w:pPr>
            <w:r>
              <w:t>Focus q</w:t>
            </w:r>
            <w:r w:rsidR="00720C85" w:rsidRPr="00720C85">
              <w:t xml:space="preserve">uality improvement activities on chronic disease management and </w:t>
            </w:r>
            <w:r w:rsidR="004E5D36">
              <w:t>BH</w:t>
            </w:r>
            <w:r w:rsidR="00720C85" w:rsidRPr="00720C85">
              <w:t xml:space="preserve"> (SCO, ACO, MCO, </w:t>
            </w:r>
            <w:r w:rsidR="009E6996">
              <w:t>One Care</w:t>
            </w:r>
            <w:r w:rsidR="00720C85" w:rsidRPr="00720C85">
              <w:t xml:space="preserve">, </w:t>
            </w:r>
            <w:r w:rsidR="00255840">
              <w:t>the BH p</w:t>
            </w:r>
            <w:r w:rsidR="006B4FBC">
              <w:t>lan.</w:t>
            </w:r>
            <w:r w:rsidR="00720C85" w:rsidRPr="00720C85">
              <w:t xml:space="preserve">) </w:t>
            </w:r>
          </w:p>
          <w:p w14:paraId="61AE1AD3" w14:textId="77777777" w:rsidR="00D45B23" w:rsidRPr="00720C85" w:rsidRDefault="00D45B23" w:rsidP="00D45B23">
            <w:pPr>
              <w:numPr>
                <w:ilvl w:val="0"/>
                <w:numId w:val="21"/>
              </w:numPr>
              <w:spacing w:after="0"/>
              <w:ind w:left="366"/>
            </w:pPr>
            <w:r w:rsidRPr="00720C85">
              <w:t xml:space="preserve">Implement SUD Waiver to expand residential rehabilitation services, recovery support navigators and peer supports for recovery for individuals with </w:t>
            </w:r>
            <w:r w:rsidRPr="00720C85">
              <w:lastRenderedPageBreak/>
              <w:t xml:space="preserve">substance use disorders </w:t>
            </w:r>
          </w:p>
          <w:p w14:paraId="6F4800E4" w14:textId="77777777" w:rsidR="00720C85" w:rsidRPr="00720C85" w:rsidRDefault="00720C85" w:rsidP="00720C85">
            <w:pPr>
              <w:spacing w:after="0"/>
            </w:pPr>
          </w:p>
        </w:tc>
      </w:tr>
      <w:tr w:rsidR="00720C85" w:rsidRPr="00720C85" w14:paraId="6AC6836A" w14:textId="77777777" w:rsidTr="00953FB8">
        <w:tc>
          <w:tcPr>
            <w:tcW w:w="3192" w:type="dxa"/>
            <w:shd w:val="clear" w:color="auto" w:fill="8DB3E2" w:themeFill="text2" w:themeFillTint="66"/>
          </w:tcPr>
          <w:p w14:paraId="03AA5D31" w14:textId="77777777" w:rsidR="00720C85" w:rsidRPr="00720C85" w:rsidRDefault="00720C85" w:rsidP="00240F6E">
            <w:pPr>
              <w:spacing w:after="0"/>
              <w:rPr>
                <w:b/>
              </w:rPr>
            </w:pPr>
            <w:r w:rsidRPr="00720C85">
              <w:rPr>
                <w:b/>
              </w:rPr>
              <w:lastRenderedPageBreak/>
              <w:t>5. Engage</w:t>
            </w:r>
            <w:r w:rsidR="00210682">
              <w:rPr>
                <w:b/>
              </w:rPr>
              <w:t xml:space="preserve"> communities through</w:t>
            </w:r>
            <w:r w:rsidRPr="00720C85">
              <w:rPr>
                <w:b/>
              </w:rPr>
              <w:t xml:space="preserve"> population h</w:t>
            </w:r>
            <w:r w:rsidR="00210682">
              <w:rPr>
                <w:b/>
              </w:rPr>
              <w:t xml:space="preserve">ealth and best practices for </w:t>
            </w:r>
            <w:r w:rsidR="00240F6E">
              <w:rPr>
                <w:b/>
              </w:rPr>
              <w:t xml:space="preserve">healthy living. </w:t>
            </w:r>
          </w:p>
        </w:tc>
        <w:tc>
          <w:tcPr>
            <w:tcW w:w="3192" w:type="dxa"/>
            <w:shd w:val="clear" w:color="auto" w:fill="auto"/>
          </w:tcPr>
          <w:p w14:paraId="39C5CC8F" w14:textId="77777777" w:rsidR="00720C85" w:rsidRPr="00720C85" w:rsidRDefault="00720C85" w:rsidP="00720C85">
            <w:pPr>
              <w:spacing w:after="0"/>
            </w:pPr>
            <w:r w:rsidRPr="00720C85">
              <w:t>5.1 Address social determinants of health in members’ care.</w:t>
            </w:r>
          </w:p>
          <w:p w14:paraId="744566C8" w14:textId="77777777" w:rsidR="00720C85" w:rsidRPr="00720C85" w:rsidRDefault="00720C85" w:rsidP="00720C85">
            <w:pPr>
              <w:spacing w:after="0"/>
            </w:pPr>
          </w:p>
          <w:p w14:paraId="258508E2" w14:textId="77777777" w:rsidR="00720C85" w:rsidRPr="00720C85" w:rsidRDefault="00720C85" w:rsidP="00720C85">
            <w:pPr>
              <w:spacing w:after="0"/>
            </w:pPr>
            <w:r w:rsidRPr="00720C85">
              <w:t>5.2 Balance the needs of large health systems with those of small community providers.</w:t>
            </w:r>
          </w:p>
        </w:tc>
        <w:tc>
          <w:tcPr>
            <w:tcW w:w="3192" w:type="dxa"/>
            <w:shd w:val="clear" w:color="auto" w:fill="auto"/>
          </w:tcPr>
          <w:p w14:paraId="7BB29440" w14:textId="77777777" w:rsidR="00720C85" w:rsidRDefault="00720C85" w:rsidP="009729DB">
            <w:pPr>
              <w:numPr>
                <w:ilvl w:val="0"/>
                <w:numId w:val="34"/>
              </w:numPr>
              <w:spacing w:after="0"/>
            </w:pPr>
            <w:r w:rsidRPr="00720C85">
              <w:t xml:space="preserve">Develop risk adjustment model for </w:t>
            </w:r>
            <w:r w:rsidR="00755716">
              <w:t>social determinants of health</w:t>
            </w:r>
            <w:r w:rsidR="00755716" w:rsidRPr="00720C85">
              <w:t xml:space="preserve"> </w:t>
            </w:r>
            <w:r w:rsidRPr="00720C85">
              <w:t>for quality measures.</w:t>
            </w:r>
          </w:p>
          <w:p w14:paraId="0CEE4667" w14:textId="77777777" w:rsidR="00EE7001" w:rsidRDefault="00D45B23" w:rsidP="009729DB">
            <w:pPr>
              <w:numPr>
                <w:ilvl w:val="0"/>
                <w:numId w:val="34"/>
              </w:numPr>
              <w:spacing w:after="0"/>
            </w:pPr>
            <w:r>
              <w:t>Require completion of health-related social needs  assessments and measure</w:t>
            </w:r>
            <w:r w:rsidR="00B40CC0">
              <w:t xml:space="preserve"> </w:t>
            </w:r>
            <w:r>
              <w:t xml:space="preserve"> </w:t>
            </w:r>
            <w:r w:rsidR="00B40CC0">
              <w:t xml:space="preserve">completion of assessments </w:t>
            </w:r>
            <w:r>
              <w:t>for quality</w:t>
            </w:r>
            <w:r w:rsidR="00B40CC0">
              <w:t xml:space="preserve"> (ACO and MCO)</w:t>
            </w:r>
          </w:p>
          <w:p w14:paraId="2C0F874E" w14:textId="77777777" w:rsidR="00720C85" w:rsidRPr="0079508F" w:rsidRDefault="00B40CC0" w:rsidP="0079508F">
            <w:pPr>
              <w:pStyle w:val="ListParagraph"/>
              <w:numPr>
                <w:ilvl w:val="0"/>
                <w:numId w:val="34"/>
              </w:numPr>
              <w:spacing w:after="0"/>
            </w:pPr>
            <w:r w:rsidRPr="0079508F">
              <w:t>Implement community partner program to provide BH and LTSS care management</w:t>
            </w:r>
            <w:r w:rsidR="00240F6E">
              <w:t>, support related to health-related social needs, and health and wellness coaching</w:t>
            </w:r>
          </w:p>
        </w:tc>
      </w:tr>
      <w:tr w:rsidR="00720C85" w:rsidRPr="00720C85" w14:paraId="7AAC38F7" w14:textId="77777777" w:rsidTr="00953FB8">
        <w:tc>
          <w:tcPr>
            <w:tcW w:w="3192" w:type="dxa"/>
            <w:shd w:val="clear" w:color="auto" w:fill="8DB3E2" w:themeFill="text2" w:themeFillTint="66"/>
          </w:tcPr>
          <w:p w14:paraId="5CAC6FAB" w14:textId="77777777" w:rsidR="00720C85" w:rsidRPr="00720C85" w:rsidRDefault="00720C85" w:rsidP="00720C85">
            <w:pPr>
              <w:spacing w:after="0"/>
              <w:rPr>
                <w:b/>
              </w:rPr>
            </w:pPr>
            <w:r w:rsidRPr="00720C85">
              <w:rPr>
                <w:b/>
              </w:rPr>
              <w:t>6. Identify and address health disparities to provide equitable care</w:t>
            </w:r>
          </w:p>
        </w:tc>
        <w:tc>
          <w:tcPr>
            <w:tcW w:w="3192" w:type="dxa"/>
            <w:shd w:val="clear" w:color="auto" w:fill="DBE5F1" w:themeFill="accent1" w:themeFillTint="33"/>
          </w:tcPr>
          <w:p w14:paraId="5E44DE31" w14:textId="77777777" w:rsidR="00720C85" w:rsidRPr="00720C85" w:rsidRDefault="00720C85" w:rsidP="00720C85">
            <w:pPr>
              <w:spacing w:after="0"/>
            </w:pPr>
            <w:r w:rsidRPr="00720C85">
              <w:t xml:space="preserve">6.1. Use data to better measure and address disparities in care and access. </w:t>
            </w:r>
          </w:p>
          <w:p w14:paraId="130CED4C" w14:textId="77777777" w:rsidR="00720C85" w:rsidRPr="00720C85" w:rsidRDefault="00720C85" w:rsidP="00720C85">
            <w:pPr>
              <w:spacing w:after="0"/>
            </w:pPr>
          </w:p>
          <w:p w14:paraId="71F83ADF" w14:textId="77777777" w:rsidR="00720C85" w:rsidRPr="00720C85" w:rsidRDefault="00720C85" w:rsidP="00720C85">
            <w:pPr>
              <w:spacing w:after="0"/>
            </w:pPr>
            <w:r w:rsidRPr="00720C85">
              <w:t>6.2 Create an internal culture and infrastructure to support our ability to meet the evolving needs of our members and partners</w:t>
            </w:r>
          </w:p>
        </w:tc>
        <w:tc>
          <w:tcPr>
            <w:tcW w:w="3192" w:type="dxa"/>
            <w:shd w:val="clear" w:color="auto" w:fill="DBE5F1" w:themeFill="accent1" w:themeFillTint="33"/>
          </w:tcPr>
          <w:p w14:paraId="5AF77B0A" w14:textId="77777777" w:rsidR="00720C85" w:rsidRPr="00720C85" w:rsidRDefault="00720C85" w:rsidP="009729DB">
            <w:pPr>
              <w:numPr>
                <w:ilvl w:val="0"/>
                <w:numId w:val="22"/>
              </w:numPr>
              <w:spacing w:after="0"/>
              <w:ind w:left="360"/>
              <w:contextualSpacing/>
            </w:pPr>
            <w:r w:rsidRPr="00720C85">
              <w:t xml:space="preserve">Evaluation of risk adjustment based on social determinants of health including race and ethnicity for the evaluation of quality in LTSS fee for service services </w:t>
            </w:r>
          </w:p>
          <w:p w14:paraId="63381C8D" w14:textId="77777777" w:rsidR="00720C85" w:rsidRPr="001D6546" w:rsidRDefault="00720C85" w:rsidP="00720C85">
            <w:pPr>
              <w:numPr>
                <w:ilvl w:val="0"/>
                <w:numId w:val="22"/>
              </w:numPr>
              <w:spacing w:after="0"/>
              <w:ind w:left="360"/>
              <w:contextualSpacing/>
            </w:pPr>
            <w:r w:rsidRPr="00720C85">
              <w:t xml:space="preserve">Evaluate adequacy of new ACO/MCO networks at addressing language and cultural competency, and ADA compliance including sufficient access to services for the deaf and hard of hearing. (OBH) </w:t>
            </w:r>
          </w:p>
        </w:tc>
      </w:tr>
    </w:tbl>
    <w:p w14:paraId="3C126393" w14:textId="3DB8B780" w:rsidR="0063388B" w:rsidRDefault="006E0C90" w:rsidP="000E7914">
      <w:pPr>
        <w:pStyle w:val="Heading2"/>
      </w:pPr>
      <w:bookmarkStart w:id="52" w:name="_Toc529177881"/>
      <w:r>
        <w:t xml:space="preserve">: </w:t>
      </w:r>
      <w:r w:rsidR="000F06AE">
        <w:t xml:space="preserve">Quality </w:t>
      </w:r>
      <w:r w:rsidR="00E13160">
        <w:t>Performance Measurement and Oversight</w:t>
      </w:r>
      <w:bookmarkEnd w:id="52"/>
    </w:p>
    <w:p w14:paraId="2882E462" w14:textId="77777777" w:rsidR="006910A2" w:rsidRDefault="001D338A" w:rsidP="006910A2">
      <w:pPr>
        <w:tabs>
          <w:tab w:val="left" w:pos="720"/>
        </w:tabs>
        <w:spacing w:after="120"/>
        <w:rPr>
          <w:rFonts w:cs="Calibri"/>
        </w:rPr>
      </w:pPr>
      <w:r>
        <w:rPr>
          <w:rFonts w:cs="Calibri"/>
        </w:rPr>
        <w:t>In alignment with the</w:t>
      </w:r>
      <w:r w:rsidR="003E2C02">
        <w:rPr>
          <w:rFonts w:cs="Calibri"/>
        </w:rPr>
        <w:t xml:space="preserve"> above-noted </w:t>
      </w:r>
      <w:r w:rsidR="000D1486">
        <w:rPr>
          <w:rFonts w:cs="Calibri"/>
        </w:rPr>
        <w:t>priority ar</w:t>
      </w:r>
      <w:r>
        <w:rPr>
          <w:rFonts w:cs="Calibri"/>
        </w:rPr>
        <w:t xml:space="preserve">eas, </w:t>
      </w:r>
      <w:r w:rsidR="000D1486">
        <w:rPr>
          <w:rFonts w:cs="Calibri"/>
        </w:rPr>
        <w:t>Ma</w:t>
      </w:r>
      <w:r>
        <w:rPr>
          <w:rFonts w:cs="Calibri"/>
        </w:rPr>
        <w:t>ssHealth developed a set of</w:t>
      </w:r>
      <w:r w:rsidR="006910A2">
        <w:rPr>
          <w:rFonts w:cs="Calibri"/>
        </w:rPr>
        <w:t xml:space="preserve"> performance indicators to monitor the quality of care</w:t>
      </w:r>
      <w:r>
        <w:rPr>
          <w:rFonts w:cs="Calibri"/>
        </w:rPr>
        <w:t xml:space="preserve"> provided</w:t>
      </w:r>
      <w:r w:rsidR="006910A2">
        <w:rPr>
          <w:rFonts w:cs="Calibri"/>
        </w:rPr>
        <w:t xml:space="preserve"> to</w:t>
      </w:r>
      <w:r w:rsidR="000D1486">
        <w:rPr>
          <w:rFonts w:cs="Calibri"/>
        </w:rPr>
        <w:t xml:space="preserve"> its members</w:t>
      </w:r>
      <w:r w:rsidR="006910A2">
        <w:rPr>
          <w:rFonts w:cs="Calibri"/>
        </w:rPr>
        <w:t>. Massachusetts</w:t>
      </w:r>
      <w:r>
        <w:rPr>
          <w:rFonts w:cs="Calibri"/>
        </w:rPr>
        <w:t>’</w:t>
      </w:r>
      <w:r w:rsidR="006910A2">
        <w:rPr>
          <w:rFonts w:cs="Calibri"/>
        </w:rPr>
        <w:t xml:space="preserve"> measurement strategy was driven by a desire to obtain</w:t>
      </w:r>
      <w:r>
        <w:rPr>
          <w:rFonts w:cs="Calibri"/>
        </w:rPr>
        <w:t xml:space="preserve"> data </w:t>
      </w:r>
      <w:r w:rsidR="006910A2">
        <w:rPr>
          <w:rFonts w:cs="Calibri"/>
        </w:rPr>
        <w:t>that can inform continuous quality improvement and be used for comparison within the MassHealth agency and across Medicaid programs</w:t>
      </w:r>
      <w:r w:rsidR="00BC317F">
        <w:rPr>
          <w:rFonts w:cs="Calibri"/>
        </w:rPr>
        <w:t xml:space="preserve"> nationally</w:t>
      </w:r>
      <w:r w:rsidR="006910A2">
        <w:rPr>
          <w:rFonts w:cs="Calibri"/>
        </w:rPr>
        <w:t xml:space="preserve">. </w:t>
      </w:r>
      <w:r w:rsidR="003E2C02">
        <w:rPr>
          <w:rFonts w:cs="Calibri"/>
        </w:rPr>
        <w:t xml:space="preserve">In selecting its set of quality indicators, </w:t>
      </w:r>
      <w:r w:rsidR="006910A2">
        <w:rPr>
          <w:rFonts w:cs="Calibri"/>
        </w:rPr>
        <w:t>MassHealth revi</w:t>
      </w:r>
      <w:r>
        <w:rPr>
          <w:rFonts w:cs="Calibri"/>
        </w:rPr>
        <w:t xml:space="preserve">ewed standardized measure sets and made </w:t>
      </w:r>
      <w:r w:rsidR="006910A2">
        <w:rPr>
          <w:rFonts w:cs="Calibri"/>
        </w:rPr>
        <w:t>modifications where appropriate to reflect the unique patient populations served by its programs.  Consideration was also given to the availability of national benchmarks and alignment with MassHealth and CMS priorities.</w:t>
      </w:r>
    </w:p>
    <w:p w14:paraId="40803F3F" w14:textId="77777777" w:rsidR="001D338A" w:rsidRDefault="006910A2" w:rsidP="001D338A">
      <w:pPr>
        <w:tabs>
          <w:tab w:val="left" w:pos="720"/>
        </w:tabs>
        <w:spacing w:after="120"/>
        <w:rPr>
          <w:rFonts w:cs="Calibri"/>
        </w:rPr>
      </w:pPr>
      <w:r w:rsidRPr="001D338A">
        <w:rPr>
          <w:rFonts w:cs="Calibri"/>
        </w:rPr>
        <w:t>Generally, MassHealth</w:t>
      </w:r>
      <w:r w:rsidR="001D338A">
        <w:rPr>
          <w:rFonts w:cs="Calibri"/>
        </w:rPr>
        <w:t xml:space="preserve"> quality</w:t>
      </w:r>
      <w:r w:rsidRPr="001D338A">
        <w:rPr>
          <w:rFonts w:cs="Calibri"/>
        </w:rPr>
        <w:t xml:space="preserve"> indicators fall into three broad categories:  </w:t>
      </w:r>
    </w:p>
    <w:p w14:paraId="13071DD8" w14:textId="77777777" w:rsidR="00700901" w:rsidRPr="0069613F" w:rsidRDefault="00700901" w:rsidP="009729DB">
      <w:pPr>
        <w:pStyle w:val="ListParagraph"/>
        <w:numPr>
          <w:ilvl w:val="0"/>
          <w:numId w:val="38"/>
        </w:numPr>
        <w:tabs>
          <w:tab w:val="left" w:pos="720"/>
        </w:tabs>
        <w:spacing w:after="120"/>
        <w:rPr>
          <w:rFonts w:cs="Calibri"/>
        </w:rPr>
      </w:pPr>
      <w:r w:rsidRPr="0069613F">
        <w:rPr>
          <w:rFonts w:cs="Calibri"/>
          <w:b/>
        </w:rPr>
        <w:t>Performance measures</w:t>
      </w:r>
      <w:r w:rsidRPr="0069613F">
        <w:rPr>
          <w:rFonts w:cs="Calibri"/>
        </w:rPr>
        <w:t xml:space="preserve">- Clinical and non-clinical </w:t>
      </w:r>
      <w:r>
        <w:rPr>
          <w:rFonts w:cs="Calibri"/>
        </w:rPr>
        <w:t xml:space="preserve">measures </w:t>
      </w:r>
      <w:r w:rsidRPr="0069613F">
        <w:rPr>
          <w:rFonts w:cs="Calibri"/>
        </w:rPr>
        <w:t xml:space="preserve">were identified for priority tracking </w:t>
      </w:r>
      <w:r>
        <w:rPr>
          <w:rFonts w:cs="Calibri"/>
        </w:rPr>
        <w:t xml:space="preserve">by MassHealth and </w:t>
      </w:r>
      <w:r w:rsidRPr="0069613F">
        <w:rPr>
          <w:rFonts w:cs="Calibri"/>
        </w:rPr>
        <w:t xml:space="preserve">represent key areas of interest for the agency. Within each program, MassHealth identified a subset of measures appropriate for the population served. These measures are </w:t>
      </w:r>
      <w:r>
        <w:rPr>
          <w:rFonts w:cs="Calibri"/>
        </w:rPr>
        <w:t>outlined i</w:t>
      </w:r>
      <w:r w:rsidR="005036D9">
        <w:rPr>
          <w:rFonts w:cs="Calibri"/>
        </w:rPr>
        <w:t>n Appendix 2</w:t>
      </w:r>
      <w:r>
        <w:rPr>
          <w:rFonts w:cs="Calibri"/>
        </w:rPr>
        <w:t xml:space="preserve"> and </w:t>
      </w:r>
      <w:r w:rsidR="00AC7409">
        <w:rPr>
          <w:rFonts w:cs="Calibri"/>
        </w:rPr>
        <w:t xml:space="preserve">are </w:t>
      </w:r>
      <w:r w:rsidRPr="0069613F">
        <w:rPr>
          <w:rFonts w:cs="Calibri"/>
        </w:rPr>
        <w:t xml:space="preserve">subject to public reporting requirements as </w:t>
      </w:r>
      <w:r w:rsidRPr="0069613F">
        <w:rPr>
          <w:rFonts w:cs="Calibri"/>
        </w:rPr>
        <w:lastRenderedPageBreak/>
        <w:t xml:space="preserve">described </w:t>
      </w:r>
      <w:r w:rsidR="00BF156B">
        <w:rPr>
          <w:rFonts w:cs="Calibri"/>
        </w:rPr>
        <w:t>in</w:t>
      </w:r>
      <w:r w:rsidR="00863489">
        <w:rPr>
          <w:rFonts w:cs="Calibri"/>
        </w:rPr>
        <w:t xml:space="preserve"> 42</w:t>
      </w:r>
      <w:r w:rsidR="00BF156B">
        <w:rPr>
          <w:rFonts w:cs="Calibri"/>
        </w:rPr>
        <w:t xml:space="preserve"> </w:t>
      </w:r>
      <w:r w:rsidRPr="0069613F">
        <w:rPr>
          <w:rFonts w:cs="Calibri"/>
        </w:rPr>
        <w:t xml:space="preserve">CFR 438.10(c)(3). Several of the measures that are included in the performance measurement subset also belong to the </w:t>
      </w:r>
      <w:r>
        <w:rPr>
          <w:rFonts w:cs="Calibri"/>
        </w:rPr>
        <w:t>201</w:t>
      </w:r>
      <w:r w:rsidR="00AC7409">
        <w:rPr>
          <w:rFonts w:cs="Calibri"/>
        </w:rPr>
        <w:t>8</w:t>
      </w:r>
      <w:r>
        <w:rPr>
          <w:rFonts w:cs="Calibri"/>
        </w:rPr>
        <w:t xml:space="preserve"> Adult and Child Core</w:t>
      </w:r>
      <w:r w:rsidR="00BF156B">
        <w:rPr>
          <w:rFonts w:cs="Calibri"/>
        </w:rPr>
        <w:t xml:space="preserve"> Measure Sets</w:t>
      </w:r>
      <w:r>
        <w:rPr>
          <w:rFonts w:cs="Calibri"/>
        </w:rPr>
        <w:t xml:space="preserve"> (See </w:t>
      </w:r>
      <w:r>
        <w:rPr>
          <w:rFonts w:cs="Calibri"/>
        </w:rPr>
        <w:fldChar w:fldCharType="begin"/>
      </w:r>
      <w:r>
        <w:rPr>
          <w:rFonts w:cs="Calibri"/>
        </w:rPr>
        <w:instrText xml:space="preserve"> REF _Ref521932395 \w </w:instrText>
      </w:r>
      <w:r>
        <w:rPr>
          <w:rFonts w:cs="Calibri"/>
        </w:rPr>
        <w:fldChar w:fldCharType="separate"/>
      </w:r>
      <w:r w:rsidR="00207DB8">
        <w:rPr>
          <w:rFonts w:cs="Calibri"/>
        </w:rPr>
        <w:t>Section 5.2</w:t>
      </w:r>
      <w:r>
        <w:rPr>
          <w:rFonts w:cs="Calibri"/>
        </w:rPr>
        <w:fldChar w:fldCharType="end"/>
      </w:r>
      <w:r>
        <w:rPr>
          <w:rFonts w:cs="Calibri"/>
        </w:rPr>
        <w:t xml:space="preserve">). Within the ACO program, performance on these measures is a factor in the payment structure. </w:t>
      </w:r>
    </w:p>
    <w:p w14:paraId="1310A5AA" w14:textId="77777777" w:rsidR="000B784E" w:rsidRPr="000B784E" w:rsidRDefault="000D1486" w:rsidP="009729DB">
      <w:pPr>
        <w:pStyle w:val="ListParagraph"/>
        <w:numPr>
          <w:ilvl w:val="0"/>
          <w:numId w:val="33"/>
        </w:numPr>
        <w:tabs>
          <w:tab w:val="left" w:pos="720"/>
        </w:tabs>
        <w:spacing w:after="120"/>
        <w:rPr>
          <w:rFonts w:cs="Calibri"/>
        </w:rPr>
      </w:pPr>
      <w:r w:rsidRPr="00B26C1B">
        <w:rPr>
          <w:rFonts w:cs="Calibri"/>
          <w:b/>
        </w:rPr>
        <w:t>Member experience</w:t>
      </w:r>
      <w:r w:rsidR="001D338A" w:rsidRPr="00B26C1B">
        <w:rPr>
          <w:rFonts w:cs="Calibri"/>
          <w:b/>
        </w:rPr>
        <w:t>-</w:t>
      </w:r>
      <w:r w:rsidR="001D338A" w:rsidRPr="00B26C1B">
        <w:rPr>
          <w:rFonts w:cs="Calibri"/>
        </w:rPr>
        <w:t xml:space="preserve"> Member experience is a critical quality indicator and as such, all </w:t>
      </w:r>
      <w:r w:rsidR="00BC317F" w:rsidRPr="00B26C1B">
        <w:rPr>
          <w:rFonts w:cs="Calibri"/>
        </w:rPr>
        <w:t>MC</w:t>
      </w:r>
      <w:r w:rsidR="007E4BE3" w:rsidRPr="00B26C1B">
        <w:rPr>
          <w:rFonts w:cs="Calibri"/>
        </w:rPr>
        <w:t>O</w:t>
      </w:r>
      <w:r w:rsidR="00BC317F" w:rsidRPr="00B26C1B">
        <w:rPr>
          <w:rFonts w:cs="Calibri"/>
        </w:rPr>
        <w:t>s</w:t>
      </w:r>
      <w:r w:rsidR="007E4BE3" w:rsidRPr="00B26C1B">
        <w:rPr>
          <w:rFonts w:cs="Calibri"/>
        </w:rPr>
        <w:t xml:space="preserve">, ACOs, SCOs and </w:t>
      </w:r>
      <w:r w:rsidR="003A1011">
        <w:rPr>
          <w:rFonts w:cs="Calibri"/>
        </w:rPr>
        <w:t>One Care</w:t>
      </w:r>
      <w:r w:rsidR="007E4BE3" w:rsidRPr="00B26C1B">
        <w:rPr>
          <w:rFonts w:cs="Calibri"/>
        </w:rPr>
        <w:t xml:space="preserve"> Plans</w:t>
      </w:r>
      <w:r w:rsidR="001D338A" w:rsidRPr="00B26C1B">
        <w:rPr>
          <w:rFonts w:cs="Calibri"/>
        </w:rPr>
        <w:t xml:space="preserve"> are required to conduct member experience surveys and report on </w:t>
      </w:r>
      <w:r w:rsidR="002C1AD5" w:rsidRPr="00B26C1B">
        <w:rPr>
          <w:rFonts w:cs="Calibri"/>
        </w:rPr>
        <w:t>member satisfaction with the health plan</w:t>
      </w:r>
      <w:r w:rsidR="001D338A" w:rsidRPr="00B26C1B">
        <w:rPr>
          <w:rFonts w:cs="Calibri"/>
        </w:rPr>
        <w:t>. In addition</w:t>
      </w:r>
      <w:r w:rsidR="002C1AD5" w:rsidRPr="00B26C1B">
        <w:rPr>
          <w:rFonts w:cs="Calibri"/>
        </w:rPr>
        <w:t xml:space="preserve"> to</w:t>
      </w:r>
      <w:r w:rsidR="001D338A" w:rsidRPr="00B26C1B">
        <w:rPr>
          <w:rFonts w:cs="Calibri"/>
        </w:rPr>
        <w:t xml:space="preserve"> a </w:t>
      </w:r>
      <w:r w:rsidR="002273C6" w:rsidRPr="00B26C1B">
        <w:rPr>
          <w:rFonts w:cs="Calibri"/>
        </w:rPr>
        <w:t>primary c</w:t>
      </w:r>
      <w:r w:rsidR="001D338A" w:rsidRPr="00B26C1B">
        <w:rPr>
          <w:rFonts w:cs="Calibri"/>
        </w:rPr>
        <w:t xml:space="preserve">are member survey, the ACO program is developing member experience surveys targeted toward </w:t>
      </w:r>
      <w:r w:rsidR="00863489" w:rsidRPr="00B26C1B">
        <w:rPr>
          <w:rFonts w:cs="Calibri"/>
        </w:rPr>
        <w:t>members with</w:t>
      </w:r>
      <w:r w:rsidR="001D338A" w:rsidRPr="00B26C1B">
        <w:rPr>
          <w:rFonts w:cs="Calibri"/>
        </w:rPr>
        <w:t xml:space="preserve"> BH and LTSS </w:t>
      </w:r>
      <w:r w:rsidR="00863489" w:rsidRPr="00B26C1B">
        <w:rPr>
          <w:rFonts w:cs="Calibri"/>
        </w:rPr>
        <w:t>needs</w:t>
      </w:r>
      <w:r w:rsidR="001D338A" w:rsidRPr="00B26C1B">
        <w:rPr>
          <w:rFonts w:cs="Calibri"/>
        </w:rPr>
        <w:t>. Data from all program surveys will be used to enhance the care experience of members and advance the goals of provid</w:t>
      </w:r>
      <w:r w:rsidR="002C1AD5" w:rsidRPr="00B26C1B">
        <w:rPr>
          <w:rFonts w:cs="Calibri"/>
        </w:rPr>
        <w:t xml:space="preserve">ing better, patient-centered care. </w:t>
      </w:r>
      <w:r w:rsidR="00240FC9" w:rsidRPr="00B26C1B">
        <w:rPr>
          <w:rFonts w:cs="Calibri"/>
        </w:rPr>
        <w:t xml:space="preserve"> </w:t>
      </w:r>
      <w:r w:rsidR="00B26C1B" w:rsidRPr="00B26C1B">
        <w:t xml:space="preserve">The BH Plan is required to biennially administer PCC satisfaction surveys and stratify </w:t>
      </w:r>
      <w:r w:rsidR="00217B96" w:rsidRPr="00B26C1B">
        <w:t xml:space="preserve">results </w:t>
      </w:r>
      <w:r w:rsidR="00217B96">
        <w:t>by</w:t>
      </w:r>
      <w:r w:rsidR="00975792">
        <w:t xml:space="preserve"> provider type and specialty. </w:t>
      </w:r>
    </w:p>
    <w:p w14:paraId="00B01519" w14:textId="7167E5FA" w:rsidR="0069613F" w:rsidRDefault="000D1486" w:rsidP="009729DB">
      <w:pPr>
        <w:pStyle w:val="ListParagraph"/>
        <w:numPr>
          <w:ilvl w:val="0"/>
          <w:numId w:val="33"/>
        </w:numPr>
        <w:tabs>
          <w:tab w:val="left" w:pos="720"/>
        </w:tabs>
        <w:spacing w:after="120"/>
        <w:rPr>
          <w:rFonts w:cs="Calibri"/>
        </w:rPr>
      </w:pPr>
      <w:r w:rsidRPr="00B26C1B">
        <w:rPr>
          <w:rFonts w:cs="Calibri"/>
          <w:b/>
        </w:rPr>
        <w:t>Monitoring measures</w:t>
      </w:r>
      <w:r w:rsidR="001D338A" w:rsidRPr="00B26C1B">
        <w:rPr>
          <w:rFonts w:cs="Calibri"/>
          <w:b/>
        </w:rPr>
        <w:t>-</w:t>
      </w:r>
      <w:r w:rsidR="001D338A" w:rsidRPr="00B26C1B">
        <w:rPr>
          <w:rFonts w:cs="Calibri"/>
        </w:rPr>
        <w:t xml:space="preserve"> Clinical, non-clinical, and patient reported measures will be used</w:t>
      </w:r>
      <w:r w:rsidRPr="00B26C1B">
        <w:rPr>
          <w:rFonts w:cs="Calibri"/>
        </w:rPr>
        <w:t xml:space="preserve"> to </w:t>
      </w:r>
      <w:r w:rsidR="002C1AD5" w:rsidRPr="00B26C1B">
        <w:rPr>
          <w:rFonts w:cs="Calibri"/>
        </w:rPr>
        <w:t xml:space="preserve">ensure </w:t>
      </w:r>
      <w:r w:rsidR="001D338A" w:rsidRPr="00B26C1B">
        <w:rPr>
          <w:rFonts w:cs="Calibri"/>
        </w:rPr>
        <w:t>continued high performance and</w:t>
      </w:r>
      <w:r w:rsidRPr="00B26C1B">
        <w:rPr>
          <w:rFonts w:cs="Calibri"/>
        </w:rPr>
        <w:t xml:space="preserve"> </w:t>
      </w:r>
      <w:r w:rsidR="002C1AD5" w:rsidRPr="00B26C1B">
        <w:rPr>
          <w:rFonts w:cs="Calibri"/>
        </w:rPr>
        <w:t xml:space="preserve">monitor </w:t>
      </w:r>
      <w:r w:rsidRPr="00B26C1B">
        <w:rPr>
          <w:rFonts w:cs="Calibri"/>
        </w:rPr>
        <w:t xml:space="preserve">areas </w:t>
      </w:r>
      <w:r w:rsidR="001D338A" w:rsidRPr="00B26C1B">
        <w:rPr>
          <w:rFonts w:cs="Calibri"/>
        </w:rPr>
        <w:t xml:space="preserve">of opportunity that can be </w:t>
      </w:r>
      <w:r w:rsidR="002C1AD5" w:rsidRPr="00B26C1B">
        <w:rPr>
          <w:rFonts w:cs="Calibri"/>
        </w:rPr>
        <w:t xml:space="preserve">addressed </w:t>
      </w:r>
      <w:r w:rsidR="00950BF7" w:rsidRPr="00B26C1B">
        <w:rPr>
          <w:rFonts w:cs="Calibri"/>
        </w:rPr>
        <w:t>via quality</w:t>
      </w:r>
      <w:r w:rsidRPr="00B26C1B">
        <w:rPr>
          <w:rFonts w:cs="Calibri"/>
        </w:rPr>
        <w:t xml:space="preserve"> improvement</w:t>
      </w:r>
      <w:r w:rsidR="002C1AD5" w:rsidRPr="00B26C1B">
        <w:rPr>
          <w:rFonts w:cs="Calibri"/>
        </w:rPr>
        <w:t xml:space="preserve"> initiatives</w:t>
      </w:r>
      <w:r w:rsidRPr="00B26C1B">
        <w:rPr>
          <w:rFonts w:cs="Calibri"/>
        </w:rPr>
        <w:t xml:space="preserve">.  </w:t>
      </w:r>
      <w:r w:rsidR="001D338A" w:rsidRPr="00B26C1B">
        <w:rPr>
          <w:rFonts w:cs="Calibri"/>
        </w:rPr>
        <w:t xml:space="preserve">Monitoring measures are indicators that MassHealth considers important and may be </w:t>
      </w:r>
      <w:r w:rsidR="006910A2" w:rsidRPr="00B26C1B">
        <w:rPr>
          <w:rFonts w:cs="Calibri"/>
        </w:rPr>
        <w:t>used to conduct longitudinal measurement over time</w:t>
      </w:r>
      <w:r w:rsidR="001D338A" w:rsidRPr="00B26C1B">
        <w:rPr>
          <w:rFonts w:cs="Calibri"/>
        </w:rPr>
        <w:t xml:space="preserve">. Measures identified for monitoring are generally not </w:t>
      </w:r>
      <w:r w:rsidR="00AC7409" w:rsidRPr="00B26C1B">
        <w:rPr>
          <w:rFonts w:cs="Calibri"/>
        </w:rPr>
        <w:t>part of</w:t>
      </w:r>
      <w:r w:rsidR="001D338A" w:rsidRPr="00B26C1B">
        <w:rPr>
          <w:rFonts w:cs="Calibri"/>
        </w:rPr>
        <w:t xml:space="preserve"> pay-for-performance programs. </w:t>
      </w:r>
      <w:r w:rsidR="006910A2" w:rsidRPr="00B26C1B">
        <w:rPr>
          <w:rFonts w:cs="Calibri"/>
        </w:rPr>
        <w:t xml:space="preserve">  </w:t>
      </w:r>
    </w:p>
    <w:p w14:paraId="39EEA254" w14:textId="15549439" w:rsidR="00FA0496" w:rsidRPr="00FA0496" w:rsidRDefault="000F06AE" w:rsidP="00FA0496">
      <w:pPr>
        <w:tabs>
          <w:tab w:val="left" w:pos="720"/>
        </w:tabs>
        <w:spacing w:after="120"/>
        <w:rPr>
          <w:rFonts w:cs="Calibri"/>
        </w:rPr>
      </w:pPr>
      <w:r>
        <w:rPr>
          <w:rFonts w:cs="Calibri"/>
        </w:rPr>
        <w:t xml:space="preserve">MassHealth </w:t>
      </w:r>
      <w:r w:rsidR="00557FD6">
        <w:rPr>
          <w:rFonts w:cs="Calibri"/>
        </w:rPr>
        <w:t xml:space="preserve">also </w:t>
      </w:r>
      <w:r w:rsidR="00503A03">
        <w:rPr>
          <w:rFonts w:cs="Calibri"/>
        </w:rPr>
        <w:t xml:space="preserve">addresses </w:t>
      </w:r>
      <w:r w:rsidR="00557FD6">
        <w:rPr>
          <w:rFonts w:cs="Calibri"/>
        </w:rPr>
        <w:t xml:space="preserve">compliance with other </w:t>
      </w:r>
      <w:r w:rsidR="00FA0496">
        <w:rPr>
          <w:rFonts w:cs="Calibri"/>
        </w:rPr>
        <w:t>contract, state and federal obligations</w:t>
      </w:r>
      <w:r w:rsidR="009B5EBE">
        <w:rPr>
          <w:rFonts w:cs="Calibri"/>
        </w:rPr>
        <w:t>;</w:t>
      </w:r>
      <w:r w:rsidR="00FA0496">
        <w:rPr>
          <w:rFonts w:cs="Calibri"/>
        </w:rPr>
        <w:t xml:space="preserve"> </w:t>
      </w:r>
      <w:r>
        <w:rPr>
          <w:rFonts w:cs="Calibri"/>
        </w:rPr>
        <w:t>those activities are</w:t>
      </w:r>
      <w:r w:rsidR="00FA0496">
        <w:rPr>
          <w:rFonts w:cs="Calibri"/>
        </w:rPr>
        <w:t xml:space="preserve"> not the focus of this</w:t>
      </w:r>
      <w:r w:rsidR="00747BF7">
        <w:rPr>
          <w:rFonts w:cs="Calibri"/>
        </w:rPr>
        <w:t xml:space="preserve"> document</w:t>
      </w:r>
    </w:p>
    <w:p w14:paraId="7E26053E" w14:textId="77777777" w:rsidR="006910A2" w:rsidRPr="00C66ECF" w:rsidRDefault="006910A2" w:rsidP="00C66ECF">
      <w:pPr>
        <w:pStyle w:val="Heading3"/>
        <w:numPr>
          <w:ilvl w:val="0"/>
          <w:numId w:val="0"/>
        </w:numPr>
        <w:ind w:left="144" w:hanging="144"/>
        <w:rPr>
          <w:rStyle w:val="IntenseEmphasis"/>
          <w:b/>
          <w:i/>
        </w:rPr>
      </w:pPr>
      <w:bookmarkStart w:id="53" w:name="_Toc522025639"/>
      <w:bookmarkStart w:id="54" w:name="_Toc523490121"/>
      <w:bookmarkStart w:id="55" w:name="_Toc525294289"/>
      <w:bookmarkStart w:id="56" w:name="_Toc529177882"/>
      <w:r w:rsidRPr="00C66ECF">
        <w:rPr>
          <w:rStyle w:val="IntenseEmphasis"/>
          <w:b/>
          <w:i/>
        </w:rPr>
        <w:t>Identifying Performance Targets</w:t>
      </w:r>
      <w:bookmarkEnd w:id="53"/>
      <w:bookmarkEnd w:id="54"/>
      <w:bookmarkEnd w:id="55"/>
      <w:bookmarkEnd w:id="56"/>
      <w:r w:rsidRPr="00C66ECF">
        <w:rPr>
          <w:rStyle w:val="IntenseEmphasis"/>
          <w:b/>
          <w:i/>
        </w:rPr>
        <w:t xml:space="preserve"> </w:t>
      </w:r>
    </w:p>
    <w:p w14:paraId="13A41F54" w14:textId="77777777" w:rsidR="005550C1" w:rsidRDefault="006910A2" w:rsidP="00790B0B">
      <w:r w:rsidRPr="001D338A">
        <w:t xml:space="preserve">In order to assess baseline rates and establish targets across areas of </w:t>
      </w:r>
      <w:r w:rsidRPr="00790B0B">
        <w:t>member experience</w:t>
      </w:r>
      <w:r w:rsidR="00110A3C" w:rsidRPr="00790B0B">
        <w:t>, performance</w:t>
      </w:r>
      <w:r w:rsidR="00C66059" w:rsidRPr="00790B0B">
        <w:t xml:space="preserve"> and </w:t>
      </w:r>
      <w:r w:rsidRPr="00790B0B">
        <w:t>monitoring measures, plan-level rates will be compared to appropriate national or regional benchmarks</w:t>
      </w:r>
      <w:r w:rsidR="00D56F56" w:rsidRPr="00790B0B">
        <w:t xml:space="preserve"> for standard measures</w:t>
      </w:r>
      <w:r w:rsidRPr="00790B0B">
        <w:t xml:space="preserve">. </w:t>
      </w:r>
      <w:r w:rsidR="00C66059" w:rsidRPr="00790B0B">
        <w:t xml:space="preserve">Many of these </w:t>
      </w:r>
      <w:r w:rsidRPr="00790B0B">
        <w:t>benchmarks will be</w:t>
      </w:r>
      <w:r w:rsidRPr="001D338A">
        <w:t xml:space="preserve"> obtained from </w:t>
      </w:r>
      <w:r w:rsidR="002273C6">
        <w:t>the</w:t>
      </w:r>
      <w:r w:rsidR="002273C6" w:rsidRPr="001D338A">
        <w:t xml:space="preserve"> </w:t>
      </w:r>
      <w:r w:rsidR="002273C6" w:rsidRPr="00A80F57">
        <w:t>National Committee for Quality Assurance</w:t>
      </w:r>
      <w:r w:rsidR="002273C6">
        <w:t>’s (</w:t>
      </w:r>
      <w:r w:rsidRPr="001D338A">
        <w:t>NCQA</w:t>
      </w:r>
      <w:r w:rsidR="002273C6">
        <w:t>)</w:t>
      </w:r>
      <w:r w:rsidR="00555704">
        <w:t xml:space="preserve"> </w:t>
      </w:r>
      <w:r w:rsidRPr="001D338A">
        <w:t>Medicaid Quality Compass.</w:t>
      </w:r>
      <w:r w:rsidR="00C66059">
        <w:t xml:space="preserve">  </w:t>
      </w:r>
      <w:r w:rsidR="00110A3C">
        <w:t xml:space="preserve">Where </w:t>
      </w:r>
      <w:r w:rsidR="00C66059">
        <w:t>externa</w:t>
      </w:r>
      <w:r w:rsidR="00D56F56">
        <w:t>l benchmarks are not available</w:t>
      </w:r>
      <w:r w:rsidR="00110A3C">
        <w:t>, MassHealth will us</w:t>
      </w:r>
      <w:r w:rsidR="00D56F56">
        <w:t xml:space="preserve">e </w:t>
      </w:r>
      <w:r w:rsidR="00C66059">
        <w:t>baseline performance and</w:t>
      </w:r>
      <w:r w:rsidR="00D56F56">
        <w:t xml:space="preserve"> targets established through initial or historical </w:t>
      </w:r>
      <w:r w:rsidR="00C66059">
        <w:t>performance</w:t>
      </w:r>
      <w:r w:rsidR="00D56F56">
        <w:t xml:space="preserve"> (e.g., for new or emerging measures).</w:t>
      </w:r>
      <w:r w:rsidR="00C66059">
        <w:t xml:space="preserve"> </w:t>
      </w:r>
      <w:r>
        <w:t xml:space="preserve"> </w:t>
      </w:r>
    </w:p>
    <w:p w14:paraId="1A5285A7" w14:textId="77777777" w:rsidR="00C21F50" w:rsidRDefault="00AF7C41" w:rsidP="00790B0B">
      <w:r>
        <w:t>The identification of clear performance targets is essential to effective</w:t>
      </w:r>
      <w:r w:rsidR="00B83805">
        <w:t xml:space="preserve"> interpret</w:t>
      </w:r>
      <w:r>
        <w:t>ation of</w:t>
      </w:r>
      <w:r w:rsidR="00B83805">
        <w:t xml:space="preserve"> state-wide and program-specific measurement activity. </w:t>
      </w:r>
      <w:r w:rsidR="00C21F50">
        <w:t xml:space="preserve">Additional information about performance </w:t>
      </w:r>
      <w:r w:rsidR="005B1B94">
        <w:t xml:space="preserve">measurement and </w:t>
      </w:r>
      <w:r w:rsidR="00C21F50">
        <w:t xml:space="preserve">monitoring can be found in </w:t>
      </w:r>
      <w:r w:rsidR="00B83805">
        <w:fldChar w:fldCharType="begin"/>
      </w:r>
      <w:r w:rsidR="00B83805">
        <w:instrText xml:space="preserve"> REF _Ref522024882 \w </w:instrText>
      </w:r>
      <w:r w:rsidR="00790B0B">
        <w:instrText xml:space="preserve"> \* MERGEFORMAT </w:instrText>
      </w:r>
      <w:r w:rsidR="00B83805">
        <w:fldChar w:fldCharType="separate"/>
      </w:r>
      <w:r w:rsidR="00207DB8">
        <w:t>Section 5.2</w:t>
      </w:r>
      <w:r w:rsidR="00B83805">
        <w:fldChar w:fldCharType="end"/>
      </w:r>
      <w:r w:rsidR="00B83805">
        <w:t xml:space="preserve"> </w:t>
      </w:r>
      <w:r w:rsidR="00B83805">
        <w:fldChar w:fldCharType="begin"/>
      </w:r>
      <w:r w:rsidR="00B83805">
        <w:instrText xml:space="preserve"> REF _Ref522024882 </w:instrText>
      </w:r>
      <w:r w:rsidR="00790B0B">
        <w:instrText xml:space="preserve"> \* MERGEFORMAT </w:instrText>
      </w:r>
      <w:r w:rsidR="00B83805">
        <w:fldChar w:fldCharType="separate"/>
      </w:r>
      <w:r w:rsidR="00207DB8" w:rsidRPr="00B27F1E">
        <w:t>National Performance Measures and Member Experience</w:t>
      </w:r>
      <w:r w:rsidR="00B83805">
        <w:fldChar w:fldCharType="end"/>
      </w:r>
      <w:r w:rsidR="00B83805">
        <w:t xml:space="preserve">, which provides additional detail about </w:t>
      </w:r>
      <w:proofErr w:type="spellStart"/>
      <w:r w:rsidR="00B83805">
        <w:t>MassHealth’s</w:t>
      </w:r>
      <w:proofErr w:type="spellEnd"/>
      <w:r w:rsidR="00B83805">
        <w:t xml:space="preserve"> performance measurement strategy and </w:t>
      </w:r>
      <w:r w:rsidR="00B83805">
        <w:fldChar w:fldCharType="begin"/>
      </w:r>
      <w:r w:rsidR="00B83805">
        <w:instrText xml:space="preserve"> REF _Ref522024943 \r </w:instrText>
      </w:r>
      <w:r w:rsidR="00790B0B">
        <w:instrText xml:space="preserve"> \* MERGEFORMAT </w:instrText>
      </w:r>
      <w:r w:rsidR="00B83805">
        <w:fldChar w:fldCharType="separate"/>
      </w:r>
      <w:r w:rsidR="00207DB8">
        <w:t>Section 6.2</w:t>
      </w:r>
      <w:r w:rsidR="00B83805">
        <w:fldChar w:fldCharType="end"/>
      </w:r>
      <w:r w:rsidR="00B83805">
        <w:t xml:space="preserve"> </w:t>
      </w:r>
      <w:r w:rsidR="00B83805">
        <w:fldChar w:fldCharType="begin"/>
      </w:r>
      <w:r w:rsidR="00B83805">
        <w:instrText xml:space="preserve"> REF _Ref522024948 </w:instrText>
      </w:r>
      <w:r w:rsidR="00790B0B">
        <w:instrText xml:space="preserve"> \* MERGEFORMAT </w:instrText>
      </w:r>
      <w:r w:rsidR="00B83805">
        <w:fldChar w:fldCharType="separate"/>
      </w:r>
      <w:r w:rsidR="00207DB8" w:rsidRPr="00821C14">
        <w:t>Measurement and Improvement Standards</w:t>
      </w:r>
      <w:r w:rsidR="00B83805">
        <w:fldChar w:fldCharType="end"/>
      </w:r>
      <w:r w:rsidR="00B83805">
        <w:t xml:space="preserve">, which details program-specific requirements for measurement. </w:t>
      </w:r>
    </w:p>
    <w:p w14:paraId="6ADE0A9E" w14:textId="77777777" w:rsidR="001410D8" w:rsidRDefault="001410D8" w:rsidP="00287562">
      <w:pPr>
        <w:pStyle w:val="Heading2"/>
      </w:pPr>
      <w:bookmarkStart w:id="57" w:name="_Toc529177883"/>
      <w:r>
        <w:t>Performance Measurement in Other Programs</w:t>
      </w:r>
      <w:bookmarkEnd w:id="57"/>
      <w:r>
        <w:t xml:space="preserve"> </w:t>
      </w:r>
    </w:p>
    <w:p w14:paraId="634A3D04" w14:textId="77777777" w:rsidR="00E60800" w:rsidRDefault="001410D8" w:rsidP="00F01484">
      <w:r>
        <w:t>Se</w:t>
      </w:r>
      <w:r w:rsidR="00AC22FD">
        <w:t xml:space="preserve">veral MassHealth Programs that </w:t>
      </w:r>
      <w:r>
        <w:t xml:space="preserve">are not under the purview of managed care quality requirements operate robust quality measurement programs to ensure the ongoing quality and experience of care. </w:t>
      </w:r>
      <w:r w:rsidR="00E60800">
        <w:t xml:space="preserve">Many of these efforts are in substantial alignment with other priorities and goals for quality measurement and monitoring across the agency. </w:t>
      </w:r>
    </w:p>
    <w:p w14:paraId="3213B8C4" w14:textId="77777777" w:rsidR="0087712A" w:rsidRDefault="001410D8" w:rsidP="0087712A">
      <w:r>
        <w:t xml:space="preserve">The Office </w:t>
      </w:r>
      <w:r w:rsidR="0087712A">
        <w:t>of Long-Term Services and Supports (OLTSS) is currently developing a quality measure slate for its FFS services, which will cover the entire continuum of care for the disability community and be aligned with quality measurement efforts across MassHealth payment methodologies as well as CMS’s meaningful measures program.</w:t>
      </w:r>
    </w:p>
    <w:p w14:paraId="39A409C6" w14:textId="77777777" w:rsidR="0087712A" w:rsidRDefault="0087712A" w:rsidP="0087712A">
      <w:r>
        <w:t xml:space="preserve"> OLTSS will implement a multi-modal approach to measuring LTSS given its unique place in the continuum of care. This approach will capture quantitative measures at the individual level that </w:t>
      </w:r>
      <w:r>
        <w:lastRenderedPageBreak/>
        <w:t xml:space="preserve">demonstrate the LTSS provider’s engagement in the </w:t>
      </w:r>
      <w:r w:rsidR="008C57A1">
        <w:t xml:space="preserve">member’s </w:t>
      </w:r>
      <w:r>
        <w:t xml:space="preserve">acute care, as well as qualitative methods to understand </w:t>
      </w:r>
      <w:r w:rsidR="00BF156B">
        <w:t>t</w:t>
      </w:r>
      <w:r>
        <w:t xml:space="preserve">he </w:t>
      </w:r>
      <w:r w:rsidR="008C57A1">
        <w:t xml:space="preserve">member </w:t>
      </w:r>
      <w:r>
        <w:t xml:space="preserve">and caregiver’s experience of care. </w:t>
      </w:r>
    </w:p>
    <w:p w14:paraId="6517D136" w14:textId="77777777" w:rsidR="001410D8" w:rsidRPr="0016719A" w:rsidRDefault="0087712A" w:rsidP="0087712A">
      <w:r>
        <w:t>Home Health, DME, Hospice, and Nursing Facilities all have quality measurement programs</w:t>
      </w:r>
      <w:r w:rsidR="00CB1E9A">
        <w:t>.  The</w:t>
      </w:r>
      <w:r>
        <w:t xml:space="preserve"> Chronic Disease and Rehabilitation Hospitals have a quality bonus program</w:t>
      </w:r>
      <w:r w:rsidR="00CB1E9A">
        <w:t>, and the Hospital Program operates a pay-for-performance program which measures key indicators of quality for acute hospitals and determines reimbursement based on the hospital’s performance on those measures</w:t>
      </w:r>
      <w:r>
        <w:t>.</w:t>
      </w:r>
    </w:p>
    <w:p w14:paraId="20190C3E" w14:textId="44DD2FE2" w:rsidR="00B41156" w:rsidRDefault="001410D8" w:rsidP="001410D8">
      <w:r>
        <w:t>The Community Partner Program is also developing a quality measure slate</w:t>
      </w:r>
      <w:r w:rsidR="00CB1E9A">
        <w:t>.</w:t>
      </w:r>
      <w:r w:rsidR="00942616">
        <w:t xml:space="preserve"> </w:t>
      </w:r>
    </w:p>
    <w:p w14:paraId="4CAA2C90" w14:textId="49FAADA5" w:rsidR="00B41156" w:rsidRDefault="00B41156" w:rsidP="009C4FDE">
      <w:pPr>
        <w:pStyle w:val="Heading2"/>
        <w:ind w:left="0" w:firstLine="0"/>
      </w:pPr>
      <w:bookmarkStart w:id="58" w:name="_Toc529177884"/>
      <w:bookmarkStart w:id="59" w:name="_Ref529178014"/>
      <w:bookmarkStart w:id="60" w:name="_Ref529178027"/>
      <w:r w:rsidRPr="009C4FDE">
        <w:t xml:space="preserve">Stakeholder Feedback and </w:t>
      </w:r>
      <w:r w:rsidR="00C22C1B" w:rsidRPr="009C4FDE">
        <w:t xml:space="preserve">Areas for </w:t>
      </w:r>
      <w:bookmarkEnd w:id="58"/>
      <w:bookmarkEnd w:id="59"/>
      <w:bookmarkEnd w:id="60"/>
      <w:r w:rsidR="007C53B0">
        <w:t>Consideration</w:t>
      </w:r>
    </w:p>
    <w:p w14:paraId="70717A5B" w14:textId="70BB6DB3" w:rsidR="00B41156" w:rsidRDefault="00557FD6" w:rsidP="00B41156">
      <w:r>
        <w:t xml:space="preserve">Internal </w:t>
      </w:r>
      <w:r w:rsidR="00B41156">
        <w:t>and external stakeholders</w:t>
      </w:r>
      <w:r w:rsidR="00287562">
        <w:t xml:space="preserve"> </w:t>
      </w:r>
      <w:r>
        <w:t>have</w:t>
      </w:r>
      <w:r w:rsidR="00287562">
        <w:t xml:space="preserve"> provided</w:t>
      </w:r>
      <w:r w:rsidR="00B41156">
        <w:t xml:space="preserve"> </w:t>
      </w:r>
      <w:r w:rsidR="004A6BDD">
        <w:t>v</w:t>
      </w:r>
      <w:r>
        <w:t xml:space="preserve">aluable input and feedback over the last year </w:t>
      </w:r>
      <w:r w:rsidR="00287562">
        <w:t xml:space="preserve">in </w:t>
      </w:r>
      <w:r w:rsidR="00B41156">
        <w:t xml:space="preserve">the development of MassHealth </w:t>
      </w:r>
      <w:r w:rsidR="00287562">
        <w:t xml:space="preserve">quality </w:t>
      </w:r>
      <w:r w:rsidR="00B41156">
        <w:t>programs</w:t>
      </w:r>
      <w:r w:rsidR="00287562">
        <w:t xml:space="preserve">, </w:t>
      </w:r>
      <w:r w:rsidR="00B41156">
        <w:t xml:space="preserve">and </w:t>
      </w:r>
      <w:r w:rsidR="00287562">
        <w:t xml:space="preserve">the </w:t>
      </w:r>
      <w:r w:rsidR="00B41156">
        <w:t>comprehensive quality strategy</w:t>
      </w:r>
      <w:r w:rsidR="00287562">
        <w:t>.  Through various committees, forums and</w:t>
      </w:r>
      <w:r w:rsidR="00C22C1B">
        <w:t xml:space="preserve"> opportunities</w:t>
      </w:r>
      <w:r w:rsidR="00287562">
        <w:t xml:space="preserve"> for comment, stakeholders</w:t>
      </w:r>
      <w:r w:rsidR="00B41156">
        <w:t xml:space="preserve"> have </w:t>
      </w:r>
      <w:r w:rsidR="002E3554">
        <w:t>identified</w:t>
      </w:r>
      <w:r w:rsidR="00C22C1B">
        <w:t xml:space="preserve"> important</w:t>
      </w:r>
      <w:r w:rsidR="00B41156">
        <w:t xml:space="preserve"> </w:t>
      </w:r>
      <w:r w:rsidR="00C22C1B">
        <w:t>areas</w:t>
      </w:r>
      <w:r w:rsidR="00B41156">
        <w:t xml:space="preserve"> for </w:t>
      </w:r>
      <w:r w:rsidR="00E62060">
        <w:t>continued</w:t>
      </w:r>
      <w:r w:rsidR="00882391">
        <w:t xml:space="preserve"> discussion and</w:t>
      </w:r>
      <w:r w:rsidR="00F97A07">
        <w:t xml:space="preserve"> consideration in the </w:t>
      </w:r>
      <w:r w:rsidR="002E3554">
        <w:t>a</w:t>
      </w:r>
      <w:r w:rsidR="00F97A07">
        <w:t xml:space="preserve">dvancement of </w:t>
      </w:r>
      <w:r w:rsidR="00B41156">
        <w:t>person-centered, integrated care and quality outcomes for members.</w:t>
      </w:r>
    </w:p>
    <w:p w14:paraId="4C6FD7F7" w14:textId="3C20F020" w:rsidR="00B41156" w:rsidRDefault="002E3554" w:rsidP="00504678">
      <w:r>
        <w:t>Key areas include</w:t>
      </w:r>
      <w:r w:rsidR="00B41156">
        <w:t>:</w:t>
      </w:r>
    </w:p>
    <w:p w14:paraId="79BCEF93" w14:textId="04799008" w:rsidR="00B41156" w:rsidRDefault="00A177EB" w:rsidP="00B41156">
      <w:pPr>
        <w:pStyle w:val="ListParagraph"/>
        <w:numPr>
          <w:ilvl w:val="0"/>
          <w:numId w:val="53"/>
        </w:numPr>
        <w:spacing w:after="160" w:line="259" w:lineRule="auto"/>
      </w:pPr>
      <w:r>
        <w:t>C</w:t>
      </w:r>
      <w:r w:rsidR="00281B3B">
        <w:t xml:space="preserve">ontinued dialogue regarding </w:t>
      </w:r>
      <w:r w:rsidR="00B41156">
        <w:t>strategic goals, objectives and priorities guiding the Quality Strategy</w:t>
      </w:r>
    </w:p>
    <w:p w14:paraId="603FDA3A" w14:textId="704955F7" w:rsidR="00B41156" w:rsidRDefault="00915503" w:rsidP="00B41156">
      <w:pPr>
        <w:pStyle w:val="ListParagraph"/>
        <w:numPr>
          <w:ilvl w:val="0"/>
          <w:numId w:val="53"/>
        </w:numPr>
        <w:spacing w:after="160" w:line="259" w:lineRule="auto"/>
      </w:pPr>
      <w:r>
        <w:t>Ongoing m</w:t>
      </w:r>
      <w:r w:rsidR="00B41156">
        <w:t xml:space="preserve">ember and advocate engagement </w:t>
      </w:r>
    </w:p>
    <w:p w14:paraId="0CA3DEC8" w14:textId="06DB3B36" w:rsidR="00B41156" w:rsidRDefault="0093017B" w:rsidP="00B41156">
      <w:pPr>
        <w:pStyle w:val="ListParagraph"/>
        <w:numPr>
          <w:ilvl w:val="0"/>
          <w:numId w:val="53"/>
        </w:numPr>
        <w:spacing w:after="160" w:line="259" w:lineRule="auto"/>
      </w:pPr>
      <w:r>
        <w:t>A</w:t>
      </w:r>
      <w:r w:rsidR="00B41156">
        <w:t>ddress</w:t>
      </w:r>
      <w:r>
        <w:t>ing</w:t>
      </w:r>
      <w:r w:rsidR="00F626A0">
        <w:t xml:space="preserve"> </w:t>
      </w:r>
      <w:r w:rsidR="00B41156">
        <w:t xml:space="preserve"> disparities and social determinants of health </w:t>
      </w:r>
      <w:r w:rsidR="00F626A0">
        <w:t>in quality measures</w:t>
      </w:r>
    </w:p>
    <w:p w14:paraId="1C9666EA" w14:textId="62CA9D9B" w:rsidR="004375FD" w:rsidRDefault="00B41156" w:rsidP="0010138D">
      <w:pPr>
        <w:pStyle w:val="ListParagraph"/>
        <w:numPr>
          <w:ilvl w:val="0"/>
          <w:numId w:val="53"/>
        </w:numPr>
        <w:spacing w:after="160" w:line="259" w:lineRule="auto"/>
      </w:pPr>
      <w:r>
        <w:t xml:space="preserve">Integration </w:t>
      </w:r>
      <w:r w:rsidR="0010138D">
        <w:t xml:space="preserve">across physical, behavioral health, and long-term services and supports </w:t>
      </w:r>
    </w:p>
    <w:p w14:paraId="29266303" w14:textId="07673116" w:rsidR="004375FD" w:rsidRDefault="00423802" w:rsidP="004375FD">
      <w:pPr>
        <w:pStyle w:val="ListParagraph"/>
        <w:numPr>
          <w:ilvl w:val="0"/>
          <w:numId w:val="53"/>
        </w:numPr>
        <w:spacing w:after="160" w:line="259" w:lineRule="auto"/>
      </w:pPr>
      <w:r>
        <w:t>Focus on m</w:t>
      </w:r>
      <w:r w:rsidR="00B41156">
        <w:t>ember experience</w:t>
      </w:r>
      <w:r w:rsidR="005D7D29">
        <w:t xml:space="preserve"> surveys</w:t>
      </w:r>
      <w:r>
        <w:t xml:space="preserve"> and patient-reported measurement </w:t>
      </w:r>
    </w:p>
    <w:p w14:paraId="5E232620" w14:textId="77777777" w:rsidR="003D025E" w:rsidRDefault="003D025E" w:rsidP="004375FD">
      <w:pPr>
        <w:pStyle w:val="ListParagraph"/>
        <w:numPr>
          <w:ilvl w:val="0"/>
          <w:numId w:val="53"/>
        </w:numPr>
        <w:spacing w:after="160" w:line="259" w:lineRule="auto"/>
      </w:pPr>
      <w:r>
        <w:t xml:space="preserve">Identifying potential opportunities to: </w:t>
      </w:r>
    </w:p>
    <w:p w14:paraId="2FD7D052" w14:textId="14131DF4" w:rsidR="003D025E" w:rsidRDefault="003D025E" w:rsidP="003D025E">
      <w:pPr>
        <w:pStyle w:val="ListParagraph"/>
        <w:numPr>
          <w:ilvl w:val="1"/>
          <w:numId w:val="53"/>
        </w:numPr>
        <w:spacing w:after="160" w:line="259" w:lineRule="auto"/>
      </w:pPr>
      <w:r>
        <w:t>R</w:t>
      </w:r>
      <w:r w:rsidR="00B41156">
        <w:t>educe administrative burden of quality measure</w:t>
      </w:r>
      <w:r w:rsidR="000F50A8">
        <w:t>s</w:t>
      </w:r>
      <w:r w:rsidR="00B41156">
        <w:t xml:space="preserve"> and </w:t>
      </w:r>
      <w:r>
        <w:t xml:space="preserve">streamline </w:t>
      </w:r>
      <w:r w:rsidR="00B41156">
        <w:t>survey colle</w:t>
      </w:r>
      <w:r>
        <w:t>ction, reporting</w:t>
      </w:r>
      <w:r w:rsidR="000F50A8">
        <w:t>,</w:t>
      </w:r>
      <w:r>
        <w:t xml:space="preserve"> and validation, </w:t>
      </w:r>
      <w:r w:rsidR="00B41156">
        <w:t>where possible</w:t>
      </w:r>
    </w:p>
    <w:p w14:paraId="3FA8F98B" w14:textId="342445BE" w:rsidR="00504678" w:rsidRDefault="003D025E" w:rsidP="003D025E">
      <w:pPr>
        <w:pStyle w:val="ListParagraph"/>
        <w:numPr>
          <w:ilvl w:val="1"/>
          <w:numId w:val="53"/>
        </w:numPr>
        <w:spacing w:after="160" w:line="259" w:lineRule="auto"/>
      </w:pPr>
      <w:r>
        <w:t>A</w:t>
      </w:r>
      <w:r w:rsidR="00B41156">
        <w:t>lign</w:t>
      </w:r>
      <w:r>
        <w:t xml:space="preserve"> with</w:t>
      </w:r>
      <w:r w:rsidR="00B41156">
        <w:t xml:space="preserve"> or reduce duplication of </w:t>
      </w:r>
      <w:r>
        <w:t xml:space="preserve">external </w:t>
      </w:r>
      <w:r w:rsidR="00B41156">
        <w:t>requirements</w:t>
      </w:r>
      <w:r w:rsidR="00504678">
        <w:t xml:space="preserve"> (reporting,</w:t>
      </w:r>
      <w:r w:rsidR="00B41156">
        <w:t xml:space="preserve"> </w:t>
      </w:r>
      <w:r w:rsidR="00504678">
        <w:t xml:space="preserve">accreditation, </w:t>
      </w:r>
      <w:r w:rsidR="00A275DD">
        <w:t>and certification</w:t>
      </w:r>
      <w:r w:rsidR="00504678">
        <w:t xml:space="preserve">) </w:t>
      </w:r>
      <w:r w:rsidR="00B41156">
        <w:t>where possible</w:t>
      </w:r>
      <w:r w:rsidR="00504678">
        <w:t xml:space="preserve">. </w:t>
      </w:r>
    </w:p>
    <w:p w14:paraId="6798CE29" w14:textId="6FD56D34" w:rsidR="003664D8" w:rsidRDefault="004C0088" w:rsidP="00E531F8">
      <w:pPr>
        <w:pStyle w:val="ListParagraph"/>
        <w:numPr>
          <w:ilvl w:val="0"/>
          <w:numId w:val="53"/>
        </w:numPr>
        <w:spacing w:after="160" w:line="259" w:lineRule="auto"/>
        <w:sectPr w:rsidR="003664D8" w:rsidSect="00D306CE">
          <w:headerReference w:type="default" r:id="rId21"/>
          <w:type w:val="continuous"/>
          <w:pgSz w:w="12240" w:h="15840"/>
          <w:pgMar w:top="1440" w:right="1440" w:bottom="1440" w:left="1440" w:header="720" w:footer="720" w:gutter="0"/>
          <w:cols w:space="720"/>
          <w:docGrid w:linePitch="360"/>
        </w:sectPr>
      </w:pPr>
      <w:r>
        <w:t xml:space="preserve">Continued measure considerations (e.g., oral health, </w:t>
      </w:r>
      <w:r w:rsidR="00504678">
        <w:t xml:space="preserve"> </w:t>
      </w:r>
      <w:r w:rsidR="00280FAB">
        <w:t>risk</w:t>
      </w:r>
      <w:r w:rsidR="00504678">
        <w:t>-adjustment</w:t>
      </w:r>
      <w:r>
        <w:t xml:space="preserve"> for additional outcomes measures</w:t>
      </w:r>
      <w:r w:rsidR="00504678">
        <w:t>, increased adoption and implementation of EHR systems</w:t>
      </w:r>
      <w:r>
        <w:t>)</w:t>
      </w:r>
    </w:p>
    <w:p w14:paraId="73D8C525" w14:textId="482B6E8D" w:rsidR="002C25E5" w:rsidRPr="00301C41" w:rsidRDefault="004F72E3" w:rsidP="00C22C1B">
      <w:pPr>
        <w:pStyle w:val="Heading1"/>
      </w:pPr>
      <w:bookmarkStart w:id="61" w:name="_Ref522020112"/>
      <w:bookmarkStart w:id="62" w:name="_Toc529177885"/>
      <w:r>
        <w:lastRenderedPageBreak/>
        <w:t>Assessment</w:t>
      </w:r>
      <w:bookmarkEnd w:id="61"/>
      <w:bookmarkEnd w:id="62"/>
    </w:p>
    <w:p w14:paraId="5E100AE2" w14:textId="77777777" w:rsidR="008A2394" w:rsidRPr="002C25E5" w:rsidRDefault="008A2394" w:rsidP="002C25E5">
      <w:r>
        <w:t xml:space="preserve">The CQS is designed to also reflect </w:t>
      </w:r>
      <w:r w:rsidR="004B5EED">
        <w:t xml:space="preserve">standards associated with quality assessment and how the </w:t>
      </w:r>
      <w:r w:rsidR="002C231C">
        <w:t xml:space="preserve">Commonwealth </w:t>
      </w:r>
      <w:r w:rsidR="004B5EED">
        <w:t xml:space="preserve">will evaluate the quality of health care and services furnished by managed care entities. </w:t>
      </w:r>
    </w:p>
    <w:p w14:paraId="287E766A" w14:textId="77777777" w:rsidR="00262B53" w:rsidRPr="004B5EED" w:rsidRDefault="001E50CF" w:rsidP="00262B53">
      <w:pPr>
        <w:pStyle w:val="Heading2"/>
        <w:rPr>
          <w:rFonts w:ascii="Calibri" w:hAnsi="Calibri" w:cs="Calibri"/>
        </w:rPr>
      </w:pPr>
      <w:bookmarkStart w:id="63" w:name="_Toc529177886"/>
      <w:r w:rsidRPr="00821C14">
        <w:rPr>
          <w:rFonts w:ascii="Calibri" w:hAnsi="Calibri" w:cs="Calibri"/>
        </w:rPr>
        <w:t>Quality and Appropriateness of Care</w:t>
      </w:r>
      <w:bookmarkEnd w:id="63"/>
    </w:p>
    <w:p w14:paraId="16919315" w14:textId="77777777" w:rsidR="001E50CF" w:rsidRPr="00821C14" w:rsidRDefault="001E50CF" w:rsidP="003E368F">
      <w:pPr>
        <w:pStyle w:val="Heading3"/>
        <w:rPr>
          <w:rFonts w:ascii="Calibri" w:hAnsi="Calibri" w:cs="Calibri"/>
        </w:rPr>
      </w:pPr>
      <w:bookmarkStart w:id="64" w:name="_Toc521939905"/>
      <w:bookmarkStart w:id="65" w:name="_Toc522025642"/>
      <w:bookmarkStart w:id="66" w:name="_Toc523490125"/>
      <w:bookmarkStart w:id="67" w:name="_Toc525294293"/>
      <w:bookmarkStart w:id="68" w:name="_Toc529177887"/>
      <w:r w:rsidRPr="00821C14">
        <w:rPr>
          <w:rFonts w:ascii="Calibri" w:hAnsi="Calibri" w:cs="Calibri"/>
        </w:rPr>
        <w:t>Quality Assessment in MassHealth</w:t>
      </w:r>
      <w:bookmarkEnd w:id="64"/>
      <w:bookmarkEnd w:id="65"/>
      <w:bookmarkEnd w:id="66"/>
      <w:bookmarkEnd w:id="67"/>
      <w:bookmarkEnd w:id="68"/>
    </w:p>
    <w:p w14:paraId="69C4468C" w14:textId="77777777" w:rsidR="001E50CF" w:rsidRPr="00821C14" w:rsidRDefault="001E50CF" w:rsidP="00064DC8">
      <w:pPr>
        <w:rPr>
          <w:rFonts w:cs="Calibri"/>
        </w:rPr>
      </w:pPr>
      <w:r w:rsidRPr="00821C14">
        <w:rPr>
          <w:rFonts w:cs="Calibri"/>
        </w:rPr>
        <w:t xml:space="preserve">Quality assessment in MassHealth occurs through at least three mechanisms: </w:t>
      </w:r>
    </w:p>
    <w:p w14:paraId="29D3525C" w14:textId="77777777" w:rsidR="001E50CF" w:rsidRPr="0069613F" w:rsidRDefault="001E50CF" w:rsidP="009729DB">
      <w:pPr>
        <w:pStyle w:val="ListParagraph"/>
        <w:numPr>
          <w:ilvl w:val="0"/>
          <w:numId w:val="41"/>
        </w:numPr>
        <w:rPr>
          <w:rFonts w:cs="Calibri"/>
        </w:rPr>
      </w:pPr>
      <w:r w:rsidRPr="00B83805">
        <w:rPr>
          <w:rFonts w:cs="Calibri"/>
          <w:b/>
        </w:rPr>
        <w:t>Contract management</w:t>
      </w:r>
      <w:r w:rsidR="0069613F">
        <w:rPr>
          <w:rFonts w:cs="Calibri"/>
        </w:rPr>
        <w:t xml:space="preserve">- </w:t>
      </w:r>
      <w:r w:rsidR="0069613F" w:rsidRPr="0069613F">
        <w:rPr>
          <w:rFonts w:cs="Calibri"/>
        </w:rPr>
        <w:t xml:space="preserve">All managed care contracts and contracts with entities participating in capitated payment programs </w:t>
      </w:r>
      <w:r w:rsidR="00217B96" w:rsidRPr="0069613F">
        <w:rPr>
          <w:rFonts w:cs="Calibri"/>
        </w:rPr>
        <w:t>includes</w:t>
      </w:r>
      <w:r w:rsidR="0069613F" w:rsidRPr="0069613F">
        <w:rPr>
          <w:rFonts w:cs="Calibri"/>
        </w:rPr>
        <w:t xml:space="preserve"> quality provisions. A typical contract includes requirements for quality measurement, quality improvement, and reporting. MassHealth contract managers and quality staff review submissions from the entities and evaluate whether the managed care entity has satisfactorily met the contract requirements.</w:t>
      </w:r>
    </w:p>
    <w:p w14:paraId="2B0B63AC" w14:textId="77777777" w:rsidR="001E50CF" w:rsidRPr="00821C14" w:rsidRDefault="00C604C7" w:rsidP="009729DB">
      <w:pPr>
        <w:pStyle w:val="ListParagraph"/>
        <w:numPr>
          <w:ilvl w:val="0"/>
          <w:numId w:val="12"/>
        </w:numPr>
        <w:rPr>
          <w:rFonts w:cs="Calibri"/>
        </w:rPr>
      </w:pPr>
      <w:r w:rsidRPr="00B83805">
        <w:rPr>
          <w:rFonts w:cs="Calibri"/>
          <w:b/>
        </w:rPr>
        <w:lastRenderedPageBreak/>
        <w:t>Quality</w:t>
      </w:r>
      <w:r w:rsidR="0069613F" w:rsidRPr="00B83805">
        <w:rPr>
          <w:rFonts w:cs="Calibri"/>
          <w:b/>
        </w:rPr>
        <w:t xml:space="preserve"> improvement</w:t>
      </w:r>
      <w:r w:rsidRPr="00B83805">
        <w:rPr>
          <w:rFonts w:cs="Calibri"/>
          <w:b/>
        </w:rPr>
        <w:t xml:space="preserve"> performance programs</w:t>
      </w:r>
      <w:r w:rsidR="0069613F">
        <w:rPr>
          <w:rFonts w:cs="Calibri"/>
        </w:rPr>
        <w:t>- Each managed care entity is required to complete two performance improvement projects annually in accordance with 42 CFR 438.330(d)</w:t>
      </w:r>
    </w:p>
    <w:p w14:paraId="6EFB8590" w14:textId="77777777" w:rsidR="001E50CF" w:rsidRPr="00CC2E46" w:rsidRDefault="001E50CF" w:rsidP="009729DB">
      <w:pPr>
        <w:pStyle w:val="ListParagraph"/>
        <w:numPr>
          <w:ilvl w:val="0"/>
          <w:numId w:val="12"/>
        </w:numPr>
        <w:rPr>
          <w:rFonts w:cs="Calibri"/>
        </w:rPr>
      </w:pPr>
      <w:r w:rsidRPr="00B83805">
        <w:rPr>
          <w:rFonts w:cs="Calibri"/>
          <w:b/>
        </w:rPr>
        <w:t>State-level data collection and monitoring</w:t>
      </w:r>
      <w:r w:rsidR="0069613F" w:rsidRPr="0069613F">
        <w:rPr>
          <w:rFonts w:cs="Calibri"/>
        </w:rPr>
        <w:t xml:space="preserve"> </w:t>
      </w:r>
      <w:r w:rsidR="0069613F">
        <w:rPr>
          <w:rFonts w:cs="Calibri"/>
        </w:rPr>
        <w:t xml:space="preserve">- </w:t>
      </w:r>
      <w:r w:rsidR="0069613F" w:rsidRPr="00821C14">
        <w:rPr>
          <w:rFonts w:cs="Calibri"/>
        </w:rPr>
        <w:t xml:space="preserve">MassHealth routinely collects HEDIS </w:t>
      </w:r>
      <w:r w:rsidR="0069613F">
        <w:rPr>
          <w:rFonts w:cs="Calibri"/>
        </w:rPr>
        <w:t xml:space="preserve">and other performance measure </w:t>
      </w:r>
      <w:r w:rsidR="0069613F" w:rsidRPr="00821C14">
        <w:rPr>
          <w:rFonts w:cs="Calibri"/>
        </w:rPr>
        <w:t>data from its managed care plans</w:t>
      </w:r>
      <w:r w:rsidR="0069613F">
        <w:rPr>
          <w:rFonts w:cs="Calibri"/>
        </w:rPr>
        <w:t>.</w:t>
      </w:r>
      <w:r w:rsidR="0069613F" w:rsidRPr="00D255E8">
        <w:rPr>
          <w:rFonts w:cs="Calibri"/>
        </w:rPr>
        <w:t xml:space="preserve"> </w:t>
      </w:r>
      <w:r w:rsidR="0069613F">
        <w:rPr>
          <w:rFonts w:cs="Calibri"/>
        </w:rPr>
        <w:t>The use of performance measurement for quality monitoring is discussed in further de</w:t>
      </w:r>
      <w:r w:rsidR="00885AE7">
        <w:rPr>
          <w:rFonts w:cs="Calibri"/>
        </w:rPr>
        <w:t>t</w:t>
      </w:r>
      <w:r w:rsidR="0069613F">
        <w:rPr>
          <w:rFonts w:cs="Calibri"/>
        </w:rPr>
        <w:t>ail in Section 5.2.</w:t>
      </w:r>
    </w:p>
    <w:p w14:paraId="423FDB7A" w14:textId="77777777" w:rsidR="001E50CF" w:rsidRPr="00821C14" w:rsidRDefault="001E50CF" w:rsidP="003E368F">
      <w:pPr>
        <w:pStyle w:val="Heading3"/>
        <w:rPr>
          <w:rFonts w:ascii="Calibri" w:hAnsi="Calibri" w:cs="Calibri"/>
        </w:rPr>
      </w:pPr>
      <w:bookmarkStart w:id="69" w:name="_Toc521939906"/>
      <w:bookmarkStart w:id="70" w:name="_Toc522025643"/>
      <w:bookmarkStart w:id="71" w:name="_Toc523490126"/>
      <w:bookmarkStart w:id="72" w:name="_Toc525294294"/>
      <w:bookmarkStart w:id="73" w:name="_Toc529177888"/>
      <w:r w:rsidRPr="00821C14">
        <w:rPr>
          <w:rFonts w:ascii="Calibri" w:hAnsi="Calibri" w:cs="Calibri"/>
        </w:rPr>
        <w:t>Special Health Care Needs</w:t>
      </w:r>
      <w:bookmarkEnd w:id="69"/>
      <w:bookmarkEnd w:id="70"/>
      <w:bookmarkEnd w:id="71"/>
      <w:bookmarkEnd w:id="72"/>
      <w:bookmarkEnd w:id="73"/>
    </w:p>
    <w:p w14:paraId="26D39C08" w14:textId="77777777" w:rsidR="001E50CF" w:rsidRPr="00821C14" w:rsidRDefault="001E50CF" w:rsidP="00064DC8">
      <w:pPr>
        <w:rPr>
          <w:rFonts w:cs="Calibri"/>
        </w:rPr>
      </w:pPr>
      <w:r w:rsidRPr="00821C14">
        <w:rPr>
          <w:rFonts w:cs="Calibri"/>
        </w:rPr>
        <w:t xml:space="preserve">Each managed care </w:t>
      </w:r>
      <w:r w:rsidR="00C221E9">
        <w:rPr>
          <w:rFonts w:cs="Calibri"/>
        </w:rPr>
        <w:t xml:space="preserve">entity </w:t>
      </w:r>
      <w:r w:rsidRPr="00821C14">
        <w:rPr>
          <w:rFonts w:cs="Calibri"/>
        </w:rPr>
        <w:t>must have mechanisms in place to assess enrollees identified as having special health care needs.</w:t>
      </w:r>
      <w:r w:rsidR="00074621" w:rsidRPr="00821C14">
        <w:rPr>
          <w:rFonts w:cs="Calibri"/>
        </w:rPr>
        <w:t xml:space="preserve"> </w:t>
      </w:r>
      <w:r w:rsidR="00315F01">
        <w:rPr>
          <w:rFonts w:cs="Calibri"/>
        </w:rPr>
        <w:t>Special health care needs are specifically defined in each managed care contract though generally, t</w:t>
      </w:r>
      <w:r w:rsidR="00074621" w:rsidRPr="00821C14">
        <w:rPr>
          <w:rFonts w:cs="Calibri"/>
        </w:rPr>
        <w:t xml:space="preserve">hese enrollees may include, at a minimum, those who have or are at increased risk to have </w:t>
      </w:r>
      <w:r w:rsidR="00A063C1" w:rsidRPr="002B0FE5">
        <w:t xml:space="preserve"> </w:t>
      </w:r>
      <w:r w:rsidR="004526B7" w:rsidRPr="002B0FE5">
        <w:t>complex or chronic medical needs requiring specialized health care services, including persons with multiple chronic conditions, co-morbidities, and/or co-existing functional impairments, and including persons with physical, mental/substance use, and/or developmental disabilities, such as persons with cognitive, intellectual, mobility, psychiatric, and/or sensory disabilities</w:t>
      </w:r>
      <w:r w:rsidR="00074621" w:rsidRPr="00821C14">
        <w:rPr>
          <w:rFonts w:cs="Calibri"/>
        </w:rPr>
        <w:t>.</w:t>
      </w:r>
      <w:r w:rsidRPr="00821C14">
        <w:rPr>
          <w:rFonts w:cs="Calibri"/>
        </w:rPr>
        <w:t xml:space="preserve"> For each enrollee that the managed care program confirms as having special health care needs, the individual’s need for ongoing treatment and monitoring must be det</w:t>
      </w:r>
      <w:r w:rsidR="00E228D6">
        <w:rPr>
          <w:rFonts w:cs="Calibri"/>
        </w:rPr>
        <w:t>ermined. In addition, for members including but not limited to enrollees with special health care needs</w:t>
      </w:r>
      <w:r w:rsidR="00AB0D64">
        <w:rPr>
          <w:rFonts w:cs="Calibri"/>
        </w:rPr>
        <w:t>,</w:t>
      </w:r>
      <w:r w:rsidR="00E228D6">
        <w:rPr>
          <w:rFonts w:cs="Calibri"/>
        </w:rPr>
        <w:t xml:space="preserve"> who are </w:t>
      </w:r>
      <w:r w:rsidRPr="00821C14">
        <w:rPr>
          <w:rFonts w:cs="Calibri"/>
        </w:rPr>
        <w:t xml:space="preserve">determined through an assessment by appropriate health care professionals to need a course of treatment or regular care </w:t>
      </w:r>
      <w:r w:rsidR="00C221E9">
        <w:rPr>
          <w:rFonts w:cs="Calibri"/>
        </w:rPr>
        <w:t xml:space="preserve">monitoring, each managed care entity </w:t>
      </w:r>
      <w:r w:rsidRPr="00821C14">
        <w:rPr>
          <w:rFonts w:cs="Calibri"/>
        </w:rPr>
        <w:t>must have a mechanism in place to allow such enrollees direct access to a specialist(s) (for example, through a standing referral or an approved number of visits) as appropriate for the enrollee’s condition and identified needs.</w:t>
      </w:r>
    </w:p>
    <w:p w14:paraId="1F15A80A" w14:textId="77777777" w:rsidR="001E50CF" w:rsidRPr="00821C14" w:rsidRDefault="001E50CF" w:rsidP="00064DC8">
      <w:pPr>
        <w:rPr>
          <w:rFonts w:cs="Calibri"/>
        </w:rPr>
      </w:pPr>
      <w:bookmarkStart w:id="74" w:name="OLE_LINK7"/>
      <w:bookmarkStart w:id="75" w:name="OLE_LINK8"/>
      <w:r w:rsidRPr="00821C14">
        <w:rPr>
          <w:rFonts w:cs="Calibri"/>
        </w:rPr>
        <w:t xml:space="preserve">In identifying enrollees with special health care needs, managed care entities may rely on information shared by the </w:t>
      </w:r>
      <w:r w:rsidR="002C231C">
        <w:rPr>
          <w:rFonts w:cs="Calibri"/>
        </w:rPr>
        <w:t>Commonwealth</w:t>
      </w:r>
      <w:r w:rsidRPr="00821C14">
        <w:rPr>
          <w:rFonts w:cs="Calibri"/>
        </w:rPr>
        <w:t xml:space="preserve">. This includes Categories of Assistance, such as SSI disabled only, to which enrollees </w:t>
      </w:r>
      <w:r w:rsidR="00B83805">
        <w:rPr>
          <w:rFonts w:cs="Calibri"/>
        </w:rPr>
        <w:t>a</w:t>
      </w:r>
      <w:r w:rsidRPr="00821C14">
        <w:rPr>
          <w:rFonts w:cs="Calibri"/>
        </w:rPr>
        <w:t>re assigned by MassHealth, as well as information provided by other State agencies</w:t>
      </w:r>
      <w:bookmarkEnd w:id="74"/>
      <w:bookmarkEnd w:id="75"/>
      <w:r w:rsidRPr="00821C14">
        <w:rPr>
          <w:rFonts w:cs="Calibri"/>
        </w:rPr>
        <w:t>.</w:t>
      </w:r>
      <w:r w:rsidR="00950BF7">
        <w:rPr>
          <w:rFonts w:cs="Calibri"/>
        </w:rPr>
        <w:t xml:space="preserve"> </w:t>
      </w:r>
      <w:r w:rsidR="00824AAD">
        <w:rPr>
          <w:rFonts w:cs="Calibri"/>
        </w:rPr>
        <w:t xml:space="preserve">Plans are required to assess </w:t>
      </w:r>
      <w:r w:rsidR="00824AAD" w:rsidRPr="00A71996">
        <w:rPr>
          <w:szCs w:val="24"/>
        </w:rPr>
        <w:t>the quality and approp</w:t>
      </w:r>
      <w:r w:rsidR="00824AAD">
        <w:rPr>
          <w:szCs w:val="24"/>
        </w:rPr>
        <w:t>riateness of care furnished to e</w:t>
      </w:r>
      <w:r w:rsidR="00824AAD" w:rsidRPr="00A71996">
        <w:rPr>
          <w:szCs w:val="24"/>
        </w:rPr>
        <w:t xml:space="preserve">nrollees </w:t>
      </w:r>
      <w:r w:rsidR="00824AAD">
        <w:rPr>
          <w:szCs w:val="24"/>
        </w:rPr>
        <w:t>w</w:t>
      </w:r>
      <w:r w:rsidR="00824AAD" w:rsidRPr="00A71996">
        <w:rPr>
          <w:szCs w:val="24"/>
        </w:rPr>
        <w:t xml:space="preserve">ith </w:t>
      </w:r>
      <w:r w:rsidR="00824AAD">
        <w:rPr>
          <w:szCs w:val="24"/>
        </w:rPr>
        <w:t>s</w:t>
      </w:r>
      <w:r w:rsidR="00824AAD" w:rsidRPr="00A71996">
        <w:rPr>
          <w:szCs w:val="24"/>
        </w:rPr>
        <w:t xml:space="preserve">pecial </w:t>
      </w:r>
      <w:r w:rsidR="00824AAD">
        <w:rPr>
          <w:szCs w:val="24"/>
        </w:rPr>
        <w:t>he</w:t>
      </w:r>
      <w:r w:rsidR="00824AAD" w:rsidRPr="00A71996">
        <w:rPr>
          <w:szCs w:val="24"/>
        </w:rPr>
        <w:t xml:space="preserve">alth </w:t>
      </w:r>
      <w:r w:rsidR="00824AAD">
        <w:rPr>
          <w:szCs w:val="24"/>
        </w:rPr>
        <w:t>c</w:t>
      </w:r>
      <w:r w:rsidR="00824AAD" w:rsidRPr="00A71996">
        <w:rPr>
          <w:szCs w:val="24"/>
        </w:rPr>
        <w:t xml:space="preserve">are </w:t>
      </w:r>
      <w:r w:rsidR="00824AAD">
        <w:rPr>
          <w:szCs w:val="24"/>
        </w:rPr>
        <w:t>n</w:t>
      </w:r>
      <w:r w:rsidR="00824AAD" w:rsidRPr="00A71996">
        <w:rPr>
          <w:szCs w:val="24"/>
        </w:rPr>
        <w:t>eeds</w:t>
      </w:r>
      <w:r w:rsidR="00F103D2">
        <w:rPr>
          <w:szCs w:val="24"/>
        </w:rPr>
        <w:t xml:space="preserve"> through a variety of means including the establishment of  individualized care plans as appropriate, ensuring timely and coordinated care, and ensuring the development of clinical protocols and approaches to the provision of care that are appropriate for the enrollees’ needs</w:t>
      </w:r>
      <w:r w:rsidR="00824AAD">
        <w:rPr>
          <w:szCs w:val="24"/>
        </w:rPr>
        <w:t>.</w:t>
      </w:r>
      <w:r w:rsidR="006446A1">
        <w:rPr>
          <w:szCs w:val="24"/>
        </w:rPr>
        <w:t xml:space="preserve"> </w:t>
      </w:r>
    </w:p>
    <w:p w14:paraId="1CDC45E7" w14:textId="77777777" w:rsidR="007261BB" w:rsidRPr="00C1080F" w:rsidRDefault="007261BB" w:rsidP="007261BB">
      <w:pPr>
        <w:pStyle w:val="Heading3"/>
        <w:rPr>
          <w:rFonts w:ascii="Calibri" w:hAnsi="Calibri"/>
        </w:rPr>
      </w:pPr>
      <w:bookmarkStart w:id="76" w:name="_Toc525294295"/>
      <w:bookmarkStart w:id="77" w:name="_Toc529177889"/>
      <w:r w:rsidRPr="00C1080F">
        <w:rPr>
          <w:rFonts w:ascii="Calibri" w:hAnsi="Calibri"/>
        </w:rPr>
        <w:t>Behavioral Health Screening Among Children</w:t>
      </w:r>
      <w:bookmarkEnd w:id="76"/>
      <w:bookmarkEnd w:id="77"/>
    </w:p>
    <w:p w14:paraId="49726038" w14:textId="77777777" w:rsidR="0005505F" w:rsidRDefault="001E50CF" w:rsidP="007D6249">
      <w:pPr>
        <w:rPr>
          <w:rFonts w:cs="Calibri"/>
        </w:rPr>
      </w:pPr>
      <w:r w:rsidRPr="00821C14">
        <w:rPr>
          <w:rFonts w:cs="Calibri"/>
        </w:rPr>
        <w:t xml:space="preserve">On December 31, 2007, EOHHS began requiring primary care providers to offer to use standardized behavioral health screening tools when administering the </w:t>
      </w:r>
      <w:r w:rsidR="004E5D36">
        <w:rPr>
          <w:rFonts w:cs="Calibri"/>
        </w:rPr>
        <w:t xml:space="preserve">BH </w:t>
      </w:r>
      <w:r w:rsidRPr="00821C14">
        <w:rPr>
          <w:rFonts w:cs="Calibri"/>
        </w:rPr>
        <w:t>screening component of the well-child care visit as required by the Commonwealth’s Early and Periodic Screening, Diagnosis and Treatment (EPSDT) Medical Periodicity Schedule to all MassHealth enrolled children under the age of 21.</w:t>
      </w:r>
    </w:p>
    <w:p w14:paraId="43E2321D" w14:textId="77777777" w:rsidR="003F5492" w:rsidRPr="00821C14" w:rsidRDefault="007D6249" w:rsidP="007D6249">
      <w:pPr>
        <w:rPr>
          <w:rFonts w:cs="Calibri"/>
        </w:rPr>
      </w:pPr>
      <w:r>
        <w:rPr>
          <w:rFonts w:cs="Calibri"/>
        </w:rPr>
        <w:t xml:space="preserve"> </w:t>
      </w:r>
      <w:r w:rsidR="00652641">
        <w:rPr>
          <w:rFonts w:cs="Calibri"/>
        </w:rPr>
        <w:t>T</w:t>
      </w:r>
      <w:r w:rsidR="008D44DD" w:rsidRPr="008D44DD">
        <w:rPr>
          <w:rFonts w:cs="Calibri"/>
        </w:rPr>
        <w:t xml:space="preserve">he menu of </w:t>
      </w:r>
      <w:r w:rsidR="004E5D36">
        <w:rPr>
          <w:rFonts w:cs="Calibri"/>
        </w:rPr>
        <w:t>BH</w:t>
      </w:r>
      <w:r w:rsidR="00652641">
        <w:rPr>
          <w:rFonts w:cs="Calibri"/>
        </w:rPr>
        <w:t xml:space="preserve"> screening tools is reviewed </w:t>
      </w:r>
      <w:r w:rsidR="00575579">
        <w:rPr>
          <w:rFonts w:cs="Calibri"/>
        </w:rPr>
        <w:t>routinely</w:t>
      </w:r>
      <w:r w:rsidR="00652641">
        <w:rPr>
          <w:rFonts w:cs="Calibri"/>
        </w:rPr>
        <w:t xml:space="preserve">. </w:t>
      </w:r>
      <w:r w:rsidR="0020284A">
        <w:rPr>
          <w:rFonts w:cs="Calibri"/>
        </w:rPr>
        <w:t xml:space="preserve"> </w:t>
      </w:r>
      <w:r w:rsidR="001A0754">
        <w:rPr>
          <w:rFonts w:cs="Calibri"/>
        </w:rPr>
        <w:t>A</w:t>
      </w:r>
      <w:r w:rsidR="003F5492">
        <w:rPr>
          <w:rFonts w:cs="Calibri"/>
        </w:rPr>
        <w:t>s part of this review, a</w:t>
      </w:r>
      <w:r w:rsidR="001A0754">
        <w:rPr>
          <w:rFonts w:cs="Calibri"/>
        </w:rPr>
        <w:t>n environmental scan is undertaken which includes a search for new screening tools, updates</w:t>
      </w:r>
      <w:r w:rsidR="003F5492">
        <w:rPr>
          <w:rFonts w:cs="Calibri"/>
        </w:rPr>
        <w:t xml:space="preserve"> to research on</w:t>
      </w:r>
      <w:r w:rsidR="001A0754">
        <w:rPr>
          <w:rFonts w:cs="Calibri"/>
        </w:rPr>
        <w:t xml:space="preserve"> tools</w:t>
      </w:r>
      <w:r w:rsidR="003F5492">
        <w:rPr>
          <w:rFonts w:cs="Calibri"/>
        </w:rPr>
        <w:t xml:space="preserve"> that </w:t>
      </w:r>
      <w:r w:rsidR="003606F7">
        <w:rPr>
          <w:rFonts w:cs="Calibri"/>
        </w:rPr>
        <w:t xml:space="preserve">are </w:t>
      </w:r>
      <w:r w:rsidR="003F5492">
        <w:rPr>
          <w:rFonts w:cs="Calibri"/>
        </w:rPr>
        <w:t>on the current menu,</w:t>
      </w:r>
      <w:r w:rsidR="001A0754">
        <w:rPr>
          <w:rFonts w:cs="Calibri"/>
        </w:rPr>
        <w:t xml:space="preserve"> and evidence supporting </w:t>
      </w:r>
      <w:r w:rsidR="003606F7">
        <w:rPr>
          <w:rFonts w:cs="Calibri"/>
        </w:rPr>
        <w:t xml:space="preserve">screening </w:t>
      </w:r>
      <w:r w:rsidR="001A0754">
        <w:rPr>
          <w:rFonts w:cs="Calibri"/>
        </w:rPr>
        <w:t>tools proposed for consideration by</w:t>
      </w:r>
      <w:r w:rsidR="0020284A">
        <w:rPr>
          <w:rFonts w:cs="Calibri"/>
        </w:rPr>
        <w:t xml:space="preserve"> providers or other</w:t>
      </w:r>
      <w:r w:rsidR="003606F7">
        <w:rPr>
          <w:rFonts w:cs="Calibri"/>
        </w:rPr>
        <w:t xml:space="preserve"> stakeholders</w:t>
      </w:r>
      <w:r w:rsidR="0020284A">
        <w:rPr>
          <w:rFonts w:cs="Calibri"/>
        </w:rPr>
        <w:t xml:space="preserve">. </w:t>
      </w:r>
      <w:r w:rsidR="003F5492">
        <w:rPr>
          <w:rFonts w:cs="Calibri"/>
        </w:rPr>
        <w:t>This information is</w:t>
      </w:r>
      <w:r w:rsidR="008D44DD">
        <w:rPr>
          <w:rFonts w:cs="Calibri"/>
        </w:rPr>
        <w:t xml:space="preserve"> compiled and assessed according to criteria established by MassHealth </w:t>
      </w:r>
      <w:r w:rsidR="00337C3E">
        <w:rPr>
          <w:rFonts w:cs="Calibri"/>
        </w:rPr>
        <w:t>clinician reviewers that include</w:t>
      </w:r>
      <w:r w:rsidR="008D44DD">
        <w:rPr>
          <w:rFonts w:cs="Calibri"/>
        </w:rPr>
        <w:t xml:space="preserve"> reliability, validity, sensitivity and specificity. </w:t>
      </w:r>
      <w:r w:rsidR="003F5492">
        <w:rPr>
          <w:rFonts w:cs="Calibri"/>
        </w:rPr>
        <w:t xml:space="preserve">Input is </w:t>
      </w:r>
      <w:r w:rsidR="003606F7">
        <w:rPr>
          <w:rFonts w:cs="Calibri"/>
        </w:rPr>
        <w:t xml:space="preserve">then </w:t>
      </w:r>
      <w:r w:rsidR="003F5492">
        <w:rPr>
          <w:rFonts w:cs="Calibri"/>
        </w:rPr>
        <w:t>solicited from a stakeholder group, whose members</w:t>
      </w:r>
      <w:r w:rsidR="00847BE4">
        <w:rPr>
          <w:rFonts w:cs="Calibri"/>
        </w:rPr>
        <w:t>hip</w:t>
      </w:r>
      <w:r w:rsidR="003F5492">
        <w:rPr>
          <w:rFonts w:cs="Calibri"/>
        </w:rPr>
        <w:t xml:space="preserve"> review</w:t>
      </w:r>
      <w:r w:rsidR="00847BE4">
        <w:rPr>
          <w:rFonts w:cs="Calibri"/>
        </w:rPr>
        <w:t>s</w:t>
      </w:r>
      <w:r w:rsidR="003F5492">
        <w:rPr>
          <w:rFonts w:cs="Calibri"/>
        </w:rPr>
        <w:t xml:space="preserve"> a</w:t>
      </w:r>
      <w:r w:rsidR="008D44DD">
        <w:rPr>
          <w:rFonts w:cs="Calibri"/>
        </w:rPr>
        <w:t xml:space="preserve"> summary of tools</w:t>
      </w:r>
      <w:r w:rsidR="003F5492">
        <w:rPr>
          <w:rFonts w:cs="Calibri"/>
        </w:rPr>
        <w:t xml:space="preserve"> and mak</w:t>
      </w:r>
      <w:r w:rsidR="008D44DD">
        <w:rPr>
          <w:rFonts w:cs="Calibri"/>
        </w:rPr>
        <w:t xml:space="preserve">e recommendations </w:t>
      </w:r>
      <w:r w:rsidR="003606F7">
        <w:rPr>
          <w:rFonts w:cs="Calibri"/>
        </w:rPr>
        <w:t>regarding</w:t>
      </w:r>
      <w:r w:rsidR="008D44DD">
        <w:rPr>
          <w:rFonts w:cs="Calibri"/>
        </w:rPr>
        <w:t xml:space="preserve"> which should be added to or deleted from the existing menu. </w:t>
      </w:r>
      <w:r w:rsidR="00575579">
        <w:rPr>
          <w:rFonts w:cs="Calibri"/>
        </w:rPr>
        <w:t>MassHealth</w:t>
      </w:r>
      <w:r w:rsidR="003606F7">
        <w:rPr>
          <w:rFonts w:cs="Calibri"/>
        </w:rPr>
        <w:t xml:space="preserve"> reviews these recommendations and issues </w:t>
      </w:r>
      <w:r w:rsidR="004004AE">
        <w:rPr>
          <w:rFonts w:cs="Calibri"/>
        </w:rPr>
        <w:t xml:space="preserve">a </w:t>
      </w:r>
      <w:r w:rsidR="003606F7">
        <w:rPr>
          <w:rFonts w:cs="Calibri"/>
        </w:rPr>
        <w:t xml:space="preserve">final decision. </w:t>
      </w:r>
    </w:p>
    <w:p w14:paraId="57A96058" w14:textId="77777777" w:rsidR="001E50CF" w:rsidRPr="00821C14" w:rsidRDefault="001E50CF" w:rsidP="003E368F">
      <w:pPr>
        <w:pStyle w:val="Heading3"/>
        <w:rPr>
          <w:rFonts w:ascii="Calibri" w:hAnsi="Calibri" w:cs="Calibri"/>
        </w:rPr>
      </w:pPr>
      <w:bookmarkStart w:id="78" w:name="_Toc521939907"/>
      <w:bookmarkStart w:id="79" w:name="_Toc522025644"/>
      <w:bookmarkStart w:id="80" w:name="_Toc523490127"/>
      <w:bookmarkStart w:id="81" w:name="_Toc525294296"/>
      <w:bookmarkStart w:id="82" w:name="_Toc529177890"/>
      <w:r w:rsidRPr="00821C14">
        <w:rPr>
          <w:rFonts w:ascii="Calibri" w:hAnsi="Calibri" w:cs="Calibri"/>
        </w:rPr>
        <w:t>Preventing</w:t>
      </w:r>
      <w:r w:rsidR="00C568B0">
        <w:rPr>
          <w:rFonts w:ascii="Calibri" w:hAnsi="Calibri" w:cs="Calibri"/>
        </w:rPr>
        <w:t xml:space="preserve"> and Reducing</w:t>
      </w:r>
      <w:r w:rsidRPr="00821C14">
        <w:rPr>
          <w:rFonts w:ascii="Calibri" w:hAnsi="Calibri" w:cs="Calibri"/>
        </w:rPr>
        <w:t xml:space="preserve"> Disparities</w:t>
      </w:r>
      <w:bookmarkEnd w:id="78"/>
      <w:bookmarkEnd w:id="79"/>
      <w:bookmarkEnd w:id="80"/>
      <w:bookmarkEnd w:id="81"/>
      <w:bookmarkEnd w:id="82"/>
    </w:p>
    <w:p w14:paraId="17E1F9B2" w14:textId="77777777" w:rsidR="001E50CF" w:rsidRPr="003A471C" w:rsidRDefault="003A471C" w:rsidP="00064DC8">
      <w:pPr>
        <w:rPr>
          <w:rFonts w:cs="Calibri"/>
          <w:b/>
          <w:color w:val="FF0000"/>
        </w:rPr>
      </w:pPr>
      <w:r>
        <w:rPr>
          <w:rFonts w:cs="Calibri"/>
        </w:rPr>
        <w:t xml:space="preserve">The ability to identify and address health care disparities begins with the collection and analysis of patient data.  </w:t>
      </w:r>
      <w:r w:rsidR="001E50CF" w:rsidRPr="00821C14">
        <w:rPr>
          <w:rFonts w:cs="Calibri"/>
        </w:rPr>
        <w:t xml:space="preserve">Data regarding potential disparities come from several different sources. First, at the time </w:t>
      </w:r>
      <w:r w:rsidR="001E50CF" w:rsidRPr="00821C14">
        <w:rPr>
          <w:rFonts w:cs="Calibri"/>
        </w:rPr>
        <w:lastRenderedPageBreak/>
        <w:t>of enrollment, MassHealth members</w:t>
      </w:r>
      <w:r w:rsidR="004D25B6">
        <w:rPr>
          <w:rFonts w:cs="Calibri"/>
        </w:rPr>
        <w:t xml:space="preserve"> </w:t>
      </w:r>
      <w:r w:rsidR="00F00D04">
        <w:rPr>
          <w:rFonts w:cs="Calibri"/>
        </w:rPr>
        <w:t xml:space="preserve">may </w:t>
      </w:r>
      <w:r w:rsidR="004D25B6">
        <w:rPr>
          <w:rFonts w:cs="Calibri"/>
        </w:rPr>
        <w:t xml:space="preserve">voluntarily </w:t>
      </w:r>
      <w:r w:rsidR="001E50CF" w:rsidRPr="00821C14">
        <w:rPr>
          <w:rFonts w:cs="Calibri"/>
        </w:rPr>
        <w:t>self-declare their race, ethnicity and primary language. These data can be linked to claims data and analyzed.</w:t>
      </w:r>
      <w:r w:rsidR="00DB2B48">
        <w:rPr>
          <w:rFonts w:cs="Calibri"/>
        </w:rPr>
        <w:t xml:space="preserve"> Health plans receive this information</w:t>
      </w:r>
      <w:r w:rsidR="00F00D04">
        <w:rPr>
          <w:rFonts w:cs="Calibri"/>
        </w:rPr>
        <w:t>, when available,</w:t>
      </w:r>
      <w:r w:rsidR="00DB2B48">
        <w:rPr>
          <w:rFonts w:cs="Calibri"/>
        </w:rPr>
        <w:t xml:space="preserve"> through daily transmittal of the HIPAA 834 file.</w:t>
      </w:r>
      <w:r w:rsidR="001E50CF" w:rsidRPr="00821C14">
        <w:rPr>
          <w:rFonts w:cs="Calibri"/>
        </w:rPr>
        <w:t xml:space="preserve"> A second source of data for monitoring disparities comes from the periodic patient surveys. The demographic section at the end of the survey </w:t>
      </w:r>
      <w:r w:rsidR="00F00D04">
        <w:rPr>
          <w:rFonts w:cs="Calibri"/>
        </w:rPr>
        <w:t>collects</w:t>
      </w:r>
      <w:r w:rsidR="001E50CF" w:rsidRPr="00821C14">
        <w:rPr>
          <w:rFonts w:cs="Calibri"/>
        </w:rPr>
        <w:t xml:space="preserve"> information about self-reported race, ethnicity, primary language and chronic conditions. These data permit subgroup analyses of the survey returns. Because the survey data are always anonymous, there is no possibility of linking the survey returns to other types of data such as claims.</w:t>
      </w:r>
    </w:p>
    <w:p w14:paraId="5334E074" w14:textId="77777777" w:rsidR="00DD34A9" w:rsidRDefault="00905B6D" w:rsidP="00B27F1E">
      <w:pPr>
        <w:rPr>
          <w:rFonts w:cs="Calibri"/>
        </w:rPr>
      </w:pPr>
      <w:r>
        <w:rPr>
          <w:rFonts w:cs="Calibri"/>
        </w:rPr>
        <w:t xml:space="preserve">MassHealth seeks to reduce disparities among its members. </w:t>
      </w:r>
      <w:r w:rsidR="00766BB3">
        <w:rPr>
          <w:rFonts w:cs="Calibri"/>
        </w:rPr>
        <w:t xml:space="preserve">All health plans are required to provide culturally and linguistically </w:t>
      </w:r>
      <w:r w:rsidR="005379AE">
        <w:rPr>
          <w:rFonts w:cs="Calibri"/>
        </w:rPr>
        <w:t>appropriate</w:t>
      </w:r>
      <w:r w:rsidR="00766BB3">
        <w:rPr>
          <w:rFonts w:cs="Calibri"/>
        </w:rPr>
        <w:t xml:space="preserve"> care</w:t>
      </w:r>
      <w:r w:rsidR="003A471C">
        <w:rPr>
          <w:rFonts w:cs="Calibri"/>
        </w:rPr>
        <w:t xml:space="preserve"> to ensure that the communication and language access needs of all members are met. To address barriers associated with </w:t>
      </w:r>
      <w:r w:rsidR="00C76441">
        <w:rPr>
          <w:rFonts w:cs="Calibri"/>
        </w:rPr>
        <w:t>health care system navigation, payment and delivery reform efforts are driving</w:t>
      </w:r>
      <w:r w:rsidR="00766BB3">
        <w:rPr>
          <w:rFonts w:cs="Calibri"/>
        </w:rPr>
        <w:t xml:space="preserve"> the </w:t>
      </w:r>
      <w:r w:rsidR="003A471C">
        <w:rPr>
          <w:rFonts w:cs="Calibri"/>
        </w:rPr>
        <w:t>integration of</w:t>
      </w:r>
      <w:r w:rsidR="00766BB3">
        <w:rPr>
          <w:rFonts w:cs="Calibri"/>
        </w:rPr>
        <w:t xml:space="preserve"> care that includes links to community resources as well as measurement of the social determinants of health.  For all members, MassHealth</w:t>
      </w:r>
      <w:r w:rsidR="003A471C">
        <w:rPr>
          <w:rFonts w:cs="Calibri"/>
        </w:rPr>
        <w:t xml:space="preserve"> p</w:t>
      </w:r>
      <w:r>
        <w:rPr>
          <w:rFonts w:cs="Calibri"/>
        </w:rPr>
        <w:t xml:space="preserve">ublications are printed in English and Spanish, with translations available upon request in 16 languages. </w:t>
      </w:r>
    </w:p>
    <w:p w14:paraId="2E93A439" w14:textId="77777777" w:rsidR="00B27F1E" w:rsidRPr="00B27F1E" w:rsidRDefault="00504725" w:rsidP="00B27F1E">
      <w:r>
        <w:rPr>
          <w:rFonts w:cs="Calibri"/>
        </w:rPr>
        <w:t>MassHealth also</w:t>
      </w:r>
      <w:r w:rsidR="009A721A">
        <w:rPr>
          <w:rFonts w:cs="Calibri"/>
        </w:rPr>
        <w:t xml:space="preserve"> offers t</w:t>
      </w:r>
      <w:r w:rsidR="00905B6D">
        <w:rPr>
          <w:rFonts w:cs="Calibri"/>
        </w:rPr>
        <w:t>he</w:t>
      </w:r>
      <w:r w:rsidR="00905B6D" w:rsidRPr="0067269A">
        <w:rPr>
          <w:rFonts w:cs="Calibri"/>
        </w:rPr>
        <w:t xml:space="preserve"> Community Support Program</w:t>
      </w:r>
      <w:r w:rsidR="009A721A">
        <w:rPr>
          <w:rFonts w:cs="Calibri"/>
        </w:rPr>
        <w:t xml:space="preserve"> (CSP)</w:t>
      </w:r>
      <w:r w:rsidR="00DD34A9">
        <w:rPr>
          <w:rFonts w:cs="Calibri"/>
        </w:rPr>
        <w:t xml:space="preserve"> through managed care,</w:t>
      </w:r>
      <w:r w:rsidR="00905B6D" w:rsidRPr="0067269A">
        <w:rPr>
          <w:rFonts w:cs="Calibri"/>
        </w:rPr>
        <w:t xml:space="preserve"> </w:t>
      </w:r>
      <w:r w:rsidR="00DD34A9">
        <w:rPr>
          <w:rFonts w:cs="Calibri"/>
        </w:rPr>
        <w:t xml:space="preserve">a service </w:t>
      </w:r>
      <w:r w:rsidR="00905B6D" w:rsidRPr="0067269A">
        <w:rPr>
          <w:rFonts w:cs="Calibri"/>
        </w:rPr>
        <w:t>which include</w:t>
      </w:r>
      <w:r w:rsidR="009A721A">
        <w:rPr>
          <w:rFonts w:cs="Calibri"/>
        </w:rPr>
        <w:t>s</w:t>
      </w:r>
      <w:r w:rsidR="00905B6D">
        <w:rPr>
          <w:rFonts w:cs="Calibri"/>
        </w:rPr>
        <w:t xml:space="preserve"> </w:t>
      </w:r>
      <w:r w:rsidR="00847BE4">
        <w:rPr>
          <w:rFonts w:cs="Calibri"/>
        </w:rPr>
        <w:t xml:space="preserve">supports for refugees, </w:t>
      </w:r>
      <w:r w:rsidR="00905B6D">
        <w:rPr>
          <w:rFonts w:cs="Calibri"/>
        </w:rPr>
        <w:t>people experiencing chronic homelessness</w:t>
      </w:r>
      <w:r w:rsidR="00847BE4">
        <w:rPr>
          <w:rFonts w:cs="Calibri"/>
        </w:rPr>
        <w:t xml:space="preserve"> and</w:t>
      </w:r>
      <w:r w:rsidR="00905B6D">
        <w:rPr>
          <w:rFonts w:cs="Calibri"/>
        </w:rPr>
        <w:t>, substance use or mental health disorders</w:t>
      </w:r>
      <w:r w:rsidR="000C2728">
        <w:rPr>
          <w:rFonts w:cs="Calibri"/>
        </w:rPr>
        <w:t>,</w:t>
      </w:r>
      <w:r w:rsidR="00847BE4">
        <w:rPr>
          <w:rFonts w:cs="Calibri"/>
        </w:rPr>
        <w:t xml:space="preserve"> </w:t>
      </w:r>
      <w:r w:rsidR="00BF156B">
        <w:rPr>
          <w:rFonts w:cs="Calibri"/>
        </w:rPr>
        <w:t>and</w:t>
      </w:r>
      <w:r w:rsidR="00905B6D">
        <w:rPr>
          <w:rFonts w:cs="Calibri"/>
        </w:rPr>
        <w:t xml:space="preserve"> provides additional outreach and support so that members can use </w:t>
      </w:r>
      <w:r w:rsidR="00097A00">
        <w:rPr>
          <w:rFonts w:cs="Calibri"/>
        </w:rPr>
        <w:t>treatment</w:t>
      </w:r>
      <w:r w:rsidR="00905B6D">
        <w:rPr>
          <w:rFonts w:cs="Calibri"/>
        </w:rPr>
        <w:t xml:space="preserve"> services and adhere to their clinical treatment plans. </w:t>
      </w:r>
      <w:r w:rsidR="009A721A">
        <w:rPr>
          <w:rFonts w:cs="Calibri"/>
        </w:rPr>
        <w:t xml:space="preserve">This </w:t>
      </w:r>
      <w:r w:rsidR="009A721A">
        <w:t>short-term, mobile and flexible program offers intensive case management services to individuals considered “at risk” in their communities. Programs like CSP advance health equity by offering services in the community, develop</w:t>
      </w:r>
      <w:r w:rsidR="00C76441">
        <w:t>ing</w:t>
      </w:r>
      <w:r w:rsidR="009A721A">
        <w:t xml:space="preserve"> self-management skills among clients and addressing co-occurring </w:t>
      </w:r>
      <w:r w:rsidR="004E5D36">
        <w:t>BH</w:t>
      </w:r>
      <w:r w:rsidR="009A721A">
        <w:t xml:space="preserve"> and substance use issues that affect a member’s ability </w:t>
      </w:r>
      <w:r w:rsidR="00C76441">
        <w:t xml:space="preserve">to </w:t>
      </w:r>
      <w:r w:rsidR="00950BF7">
        <w:t>engage in care.</w:t>
      </w:r>
    </w:p>
    <w:p w14:paraId="710FEFA0" w14:textId="77777777" w:rsidR="001E50CF" w:rsidRPr="00B27F1E" w:rsidRDefault="001E50CF" w:rsidP="00B27F1E">
      <w:pPr>
        <w:pStyle w:val="Heading2"/>
      </w:pPr>
      <w:r w:rsidRPr="00B27F1E">
        <w:t xml:space="preserve"> </w:t>
      </w:r>
      <w:bookmarkStart w:id="83" w:name="_Ref521932298"/>
      <w:bookmarkStart w:id="84" w:name="_Ref521932319"/>
      <w:bookmarkStart w:id="85" w:name="_Ref521932395"/>
      <w:bookmarkStart w:id="86" w:name="_Ref522024882"/>
      <w:bookmarkStart w:id="87" w:name="_Toc529177891"/>
      <w:r w:rsidRPr="00B27F1E">
        <w:t>National Performance Measures</w:t>
      </w:r>
      <w:bookmarkEnd w:id="83"/>
      <w:bookmarkEnd w:id="84"/>
      <w:bookmarkEnd w:id="85"/>
      <w:r w:rsidR="006C5C22" w:rsidRPr="00B27F1E">
        <w:t xml:space="preserve"> and Member Experience</w:t>
      </w:r>
      <w:bookmarkEnd w:id="86"/>
      <w:bookmarkEnd w:id="87"/>
    </w:p>
    <w:p w14:paraId="0B68D3ED" w14:textId="77777777" w:rsidR="00D31351" w:rsidRDefault="001E50CF" w:rsidP="00D31351">
      <w:pPr>
        <w:rPr>
          <w:rFonts w:cs="Calibri"/>
        </w:rPr>
      </w:pPr>
      <w:proofErr w:type="spellStart"/>
      <w:r w:rsidRPr="00821C14">
        <w:rPr>
          <w:rFonts w:cs="Calibri"/>
        </w:rPr>
        <w:t>MassHealth’s</w:t>
      </w:r>
      <w:proofErr w:type="spellEnd"/>
      <w:r w:rsidRPr="00821C14">
        <w:rPr>
          <w:rFonts w:cs="Calibri"/>
        </w:rPr>
        <w:t xml:space="preserve"> experience with performance measurement extends back to 1996 when it began collecting and reporting on HEDIS</w:t>
      </w:r>
      <w:r w:rsidR="003C3827">
        <w:rPr>
          <w:rFonts w:cs="Calibri"/>
        </w:rPr>
        <w:t xml:space="preserve"> measures for </w:t>
      </w:r>
      <w:r w:rsidR="00802921">
        <w:rPr>
          <w:rFonts w:cs="Calibri"/>
        </w:rPr>
        <w:t xml:space="preserve">the </w:t>
      </w:r>
      <w:r w:rsidR="003C3827">
        <w:rPr>
          <w:rFonts w:cs="Calibri"/>
        </w:rPr>
        <w:t>managed care products</w:t>
      </w:r>
      <w:r w:rsidR="003C3827" w:rsidRPr="003C3827">
        <w:rPr>
          <w:rFonts w:cs="Calibri"/>
        </w:rPr>
        <w:t xml:space="preserve"> </w:t>
      </w:r>
      <w:r w:rsidR="003C3827">
        <w:rPr>
          <w:rFonts w:cs="Calibri"/>
        </w:rPr>
        <w:t>with which it contracted, including</w:t>
      </w:r>
      <w:r w:rsidR="006C5C22">
        <w:rPr>
          <w:rFonts w:cs="Calibri"/>
        </w:rPr>
        <w:t xml:space="preserve"> the</w:t>
      </w:r>
      <w:r w:rsidRPr="00821C14">
        <w:rPr>
          <w:rFonts w:cs="Calibri"/>
        </w:rPr>
        <w:t xml:space="preserve"> PCC Plan (the state's primary care case management program) and the MCOs. In 2010</w:t>
      </w:r>
      <w:r w:rsidR="00847BE4">
        <w:rPr>
          <w:rFonts w:cs="Calibri"/>
        </w:rPr>
        <w:t>,</w:t>
      </w:r>
      <w:r w:rsidRPr="00821C14">
        <w:rPr>
          <w:rFonts w:cs="Calibri"/>
        </w:rPr>
        <w:t xml:space="preserve"> MassHealth began collecting HEDIS measures for the SCOs</w:t>
      </w:r>
      <w:r w:rsidR="006C5C22">
        <w:rPr>
          <w:rFonts w:cs="Calibri"/>
        </w:rPr>
        <w:t>,</w:t>
      </w:r>
      <w:r w:rsidR="00847BE4">
        <w:rPr>
          <w:rFonts w:cs="Calibri"/>
        </w:rPr>
        <w:t xml:space="preserve"> and in </w:t>
      </w:r>
      <w:r w:rsidR="006C5C22">
        <w:rPr>
          <w:rFonts w:cs="Calibri"/>
        </w:rPr>
        <w:t xml:space="preserve">2014, </w:t>
      </w:r>
      <w:r w:rsidR="00847BE4">
        <w:rPr>
          <w:rFonts w:cs="Calibri"/>
        </w:rPr>
        <w:t xml:space="preserve">MassHealth began collecting HEDIS measures for </w:t>
      </w:r>
      <w:r w:rsidR="00F82A07">
        <w:rPr>
          <w:rFonts w:cs="Calibri"/>
        </w:rPr>
        <w:t>One Care</w:t>
      </w:r>
      <w:r w:rsidR="00847BE4">
        <w:rPr>
          <w:rFonts w:cs="Calibri"/>
        </w:rPr>
        <w:t>.</w:t>
      </w:r>
    </w:p>
    <w:p w14:paraId="4F96D5E2" w14:textId="77777777" w:rsidR="00EF65E4" w:rsidRPr="00821C14" w:rsidRDefault="002803D6" w:rsidP="00824F73">
      <w:pPr>
        <w:rPr>
          <w:rFonts w:cs="Calibri"/>
        </w:rPr>
      </w:pPr>
      <w:r w:rsidRPr="00B1423D">
        <w:rPr>
          <w:rFonts w:cs="Calibri"/>
        </w:rPr>
        <w:t xml:space="preserve">In addition to the collection of the HEDIS measures, MassHealth also collects and </w:t>
      </w:r>
      <w:r w:rsidR="00D156EE" w:rsidRPr="00B1423D">
        <w:rPr>
          <w:rFonts w:cs="Calibri"/>
        </w:rPr>
        <w:t xml:space="preserve">voluntarily </w:t>
      </w:r>
      <w:r w:rsidRPr="00B1423D">
        <w:rPr>
          <w:rFonts w:cs="Calibri"/>
        </w:rPr>
        <w:t>reports</w:t>
      </w:r>
      <w:r w:rsidR="00D156EE" w:rsidRPr="00B1423D">
        <w:rPr>
          <w:rFonts w:cs="Calibri"/>
        </w:rPr>
        <w:t xml:space="preserve"> </w:t>
      </w:r>
      <w:r w:rsidR="0069613F" w:rsidRPr="00B1423D">
        <w:rPr>
          <w:rFonts w:cs="Calibri"/>
        </w:rPr>
        <w:t>on CMS</w:t>
      </w:r>
      <w:r w:rsidRPr="00B1423D">
        <w:rPr>
          <w:rFonts w:cs="Calibri"/>
        </w:rPr>
        <w:t xml:space="preserve"> Adult and Child Core </w:t>
      </w:r>
      <w:r w:rsidR="00BF156B">
        <w:rPr>
          <w:rFonts w:cs="Calibri"/>
        </w:rPr>
        <w:t xml:space="preserve">Measure Set </w:t>
      </w:r>
      <w:r w:rsidRPr="00B1423D">
        <w:rPr>
          <w:rFonts w:cs="Calibri"/>
        </w:rPr>
        <w:t xml:space="preserve">performance measures.  Collection and reporting on </w:t>
      </w:r>
      <w:r w:rsidR="006C5C22">
        <w:rPr>
          <w:rFonts w:cs="Calibri"/>
        </w:rPr>
        <w:t>the Core sets began as part of two</w:t>
      </w:r>
      <w:r w:rsidRPr="00B1423D">
        <w:rPr>
          <w:rFonts w:cs="Calibri"/>
        </w:rPr>
        <w:t xml:space="preserve"> CMS grant funded projects: the CHIPRA </w:t>
      </w:r>
      <w:r w:rsidR="00802921">
        <w:rPr>
          <w:rFonts w:cs="Calibri"/>
        </w:rPr>
        <w:t xml:space="preserve">Quality Improvement Demonstration </w:t>
      </w:r>
      <w:r w:rsidRPr="00B1423D">
        <w:rPr>
          <w:rFonts w:cs="Calibri"/>
        </w:rPr>
        <w:t>grant (20</w:t>
      </w:r>
      <w:r w:rsidR="00802921">
        <w:rPr>
          <w:rFonts w:cs="Calibri"/>
        </w:rPr>
        <w:t>10</w:t>
      </w:r>
      <w:r w:rsidRPr="00B1423D">
        <w:rPr>
          <w:rFonts w:cs="Calibri"/>
        </w:rPr>
        <w:t xml:space="preserve">) and the Adult </w:t>
      </w:r>
      <w:r w:rsidR="00CB19E1" w:rsidRPr="00B1423D">
        <w:rPr>
          <w:rFonts w:cs="Calibri"/>
        </w:rPr>
        <w:t xml:space="preserve">Quality Medicaid grant (2011).  </w:t>
      </w:r>
      <w:r w:rsidR="006C5C22">
        <w:rPr>
          <w:rFonts w:cs="Calibri"/>
        </w:rPr>
        <w:t xml:space="preserve">MassHealth continues to report on the maximum number of measures that it can, </w:t>
      </w:r>
      <w:r w:rsidR="00802921">
        <w:rPr>
          <w:rFonts w:cs="Calibri"/>
        </w:rPr>
        <w:t>given</w:t>
      </w:r>
      <w:r w:rsidR="006C5C22">
        <w:rPr>
          <w:rFonts w:cs="Calibri"/>
        </w:rPr>
        <w:t xml:space="preserve"> availability of data</w:t>
      </w:r>
      <w:r w:rsidR="00802921">
        <w:rPr>
          <w:rFonts w:cs="Calibri"/>
        </w:rPr>
        <w:t xml:space="preserve"> and resources</w:t>
      </w:r>
      <w:r w:rsidR="006C5C22">
        <w:rPr>
          <w:rFonts w:cs="Calibri"/>
        </w:rPr>
        <w:t xml:space="preserve">. </w:t>
      </w:r>
      <w:r w:rsidR="00CB19E1" w:rsidRPr="00B1423D">
        <w:rPr>
          <w:rFonts w:cs="Calibri"/>
        </w:rPr>
        <w:t xml:space="preserve">In </w:t>
      </w:r>
      <w:r w:rsidR="0069613F">
        <w:rPr>
          <w:rFonts w:cs="Calibri"/>
        </w:rPr>
        <w:t>January 2018</w:t>
      </w:r>
      <w:r w:rsidR="00CB19E1" w:rsidRPr="00B1423D">
        <w:rPr>
          <w:rFonts w:cs="Calibri"/>
        </w:rPr>
        <w:t xml:space="preserve">, </w:t>
      </w:r>
      <w:r w:rsidR="0069613F">
        <w:rPr>
          <w:rFonts w:cs="Calibri"/>
        </w:rPr>
        <w:t xml:space="preserve">MassHealth reported 17 </w:t>
      </w:r>
      <w:r w:rsidR="00CB19E1" w:rsidRPr="00B1423D">
        <w:rPr>
          <w:rFonts w:cs="Calibri"/>
        </w:rPr>
        <w:t xml:space="preserve">measures from the </w:t>
      </w:r>
      <w:r w:rsidR="0069613F">
        <w:rPr>
          <w:rFonts w:cs="Calibri"/>
        </w:rPr>
        <w:t xml:space="preserve">Adult </w:t>
      </w:r>
      <w:r w:rsidR="00CB19E1" w:rsidRPr="00B1423D">
        <w:rPr>
          <w:rFonts w:cs="Calibri"/>
        </w:rPr>
        <w:t xml:space="preserve">Core </w:t>
      </w:r>
      <w:r w:rsidR="006C5C22">
        <w:rPr>
          <w:rFonts w:cs="Calibri"/>
        </w:rPr>
        <w:t xml:space="preserve">Set </w:t>
      </w:r>
      <w:r w:rsidR="0069613F">
        <w:rPr>
          <w:rFonts w:cs="Calibri"/>
        </w:rPr>
        <w:t>and 23 measures from the Child</w:t>
      </w:r>
      <w:r w:rsidR="006C5C22">
        <w:rPr>
          <w:rFonts w:cs="Calibri"/>
        </w:rPr>
        <w:t xml:space="preserve"> Core S</w:t>
      </w:r>
      <w:r w:rsidR="00CB19E1" w:rsidRPr="00B1423D">
        <w:rPr>
          <w:rFonts w:cs="Calibri"/>
        </w:rPr>
        <w:t>et,</w:t>
      </w:r>
      <w:r w:rsidR="006C5C22">
        <w:rPr>
          <w:rFonts w:cs="Calibri"/>
        </w:rPr>
        <w:t xml:space="preserve"> with measurement</w:t>
      </w:r>
      <w:r w:rsidR="00CB19E1" w:rsidRPr="00B1423D">
        <w:rPr>
          <w:rFonts w:cs="Calibri"/>
        </w:rPr>
        <w:t xml:space="preserve"> reflecting</w:t>
      </w:r>
      <w:r w:rsidR="00BF156B">
        <w:rPr>
          <w:rFonts w:cs="Calibri"/>
        </w:rPr>
        <w:t xml:space="preserve"> services delivered in</w:t>
      </w:r>
      <w:r w:rsidR="00CB19E1" w:rsidRPr="00B1423D">
        <w:rPr>
          <w:rFonts w:cs="Calibri"/>
        </w:rPr>
        <w:t xml:space="preserve"> </w:t>
      </w:r>
      <w:r w:rsidR="005173BF">
        <w:rPr>
          <w:rFonts w:cs="Calibri"/>
        </w:rPr>
        <w:t>CY</w:t>
      </w:r>
      <w:r w:rsidR="00CB19E1" w:rsidRPr="00B1423D">
        <w:rPr>
          <w:rFonts w:cs="Calibri"/>
        </w:rPr>
        <w:t xml:space="preserve">2016. </w:t>
      </w:r>
    </w:p>
    <w:p w14:paraId="68980E13" w14:textId="77777777" w:rsidR="005173BF" w:rsidRDefault="005173BF" w:rsidP="0069613F">
      <w:pPr>
        <w:rPr>
          <w:rFonts w:cs="Calibri"/>
        </w:rPr>
      </w:pPr>
      <w:bookmarkStart w:id="88" w:name="_Ref366497698"/>
      <w:r w:rsidRPr="00821C14">
        <w:rPr>
          <w:rFonts w:cs="Calibri"/>
        </w:rPr>
        <w:t>MassHealth uses the results of HEDIS and</w:t>
      </w:r>
      <w:r w:rsidR="001E3DFF">
        <w:rPr>
          <w:rFonts w:cs="Calibri"/>
        </w:rPr>
        <w:t xml:space="preserve"> the C</w:t>
      </w:r>
      <w:r w:rsidR="001E3DFF">
        <w:t>onsumer Assessment of Healthcare Providers and Systems</w:t>
      </w:r>
      <w:r w:rsidRPr="00821C14">
        <w:rPr>
          <w:rFonts w:cs="Calibri"/>
        </w:rPr>
        <w:t xml:space="preserve"> </w:t>
      </w:r>
      <w:r w:rsidR="001E3DFF">
        <w:rPr>
          <w:rFonts w:cs="Calibri"/>
        </w:rPr>
        <w:t>(</w:t>
      </w:r>
      <w:r w:rsidRPr="00821C14">
        <w:rPr>
          <w:rFonts w:cs="Calibri"/>
        </w:rPr>
        <w:t>CAHPS</w:t>
      </w:r>
      <w:r w:rsidR="001E3DFF">
        <w:rPr>
          <w:rFonts w:cs="Calibri"/>
        </w:rPr>
        <w:t>)</w:t>
      </w:r>
      <w:r>
        <w:rPr>
          <w:rFonts w:cs="Calibri"/>
        </w:rPr>
        <w:t xml:space="preserve"> as part of its quality incentive programs to</w:t>
      </w:r>
      <w:r w:rsidRPr="00821C14">
        <w:rPr>
          <w:rFonts w:cs="Calibri"/>
        </w:rPr>
        <w:t xml:space="preserve"> identify opportunities for improvement and to inform its approach to quality mana</w:t>
      </w:r>
      <w:r w:rsidR="006C5C22">
        <w:rPr>
          <w:rFonts w:cs="Calibri"/>
        </w:rPr>
        <w:t xml:space="preserve">gement work undertaken with other </w:t>
      </w:r>
      <w:r w:rsidRPr="00821C14">
        <w:rPr>
          <w:rFonts w:cs="Calibri"/>
        </w:rPr>
        <w:t>managed care entities.</w:t>
      </w:r>
      <w:r w:rsidR="00B113BC">
        <w:rPr>
          <w:rFonts w:cs="Calibri"/>
        </w:rPr>
        <w:t xml:space="preserve"> </w:t>
      </w:r>
      <w:r w:rsidRPr="00821C14">
        <w:rPr>
          <w:rFonts w:cs="Calibri"/>
        </w:rPr>
        <w:t xml:space="preserve">The HEDIS and CAHPS results also guide </w:t>
      </w:r>
      <w:proofErr w:type="spellStart"/>
      <w:r w:rsidRPr="00821C14">
        <w:rPr>
          <w:rFonts w:cs="Calibri"/>
        </w:rPr>
        <w:t>MassHealth’s</w:t>
      </w:r>
      <w:proofErr w:type="spellEnd"/>
      <w:r w:rsidRPr="00821C14">
        <w:rPr>
          <w:rFonts w:cs="Calibri"/>
        </w:rPr>
        <w:t xml:space="preserve"> work in supporting the PCC Plan's providers in quality improvement work.</w:t>
      </w:r>
    </w:p>
    <w:p w14:paraId="2C60D9FA" w14:textId="77777777" w:rsidR="00E77738" w:rsidRPr="00784FD0" w:rsidRDefault="00E77738" w:rsidP="0069613F">
      <w:r>
        <w:t xml:space="preserve">MassHealth currently monitors plan-level submissions of CAHPs member experience surveys submitted for the MCO and SCO programs.  A Clinician Group CG-CAHPS version survey is planned for its first cycle of implementation in 2019 for the ACO program for adults and children receiving primary care services.  </w:t>
      </w:r>
      <w:r>
        <w:lastRenderedPageBreak/>
        <w:t xml:space="preserve">In addition, member experience surveys are also under development and slated for implementation in 2019 for the </w:t>
      </w:r>
      <w:r w:rsidR="004E5D36">
        <w:t>BH</w:t>
      </w:r>
      <w:r>
        <w:t xml:space="preserve"> and LTSS populations for the ACO and CP program.</w:t>
      </w:r>
    </w:p>
    <w:p w14:paraId="1A9714F4" w14:textId="77777777" w:rsidR="001E50CF" w:rsidRPr="00821C14" w:rsidRDefault="001E50CF" w:rsidP="00944CF9">
      <w:pPr>
        <w:pStyle w:val="Caption"/>
        <w:keepNext/>
        <w:rPr>
          <w:rFonts w:cs="Calibri"/>
        </w:rPr>
      </w:pPr>
      <w:r w:rsidRPr="00821C14">
        <w:rPr>
          <w:rFonts w:cs="Calibri"/>
        </w:rPr>
        <w:t>Table</w:t>
      </w:r>
      <w:bookmarkEnd w:id="88"/>
      <w:r w:rsidR="00C76441">
        <w:rPr>
          <w:rFonts w:cs="Calibri"/>
        </w:rPr>
        <w:t xml:space="preserve"> </w:t>
      </w:r>
      <w:r w:rsidR="00B1423D">
        <w:rPr>
          <w:rFonts w:cs="Calibri"/>
        </w:rPr>
        <w:t>3</w:t>
      </w:r>
      <w:r w:rsidRPr="00821C14">
        <w:rPr>
          <w:rFonts w:cs="Calibri"/>
        </w:rPr>
        <w:t>:  National patient experience surveys required by MassHealth</w:t>
      </w:r>
    </w:p>
    <w:tbl>
      <w:tblPr>
        <w:tblStyle w:val="LightList-Accent5"/>
        <w:tblW w:w="0" w:type="auto"/>
        <w:jc w:val="center"/>
        <w:tblLook w:val="00A0" w:firstRow="1" w:lastRow="0" w:firstColumn="1" w:lastColumn="0" w:noHBand="0" w:noVBand="0"/>
      </w:tblPr>
      <w:tblGrid>
        <w:gridCol w:w="2554"/>
        <w:gridCol w:w="1949"/>
        <w:gridCol w:w="2284"/>
        <w:gridCol w:w="1893"/>
      </w:tblGrid>
      <w:tr w:rsidR="0028515D" w:rsidRPr="00821C14" w14:paraId="6BBBA653" w14:textId="77777777" w:rsidTr="006C5C22">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554" w:type="dxa"/>
            <w:shd w:val="clear" w:color="auto" w:fill="1F497D" w:themeFill="text2"/>
          </w:tcPr>
          <w:p w14:paraId="310B92E8" w14:textId="77777777" w:rsidR="0028515D" w:rsidRPr="005173BF" w:rsidRDefault="0028515D" w:rsidP="006C5C22">
            <w:pPr>
              <w:spacing w:after="0"/>
              <w:jc w:val="center"/>
              <w:rPr>
                <w:rFonts w:cs="Calibri"/>
                <w:b w:val="0"/>
              </w:rPr>
            </w:pPr>
            <w:r w:rsidRPr="005173BF">
              <w:rPr>
                <w:rFonts w:cs="Calibri"/>
              </w:rPr>
              <w:t>Survey Tool</w:t>
            </w:r>
          </w:p>
        </w:tc>
        <w:tc>
          <w:tcPr>
            <w:cnfStyle w:val="000010000000" w:firstRow="0" w:lastRow="0" w:firstColumn="0" w:lastColumn="0" w:oddVBand="1" w:evenVBand="0" w:oddHBand="0" w:evenHBand="0" w:firstRowFirstColumn="0" w:firstRowLastColumn="0" w:lastRowFirstColumn="0" w:lastRowLastColumn="0"/>
            <w:tcW w:w="1949" w:type="dxa"/>
            <w:shd w:val="clear" w:color="auto" w:fill="1F497D" w:themeFill="text2"/>
          </w:tcPr>
          <w:p w14:paraId="240FA5F3" w14:textId="77777777" w:rsidR="0028515D" w:rsidRPr="005173BF" w:rsidRDefault="0028515D" w:rsidP="006C5C22">
            <w:pPr>
              <w:spacing w:after="0"/>
              <w:jc w:val="center"/>
              <w:rPr>
                <w:rFonts w:cs="Calibri"/>
                <w:b w:val="0"/>
              </w:rPr>
            </w:pPr>
            <w:r w:rsidRPr="005173BF">
              <w:rPr>
                <w:rFonts w:cs="Calibri"/>
              </w:rPr>
              <w:t>Program</w:t>
            </w:r>
          </w:p>
        </w:tc>
        <w:tc>
          <w:tcPr>
            <w:tcW w:w="2284" w:type="dxa"/>
            <w:shd w:val="clear" w:color="auto" w:fill="1F497D" w:themeFill="text2"/>
          </w:tcPr>
          <w:p w14:paraId="075E22B0" w14:textId="77777777" w:rsidR="0028515D" w:rsidRPr="005173BF" w:rsidRDefault="0028515D" w:rsidP="006C5C22">
            <w:pPr>
              <w:spacing w:after="0"/>
              <w:jc w:val="center"/>
              <w:cnfStyle w:val="100000000000" w:firstRow="1" w:lastRow="0" w:firstColumn="0" w:lastColumn="0" w:oddVBand="0" w:evenVBand="0" w:oddHBand="0" w:evenHBand="0" w:firstRowFirstColumn="0" w:firstRowLastColumn="0" w:lastRowFirstColumn="0" w:lastRowLastColumn="0"/>
              <w:rPr>
                <w:rFonts w:cs="Calibri"/>
                <w:b w:val="0"/>
              </w:rPr>
            </w:pPr>
            <w:r w:rsidRPr="005173BF">
              <w:rPr>
                <w:rFonts w:cs="Calibri"/>
              </w:rPr>
              <w:t>Population</w:t>
            </w:r>
          </w:p>
        </w:tc>
        <w:tc>
          <w:tcPr>
            <w:cnfStyle w:val="000010000000" w:firstRow="0" w:lastRow="0" w:firstColumn="0" w:lastColumn="0" w:oddVBand="1" w:evenVBand="0" w:oddHBand="0" w:evenHBand="0" w:firstRowFirstColumn="0" w:firstRowLastColumn="0" w:lastRowFirstColumn="0" w:lastRowLastColumn="0"/>
            <w:tcW w:w="1893" w:type="dxa"/>
            <w:shd w:val="clear" w:color="auto" w:fill="1F497D" w:themeFill="text2"/>
          </w:tcPr>
          <w:p w14:paraId="41657162" w14:textId="77777777" w:rsidR="0028515D" w:rsidRPr="005173BF" w:rsidRDefault="0028515D" w:rsidP="006C5C22">
            <w:pPr>
              <w:spacing w:after="0"/>
              <w:jc w:val="center"/>
              <w:rPr>
                <w:rFonts w:cs="Calibri"/>
                <w:b w:val="0"/>
              </w:rPr>
            </w:pPr>
            <w:r w:rsidRPr="005173BF">
              <w:rPr>
                <w:rFonts w:cs="Calibri"/>
              </w:rPr>
              <w:t>Survey Level</w:t>
            </w:r>
          </w:p>
        </w:tc>
      </w:tr>
      <w:tr w:rsidR="0028515D" w:rsidRPr="00821C14" w14:paraId="49974030" w14:textId="77777777" w:rsidTr="006C5C22">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2554" w:type="dxa"/>
          </w:tcPr>
          <w:p w14:paraId="18E8A34F" w14:textId="77777777" w:rsidR="0028515D" w:rsidRPr="00821C14" w:rsidRDefault="0028515D" w:rsidP="006C5C22">
            <w:pPr>
              <w:spacing w:after="0"/>
              <w:rPr>
                <w:rFonts w:cs="Calibri"/>
              </w:rPr>
            </w:pPr>
            <w:r w:rsidRPr="00821C14">
              <w:rPr>
                <w:rFonts w:cs="Calibri"/>
              </w:rPr>
              <w:t>CAHPS 5.0H</w:t>
            </w:r>
          </w:p>
        </w:tc>
        <w:tc>
          <w:tcPr>
            <w:cnfStyle w:val="000010000000" w:firstRow="0" w:lastRow="0" w:firstColumn="0" w:lastColumn="0" w:oddVBand="1" w:evenVBand="0" w:oddHBand="0" w:evenHBand="0" w:firstRowFirstColumn="0" w:firstRowLastColumn="0" w:lastRowFirstColumn="0" w:lastRowLastColumn="0"/>
            <w:tcW w:w="1949" w:type="dxa"/>
          </w:tcPr>
          <w:p w14:paraId="2FCDC991" w14:textId="77777777" w:rsidR="0028515D" w:rsidRPr="00821C14" w:rsidRDefault="0028515D" w:rsidP="006C5C22">
            <w:pPr>
              <w:spacing w:after="0"/>
              <w:jc w:val="center"/>
              <w:rPr>
                <w:rFonts w:cs="Calibri"/>
              </w:rPr>
            </w:pPr>
            <w:r w:rsidRPr="00821C14">
              <w:rPr>
                <w:rFonts w:cs="Calibri"/>
              </w:rPr>
              <w:t xml:space="preserve">MCO, </w:t>
            </w:r>
            <w:r>
              <w:rPr>
                <w:rFonts w:cs="Calibri"/>
              </w:rPr>
              <w:t>SCO</w:t>
            </w:r>
          </w:p>
        </w:tc>
        <w:tc>
          <w:tcPr>
            <w:tcW w:w="2284" w:type="dxa"/>
          </w:tcPr>
          <w:p w14:paraId="04BA9E8A" w14:textId="77777777" w:rsidR="0028515D" w:rsidRPr="00821C14" w:rsidRDefault="0028515D" w:rsidP="006C5C22">
            <w:pPr>
              <w:spacing w:after="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Adults and Children</w:t>
            </w:r>
          </w:p>
        </w:tc>
        <w:tc>
          <w:tcPr>
            <w:cnfStyle w:val="000010000000" w:firstRow="0" w:lastRow="0" w:firstColumn="0" w:lastColumn="0" w:oddVBand="1" w:evenVBand="0" w:oddHBand="0" w:evenHBand="0" w:firstRowFirstColumn="0" w:firstRowLastColumn="0" w:lastRowFirstColumn="0" w:lastRowLastColumn="0"/>
            <w:tcW w:w="1893" w:type="dxa"/>
          </w:tcPr>
          <w:p w14:paraId="0660C5F7" w14:textId="77777777" w:rsidR="0028515D" w:rsidRPr="00821C14" w:rsidRDefault="0028515D" w:rsidP="006C5C22">
            <w:pPr>
              <w:spacing w:after="0"/>
              <w:jc w:val="center"/>
              <w:rPr>
                <w:rFonts w:cs="Calibri"/>
              </w:rPr>
            </w:pPr>
            <w:r w:rsidRPr="00821C14">
              <w:rPr>
                <w:rFonts w:cs="Calibri"/>
              </w:rPr>
              <w:t>Plan</w:t>
            </w:r>
          </w:p>
        </w:tc>
      </w:tr>
      <w:tr w:rsidR="0028515D" w:rsidRPr="00821C14" w14:paraId="1420D4E6" w14:textId="77777777" w:rsidTr="006C5C22">
        <w:trPr>
          <w:trHeight w:val="1345"/>
          <w:jc w:val="center"/>
        </w:trPr>
        <w:tc>
          <w:tcPr>
            <w:cnfStyle w:val="001000000000" w:firstRow="0" w:lastRow="0" w:firstColumn="1" w:lastColumn="0" w:oddVBand="0" w:evenVBand="0" w:oddHBand="0" w:evenHBand="0" w:firstRowFirstColumn="0" w:firstRowLastColumn="0" w:lastRowFirstColumn="0" w:lastRowLastColumn="0"/>
            <w:tcW w:w="2554" w:type="dxa"/>
          </w:tcPr>
          <w:p w14:paraId="4A8658C3" w14:textId="77777777" w:rsidR="0028515D" w:rsidRPr="00821C14" w:rsidRDefault="0028515D" w:rsidP="006C5C22">
            <w:pPr>
              <w:spacing w:after="0"/>
              <w:rPr>
                <w:rFonts w:cs="Calibri"/>
              </w:rPr>
            </w:pPr>
            <w:r>
              <w:rPr>
                <w:rFonts w:cs="Calibri"/>
              </w:rPr>
              <w:t>CAHPS-Medicare Advantage Plan</w:t>
            </w:r>
          </w:p>
        </w:tc>
        <w:tc>
          <w:tcPr>
            <w:cnfStyle w:val="000010000000" w:firstRow="0" w:lastRow="0" w:firstColumn="0" w:lastColumn="0" w:oddVBand="1" w:evenVBand="0" w:oddHBand="0" w:evenHBand="0" w:firstRowFirstColumn="0" w:firstRowLastColumn="0" w:lastRowFirstColumn="0" w:lastRowLastColumn="0"/>
            <w:tcW w:w="1949" w:type="dxa"/>
          </w:tcPr>
          <w:p w14:paraId="1F081D30" w14:textId="77777777" w:rsidR="0028515D" w:rsidRPr="00821C14" w:rsidRDefault="009E6996" w:rsidP="006C5C22">
            <w:pPr>
              <w:spacing w:after="0"/>
              <w:jc w:val="center"/>
              <w:rPr>
                <w:rFonts w:cs="Calibri"/>
              </w:rPr>
            </w:pPr>
            <w:r>
              <w:rPr>
                <w:rFonts w:cs="Calibri"/>
              </w:rPr>
              <w:t>One Care</w:t>
            </w:r>
          </w:p>
        </w:tc>
        <w:tc>
          <w:tcPr>
            <w:tcW w:w="2284" w:type="dxa"/>
          </w:tcPr>
          <w:p w14:paraId="155486F1" w14:textId="77777777" w:rsidR="0028515D" w:rsidRDefault="0028515D" w:rsidP="006C5C22">
            <w:pPr>
              <w:spacing w:after="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Younger population</w:t>
            </w:r>
          </w:p>
          <w:p w14:paraId="66C9907C" w14:textId="77777777" w:rsidR="0028515D" w:rsidRDefault="0028515D" w:rsidP="006C5C22">
            <w:pPr>
              <w:spacing w:after="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Persons with mobility impairments, language screening, interpreter services</w:t>
            </w:r>
          </w:p>
        </w:tc>
        <w:tc>
          <w:tcPr>
            <w:cnfStyle w:val="000010000000" w:firstRow="0" w:lastRow="0" w:firstColumn="0" w:lastColumn="0" w:oddVBand="1" w:evenVBand="0" w:oddHBand="0" w:evenHBand="0" w:firstRowFirstColumn="0" w:firstRowLastColumn="0" w:lastRowFirstColumn="0" w:lastRowLastColumn="0"/>
            <w:tcW w:w="1893" w:type="dxa"/>
          </w:tcPr>
          <w:p w14:paraId="5DB8C315" w14:textId="77777777" w:rsidR="0028515D" w:rsidRPr="00821C14" w:rsidRDefault="0028515D" w:rsidP="006C5C22">
            <w:pPr>
              <w:spacing w:after="0"/>
              <w:jc w:val="center"/>
              <w:rPr>
                <w:rFonts w:cs="Calibri"/>
              </w:rPr>
            </w:pPr>
            <w:r>
              <w:rPr>
                <w:rFonts w:cs="Calibri"/>
              </w:rPr>
              <w:t>Plan</w:t>
            </w:r>
          </w:p>
        </w:tc>
      </w:tr>
      <w:tr w:rsidR="0028515D" w:rsidRPr="00821C14" w14:paraId="6A6F2510" w14:textId="77777777" w:rsidTr="006C5C22">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554" w:type="dxa"/>
          </w:tcPr>
          <w:p w14:paraId="4A942DFB" w14:textId="77777777" w:rsidR="0028515D" w:rsidRPr="00821C14" w:rsidRDefault="0028515D" w:rsidP="006C5C22">
            <w:pPr>
              <w:spacing w:after="0"/>
              <w:rPr>
                <w:rFonts w:cs="Calibri"/>
              </w:rPr>
            </w:pPr>
            <w:r w:rsidRPr="00821C14">
              <w:rPr>
                <w:rFonts w:cs="Calibri"/>
              </w:rPr>
              <w:t>CAHPS – CG</w:t>
            </w:r>
          </w:p>
        </w:tc>
        <w:tc>
          <w:tcPr>
            <w:cnfStyle w:val="000010000000" w:firstRow="0" w:lastRow="0" w:firstColumn="0" w:lastColumn="0" w:oddVBand="1" w:evenVBand="0" w:oddHBand="0" w:evenHBand="0" w:firstRowFirstColumn="0" w:firstRowLastColumn="0" w:lastRowFirstColumn="0" w:lastRowLastColumn="0"/>
            <w:tcW w:w="1949" w:type="dxa"/>
          </w:tcPr>
          <w:p w14:paraId="31B4D964" w14:textId="77777777" w:rsidR="0028515D" w:rsidRPr="00821C14" w:rsidRDefault="0028515D" w:rsidP="006C5C22">
            <w:pPr>
              <w:spacing w:after="0"/>
              <w:jc w:val="center"/>
              <w:rPr>
                <w:rFonts w:cs="Calibri"/>
              </w:rPr>
            </w:pPr>
            <w:r>
              <w:rPr>
                <w:rFonts w:cs="Calibri"/>
              </w:rPr>
              <w:t>ACO</w:t>
            </w:r>
          </w:p>
        </w:tc>
        <w:tc>
          <w:tcPr>
            <w:tcW w:w="2284" w:type="dxa"/>
          </w:tcPr>
          <w:p w14:paraId="020497B1" w14:textId="77777777" w:rsidR="0028515D" w:rsidRPr="00821C14" w:rsidDel="00FC4A6E" w:rsidRDefault="00EF65E4" w:rsidP="006C5C22">
            <w:pPr>
              <w:spacing w:after="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Adults and Children</w:t>
            </w:r>
          </w:p>
        </w:tc>
        <w:tc>
          <w:tcPr>
            <w:cnfStyle w:val="000010000000" w:firstRow="0" w:lastRow="0" w:firstColumn="0" w:lastColumn="0" w:oddVBand="1" w:evenVBand="0" w:oddHBand="0" w:evenHBand="0" w:firstRowFirstColumn="0" w:firstRowLastColumn="0" w:lastRowFirstColumn="0" w:lastRowLastColumn="0"/>
            <w:tcW w:w="1893" w:type="dxa"/>
          </w:tcPr>
          <w:p w14:paraId="053C03EC" w14:textId="77777777" w:rsidR="0028515D" w:rsidRPr="00821C14" w:rsidRDefault="0028515D" w:rsidP="006C5C22">
            <w:pPr>
              <w:spacing w:after="0"/>
              <w:jc w:val="center"/>
              <w:rPr>
                <w:rFonts w:cs="Calibri"/>
              </w:rPr>
            </w:pPr>
            <w:r>
              <w:rPr>
                <w:rFonts w:cs="Calibri"/>
              </w:rPr>
              <w:t>ACO</w:t>
            </w:r>
          </w:p>
        </w:tc>
      </w:tr>
      <w:tr w:rsidR="0028515D" w:rsidRPr="00821C14" w14:paraId="258A9394" w14:textId="77777777" w:rsidTr="001E3DFF">
        <w:trPr>
          <w:trHeight w:val="745"/>
          <w:jc w:val="center"/>
        </w:trPr>
        <w:tc>
          <w:tcPr>
            <w:cnfStyle w:val="001000000000" w:firstRow="0" w:lastRow="0" w:firstColumn="1" w:lastColumn="0" w:oddVBand="0" w:evenVBand="0" w:oddHBand="0" w:evenHBand="0" w:firstRowFirstColumn="0" w:firstRowLastColumn="0" w:lastRowFirstColumn="0" w:lastRowLastColumn="0"/>
            <w:tcW w:w="2554" w:type="dxa"/>
          </w:tcPr>
          <w:p w14:paraId="44EDCDB7" w14:textId="77777777" w:rsidR="00380E1C" w:rsidRPr="00821C14" w:rsidDel="00FC4A6E" w:rsidRDefault="00EF65E4" w:rsidP="006C5C22">
            <w:pPr>
              <w:spacing w:after="0"/>
              <w:rPr>
                <w:rFonts w:cs="Calibri"/>
              </w:rPr>
            </w:pPr>
            <w:r>
              <w:rPr>
                <w:rFonts w:cs="Calibri"/>
              </w:rPr>
              <w:t>LTSS Survey (TBD) – Under development to be finalized in 2018</w:t>
            </w:r>
          </w:p>
        </w:tc>
        <w:tc>
          <w:tcPr>
            <w:cnfStyle w:val="000010000000" w:firstRow="0" w:lastRow="0" w:firstColumn="0" w:lastColumn="0" w:oddVBand="1" w:evenVBand="0" w:oddHBand="0" w:evenHBand="0" w:firstRowFirstColumn="0" w:firstRowLastColumn="0" w:lastRowFirstColumn="0" w:lastRowLastColumn="0"/>
            <w:tcW w:w="1949" w:type="dxa"/>
          </w:tcPr>
          <w:p w14:paraId="71F9BA26" w14:textId="77777777" w:rsidR="0028515D" w:rsidRDefault="0028515D" w:rsidP="001E3DFF">
            <w:pPr>
              <w:spacing w:after="0"/>
              <w:jc w:val="center"/>
              <w:rPr>
                <w:rFonts w:cs="Calibri"/>
              </w:rPr>
            </w:pPr>
            <w:r>
              <w:rPr>
                <w:rFonts w:cs="Calibri"/>
              </w:rPr>
              <w:t>ACO</w:t>
            </w:r>
          </w:p>
          <w:p w14:paraId="14672763" w14:textId="77777777" w:rsidR="00EF65E4" w:rsidRPr="00821C14" w:rsidDel="00FC4A6E" w:rsidRDefault="00EF65E4" w:rsidP="001E3DFF">
            <w:pPr>
              <w:spacing w:after="0"/>
              <w:jc w:val="center"/>
              <w:rPr>
                <w:rFonts w:cs="Calibri"/>
              </w:rPr>
            </w:pPr>
            <w:r>
              <w:rPr>
                <w:rFonts w:cs="Calibri"/>
              </w:rPr>
              <w:t>LTSS</w:t>
            </w:r>
            <w:r w:rsidR="002E2FF4">
              <w:rPr>
                <w:rFonts w:cs="Calibri"/>
              </w:rPr>
              <w:t xml:space="preserve"> CP Program</w:t>
            </w:r>
          </w:p>
        </w:tc>
        <w:tc>
          <w:tcPr>
            <w:tcW w:w="2284" w:type="dxa"/>
          </w:tcPr>
          <w:p w14:paraId="545EC3E0" w14:textId="77777777" w:rsidR="00380E1C" w:rsidRDefault="00380E1C" w:rsidP="006C5C22">
            <w:pPr>
              <w:spacing w:after="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Adults and Children</w:t>
            </w:r>
          </w:p>
        </w:tc>
        <w:tc>
          <w:tcPr>
            <w:cnfStyle w:val="000010000000" w:firstRow="0" w:lastRow="0" w:firstColumn="0" w:lastColumn="0" w:oddVBand="1" w:evenVBand="0" w:oddHBand="0" w:evenHBand="0" w:firstRowFirstColumn="0" w:firstRowLastColumn="0" w:lastRowFirstColumn="0" w:lastRowLastColumn="0"/>
            <w:tcW w:w="1893" w:type="dxa"/>
          </w:tcPr>
          <w:p w14:paraId="528D4A15" w14:textId="77777777" w:rsidR="0028515D" w:rsidRDefault="0028515D" w:rsidP="006C5C22">
            <w:pPr>
              <w:spacing w:after="0"/>
              <w:jc w:val="center"/>
              <w:rPr>
                <w:rFonts w:cs="Calibri"/>
              </w:rPr>
            </w:pPr>
            <w:r>
              <w:rPr>
                <w:rFonts w:cs="Calibri"/>
              </w:rPr>
              <w:t>ACO</w:t>
            </w:r>
          </w:p>
          <w:p w14:paraId="115FDC14" w14:textId="77777777" w:rsidR="0028515D" w:rsidRPr="00821C14" w:rsidDel="00FC4A6E" w:rsidRDefault="0028515D" w:rsidP="006C5C22">
            <w:pPr>
              <w:spacing w:after="0"/>
              <w:jc w:val="center"/>
              <w:rPr>
                <w:rFonts w:cs="Calibri"/>
              </w:rPr>
            </w:pPr>
            <w:r>
              <w:rPr>
                <w:rFonts w:cs="Calibri"/>
              </w:rPr>
              <w:t>C</w:t>
            </w:r>
            <w:r w:rsidR="00380E1C">
              <w:rPr>
                <w:rFonts w:cs="Calibri"/>
              </w:rPr>
              <w:t>ommunity Partner</w:t>
            </w:r>
            <w:r w:rsidR="00EF65E4">
              <w:rPr>
                <w:rFonts w:cs="Calibri"/>
              </w:rPr>
              <w:t>s</w:t>
            </w:r>
          </w:p>
        </w:tc>
      </w:tr>
      <w:tr w:rsidR="0028515D" w:rsidRPr="00821C14" w14:paraId="522C2F73" w14:textId="77777777" w:rsidTr="006C5C22">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2554" w:type="dxa"/>
          </w:tcPr>
          <w:p w14:paraId="504C63F7" w14:textId="77777777" w:rsidR="0028515D" w:rsidRPr="00821C14" w:rsidDel="00FC4A6E" w:rsidRDefault="00380E1C" w:rsidP="006C5C22">
            <w:pPr>
              <w:spacing w:after="0"/>
              <w:rPr>
                <w:rFonts w:cs="Calibri"/>
              </w:rPr>
            </w:pPr>
            <w:r>
              <w:rPr>
                <w:rFonts w:cs="Calibri"/>
              </w:rPr>
              <w:t>Behavioral Health Survey</w:t>
            </w:r>
            <w:r w:rsidR="00EF65E4">
              <w:rPr>
                <w:rFonts w:cs="Calibri"/>
              </w:rPr>
              <w:t xml:space="preserve"> – Under development to be finalized in 2018</w:t>
            </w:r>
          </w:p>
        </w:tc>
        <w:tc>
          <w:tcPr>
            <w:cnfStyle w:val="000010000000" w:firstRow="0" w:lastRow="0" w:firstColumn="0" w:lastColumn="0" w:oddVBand="1" w:evenVBand="0" w:oddHBand="0" w:evenHBand="0" w:firstRowFirstColumn="0" w:firstRowLastColumn="0" w:lastRowFirstColumn="0" w:lastRowLastColumn="0"/>
            <w:tcW w:w="1949" w:type="dxa"/>
          </w:tcPr>
          <w:p w14:paraId="1DA3D459" w14:textId="77777777" w:rsidR="0028515D" w:rsidRDefault="00380E1C" w:rsidP="006C5C22">
            <w:pPr>
              <w:spacing w:after="0"/>
              <w:jc w:val="center"/>
              <w:rPr>
                <w:rFonts w:cs="Calibri"/>
              </w:rPr>
            </w:pPr>
            <w:r>
              <w:rPr>
                <w:rFonts w:cs="Calibri"/>
              </w:rPr>
              <w:t>ACO</w:t>
            </w:r>
          </w:p>
          <w:p w14:paraId="3116171A" w14:textId="77777777" w:rsidR="00EF65E4" w:rsidRPr="00821C14" w:rsidDel="00FC4A6E" w:rsidRDefault="00EF65E4" w:rsidP="006C5C22">
            <w:pPr>
              <w:spacing w:after="0"/>
              <w:jc w:val="center"/>
              <w:rPr>
                <w:rFonts w:cs="Calibri"/>
              </w:rPr>
            </w:pPr>
            <w:r>
              <w:rPr>
                <w:rFonts w:cs="Calibri"/>
              </w:rPr>
              <w:t>BH CP Program</w:t>
            </w:r>
          </w:p>
        </w:tc>
        <w:tc>
          <w:tcPr>
            <w:tcW w:w="2284" w:type="dxa"/>
          </w:tcPr>
          <w:p w14:paraId="3780FFD6" w14:textId="77777777" w:rsidR="0028515D" w:rsidRPr="00821C14" w:rsidDel="00FC4A6E" w:rsidRDefault="00EF65E4" w:rsidP="006C5C22">
            <w:pPr>
              <w:spacing w:after="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Adults and Children</w:t>
            </w:r>
          </w:p>
        </w:tc>
        <w:tc>
          <w:tcPr>
            <w:cnfStyle w:val="000010000000" w:firstRow="0" w:lastRow="0" w:firstColumn="0" w:lastColumn="0" w:oddVBand="1" w:evenVBand="0" w:oddHBand="0" w:evenHBand="0" w:firstRowFirstColumn="0" w:firstRowLastColumn="0" w:lastRowFirstColumn="0" w:lastRowLastColumn="0"/>
            <w:tcW w:w="1893" w:type="dxa"/>
          </w:tcPr>
          <w:p w14:paraId="6AE381D7" w14:textId="77777777" w:rsidR="0028515D" w:rsidRDefault="00380E1C" w:rsidP="006C5C22">
            <w:pPr>
              <w:spacing w:after="0"/>
              <w:jc w:val="center"/>
              <w:rPr>
                <w:rFonts w:cs="Calibri"/>
              </w:rPr>
            </w:pPr>
            <w:r>
              <w:rPr>
                <w:rFonts w:cs="Calibri"/>
              </w:rPr>
              <w:t>ACO</w:t>
            </w:r>
          </w:p>
          <w:p w14:paraId="34F911CA" w14:textId="77777777" w:rsidR="00380E1C" w:rsidRPr="00821C14" w:rsidDel="00FC4A6E" w:rsidRDefault="00380E1C" w:rsidP="006C5C22">
            <w:pPr>
              <w:spacing w:after="0"/>
              <w:jc w:val="center"/>
              <w:rPr>
                <w:rFonts w:cs="Calibri"/>
              </w:rPr>
            </w:pPr>
            <w:r>
              <w:rPr>
                <w:rFonts w:cs="Calibri"/>
              </w:rPr>
              <w:t xml:space="preserve">Community </w:t>
            </w:r>
            <w:r w:rsidR="0050549B">
              <w:rPr>
                <w:rFonts w:cs="Calibri"/>
              </w:rPr>
              <w:t>Partners</w:t>
            </w:r>
          </w:p>
        </w:tc>
      </w:tr>
    </w:tbl>
    <w:p w14:paraId="04252A0B" w14:textId="77777777" w:rsidR="001E50CF" w:rsidRPr="00821C14" w:rsidRDefault="001E50CF" w:rsidP="003E368F">
      <w:pPr>
        <w:pStyle w:val="Heading2"/>
        <w:rPr>
          <w:rFonts w:ascii="Calibri" w:hAnsi="Calibri" w:cs="Calibri"/>
        </w:rPr>
      </w:pPr>
      <w:bookmarkStart w:id="89" w:name="_Toc529177892"/>
      <w:r w:rsidRPr="00821C14">
        <w:rPr>
          <w:rFonts w:ascii="Calibri" w:hAnsi="Calibri" w:cs="Calibri"/>
        </w:rPr>
        <w:t>Monitoring and Compliance</w:t>
      </w:r>
      <w:bookmarkEnd w:id="89"/>
    </w:p>
    <w:p w14:paraId="20CAA49E" w14:textId="77777777" w:rsidR="001E50CF" w:rsidRPr="00821C14" w:rsidRDefault="001E50CF" w:rsidP="00355EEE">
      <w:pPr>
        <w:rPr>
          <w:rFonts w:cs="Calibri"/>
        </w:rPr>
      </w:pPr>
      <w:r w:rsidRPr="00821C14">
        <w:rPr>
          <w:rFonts w:cs="Calibri"/>
        </w:rPr>
        <w:t xml:space="preserve">MassHealth monitors compliance with contractual and Federal requirements </w:t>
      </w:r>
      <w:r w:rsidR="0069613F">
        <w:rPr>
          <w:rFonts w:cs="Calibri"/>
        </w:rPr>
        <w:t xml:space="preserve">in </w:t>
      </w:r>
      <w:r w:rsidRPr="00821C14">
        <w:rPr>
          <w:rFonts w:cs="Calibri"/>
        </w:rPr>
        <w:t xml:space="preserve">multiple ways. Appendix 1 lists the specific reports used by MassHealth to ensure compliance.  </w:t>
      </w:r>
      <w:r w:rsidR="00B27F1E">
        <w:rPr>
          <w:rFonts w:cs="Calibri"/>
        </w:rPr>
        <w:t xml:space="preserve">The External Quality Review also provides valuable compliance review functions. </w:t>
      </w:r>
    </w:p>
    <w:p w14:paraId="1919F2DB" w14:textId="77777777" w:rsidR="001E50CF" w:rsidRPr="00821C14" w:rsidRDefault="001E50CF" w:rsidP="005D3D0D">
      <w:pPr>
        <w:pStyle w:val="Heading2"/>
        <w:rPr>
          <w:rFonts w:ascii="Calibri" w:hAnsi="Calibri" w:cs="Calibri"/>
        </w:rPr>
      </w:pPr>
      <w:r w:rsidRPr="00821C14">
        <w:rPr>
          <w:rFonts w:ascii="Calibri" w:hAnsi="Calibri" w:cs="Calibri"/>
        </w:rPr>
        <w:t xml:space="preserve"> </w:t>
      </w:r>
      <w:bookmarkStart w:id="90" w:name="_Toc529177893"/>
      <w:r w:rsidRPr="00821C14">
        <w:rPr>
          <w:rFonts w:ascii="Calibri" w:hAnsi="Calibri" w:cs="Calibri"/>
        </w:rPr>
        <w:t>External Quality Review</w:t>
      </w:r>
      <w:bookmarkEnd w:id="90"/>
    </w:p>
    <w:p w14:paraId="13866A8B" w14:textId="77777777" w:rsidR="001E50CF" w:rsidRPr="00821C14" w:rsidRDefault="001E50CF" w:rsidP="00202571">
      <w:pPr>
        <w:rPr>
          <w:rFonts w:cs="Calibri"/>
        </w:rPr>
      </w:pPr>
      <w:r w:rsidRPr="00821C14">
        <w:rPr>
          <w:rFonts w:cs="Calibri"/>
        </w:rPr>
        <w:t>Massachusetts contracts with a qualified External Quality Review Organization (EQRO) in accordance</w:t>
      </w:r>
      <w:r w:rsidR="00736C5F">
        <w:rPr>
          <w:rFonts w:cs="Calibri"/>
        </w:rPr>
        <w:t xml:space="preserve"> with</w:t>
      </w:r>
      <w:r w:rsidRPr="00821C14">
        <w:rPr>
          <w:rFonts w:cs="Calibri"/>
        </w:rPr>
        <w:t xml:space="preserve"> </w:t>
      </w:r>
      <w:r w:rsidR="00736C5F">
        <w:t>42 CFR 438.354</w:t>
      </w:r>
      <w:r w:rsidR="00736C5F">
        <w:rPr>
          <w:rFonts w:cs="Calibri"/>
        </w:rPr>
        <w:t>.</w:t>
      </w:r>
      <w:r w:rsidRPr="00821C14">
        <w:rPr>
          <w:rFonts w:cs="Calibri"/>
        </w:rPr>
        <w:t xml:space="preserve"> Massachusetts contract</w:t>
      </w:r>
      <w:r w:rsidR="000450F5">
        <w:rPr>
          <w:rFonts w:cs="Calibri"/>
        </w:rPr>
        <w:t>s</w:t>
      </w:r>
      <w:r w:rsidRPr="00821C14">
        <w:rPr>
          <w:rFonts w:cs="Calibri"/>
        </w:rPr>
        <w:t xml:space="preserve"> with </w:t>
      </w:r>
      <w:r w:rsidR="00D31351">
        <w:rPr>
          <w:rFonts w:cs="Calibri"/>
        </w:rPr>
        <w:t>Innovative Resource Group LLC d/b/a</w:t>
      </w:r>
      <w:r w:rsidR="00AD4F0C" w:rsidRPr="00821C14">
        <w:rPr>
          <w:rFonts w:cs="Calibri"/>
        </w:rPr>
        <w:t xml:space="preserve"> </w:t>
      </w:r>
      <w:r w:rsidR="00FE2360">
        <w:rPr>
          <w:rFonts w:cs="Calibri"/>
        </w:rPr>
        <w:t>KEPRO</w:t>
      </w:r>
      <w:r w:rsidRPr="00821C14">
        <w:rPr>
          <w:rFonts w:cs="Calibri"/>
        </w:rPr>
        <w:t xml:space="preserve"> </w:t>
      </w:r>
      <w:r w:rsidR="00755716">
        <w:rPr>
          <w:rFonts w:cs="Calibri"/>
        </w:rPr>
        <w:t>to complete</w:t>
      </w:r>
      <w:r w:rsidR="00755716" w:rsidRPr="00821C14">
        <w:rPr>
          <w:rFonts w:cs="Calibri"/>
        </w:rPr>
        <w:t xml:space="preserve"> </w:t>
      </w:r>
      <w:r w:rsidRPr="00821C14">
        <w:rPr>
          <w:rFonts w:cs="Calibri"/>
        </w:rPr>
        <w:t>external quality review functions</w:t>
      </w:r>
      <w:r w:rsidR="00755716">
        <w:rPr>
          <w:rFonts w:cs="Calibri"/>
        </w:rPr>
        <w:t xml:space="preserve"> for all MCOs, </w:t>
      </w:r>
      <w:r w:rsidR="008C36D5">
        <w:rPr>
          <w:rFonts w:cs="Calibri"/>
        </w:rPr>
        <w:t>Accountable Care Partnership Plans</w:t>
      </w:r>
      <w:r w:rsidR="00755716">
        <w:rPr>
          <w:rFonts w:cs="Calibri"/>
        </w:rPr>
        <w:t>, Primary Care ACOs, the BH plan, One Care and SCOs.</w:t>
      </w:r>
    </w:p>
    <w:p w14:paraId="26B205B4" w14:textId="77777777" w:rsidR="001E50CF" w:rsidRPr="00821C14" w:rsidRDefault="001E50CF" w:rsidP="005D3D0D">
      <w:pPr>
        <w:pStyle w:val="Heading3"/>
        <w:rPr>
          <w:rFonts w:ascii="Calibri" w:hAnsi="Calibri" w:cs="Calibri"/>
        </w:rPr>
      </w:pPr>
      <w:bookmarkStart w:id="91" w:name="_Toc521939911"/>
      <w:bookmarkStart w:id="92" w:name="_Toc522025648"/>
      <w:bookmarkStart w:id="93" w:name="_Toc523490131"/>
      <w:bookmarkStart w:id="94" w:name="_Toc525294300"/>
      <w:bookmarkStart w:id="95" w:name="_Toc529177894"/>
      <w:r w:rsidRPr="00821C14">
        <w:rPr>
          <w:rFonts w:ascii="Calibri" w:hAnsi="Calibri" w:cs="Calibri"/>
        </w:rPr>
        <w:t>Mandatory Activities</w:t>
      </w:r>
      <w:bookmarkEnd w:id="91"/>
      <w:bookmarkEnd w:id="92"/>
      <w:bookmarkEnd w:id="93"/>
      <w:bookmarkEnd w:id="94"/>
      <w:bookmarkEnd w:id="95"/>
    </w:p>
    <w:p w14:paraId="16918E81" w14:textId="77777777" w:rsidR="001E50CF" w:rsidRPr="00821C14" w:rsidRDefault="001E50CF" w:rsidP="00202571">
      <w:pPr>
        <w:rPr>
          <w:rFonts w:cs="Calibri"/>
        </w:rPr>
      </w:pPr>
      <w:r w:rsidRPr="00821C14">
        <w:rPr>
          <w:rFonts w:cs="Calibri"/>
        </w:rPr>
        <w:t>Massachusetts contracts for the following mandatory activities set forth in 42 CFR 438.358(b):</w:t>
      </w:r>
    </w:p>
    <w:p w14:paraId="6914A29C" w14:textId="77777777" w:rsidR="001E50CF" w:rsidRPr="003B2B56" w:rsidRDefault="001E50CF" w:rsidP="009729DB">
      <w:pPr>
        <w:pStyle w:val="ListParagraph"/>
        <w:numPr>
          <w:ilvl w:val="0"/>
          <w:numId w:val="46"/>
        </w:numPr>
      </w:pPr>
      <w:r w:rsidRPr="003B2B56">
        <w:t>Annual validation of performance measures reported to EOHHS, as directed by EOHHS, or calculated by EOHHS;</w:t>
      </w:r>
    </w:p>
    <w:p w14:paraId="57AF19E8" w14:textId="77777777" w:rsidR="001E50CF" w:rsidRPr="003B2B56" w:rsidRDefault="001E50CF" w:rsidP="009729DB">
      <w:pPr>
        <w:pStyle w:val="ListParagraph"/>
        <w:numPr>
          <w:ilvl w:val="0"/>
          <w:numId w:val="46"/>
        </w:numPr>
      </w:pPr>
      <w:r w:rsidRPr="003B2B56">
        <w:t>Annual validation of performance improvement projects required by EOHHS; and</w:t>
      </w:r>
    </w:p>
    <w:p w14:paraId="7381ADF3" w14:textId="77777777" w:rsidR="003B2B56" w:rsidRDefault="001E50CF" w:rsidP="009729DB">
      <w:pPr>
        <w:pStyle w:val="ListParagraph"/>
        <w:numPr>
          <w:ilvl w:val="0"/>
          <w:numId w:val="46"/>
        </w:numPr>
      </w:pPr>
      <w:r w:rsidRPr="003B2B56">
        <w:t xml:space="preserve">At least once every three years, review of compliance with standards mandated by 42 CFR Part 438, Subpart </w:t>
      </w:r>
      <w:r w:rsidR="00CD566B">
        <w:t>E</w:t>
      </w:r>
      <w:r w:rsidRPr="003B2B56">
        <w:t>, and at the direction of EOHHS, regarding access, structure and operations, and quality of care and services furnished to Enrollees.</w:t>
      </w:r>
    </w:p>
    <w:p w14:paraId="50FB26DB" w14:textId="77777777" w:rsidR="003B2B56" w:rsidRPr="003B2B56" w:rsidRDefault="003B2B56" w:rsidP="003B2B56">
      <w:pPr>
        <w:pStyle w:val="ListParagraph"/>
      </w:pPr>
    </w:p>
    <w:p w14:paraId="4E0E88D5" w14:textId="77777777" w:rsidR="00F36A71" w:rsidRPr="00821C14" w:rsidRDefault="00F36A71" w:rsidP="00F36A71">
      <w:pPr>
        <w:pStyle w:val="ListParagraph"/>
        <w:spacing w:before="240" w:after="120"/>
        <w:ind w:left="0"/>
        <w:outlineLvl w:val="5"/>
        <w:rPr>
          <w:rFonts w:cs="Calibri"/>
        </w:rPr>
      </w:pPr>
      <w:r>
        <w:rPr>
          <w:rFonts w:cs="Calibri"/>
        </w:rPr>
        <w:t xml:space="preserve">Validation of network adequacy will be added following the release of the CMS protocol. </w:t>
      </w:r>
    </w:p>
    <w:p w14:paraId="1EA43516" w14:textId="77777777" w:rsidR="001E50CF" w:rsidRPr="00821C14" w:rsidRDefault="001E50CF" w:rsidP="005D3D0D">
      <w:pPr>
        <w:pStyle w:val="Heading3"/>
        <w:rPr>
          <w:rFonts w:ascii="Calibri" w:hAnsi="Calibri" w:cs="Calibri"/>
        </w:rPr>
      </w:pPr>
      <w:bookmarkStart w:id="96" w:name="_Toc521939912"/>
      <w:bookmarkStart w:id="97" w:name="_Toc522025649"/>
      <w:bookmarkStart w:id="98" w:name="_Toc523490132"/>
      <w:bookmarkStart w:id="99" w:name="_Toc525294301"/>
      <w:bookmarkStart w:id="100" w:name="_Toc529177895"/>
      <w:r w:rsidRPr="00821C14">
        <w:rPr>
          <w:rFonts w:ascii="Calibri" w:hAnsi="Calibri" w:cs="Calibri"/>
        </w:rPr>
        <w:t>Covered Entities</w:t>
      </w:r>
      <w:bookmarkEnd w:id="96"/>
      <w:bookmarkEnd w:id="97"/>
      <w:bookmarkEnd w:id="98"/>
      <w:bookmarkEnd w:id="99"/>
      <w:bookmarkEnd w:id="100"/>
    </w:p>
    <w:p w14:paraId="1C956170" w14:textId="77777777" w:rsidR="00D3025E" w:rsidRPr="00821C14" w:rsidRDefault="00D3025E" w:rsidP="00D3025E">
      <w:pPr>
        <w:rPr>
          <w:rFonts w:cs="Calibri"/>
        </w:rPr>
      </w:pPr>
      <w:r w:rsidRPr="00821C14">
        <w:rPr>
          <w:rFonts w:cs="Calibri"/>
        </w:rPr>
        <w:t>All</w:t>
      </w:r>
      <w:r w:rsidR="00B165CC">
        <w:rPr>
          <w:rFonts w:cs="Calibri"/>
        </w:rPr>
        <w:t xml:space="preserve"> managed care entities will </w:t>
      </w:r>
      <w:r w:rsidRPr="00821C14">
        <w:rPr>
          <w:rFonts w:cs="Calibri"/>
        </w:rPr>
        <w:t>participate in an EQRO review</w:t>
      </w:r>
      <w:r w:rsidR="00736C5F">
        <w:rPr>
          <w:rFonts w:cs="Calibri"/>
        </w:rPr>
        <w:t xml:space="preserve">. </w:t>
      </w:r>
      <w:r w:rsidRPr="00821C14">
        <w:rPr>
          <w:rFonts w:cs="Calibri"/>
        </w:rPr>
        <w:t xml:space="preserve">MassHealth has determined that the most efficient mechanism for quality oversight of these entities will be the EQRO. </w:t>
      </w:r>
    </w:p>
    <w:p w14:paraId="29C7D45D" w14:textId="77777777" w:rsidR="001E50CF" w:rsidRPr="00821C14" w:rsidRDefault="001E50CF" w:rsidP="005D3D0D">
      <w:pPr>
        <w:pStyle w:val="Heading3"/>
        <w:rPr>
          <w:rFonts w:ascii="Calibri" w:hAnsi="Calibri" w:cs="Calibri"/>
        </w:rPr>
      </w:pPr>
      <w:bookmarkStart w:id="101" w:name="_Toc521939913"/>
      <w:bookmarkStart w:id="102" w:name="_Toc522025650"/>
      <w:bookmarkStart w:id="103" w:name="_Toc523490133"/>
      <w:bookmarkStart w:id="104" w:name="_Toc525294302"/>
      <w:bookmarkStart w:id="105" w:name="_Toc529177896"/>
      <w:r w:rsidRPr="00821C14">
        <w:rPr>
          <w:rFonts w:ascii="Calibri" w:hAnsi="Calibri" w:cs="Calibri"/>
        </w:rPr>
        <w:lastRenderedPageBreak/>
        <w:t>Review Cycle</w:t>
      </w:r>
      <w:bookmarkEnd w:id="101"/>
      <w:bookmarkEnd w:id="102"/>
      <w:bookmarkEnd w:id="103"/>
      <w:bookmarkEnd w:id="104"/>
      <w:bookmarkEnd w:id="105"/>
    </w:p>
    <w:p w14:paraId="722AC2FB" w14:textId="77777777" w:rsidR="001E50CF" w:rsidRPr="00821C14" w:rsidRDefault="001E50CF" w:rsidP="00031EC7">
      <w:pPr>
        <w:rPr>
          <w:rFonts w:cs="Calibri"/>
        </w:rPr>
      </w:pPr>
      <w:r w:rsidRPr="00821C14">
        <w:rPr>
          <w:rFonts w:cs="Calibri"/>
        </w:rPr>
        <w:t xml:space="preserve">In </w:t>
      </w:r>
      <w:r w:rsidR="00B113BC">
        <w:rPr>
          <w:rFonts w:cs="Calibri"/>
        </w:rPr>
        <w:t xml:space="preserve">March </w:t>
      </w:r>
      <w:r w:rsidR="007D37F0">
        <w:rPr>
          <w:rFonts w:cs="Calibri"/>
        </w:rPr>
        <w:t>following each</w:t>
      </w:r>
      <w:r w:rsidRPr="00821C14">
        <w:rPr>
          <w:rFonts w:cs="Calibri"/>
        </w:rPr>
        <w:t xml:space="preserve"> project year, a full technical report for the measurement year </w:t>
      </w:r>
      <w:r w:rsidR="00D31351">
        <w:rPr>
          <w:rFonts w:cs="Calibri"/>
        </w:rPr>
        <w:t xml:space="preserve">is issued. The report validates </w:t>
      </w:r>
      <w:r w:rsidRPr="00821C14">
        <w:rPr>
          <w:rFonts w:cs="Calibri"/>
        </w:rPr>
        <w:t>performance measures for the MCOs, SCO</w:t>
      </w:r>
      <w:r w:rsidR="00D31351">
        <w:rPr>
          <w:rFonts w:cs="Calibri"/>
        </w:rPr>
        <w:t>s</w:t>
      </w:r>
      <w:r w:rsidRPr="00821C14">
        <w:rPr>
          <w:rFonts w:cs="Calibri"/>
        </w:rPr>
        <w:t>, PIHP,</w:t>
      </w:r>
      <w:r w:rsidR="00D31351">
        <w:rPr>
          <w:rFonts w:cs="Calibri"/>
        </w:rPr>
        <w:t xml:space="preserve"> </w:t>
      </w:r>
      <w:proofErr w:type="gramStart"/>
      <w:r w:rsidR="009E6996">
        <w:rPr>
          <w:rFonts w:cs="Calibri"/>
        </w:rPr>
        <w:t>One</w:t>
      </w:r>
      <w:proofErr w:type="gramEnd"/>
      <w:r w:rsidR="009E6996">
        <w:rPr>
          <w:rFonts w:cs="Calibri"/>
        </w:rPr>
        <w:t xml:space="preserve"> Care</w:t>
      </w:r>
      <w:r w:rsidR="00D31351">
        <w:rPr>
          <w:rFonts w:cs="Calibri"/>
        </w:rPr>
        <w:t xml:space="preserve">, </w:t>
      </w:r>
      <w:r w:rsidR="00E507CB">
        <w:rPr>
          <w:rFonts w:cs="Calibri"/>
        </w:rPr>
        <w:t>both ACO</w:t>
      </w:r>
      <w:r w:rsidR="008E7582">
        <w:rPr>
          <w:rFonts w:cs="Calibri"/>
        </w:rPr>
        <w:t xml:space="preserve"> </w:t>
      </w:r>
      <w:r w:rsidR="00AF7C41">
        <w:rPr>
          <w:rFonts w:cs="Calibri"/>
        </w:rPr>
        <w:t>models and</w:t>
      </w:r>
      <w:r w:rsidRPr="00821C14">
        <w:rPr>
          <w:rFonts w:cs="Calibri"/>
        </w:rPr>
        <w:t xml:space="preserve"> the PCC Plan</w:t>
      </w:r>
      <w:r w:rsidR="00D31351">
        <w:rPr>
          <w:rFonts w:cs="Calibri"/>
        </w:rPr>
        <w:t>. P</w:t>
      </w:r>
      <w:r w:rsidRPr="00821C14">
        <w:rPr>
          <w:rFonts w:cs="Calibri"/>
        </w:rPr>
        <w:t>erf</w:t>
      </w:r>
      <w:r w:rsidR="00D31351">
        <w:rPr>
          <w:rFonts w:cs="Calibri"/>
        </w:rPr>
        <w:t>ormance improvement projects are validated for</w:t>
      </w:r>
      <w:r w:rsidRPr="00821C14">
        <w:rPr>
          <w:rFonts w:cs="Calibri"/>
        </w:rPr>
        <w:t xml:space="preserve"> the MCOs, SCO,</w:t>
      </w:r>
      <w:r w:rsidR="00D31351">
        <w:rPr>
          <w:rFonts w:cs="Calibri"/>
        </w:rPr>
        <w:t xml:space="preserve"> </w:t>
      </w:r>
      <w:r w:rsidRPr="00821C14">
        <w:rPr>
          <w:rFonts w:cs="Calibri"/>
        </w:rPr>
        <w:t>PIHP</w:t>
      </w:r>
      <w:r w:rsidR="00D31351">
        <w:rPr>
          <w:rFonts w:cs="Calibri"/>
        </w:rPr>
        <w:t xml:space="preserve">, </w:t>
      </w:r>
      <w:r w:rsidR="009E6996">
        <w:rPr>
          <w:rFonts w:cs="Calibri"/>
        </w:rPr>
        <w:t>One Care</w:t>
      </w:r>
      <w:r w:rsidR="00E507CB">
        <w:rPr>
          <w:rFonts w:cs="Calibri"/>
        </w:rPr>
        <w:t xml:space="preserve"> and </w:t>
      </w:r>
      <w:r w:rsidR="00AF7C41">
        <w:rPr>
          <w:rFonts w:cs="Calibri"/>
        </w:rPr>
        <w:t>Accountable Care Partnership Plan</w:t>
      </w:r>
      <w:r w:rsidR="00886C5D">
        <w:rPr>
          <w:rFonts w:cs="Calibri"/>
        </w:rPr>
        <w:t>s</w:t>
      </w:r>
      <w:r w:rsidRPr="00821C14">
        <w:rPr>
          <w:rFonts w:cs="Calibri"/>
        </w:rPr>
        <w:t>.</w:t>
      </w:r>
      <w:r w:rsidR="00D31351">
        <w:rPr>
          <w:rFonts w:cs="Calibri"/>
        </w:rPr>
        <w:t xml:space="preserve"> </w:t>
      </w:r>
      <w:r w:rsidR="009F345D">
        <w:rPr>
          <w:rFonts w:cs="Calibri"/>
        </w:rPr>
        <w:t xml:space="preserve">EQR participation for </w:t>
      </w:r>
      <w:r w:rsidR="00736C5F">
        <w:rPr>
          <w:rFonts w:cs="Calibri"/>
        </w:rPr>
        <w:t xml:space="preserve">MCOS which were re-procured in 2018 and </w:t>
      </w:r>
      <w:r w:rsidR="009F345D">
        <w:rPr>
          <w:rFonts w:cs="Calibri"/>
        </w:rPr>
        <w:t>both</w:t>
      </w:r>
      <w:r w:rsidR="0050549B">
        <w:rPr>
          <w:rFonts w:cs="Calibri"/>
        </w:rPr>
        <w:t xml:space="preserve"> ACO models is slated to begin in</w:t>
      </w:r>
      <w:r w:rsidR="00E45FFC">
        <w:rPr>
          <w:rFonts w:cs="Calibri"/>
        </w:rPr>
        <w:t xml:space="preserve"> 2019, following their first year </w:t>
      </w:r>
      <w:r w:rsidR="00173026">
        <w:rPr>
          <w:rFonts w:cs="Calibri"/>
        </w:rPr>
        <w:t xml:space="preserve">of </w:t>
      </w:r>
      <w:r w:rsidR="00E45FFC">
        <w:rPr>
          <w:rFonts w:cs="Calibri"/>
        </w:rPr>
        <w:t xml:space="preserve">operation. </w:t>
      </w:r>
    </w:p>
    <w:p w14:paraId="6D871729" w14:textId="77777777" w:rsidR="001E50CF" w:rsidRPr="00821C14" w:rsidRDefault="001E50CF" w:rsidP="00B918F7">
      <w:pPr>
        <w:pStyle w:val="Heading3"/>
        <w:rPr>
          <w:rFonts w:ascii="Calibri" w:hAnsi="Calibri" w:cs="Calibri"/>
        </w:rPr>
      </w:pPr>
      <w:bookmarkStart w:id="106" w:name="_Toc521939914"/>
      <w:bookmarkStart w:id="107" w:name="_Toc522025651"/>
      <w:bookmarkStart w:id="108" w:name="_Toc523490134"/>
      <w:bookmarkStart w:id="109" w:name="_Toc525294303"/>
      <w:bookmarkStart w:id="110" w:name="_Toc529177897"/>
      <w:r w:rsidRPr="00821C14">
        <w:rPr>
          <w:rFonts w:ascii="Calibri" w:hAnsi="Calibri" w:cs="Calibri"/>
        </w:rPr>
        <w:t>Managed Care Entity Responsibilities</w:t>
      </w:r>
      <w:bookmarkEnd w:id="106"/>
      <w:bookmarkEnd w:id="107"/>
      <w:bookmarkEnd w:id="108"/>
      <w:bookmarkEnd w:id="109"/>
      <w:bookmarkEnd w:id="110"/>
    </w:p>
    <w:p w14:paraId="72906306" w14:textId="77777777" w:rsidR="00CC7DCA" w:rsidRPr="00CC7DCA" w:rsidRDefault="001E50CF" w:rsidP="00CC7DCA">
      <w:r w:rsidRPr="00CC7DCA">
        <w:t>Each MCE is required</w:t>
      </w:r>
      <w:r w:rsidR="00CC7DCA">
        <w:t xml:space="preserve"> through their contracts</w:t>
      </w:r>
      <w:r w:rsidRPr="00CC7DCA">
        <w:t xml:space="preserve"> to take all steps necessary to support the External Quality Review Organization (EQRO) contracted by EOHHS to conduct External Quality Review (EQR) Activities, in accordance with 42 CFR 438.358. </w:t>
      </w:r>
    </w:p>
    <w:p w14:paraId="2833C302" w14:textId="77777777" w:rsidR="001E50CF" w:rsidRPr="00821C14" w:rsidRDefault="001E50CF" w:rsidP="005D3D0D">
      <w:pPr>
        <w:pStyle w:val="Heading3"/>
        <w:rPr>
          <w:rFonts w:ascii="Calibri" w:hAnsi="Calibri" w:cs="Calibri"/>
        </w:rPr>
      </w:pPr>
      <w:bookmarkStart w:id="111" w:name="_Toc521939915"/>
      <w:bookmarkStart w:id="112" w:name="_Toc522025652"/>
      <w:bookmarkStart w:id="113" w:name="_Toc523490135"/>
      <w:bookmarkStart w:id="114" w:name="_Toc525294304"/>
      <w:bookmarkStart w:id="115" w:name="_Toc529177898"/>
      <w:r w:rsidRPr="00821C14">
        <w:rPr>
          <w:rFonts w:ascii="Calibri" w:hAnsi="Calibri" w:cs="Calibri"/>
        </w:rPr>
        <w:t>Non-Duplication Provisions</w:t>
      </w:r>
      <w:bookmarkEnd w:id="111"/>
      <w:bookmarkEnd w:id="112"/>
      <w:bookmarkEnd w:id="113"/>
      <w:bookmarkEnd w:id="114"/>
      <w:bookmarkEnd w:id="115"/>
    </w:p>
    <w:p w14:paraId="64CCF7DE" w14:textId="77777777" w:rsidR="00D61291" w:rsidRDefault="001E50CF" w:rsidP="005D3D0D">
      <w:pPr>
        <w:rPr>
          <w:rFonts w:cs="Calibri"/>
        </w:rPr>
      </w:pPr>
      <w:r w:rsidRPr="00821C14">
        <w:rPr>
          <w:rFonts w:cs="Calibri"/>
        </w:rPr>
        <w:t>MassHealth encourages the EQRO to use t</w:t>
      </w:r>
      <w:r w:rsidR="000F2C5E">
        <w:rPr>
          <w:rFonts w:cs="Calibri"/>
        </w:rPr>
        <w:t xml:space="preserve">he NCQA Managed Care Toolkit </w:t>
      </w:r>
      <w:r w:rsidRPr="00821C14">
        <w:rPr>
          <w:rFonts w:cs="Calibri"/>
        </w:rPr>
        <w:t>to reduce duplication of effort of review</w:t>
      </w:r>
      <w:r w:rsidR="00AF7C41">
        <w:rPr>
          <w:rFonts w:cs="Calibri"/>
        </w:rPr>
        <w:t xml:space="preserve"> when possible</w:t>
      </w:r>
      <w:r w:rsidRPr="00821C14">
        <w:rPr>
          <w:rFonts w:cs="Calibri"/>
        </w:rPr>
        <w:t>.</w:t>
      </w:r>
      <w:r w:rsidR="00AF7C41">
        <w:rPr>
          <w:rFonts w:cs="Calibri"/>
        </w:rPr>
        <w:t xml:space="preserve"> Many MassHealth MCEs are NCQA certified and opportunity exists to leverage documents which are produced for accreditation and other purposes in order to fulfill EQR requirements. </w:t>
      </w:r>
    </w:p>
    <w:p w14:paraId="264DFF2E" w14:textId="77777777" w:rsidR="000F2C5E" w:rsidRDefault="000044EF" w:rsidP="00244442">
      <w:pPr>
        <w:rPr>
          <w:rFonts w:cs="Calibri"/>
        </w:rPr>
        <w:sectPr w:rsidR="000F2C5E" w:rsidSect="00D306CE">
          <w:headerReference w:type="default" r:id="rId22"/>
          <w:type w:val="continuous"/>
          <w:pgSz w:w="12240" w:h="15840"/>
          <w:pgMar w:top="1440" w:right="1440" w:bottom="1440" w:left="1440" w:header="720" w:footer="720" w:gutter="0"/>
          <w:cols w:space="720"/>
          <w:docGrid w:linePitch="360"/>
        </w:sectPr>
      </w:pPr>
      <w:r>
        <w:t xml:space="preserve">In 2017, MassHealth amended the EQRO contract to require, when applicable and upon EOHHS approval, the use of </w:t>
      </w:r>
      <w:r w:rsidR="00D61291" w:rsidRPr="002F06D0">
        <w:t>information from a review of an MCO</w:t>
      </w:r>
      <w:r w:rsidR="001E3DFF">
        <w:t xml:space="preserve"> or </w:t>
      </w:r>
      <w:r w:rsidR="00D61291" w:rsidRPr="002F06D0">
        <w:t>PIHP performed by a Medicare or a private accrediting entity to contribute to the</w:t>
      </w:r>
      <w:r>
        <w:t xml:space="preserve"> EQRO’s</w:t>
      </w:r>
      <w:r w:rsidR="00D61291" w:rsidRPr="002F06D0">
        <w:t xml:space="preserve"> findings </w:t>
      </w:r>
      <w:r>
        <w:t xml:space="preserve">related to reporting of mandatory activities. </w:t>
      </w:r>
      <w:r w:rsidR="000346DA">
        <w:rPr>
          <w:rFonts w:cs="Calibri"/>
        </w:rPr>
        <w:t>The use of reports</w:t>
      </w:r>
      <w:r w:rsidR="00E45847">
        <w:rPr>
          <w:rFonts w:cs="Calibri"/>
        </w:rPr>
        <w:t xml:space="preserve"> from</w:t>
      </w:r>
      <w:r w:rsidR="000F2C5E">
        <w:rPr>
          <w:rFonts w:cs="Calibri"/>
        </w:rPr>
        <w:t xml:space="preserve"> </w:t>
      </w:r>
      <w:r w:rsidR="00E45847">
        <w:rPr>
          <w:rFonts w:cs="Calibri"/>
        </w:rPr>
        <w:t>HEDIS audit</w:t>
      </w:r>
      <w:r w:rsidR="00707365">
        <w:rPr>
          <w:rFonts w:cs="Calibri"/>
        </w:rPr>
        <w:t>s</w:t>
      </w:r>
      <w:r w:rsidR="00D61291">
        <w:rPr>
          <w:rFonts w:cs="Calibri"/>
        </w:rPr>
        <w:t xml:space="preserve"> and </w:t>
      </w:r>
      <w:r w:rsidR="00E45847">
        <w:rPr>
          <w:rFonts w:cs="Calibri"/>
        </w:rPr>
        <w:t xml:space="preserve">NCQA health plan </w:t>
      </w:r>
      <w:r w:rsidR="00776F7E">
        <w:rPr>
          <w:rFonts w:cs="Calibri"/>
        </w:rPr>
        <w:t>accreditations</w:t>
      </w:r>
      <w:r w:rsidR="000346DA">
        <w:rPr>
          <w:rFonts w:cs="Calibri"/>
        </w:rPr>
        <w:t xml:space="preserve"> significantly reduce</w:t>
      </w:r>
      <w:r w:rsidR="00776F7E">
        <w:rPr>
          <w:rFonts w:cs="Calibri"/>
        </w:rPr>
        <w:t>s</w:t>
      </w:r>
      <w:r w:rsidR="000346DA">
        <w:rPr>
          <w:rFonts w:cs="Calibri"/>
        </w:rPr>
        <w:t xml:space="preserve"> duplication of effort and administrative burden</w:t>
      </w:r>
      <w:r>
        <w:rPr>
          <w:rFonts w:cs="Calibri"/>
        </w:rPr>
        <w:t>.</w:t>
      </w:r>
      <w:r w:rsidR="00525527">
        <w:rPr>
          <w:rFonts w:cs="Calibri"/>
        </w:rPr>
        <w:t xml:space="preserve"> Materials from the aforementioned </w:t>
      </w:r>
      <w:r w:rsidR="00776F7E">
        <w:rPr>
          <w:rFonts w:cs="Calibri"/>
        </w:rPr>
        <w:t>accreditations</w:t>
      </w:r>
      <w:r>
        <w:rPr>
          <w:rFonts w:cs="Calibri"/>
        </w:rPr>
        <w:t xml:space="preserve"> and audits were used to fulfill aspects of performance measure validation and compliance activities </w:t>
      </w:r>
      <w:r w:rsidR="00625A35">
        <w:rPr>
          <w:rFonts w:cs="Calibri"/>
        </w:rPr>
        <w:t>during</w:t>
      </w:r>
      <w:r w:rsidR="000F2C5E">
        <w:rPr>
          <w:rFonts w:cs="Calibri"/>
        </w:rPr>
        <w:t xml:space="preserve"> th</w:t>
      </w:r>
      <w:r w:rsidR="009F1337">
        <w:rPr>
          <w:rFonts w:cs="Calibri"/>
        </w:rPr>
        <w:t>e most recent review.</w:t>
      </w:r>
    </w:p>
    <w:p w14:paraId="19434109" w14:textId="77777777" w:rsidR="001E50CF" w:rsidRPr="005623B2" w:rsidRDefault="002C1AD5" w:rsidP="002E34B8">
      <w:pPr>
        <w:pStyle w:val="Heading1"/>
      </w:pPr>
      <w:bookmarkStart w:id="116" w:name="_Ref522020061"/>
      <w:bookmarkStart w:id="117" w:name="_Toc529177899"/>
      <w:bookmarkStart w:id="118" w:name="_Toc366501517"/>
      <w:r>
        <w:lastRenderedPageBreak/>
        <w:t xml:space="preserve">State </w:t>
      </w:r>
      <w:r w:rsidR="001E50CF" w:rsidRPr="005623B2">
        <w:t>Standards</w:t>
      </w:r>
      <w:bookmarkEnd w:id="116"/>
      <w:bookmarkEnd w:id="117"/>
    </w:p>
    <w:p w14:paraId="4422A806" w14:textId="77777777" w:rsidR="001E50CF" w:rsidRPr="00821C14" w:rsidRDefault="001E50CF" w:rsidP="007513C1">
      <w:pPr>
        <w:pStyle w:val="Heading2"/>
        <w:rPr>
          <w:rFonts w:ascii="Calibri" w:hAnsi="Calibri" w:cs="Calibri"/>
        </w:rPr>
      </w:pPr>
      <w:bookmarkStart w:id="119" w:name="_Toc529177900"/>
      <w:r w:rsidRPr="00821C14">
        <w:rPr>
          <w:rFonts w:ascii="Calibri" w:hAnsi="Calibri" w:cs="Calibri"/>
        </w:rPr>
        <w:t>Access Standards</w:t>
      </w:r>
      <w:bookmarkEnd w:id="118"/>
      <w:bookmarkEnd w:id="119"/>
    </w:p>
    <w:p w14:paraId="0094B90A" w14:textId="77777777" w:rsidR="001E50CF" w:rsidRPr="00821C14" w:rsidRDefault="001E50CF" w:rsidP="00D16952">
      <w:pPr>
        <w:rPr>
          <w:rFonts w:cs="Calibri"/>
        </w:rPr>
      </w:pPr>
      <w:r w:rsidRPr="00821C14">
        <w:rPr>
          <w:rFonts w:cs="Calibri"/>
        </w:rPr>
        <w:t>All MassHealth MCEs are required to maintain standards for access to care including availability of services, care coordination and continuity of care, and coverage and</w:t>
      </w:r>
      <w:r w:rsidR="00CC7DCA">
        <w:rPr>
          <w:rFonts w:cs="Calibri"/>
        </w:rPr>
        <w:t xml:space="preserve"> </w:t>
      </w:r>
      <w:r w:rsidRPr="00821C14">
        <w:rPr>
          <w:rFonts w:cs="Calibri"/>
        </w:rPr>
        <w:t xml:space="preserve">authorization of services required by 42 CFR 438.206-438.210. </w:t>
      </w:r>
      <w:r w:rsidR="009450FD">
        <w:rPr>
          <w:rFonts w:cs="Calibri"/>
        </w:rPr>
        <w:t>(Coverage and authorization of service requirements do not apply to Primary Care ACOS.)</w:t>
      </w:r>
    </w:p>
    <w:p w14:paraId="648B535A" w14:textId="77777777" w:rsidR="001E50CF" w:rsidRPr="00821C14" w:rsidRDefault="001E50CF" w:rsidP="007513C1">
      <w:pPr>
        <w:pStyle w:val="Heading3"/>
        <w:rPr>
          <w:rFonts w:ascii="Calibri" w:hAnsi="Calibri" w:cs="Calibri"/>
        </w:rPr>
      </w:pPr>
      <w:bookmarkStart w:id="120" w:name="_Toc366501518"/>
      <w:bookmarkStart w:id="121" w:name="_Toc521939918"/>
      <w:bookmarkStart w:id="122" w:name="_Toc522025655"/>
      <w:bookmarkStart w:id="123" w:name="_Toc523490138"/>
      <w:bookmarkStart w:id="124" w:name="_Toc525294307"/>
      <w:bookmarkStart w:id="125" w:name="_Toc529177901"/>
      <w:r w:rsidRPr="00821C14">
        <w:rPr>
          <w:rFonts w:ascii="Calibri" w:hAnsi="Calibri" w:cs="Calibri"/>
        </w:rPr>
        <w:t>Availability of Services</w:t>
      </w:r>
      <w:bookmarkEnd w:id="120"/>
      <w:bookmarkEnd w:id="121"/>
      <w:bookmarkEnd w:id="122"/>
      <w:bookmarkEnd w:id="123"/>
      <w:bookmarkEnd w:id="124"/>
      <w:bookmarkEnd w:id="125"/>
    </w:p>
    <w:p w14:paraId="50098FAB" w14:textId="77777777" w:rsidR="001E50CF" w:rsidRPr="00821C14" w:rsidRDefault="001E50CF" w:rsidP="00D16952">
      <w:pPr>
        <w:rPr>
          <w:rFonts w:cs="Calibri"/>
          <w:i/>
          <w:color w:val="000000"/>
          <w:u w:val="single"/>
        </w:rPr>
      </w:pPr>
      <w:r w:rsidRPr="00821C14">
        <w:rPr>
          <w:rFonts w:cs="Calibri"/>
        </w:rPr>
        <w:t xml:space="preserve">In accordance with the standards in 42 CFR 438.206 MassHealth </w:t>
      </w:r>
      <w:r w:rsidRPr="00821C14">
        <w:rPr>
          <w:rFonts w:cs="Calibri"/>
          <w:color w:val="000000"/>
        </w:rPr>
        <w:t>ensures that services covered</w:t>
      </w:r>
      <w:r w:rsidR="005A34B8">
        <w:rPr>
          <w:rFonts w:cs="Calibri"/>
          <w:color w:val="000000"/>
        </w:rPr>
        <w:t xml:space="preserve"> under contracts are accessible </w:t>
      </w:r>
      <w:r w:rsidR="007261BB">
        <w:rPr>
          <w:rFonts w:cs="Calibri"/>
          <w:color w:val="000000"/>
        </w:rPr>
        <w:t xml:space="preserve">and available </w:t>
      </w:r>
      <w:r w:rsidRPr="00821C14">
        <w:rPr>
          <w:rFonts w:cs="Calibri"/>
          <w:color w:val="000000"/>
        </w:rPr>
        <w:t xml:space="preserve">to enrollees </w:t>
      </w:r>
      <w:r w:rsidR="007261BB">
        <w:rPr>
          <w:rFonts w:cs="Calibri"/>
          <w:color w:val="000000"/>
        </w:rPr>
        <w:t xml:space="preserve">in a </w:t>
      </w:r>
      <w:r w:rsidR="008C36D5">
        <w:rPr>
          <w:rFonts w:cs="Calibri"/>
          <w:color w:val="000000"/>
        </w:rPr>
        <w:t xml:space="preserve">timely </w:t>
      </w:r>
      <w:r w:rsidR="007261BB">
        <w:rPr>
          <w:rFonts w:cs="Calibri"/>
          <w:color w:val="000000"/>
        </w:rPr>
        <w:t>manner</w:t>
      </w:r>
      <w:r w:rsidRPr="00821C14">
        <w:rPr>
          <w:rFonts w:cs="Calibri"/>
          <w:color w:val="000000"/>
        </w:rPr>
        <w:t xml:space="preserve">. Each </w:t>
      </w:r>
      <w:r w:rsidR="00444B20">
        <w:rPr>
          <w:rFonts w:cs="Calibri"/>
          <w:color w:val="000000"/>
        </w:rPr>
        <w:t>plan</w:t>
      </w:r>
      <w:r w:rsidRPr="00821C14">
        <w:rPr>
          <w:rFonts w:cs="Calibri"/>
          <w:color w:val="000000"/>
        </w:rPr>
        <w:t xml:space="preserve"> must maintain and monitor a network of providers that is supported by written agreements and sufficient to provide adequate access to all services covered under the contract.  In establishing and maintaining the network, each </w:t>
      </w:r>
      <w:r w:rsidR="00FE221B" w:rsidRPr="00821C14">
        <w:rPr>
          <w:rFonts w:cs="Calibri"/>
          <w:color w:val="000000"/>
        </w:rPr>
        <w:t xml:space="preserve">plan </w:t>
      </w:r>
      <w:r w:rsidRPr="00821C14">
        <w:rPr>
          <w:rFonts w:cs="Calibri"/>
          <w:color w:val="000000"/>
        </w:rPr>
        <w:t>must take into account the following:</w:t>
      </w:r>
    </w:p>
    <w:p w14:paraId="19D96E9C" w14:textId="77777777" w:rsidR="001E50CF" w:rsidRPr="00821C14" w:rsidRDefault="001E50CF" w:rsidP="009729DB">
      <w:pPr>
        <w:numPr>
          <w:ilvl w:val="0"/>
          <w:numId w:val="6"/>
        </w:numPr>
        <w:spacing w:line="276" w:lineRule="auto"/>
        <w:rPr>
          <w:rFonts w:cs="Calibri"/>
          <w:color w:val="000000"/>
        </w:rPr>
      </w:pPr>
      <w:r w:rsidRPr="00821C14">
        <w:rPr>
          <w:rFonts w:cs="Calibri"/>
          <w:color w:val="000000"/>
        </w:rPr>
        <w:t>Anticipated MassHealth enrollment</w:t>
      </w:r>
    </w:p>
    <w:p w14:paraId="45752832" w14:textId="77777777" w:rsidR="001E50CF" w:rsidRPr="00821C14" w:rsidRDefault="001E50CF" w:rsidP="009729DB">
      <w:pPr>
        <w:numPr>
          <w:ilvl w:val="0"/>
          <w:numId w:val="6"/>
        </w:numPr>
        <w:spacing w:line="276" w:lineRule="auto"/>
        <w:rPr>
          <w:rFonts w:cs="Calibri"/>
          <w:color w:val="000000"/>
        </w:rPr>
      </w:pPr>
      <w:r w:rsidRPr="00821C14">
        <w:rPr>
          <w:rFonts w:cs="Calibri"/>
          <w:color w:val="000000"/>
        </w:rPr>
        <w:t xml:space="preserve">Expected use of services by enrollees, considering the characteristics and health care needs of specific MassHealth enrollee populations </w:t>
      </w:r>
    </w:p>
    <w:p w14:paraId="3A93D19E" w14:textId="77777777" w:rsidR="001E50CF" w:rsidRPr="00821C14" w:rsidRDefault="001E50CF" w:rsidP="009729DB">
      <w:pPr>
        <w:numPr>
          <w:ilvl w:val="0"/>
          <w:numId w:val="6"/>
        </w:numPr>
        <w:spacing w:line="276" w:lineRule="auto"/>
        <w:rPr>
          <w:rFonts w:cs="Calibri"/>
          <w:color w:val="000000"/>
        </w:rPr>
      </w:pPr>
      <w:r w:rsidRPr="00821C14">
        <w:rPr>
          <w:rFonts w:cs="Calibri"/>
          <w:color w:val="000000"/>
        </w:rPr>
        <w:lastRenderedPageBreak/>
        <w:t>Numbers and types (in terms of training, experience, and specialization) of providers required to furnish contracted services</w:t>
      </w:r>
    </w:p>
    <w:p w14:paraId="53DD70DD" w14:textId="77777777" w:rsidR="001E50CF" w:rsidRPr="00821C14" w:rsidRDefault="001E50CF" w:rsidP="009729DB">
      <w:pPr>
        <w:numPr>
          <w:ilvl w:val="0"/>
          <w:numId w:val="6"/>
        </w:numPr>
        <w:spacing w:line="276" w:lineRule="auto"/>
        <w:rPr>
          <w:rFonts w:cs="Calibri"/>
          <w:color w:val="000000"/>
        </w:rPr>
      </w:pPr>
      <w:r w:rsidRPr="00821C14">
        <w:rPr>
          <w:rFonts w:cs="Calibri"/>
          <w:color w:val="000000"/>
        </w:rPr>
        <w:t>Numbers of network providers who are not accepting new MassHealth patients</w:t>
      </w:r>
    </w:p>
    <w:p w14:paraId="713FBFA6" w14:textId="77777777" w:rsidR="001E50CF" w:rsidRPr="00821C14" w:rsidRDefault="001E50CF" w:rsidP="009729DB">
      <w:pPr>
        <w:numPr>
          <w:ilvl w:val="0"/>
          <w:numId w:val="6"/>
        </w:numPr>
        <w:spacing w:line="276" w:lineRule="auto"/>
        <w:rPr>
          <w:rFonts w:cs="Calibri"/>
          <w:color w:val="000000"/>
        </w:rPr>
      </w:pPr>
      <w:r w:rsidRPr="00821C14">
        <w:rPr>
          <w:rFonts w:cs="Calibri"/>
          <w:color w:val="000000"/>
        </w:rPr>
        <w:t>Geographic location of providers and MassHealth managed care enrollees, considering distance, travel time and modes of transportation typically used by MassHealth managed care enrollees, and whether the location provides physical access for MassHealth enrollees with disabilities</w:t>
      </w:r>
    </w:p>
    <w:p w14:paraId="35A83CB1" w14:textId="77777777" w:rsidR="001E50CF" w:rsidRPr="00821C14" w:rsidRDefault="001E50CF" w:rsidP="00D16952">
      <w:pPr>
        <w:pStyle w:val="NormalIndent"/>
        <w:ind w:left="0"/>
        <w:rPr>
          <w:rFonts w:cs="Calibri"/>
          <w:color w:val="000000"/>
        </w:rPr>
      </w:pPr>
      <w:r w:rsidRPr="00821C14">
        <w:rPr>
          <w:rFonts w:cs="Calibri"/>
          <w:color w:val="000000"/>
        </w:rPr>
        <w:t>Plans must provide female enrollees with direct access to a women’s health specialist, including an obstetrician or gynecologist, to provide women’s routine and preventive health care services. This is in addition to the enrollee’s designated source of primary care if that source is not a women’s health specialist.  MassHealth contracted plans must also provide for a second opinion from a qualified health care professional within the provider network, or arrange for the enrollee to obtain one outside the network, at no cost to the enrollee.</w:t>
      </w:r>
    </w:p>
    <w:p w14:paraId="122D0FAC" w14:textId="77777777" w:rsidR="001E50CF" w:rsidRPr="00821C14" w:rsidRDefault="001E50CF" w:rsidP="00D16952">
      <w:pPr>
        <w:rPr>
          <w:rFonts w:cs="Calibri"/>
          <w:szCs w:val="24"/>
        </w:rPr>
      </w:pPr>
      <w:r w:rsidRPr="00821C14">
        <w:rPr>
          <w:rFonts w:cs="Calibri"/>
          <w:szCs w:val="24"/>
        </w:rPr>
        <w:t xml:space="preserve">Timely access to care and services, taking into account the urgency of the need, is a requirement of all </w:t>
      </w:r>
      <w:r w:rsidR="00444B20">
        <w:rPr>
          <w:rFonts w:cs="Calibri"/>
          <w:szCs w:val="24"/>
        </w:rPr>
        <w:t>plan</w:t>
      </w:r>
      <w:r w:rsidRPr="00821C14">
        <w:rPr>
          <w:rFonts w:cs="Calibri"/>
          <w:szCs w:val="24"/>
        </w:rPr>
        <w:t>s. Availability standards must ensure that network providers offer members appointments for covered health care services and medically necessary specialty care</w:t>
      </w:r>
      <w:r w:rsidR="009450FD">
        <w:rPr>
          <w:rFonts w:cs="Calibri"/>
          <w:szCs w:val="24"/>
        </w:rPr>
        <w:t>.</w:t>
      </w:r>
      <w:r w:rsidR="005036D9">
        <w:rPr>
          <w:rFonts w:cs="Calibri"/>
          <w:szCs w:val="24"/>
        </w:rPr>
        <w:t xml:space="preserve"> </w:t>
      </w:r>
      <w:r w:rsidR="00A43DC5">
        <w:rPr>
          <w:rFonts w:cs="Calibri"/>
          <w:szCs w:val="24"/>
        </w:rPr>
        <w:t>Network p</w:t>
      </w:r>
      <w:r w:rsidR="00A43DC5" w:rsidRPr="00A43DC5">
        <w:rPr>
          <w:rFonts w:cs="Calibri"/>
          <w:szCs w:val="24"/>
        </w:rPr>
        <w:t>roviders</w:t>
      </w:r>
      <w:r w:rsidR="00A43DC5">
        <w:rPr>
          <w:rFonts w:cs="Calibri"/>
          <w:szCs w:val="24"/>
        </w:rPr>
        <w:t xml:space="preserve"> must</w:t>
      </w:r>
      <w:r w:rsidR="00A43DC5" w:rsidRPr="00A43DC5">
        <w:rPr>
          <w:rFonts w:cs="Calibri"/>
          <w:szCs w:val="24"/>
        </w:rPr>
        <w:t xml:space="preserve"> offer hours of operation that are no less than the hours of operation </w:t>
      </w:r>
      <w:r w:rsidR="00A43DC5">
        <w:rPr>
          <w:rFonts w:cs="Calibri"/>
          <w:szCs w:val="24"/>
        </w:rPr>
        <w:t>offered to commercial enrollees</w:t>
      </w:r>
      <w:r w:rsidR="00C80213">
        <w:rPr>
          <w:rFonts w:cs="Calibri"/>
          <w:szCs w:val="24"/>
        </w:rPr>
        <w:t xml:space="preserve">, or </w:t>
      </w:r>
      <w:r w:rsidR="00C80213" w:rsidRPr="00A71996">
        <w:rPr>
          <w:szCs w:val="24"/>
        </w:rPr>
        <w:t>MassHealth Fee-For-Service if the Provider serves only Enrollees or other Members.</w:t>
      </w:r>
      <w:r w:rsidR="00A43DC5">
        <w:rPr>
          <w:rFonts w:cs="Calibri"/>
          <w:szCs w:val="24"/>
        </w:rPr>
        <w:t xml:space="preserve"> </w:t>
      </w:r>
      <w:r w:rsidRPr="00821C14">
        <w:rPr>
          <w:rFonts w:cs="Calibri"/>
          <w:szCs w:val="24"/>
        </w:rPr>
        <w:t xml:space="preserve">Plans monitor providers for compliance with the standards regularly and </w:t>
      </w:r>
      <w:r w:rsidR="000D6233">
        <w:rPr>
          <w:rFonts w:cs="Calibri"/>
          <w:szCs w:val="24"/>
        </w:rPr>
        <w:t xml:space="preserve">may </w:t>
      </w:r>
      <w:r w:rsidRPr="00821C14">
        <w:rPr>
          <w:rFonts w:cs="Calibri"/>
          <w:szCs w:val="24"/>
        </w:rPr>
        <w:t xml:space="preserve">take corrective action to come into compliance with the access standards. </w:t>
      </w:r>
    </w:p>
    <w:p w14:paraId="65BEE3E4" w14:textId="77777777" w:rsidR="001E50CF" w:rsidRDefault="001E50CF" w:rsidP="00D16952">
      <w:pPr>
        <w:pStyle w:val="NormalIndent"/>
        <w:ind w:left="0"/>
        <w:rPr>
          <w:rFonts w:cs="Calibri"/>
          <w:color w:val="000000"/>
        </w:rPr>
      </w:pPr>
      <w:r w:rsidRPr="00821C14">
        <w:rPr>
          <w:rFonts w:cs="Calibri"/>
          <w:color w:val="000000"/>
        </w:rPr>
        <w:t xml:space="preserve">If a </w:t>
      </w:r>
      <w:r w:rsidR="00444B20">
        <w:rPr>
          <w:rFonts w:cs="Calibri"/>
          <w:color w:val="000000"/>
        </w:rPr>
        <w:t>plan</w:t>
      </w:r>
      <w:r w:rsidRPr="00821C14">
        <w:rPr>
          <w:rFonts w:cs="Calibri"/>
          <w:color w:val="000000"/>
        </w:rPr>
        <w:t xml:space="preserve">’s network is unable to provide necessary services covered under its contract that </w:t>
      </w:r>
      <w:r w:rsidR="00BB0F2A">
        <w:rPr>
          <w:rFonts w:cs="Calibri"/>
          <w:color w:val="000000"/>
        </w:rPr>
        <w:t>plan</w:t>
      </w:r>
      <w:r w:rsidR="000D6233" w:rsidRPr="00821C14">
        <w:rPr>
          <w:rFonts w:cs="Calibri"/>
          <w:color w:val="000000"/>
        </w:rPr>
        <w:t xml:space="preserve"> </w:t>
      </w:r>
      <w:r w:rsidRPr="00821C14">
        <w:rPr>
          <w:rFonts w:cs="Calibri"/>
          <w:color w:val="000000"/>
        </w:rPr>
        <w:t xml:space="preserve">must sufficiently cover those necessary services in a timely manner for as long as the </w:t>
      </w:r>
      <w:r w:rsidR="00444B20">
        <w:rPr>
          <w:rFonts w:cs="Calibri"/>
          <w:color w:val="000000"/>
        </w:rPr>
        <w:t>plan</w:t>
      </w:r>
      <w:r w:rsidRPr="00821C14">
        <w:rPr>
          <w:rFonts w:cs="Calibri"/>
          <w:color w:val="000000"/>
        </w:rPr>
        <w:t xml:space="preserve">’s network is unable to provide those services. MassHealth </w:t>
      </w:r>
      <w:r w:rsidR="00444B20">
        <w:rPr>
          <w:rFonts w:cs="Calibri"/>
          <w:color w:val="000000"/>
        </w:rPr>
        <w:t>plan</w:t>
      </w:r>
      <w:r w:rsidRPr="00821C14">
        <w:rPr>
          <w:rFonts w:cs="Calibri"/>
          <w:color w:val="000000"/>
        </w:rPr>
        <w:t xml:space="preserve">s must negotiate agreements with out-of-network providers with respect to payment. </w:t>
      </w:r>
    </w:p>
    <w:p w14:paraId="67399AAF" w14:textId="77777777" w:rsidR="005A34B8" w:rsidRDefault="009450FD" w:rsidP="005A34B8">
      <w:pPr>
        <w:pStyle w:val="Heading6"/>
        <w:numPr>
          <w:ilvl w:val="0"/>
          <w:numId w:val="0"/>
        </w:numPr>
        <w:spacing w:after="0"/>
        <w:contextualSpacing/>
        <w:rPr>
          <w:rStyle w:val="IntenseEmphasis"/>
          <w:b/>
        </w:rPr>
      </w:pPr>
      <w:r w:rsidRPr="009450FD">
        <w:rPr>
          <w:rStyle w:val="IntenseEmphasis"/>
          <w:b/>
        </w:rPr>
        <w:t>Cultural Considerations</w:t>
      </w:r>
    </w:p>
    <w:p w14:paraId="27F02B41" w14:textId="77777777" w:rsidR="009450FD" w:rsidRDefault="009450FD" w:rsidP="00504678">
      <w:pPr>
        <w:tabs>
          <w:tab w:val="left" w:pos="2070"/>
        </w:tabs>
        <w:spacing w:after="0"/>
        <w:contextualSpacing/>
      </w:pPr>
      <w:r w:rsidRPr="00821C14">
        <w:t>MassHealth requires that</w:t>
      </w:r>
      <w:r>
        <w:t xml:space="preserve"> medical/surgical and </w:t>
      </w:r>
      <w:r w:rsidR="004E5D36">
        <w:t>BH</w:t>
      </w:r>
      <w:r w:rsidRPr="00821C14">
        <w:t xml:space="preserve"> services and care are delivered in a culturally competent manner and address any barriers to access. MassHealth participates in efforts to promote the delivery of services in a culturally competent manner to all enrollees, including those with limited English proficiency and diverse cultural backgrounds.</w:t>
      </w:r>
      <w:r>
        <w:t xml:space="preserve"> All MCEs </w:t>
      </w:r>
      <w:r w:rsidRPr="00821C14">
        <w:t xml:space="preserve">ensure availability of multi-lingual providers and skilled medical interpreters for the commonly used languages in each community. Written information is available to enrollees in prevalent languages, as determined by the </w:t>
      </w:r>
      <w:r>
        <w:t>Commonwealth</w:t>
      </w:r>
      <w:r w:rsidRPr="00821C14">
        <w:t xml:space="preserve">. Prevalent languages are those spoken by 5% or more of MassHealth enrollees.  Through analyses of MassHealth data, </w:t>
      </w:r>
      <w:r>
        <w:t>s</w:t>
      </w:r>
      <w:r w:rsidRPr="00821C14">
        <w:t>tate-wide and by EOHHS region (Boston, Metro West, Central MA, Western MA, Northeastern MA and Southeastern MA), EOHHS has currently defined Spanish and English as the prevalent languages in which written information must be made available.</w:t>
      </w:r>
      <w:r>
        <w:t xml:space="preserve"> </w:t>
      </w:r>
    </w:p>
    <w:p w14:paraId="194CF945" w14:textId="77777777" w:rsidR="00AA249A" w:rsidRPr="005A34B8" w:rsidRDefault="00AA249A" w:rsidP="005A34B8">
      <w:pPr>
        <w:spacing w:after="0"/>
        <w:contextualSpacing/>
        <w:rPr>
          <w:rFonts w:asciiTheme="minorHAnsi" w:hAnsiTheme="minorHAnsi"/>
          <w:i/>
          <w:iCs/>
          <w:color w:val="4F81BD"/>
        </w:rPr>
      </w:pPr>
    </w:p>
    <w:p w14:paraId="43B823DF" w14:textId="77777777" w:rsidR="009450FD" w:rsidRDefault="009450FD" w:rsidP="009450FD">
      <w:pPr>
        <w:pStyle w:val="NormalIndent"/>
        <w:ind w:left="0"/>
        <w:rPr>
          <w:rFonts w:cs="Calibri"/>
        </w:rPr>
      </w:pPr>
      <w:r>
        <w:rPr>
          <w:rFonts w:cs="Calibri"/>
        </w:rPr>
        <w:t>At the time of enrollment, MCEs must identify enrollees’ needs for culturally and l</w:t>
      </w:r>
      <w:r w:rsidRPr="002A284A">
        <w:rPr>
          <w:rFonts w:cs="Calibri"/>
        </w:rPr>
        <w:t>inguistically</w:t>
      </w:r>
      <w:r>
        <w:rPr>
          <w:rFonts w:cs="Calibri"/>
        </w:rPr>
        <w:t xml:space="preserve"> appropriate services, which may include </w:t>
      </w:r>
      <w:r w:rsidRPr="002A284A">
        <w:rPr>
          <w:rFonts w:cs="Calibri"/>
        </w:rPr>
        <w:t>hearing and vision impairment and language preference</w:t>
      </w:r>
      <w:r>
        <w:rPr>
          <w:rFonts w:cs="Calibri"/>
        </w:rPr>
        <w:t xml:space="preserve">. </w:t>
      </w:r>
      <w:r w:rsidRPr="00821C14">
        <w:rPr>
          <w:rFonts w:cs="Calibri"/>
        </w:rPr>
        <w:t>MassHealth plans make available, free of charge, oral interpretation services in all non-English languages to assist enrollees with interpretation of all written materials provided to enrollees. Informational materials distributed to members via mail are accompanied by a card that indicates that the enclosed materials are important and should be translated immediately. The card also provides information on how the enrollee may obtain help with getting the materials translated.</w:t>
      </w:r>
      <w:r w:rsidRPr="00B103C8">
        <w:rPr>
          <w:rFonts w:cs="Calibri"/>
        </w:rPr>
        <w:t xml:space="preserve"> </w:t>
      </w:r>
    </w:p>
    <w:p w14:paraId="0A44F1E4" w14:textId="77777777" w:rsidR="00BD4204" w:rsidRDefault="009450FD" w:rsidP="009450FD">
      <w:pPr>
        <w:contextualSpacing/>
      </w:pPr>
      <w:r w:rsidRPr="00821C14">
        <w:rPr>
          <w:rFonts w:cs="Calibri"/>
        </w:rPr>
        <w:lastRenderedPageBreak/>
        <w:t>In addition</w:t>
      </w:r>
      <w:r>
        <w:rPr>
          <w:rFonts w:cs="Calibri"/>
        </w:rPr>
        <w:t xml:space="preserve">, all plans are required to complete population profiles which describe </w:t>
      </w:r>
      <w:r w:rsidRPr="00241D32">
        <w:t>geographic location, settings, and socio-demographics (e.g. age, gender, race,</w:t>
      </w:r>
      <w:r>
        <w:t xml:space="preserve"> ethnicity and housing status) of the member population. These activities are part of an overall community needs assessment which informs how plans can develop goals and activities that engage members and their communities toward health improvements. </w:t>
      </w:r>
      <w:r w:rsidRPr="00241D32">
        <w:t xml:space="preserve"> </w:t>
      </w:r>
    </w:p>
    <w:p w14:paraId="12005D12" w14:textId="77777777" w:rsidR="00BD4204" w:rsidRDefault="00BD4204" w:rsidP="009450FD">
      <w:pPr>
        <w:contextualSpacing/>
      </w:pPr>
    </w:p>
    <w:p w14:paraId="32FF3995" w14:textId="77777777" w:rsidR="004375D9" w:rsidRDefault="004375D9" w:rsidP="004375D9">
      <w:pPr>
        <w:contextualSpacing/>
        <w:rPr>
          <w:rStyle w:val="IntenseEmphasis"/>
        </w:rPr>
      </w:pPr>
      <w:r>
        <w:rPr>
          <w:rStyle w:val="IntenseEmphasis"/>
        </w:rPr>
        <w:t>BH Covered Services</w:t>
      </w:r>
    </w:p>
    <w:p w14:paraId="0450CBE5" w14:textId="77777777" w:rsidR="009450FD" w:rsidRPr="00B113BC" w:rsidRDefault="009450FD" w:rsidP="004375D9">
      <w:pPr>
        <w:contextualSpacing/>
        <w:rPr>
          <w:rFonts w:cs="Calibri"/>
        </w:rPr>
      </w:pPr>
      <w:r>
        <w:t>All MCEs</w:t>
      </w:r>
      <w:r>
        <w:rPr>
          <w:rFonts w:cs="Calibri"/>
        </w:rPr>
        <w:t xml:space="preserve"> </w:t>
      </w:r>
      <w:r w:rsidR="00BD4204">
        <w:rPr>
          <w:rFonts w:cs="Calibri"/>
        </w:rPr>
        <w:t xml:space="preserve">and the BH Plan </w:t>
      </w:r>
      <w:r>
        <w:rPr>
          <w:rFonts w:cs="Calibri"/>
        </w:rPr>
        <w:t>are</w:t>
      </w:r>
      <w:r w:rsidRPr="00B113BC">
        <w:rPr>
          <w:rFonts w:cs="Calibri"/>
        </w:rPr>
        <w:t xml:space="preserve"> required to maintain a provider network that at a minimum, members have access to all Medically Necessary Behavioral Health Covered Services according to the following standards:</w:t>
      </w:r>
    </w:p>
    <w:p w14:paraId="2AAABD99" w14:textId="77777777" w:rsidR="009450FD" w:rsidRPr="00B113BC" w:rsidRDefault="009450FD" w:rsidP="009450FD">
      <w:pPr>
        <w:ind w:left="547"/>
        <w:contextualSpacing/>
        <w:rPr>
          <w:rFonts w:cs="Calibri"/>
        </w:rPr>
      </w:pPr>
    </w:p>
    <w:p w14:paraId="73387344" w14:textId="77777777" w:rsidR="009450FD" w:rsidRPr="00B113BC" w:rsidRDefault="009450FD" w:rsidP="009729DB">
      <w:pPr>
        <w:numPr>
          <w:ilvl w:val="0"/>
          <w:numId w:val="26"/>
        </w:numPr>
        <w:tabs>
          <w:tab w:val="left" w:pos="900"/>
        </w:tabs>
        <w:ind w:firstLine="0"/>
        <w:contextualSpacing/>
        <w:rPr>
          <w:rFonts w:cs="Calibri"/>
        </w:rPr>
      </w:pPr>
      <w:r w:rsidRPr="00B113BC">
        <w:rPr>
          <w:rFonts w:cs="Calibri"/>
        </w:rPr>
        <w:t>Inpatient Services within 60 miles or 60 minutes travel time from the member’s residence, whichever requires less travel time;</w:t>
      </w:r>
    </w:p>
    <w:p w14:paraId="57AAEBFE" w14:textId="77777777" w:rsidR="009450FD" w:rsidRPr="00B113BC" w:rsidRDefault="009450FD" w:rsidP="009729DB">
      <w:pPr>
        <w:numPr>
          <w:ilvl w:val="0"/>
          <w:numId w:val="26"/>
        </w:numPr>
        <w:tabs>
          <w:tab w:val="left" w:pos="900"/>
        </w:tabs>
        <w:ind w:firstLine="0"/>
        <w:contextualSpacing/>
        <w:rPr>
          <w:rFonts w:cs="Calibri"/>
        </w:rPr>
      </w:pPr>
      <w:r w:rsidRPr="00B113BC">
        <w:rPr>
          <w:rFonts w:cs="Calibri"/>
        </w:rPr>
        <w:t>Emergency Services Program (ESP) services as available based on the ESP Provider list;</w:t>
      </w:r>
    </w:p>
    <w:p w14:paraId="532C4584" w14:textId="77777777" w:rsidR="009450FD" w:rsidRPr="00B113BC" w:rsidRDefault="009450FD" w:rsidP="009729DB">
      <w:pPr>
        <w:numPr>
          <w:ilvl w:val="0"/>
          <w:numId w:val="26"/>
        </w:numPr>
        <w:tabs>
          <w:tab w:val="left" w:pos="900"/>
        </w:tabs>
        <w:ind w:firstLine="0"/>
        <w:contextualSpacing/>
        <w:rPr>
          <w:rFonts w:cs="Calibri"/>
        </w:rPr>
      </w:pPr>
      <w:r w:rsidRPr="00B113BC">
        <w:rPr>
          <w:rFonts w:cs="Calibri"/>
        </w:rPr>
        <w:t>Intensive Care Coordination and Family Support and Training Services provided by community service agencies (CSA)  as available based on the CSA Provider list;</w:t>
      </w:r>
    </w:p>
    <w:p w14:paraId="6473B56A" w14:textId="77777777" w:rsidR="009450FD" w:rsidRPr="00B113BC" w:rsidRDefault="009450FD" w:rsidP="009729DB">
      <w:pPr>
        <w:numPr>
          <w:ilvl w:val="0"/>
          <w:numId w:val="26"/>
        </w:numPr>
        <w:tabs>
          <w:tab w:val="left" w:pos="900"/>
        </w:tabs>
        <w:ind w:firstLine="0"/>
        <w:contextualSpacing/>
        <w:rPr>
          <w:rFonts w:cs="Calibri"/>
        </w:rPr>
      </w:pPr>
      <w:r w:rsidRPr="00B113BC">
        <w:rPr>
          <w:rFonts w:cs="Calibri"/>
        </w:rPr>
        <w:t>Other Intensive Home and Community-Based Services, which require Network Providers to travel to the members’ residence for services are available in all cities and towns in the Commonwealth; and</w:t>
      </w:r>
    </w:p>
    <w:p w14:paraId="460382E4" w14:textId="77777777" w:rsidR="009450FD" w:rsidRPr="00B113BC" w:rsidRDefault="009450FD" w:rsidP="009729DB">
      <w:pPr>
        <w:numPr>
          <w:ilvl w:val="0"/>
          <w:numId w:val="26"/>
        </w:numPr>
        <w:tabs>
          <w:tab w:val="left" w:pos="900"/>
        </w:tabs>
        <w:ind w:firstLine="0"/>
        <w:contextualSpacing/>
        <w:rPr>
          <w:rFonts w:cs="Calibri"/>
        </w:rPr>
      </w:pPr>
      <w:r w:rsidRPr="00B113BC">
        <w:rPr>
          <w:rFonts w:cs="Calibri"/>
        </w:rPr>
        <w:t>All other BH Covered Services within 30 miles or 30 minutes travel time from the Covered Individual’s residence, whichever requires less travel time.</w:t>
      </w:r>
    </w:p>
    <w:p w14:paraId="0FC14770" w14:textId="77777777" w:rsidR="00CC7DCA" w:rsidRDefault="00CC7DCA" w:rsidP="005512D7">
      <w:pPr>
        <w:contextualSpacing/>
        <w:rPr>
          <w:rStyle w:val="IntenseEmphasis"/>
        </w:rPr>
      </w:pPr>
    </w:p>
    <w:p w14:paraId="04DE48AA" w14:textId="77777777" w:rsidR="005512D7" w:rsidRDefault="005512D7" w:rsidP="005512D7">
      <w:pPr>
        <w:contextualSpacing/>
        <w:rPr>
          <w:rStyle w:val="IntenseEmphasis"/>
        </w:rPr>
      </w:pPr>
      <w:r w:rsidRPr="005512D7">
        <w:rPr>
          <w:rStyle w:val="IntenseEmphasis"/>
        </w:rPr>
        <w:t>Unique Covered Services</w:t>
      </w:r>
    </w:p>
    <w:p w14:paraId="5E966557" w14:textId="77777777" w:rsidR="009450FD" w:rsidRPr="005512D7" w:rsidRDefault="005512D7" w:rsidP="004375D9">
      <w:r>
        <w:t>MassHealth adds services to the usual Medicare (for One Care and SCO plans) and</w:t>
      </w:r>
      <w:r w:rsidRPr="005512D7">
        <w:t xml:space="preserve"> Medicai</w:t>
      </w:r>
      <w:r>
        <w:t xml:space="preserve">d </w:t>
      </w:r>
      <w:r w:rsidRPr="005512D7">
        <w:t xml:space="preserve">covered benefits to advance wellness, recovery, self-management of chronic conditions, independent living, and as alternatives to high-cost acute and long-term institutional services. Additional services </w:t>
      </w:r>
      <w:r w:rsidR="00A24C24">
        <w:t xml:space="preserve">in some of the MCE contracts </w:t>
      </w:r>
      <w:r w:rsidRPr="005512D7">
        <w:t>include</w:t>
      </w:r>
      <w:r w:rsidR="00A24C24">
        <w:t>, for example,</w:t>
      </w:r>
      <w:r w:rsidRPr="005512D7">
        <w:t xml:space="preserve"> community crisis stabilization, Community Support Program, acute treatment and clinical support services for substance abuse, psychiatric day treatment, day services, home care,</w:t>
      </w:r>
      <w:r w:rsidR="009E1DAF">
        <w:t xml:space="preserve"> and</w:t>
      </w:r>
      <w:r w:rsidRPr="005512D7">
        <w:t xml:space="preserve"> respite care</w:t>
      </w:r>
      <w:r w:rsidR="009E1DAF">
        <w:t>.</w:t>
      </w:r>
    </w:p>
    <w:p w14:paraId="4ABAB4AA" w14:textId="77777777" w:rsidR="001E50CF" w:rsidRPr="00C1080F" w:rsidRDefault="001E50CF" w:rsidP="00CE5C6A">
      <w:pPr>
        <w:pStyle w:val="Heading3"/>
        <w:rPr>
          <w:rFonts w:asciiTheme="minorHAnsi" w:hAnsiTheme="minorHAnsi"/>
        </w:rPr>
      </w:pPr>
      <w:bookmarkStart w:id="126" w:name="_Toc521939919"/>
      <w:bookmarkStart w:id="127" w:name="_Toc522025656"/>
      <w:bookmarkStart w:id="128" w:name="_Toc523490139"/>
      <w:bookmarkStart w:id="129" w:name="_Toc525294308"/>
      <w:bookmarkStart w:id="130" w:name="_Toc529177902"/>
      <w:r w:rsidRPr="00C1080F">
        <w:rPr>
          <w:rFonts w:asciiTheme="minorHAnsi" w:hAnsiTheme="minorHAnsi"/>
        </w:rPr>
        <w:t>Program-Specific Requirements for Availability</w:t>
      </w:r>
      <w:bookmarkEnd w:id="126"/>
      <w:bookmarkEnd w:id="127"/>
      <w:bookmarkEnd w:id="128"/>
      <w:bookmarkEnd w:id="129"/>
      <w:bookmarkEnd w:id="130"/>
    </w:p>
    <w:p w14:paraId="77B1B379" w14:textId="77777777" w:rsidR="001E50CF" w:rsidRPr="00821C14" w:rsidRDefault="001E50CF" w:rsidP="00D16952">
      <w:pPr>
        <w:pStyle w:val="NormalIndent"/>
        <w:ind w:left="0"/>
        <w:rPr>
          <w:rFonts w:cs="Calibri"/>
          <w:color w:val="000000"/>
        </w:rPr>
      </w:pPr>
      <w:r w:rsidRPr="00821C14">
        <w:rPr>
          <w:rFonts w:cs="Calibri"/>
          <w:color w:val="000000"/>
        </w:rPr>
        <w:t xml:space="preserve">The following </w:t>
      </w:r>
      <w:r w:rsidR="00FE221B" w:rsidRPr="00821C14">
        <w:rPr>
          <w:rFonts w:cs="Calibri"/>
          <w:color w:val="000000"/>
        </w:rPr>
        <w:t xml:space="preserve">describes examples of </w:t>
      </w:r>
      <w:r w:rsidRPr="00821C14">
        <w:rPr>
          <w:rFonts w:cs="Calibri"/>
          <w:color w:val="000000"/>
        </w:rPr>
        <w:t xml:space="preserve">Program-specific activities to monitor access to care and availability of services. </w:t>
      </w:r>
    </w:p>
    <w:p w14:paraId="773F215D" w14:textId="77777777" w:rsidR="00F577A6" w:rsidRPr="00F577A6" w:rsidRDefault="001E50CF" w:rsidP="003A1011">
      <w:pPr>
        <w:pStyle w:val="Heading6"/>
        <w:shd w:val="clear" w:color="auto" w:fill="FFFFFF" w:themeFill="background1"/>
      </w:pPr>
      <w:bookmarkStart w:id="131" w:name="_Toc366501520"/>
      <w:r w:rsidRPr="00BF0556">
        <w:t>MCO</w:t>
      </w:r>
      <w:r w:rsidR="003A1011">
        <w:t>, A</w:t>
      </w:r>
      <w:r w:rsidR="00D0253B">
        <w:rPr>
          <w:rFonts w:cs="Calibri"/>
        </w:rPr>
        <w:t>ccountable Care Partnership Plan</w:t>
      </w:r>
      <w:r w:rsidRPr="00BF0556">
        <w:t xml:space="preserve"> Program</w:t>
      </w:r>
      <w:r w:rsidR="00F577A6">
        <w:t>s</w:t>
      </w:r>
      <w:r w:rsidR="003A1011">
        <w:t>, SCOs, One Care</w:t>
      </w:r>
    </w:p>
    <w:p w14:paraId="4BEFE917" w14:textId="77777777" w:rsidR="00F577A6" w:rsidRPr="00E45FFC" w:rsidRDefault="00F577A6" w:rsidP="003A1011">
      <w:pPr>
        <w:pStyle w:val="NormalIndent"/>
        <w:shd w:val="clear" w:color="auto" w:fill="FFFFFF" w:themeFill="background1"/>
        <w:rPr>
          <w:rFonts w:cs="Calibri"/>
        </w:rPr>
      </w:pPr>
      <w:r w:rsidRPr="00E45FFC">
        <w:rPr>
          <w:rFonts w:cs="Calibri"/>
        </w:rPr>
        <w:t xml:space="preserve">The </w:t>
      </w:r>
      <w:r>
        <w:rPr>
          <w:rFonts w:cs="Calibri"/>
        </w:rPr>
        <w:t>MCO</w:t>
      </w:r>
      <w:r w:rsidR="000D6233">
        <w:rPr>
          <w:rFonts w:cs="Calibri"/>
        </w:rPr>
        <w:t>s</w:t>
      </w:r>
      <w:r w:rsidR="003A1011">
        <w:rPr>
          <w:rFonts w:cs="Calibri"/>
        </w:rPr>
        <w:t xml:space="preserve">, </w:t>
      </w:r>
      <w:r w:rsidR="000D6233">
        <w:rPr>
          <w:rFonts w:cs="Calibri"/>
        </w:rPr>
        <w:t>Accountable Care Partnership Plans</w:t>
      </w:r>
      <w:r w:rsidR="003A1011">
        <w:rPr>
          <w:rFonts w:cs="Calibri"/>
        </w:rPr>
        <w:t>, One Care plans and SCOs</w:t>
      </w:r>
      <w:r w:rsidR="000D6233" w:rsidRPr="00E45FFC">
        <w:rPr>
          <w:rFonts w:cs="Calibri"/>
        </w:rPr>
        <w:t xml:space="preserve"> </w:t>
      </w:r>
      <w:r w:rsidRPr="00E45FFC">
        <w:rPr>
          <w:rFonts w:cs="Calibri"/>
        </w:rPr>
        <w:t xml:space="preserve">ensure through written contracts with providers that enrollees will have </w:t>
      </w:r>
      <w:r>
        <w:rPr>
          <w:rFonts w:cs="Calibri"/>
        </w:rPr>
        <w:t xml:space="preserve">access to </w:t>
      </w:r>
      <w:r w:rsidRPr="00E45FFC">
        <w:rPr>
          <w:rFonts w:cs="Calibri"/>
        </w:rPr>
        <w:t xml:space="preserve">covered services within a reasonable travel distance. Both walking and public transportation are taken into account when determining access and availability. </w:t>
      </w:r>
    </w:p>
    <w:p w14:paraId="4DCDFE62" w14:textId="77777777" w:rsidR="00F577A6" w:rsidRPr="00F577A6" w:rsidRDefault="00F577A6" w:rsidP="00F577A6">
      <w:pPr>
        <w:pStyle w:val="NormalIndent"/>
        <w:rPr>
          <w:rFonts w:cs="Calibri"/>
        </w:rPr>
      </w:pPr>
      <w:r w:rsidRPr="00E45FFC">
        <w:rPr>
          <w:rFonts w:cs="Calibri"/>
        </w:rPr>
        <w:t xml:space="preserve">The network of primary care providers must be sufficient to provide the enrollee with a choice of at least two PCPs who are located within a </w:t>
      </w:r>
      <w:r w:rsidR="000D6233">
        <w:rPr>
          <w:rFonts w:cs="Calibri"/>
        </w:rPr>
        <w:t>15 miles or 30 minutes</w:t>
      </w:r>
      <w:r w:rsidRPr="00E45FFC">
        <w:rPr>
          <w:rFonts w:cs="Calibri"/>
        </w:rPr>
        <w:t xml:space="preserve"> of the enrollee, have qualifications and experience comm</w:t>
      </w:r>
      <w:r w:rsidR="000D6233">
        <w:rPr>
          <w:rFonts w:cs="Calibri"/>
        </w:rPr>
        <w:t>ensurate</w:t>
      </w:r>
      <w:r w:rsidRPr="00E45FFC">
        <w:rPr>
          <w:rFonts w:cs="Calibri"/>
        </w:rPr>
        <w:t xml:space="preserve"> with the health care needs of the enrollee, and have the ability to communicate with enrollees in a culturally and linguistically appropriate</w:t>
      </w:r>
      <w:r>
        <w:rPr>
          <w:rFonts w:cs="Calibri"/>
        </w:rPr>
        <w:t xml:space="preserve"> manner. </w:t>
      </w:r>
    </w:p>
    <w:p w14:paraId="72A4C612" w14:textId="77777777" w:rsidR="001E50CF" w:rsidRPr="00507700" w:rsidRDefault="001E50CF" w:rsidP="00BF0556">
      <w:pPr>
        <w:pStyle w:val="Heading6"/>
      </w:pPr>
      <w:bookmarkStart w:id="132" w:name="_Toc366501519"/>
      <w:bookmarkStart w:id="133" w:name="_Toc366501522"/>
      <w:bookmarkEnd w:id="131"/>
      <w:r w:rsidRPr="00507700">
        <w:t>PCC Plan</w:t>
      </w:r>
    </w:p>
    <w:p w14:paraId="364FA3E4" w14:textId="77777777" w:rsidR="002C7765" w:rsidRPr="00B27F1E" w:rsidRDefault="002C7765" w:rsidP="00BF0556">
      <w:pPr>
        <w:pStyle w:val="Heading2"/>
        <w:numPr>
          <w:ilvl w:val="0"/>
          <w:numId w:val="0"/>
        </w:numPr>
        <w:ind w:left="540"/>
        <w:rPr>
          <w:rStyle w:val="IntenseEmphasis"/>
          <w:b/>
          <w:sz w:val="22"/>
        </w:rPr>
      </w:pPr>
      <w:bookmarkStart w:id="134" w:name="_Toc521939920"/>
      <w:bookmarkStart w:id="135" w:name="_Toc522025657"/>
      <w:bookmarkStart w:id="136" w:name="_Toc523490140"/>
      <w:bookmarkStart w:id="137" w:name="_Toc525294309"/>
      <w:bookmarkStart w:id="138" w:name="_Toc529177903"/>
      <w:r w:rsidRPr="00B27F1E">
        <w:rPr>
          <w:rStyle w:val="IntenseEmphasis"/>
          <w:b/>
          <w:sz w:val="22"/>
        </w:rPr>
        <w:lastRenderedPageBreak/>
        <w:t>Provider Contracts</w:t>
      </w:r>
      <w:bookmarkEnd w:id="134"/>
      <w:bookmarkEnd w:id="135"/>
      <w:bookmarkEnd w:id="136"/>
      <w:bookmarkEnd w:id="137"/>
      <w:bookmarkEnd w:id="138"/>
    </w:p>
    <w:p w14:paraId="284F2557" w14:textId="77777777" w:rsidR="002C7765" w:rsidRPr="00821C14" w:rsidRDefault="002C7765" w:rsidP="00C97F25">
      <w:pPr>
        <w:ind w:left="540"/>
        <w:rPr>
          <w:rFonts w:cs="Calibri"/>
        </w:rPr>
      </w:pPr>
      <w:r w:rsidRPr="00821C14">
        <w:rPr>
          <w:rFonts w:cs="Calibri"/>
        </w:rPr>
        <w:t>MassHealth primary care providers</w:t>
      </w:r>
      <w:r w:rsidR="00C97F25">
        <w:rPr>
          <w:rFonts w:cs="Calibri"/>
        </w:rPr>
        <w:t xml:space="preserve"> se</w:t>
      </w:r>
      <w:r w:rsidR="0001468A">
        <w:rPr>
          <w:rFonts w:cs="Calibri"/>
        </w:rPr>
        <w:t>eking to participate in the PCC</w:t>
      </w:r>
      <w:r w:rsidR="00C97F25">
        <w:rPr>
          <w:rFonts w:cs="Calibri"/>
        </w:rPr>
        <w:t xml:space="preserve"> Plan must</w:t>
      </w:r>
      <w:r w:rsidRPr="00821C14">
        <w:rPr>
          <w:rFonts w:cs="Calibri"/>
        </w:rPr>
        <w:t xml:space="preserve"> enroll as participating providers in the PCC Plan prior to any assignment of Members to their service locations (SL). During the provider’s enrollment process</w:t>
      </w:r>
      <w:r w:rsidR="00D7351F">
        <w:rPr>
          <w:rFonts w:cs="Calibri"/>
        </w:rPr>
        <w:t>,</w:t>
      </w:r>
      <w:r w:rsidRPr="00821C14">
        <w:rPr>
          <w:rFonts w:cs="Calibri"/>
        </w:rPr>
        <w:t xml:space="preserve"> the PCC signs a contract to accept any Member assigned to the PCC’s panel unless the PCC is not medically qualified to provide care for that member. This contractually assures that there is no discrimination on the basis of race, color, national origin, age, physical or mental disability, marital status, sexual orientation, health care status, or need for health care services.  Further, the PCC’s contract includes standards for appointment timelines and coordination and tracking of referrals as well as requirements for the development and implementation of written action plans around specific quality improvement activities.</w:t>
      </w:r>
      <w:r w:rsidR="00C97F25" w:rsidRPr="00C97F25">
        <w:rPr>
          <w:rFonts w:cs="Calibri"/>
        </w:rPr>
        <w:t xml:space="preserve"> </w:t>
      </w:r>
      <w:r w:rsidR="00C97F25" w:rsidRPr="00821C14">
        <w:rPr>
          <w:rFonts w:cs="Calibri"/>
        </w:rPr>
        <w:t>The responsibilities of the contractor for PCC Plan Management Support Services</w:t>
      </w:r>
      <w:r w:rsidR="00C97F25">
        <w:rPr>
          <w:rFonts w:cs="Calibri"/>
        </w:rPr>
        <w:t xml:space="preserve"> (currently </w:t>
      </w:r>
      <w:r w:rsidR="00A24C24">
        <w:rPr>
          <w:rFonts w:cs="Calibri"/>
        </w:rPr>
        <w:t>the BH Plan</w:t>
      </w:r>
      <w:r w:rsidR="00C97F25">
        <w:rPr>
          <w:rFonts w:cs="Calibri"/>
        </w:rPr>
        <w:t>)</w:t>
      </w:r>
      <w:r w:rsidR="00C97F25" w:rsidRPr="00821C14">
        <w:rPr>
          <w:rFonts w:cs="Calibri"/>
        </w:rPr>
        <w:t xml:space="preserve"> include a</w:t>
      </w:r>
      <w:r w:rsidR="00C97F25">
        <w:rPr>
          <w:rFonts w:cs="Calibri"/>
        </w:rPr>
        <w:t xml:space="preserve"> bia</w:t>
      </w:r>
      <w:r w:rsidR="00C97F25" w:rsidRPr="00821C14">
        <w:rPr>
          <w:rFonts w:cs="Calibri"/>
        </w:rPr>
        <w:t>nnual review of PCCs’ compliance with the PCC Plan contract</w:t>
      </w:r>
      <w:r w:rsidR="00C97F25">
        <w:rPr>
          <w:rFonts w:cs="Calibri"/>
        </w:rPr>
        <w:t xml:space="preserve"> and implementing and reviewing a plan for correcting any deficiencies found</w:t>
      </w:r>
      <w:r w:rsidR="00C97F25" w:rsidRPr="00821C14">
        <w:rPr>
          <w:rFonts w:cs="Calibri"/>
        </w:rPr>
        <w:t>.</w:t>
      </w:r>
    </w:p>
    <w:p w14:paraId="7F584754" w14:textId="77777777" w:rsidR="002C7765" w:rsidRPr="009F1337" w:rsidRDefault="002C7765" w:rsidP="002C7765">
      <w:pPr>
        <w:keepNext/>
        <w:keepLines/>
        <w:spacing w:before="200" w:after="0"/>
        <w:ind w:left="540"/>
        <w:outlineLvl w:val="4"/>
        <w:rPr>
          <w:rStyle w:val="IntenseEmphasis"/>
        </w:rPr>
      </w:pPr>
      <w:r w:rsidRPr="009F1337">
        <w:rPr>
          <w:rStyle w:val="IntenseEmphasis"/>
        </w:rPr>
        <w:t>Primary Care Network Report</w:t>
      </w:r>
    </w:p>
    <w:p w14:paraId="78B561B7" w14:textId="77777777" w:rsidR="002C7765" w:rsidRDefault="002C7765" w:rsidP="002C7765">
      <w:pPr>
        <w:ind w:left="540"/>
        <w:rPr>
          <w:rFonts w:cs="Calibri"/>
        </w:rPr>
      </w:pPr>
      <w:r w:rsidRPr="00821C14">
        <w:rPr>
          <w:rFonts w:cs="Calibri"/>
        </w:rPr>
        <w:t>The PCC Plan monitors its primary</w:t>
      </w:r>
      <w:r w:rsidR="00EC3C4F">
        <w:rPr>
          <w:rFonts w:cs="Calibri"/>
        </w:rPr>
        <w:t xml:space="preserve"> care provider network through </w:t>
      </w:r>
      <w:r w:rsidRPr="00821C14">
        <w:rPr>
          <w:rFonts w:cs="Calibri"/>
        </w:rPr>
        <w:t xml:space="preserve">monthly reports.  </w:t>
      </w:r>
      <w:r w:rsidR="00EC3C4F">
        <w:rPr>
          <w:rFonts w:cs="Calibri"/>
        </w:rPr>
        <w:t xml:space="preserve">The </w:t>
      </w:r>
      <w:r w:rsidRPr="00821C14">
        <w:rPr>
          <w:rFonts w:cs="Calibri"/>
        </w:rPr>
        <w:t>report</w:t>
      </w:r>
      <w:r w:rsidR="00EC3C4F">
        <w:rPr>
          <w:rFonts w:cs="Calibri"/>
        </w:rPr>
        <w:t>s give</w:t>
      </w:r>
      <w:r w:rsidRPr="00821C14">
        <w:rPr>
          <w:rFonts w:cs="Calibri"/>
        </w:rPr>
        <w:t xml:space="preserve"> a snapshot of MassHealth enrollment by PCC S</w:t>
      </w:r>
      <w:r w:rsidR="005B4D33">
        <w:rPr>
          <w:rFonts w:cs="Calibri"/>
        </w:rPr>
        <w:t xml:space="preserve">ervice </w:t>
      </w:r>
      <w:r w:rsidR="007D7F74" w:rsidRPr="00821C14">
        <w:rPr>
          <w:rFonts w:cs="Calibri"/>
        </w:rPr>
        <w:t>L</w:t>
      </w:r>
      <w:r w:rsidR="007D7F74">
        <w:rPr>
          <w:rFonts w:cs="Calibri"/>
        </w:rPr>
        <w:t xml:space="preserve">ocation (SL) </w:t>
      </w:r>
      <w:r w:rsidRPr="00821C14">
        <w:rPr>
          <w:rFonts w:cs="Calibri"/>
        </w:rPr>
        <w:t>and whether the SL is open to new enrollees. The second report is the PCC Changes Report which includes new SLs and increases or decreases in the number of members enrolled at any SL.</w:t>
      </w:r>
    </w:p>
    <w:bookmarkEnd w:id="132"/>
    <w:bookmarkEnd w:id="133"/>
    <w:p w14:paraId="6172A197" w14:textId="77777777" w:rsidR="00AB38CD" w:rsidRPr="00AB38CD" w:rsidRDefault="00C80213" w:rsidP="00AB38CD">
      <w:pPr>
        <w:pStyle w:val="Heading6"/>
      </w:pPr>
      <w:r w:rsidRPr="00507700">
        <w:t>SCO Program</w:t>
      </w:r>
    </w:p>
    <w:p w14:paraId="05ADFE4B" w14:textId="77777777" w:rsidR="00C80213" w:rsidRPr="007831F1" w:rsidRDefault="00C80213" w:rsidP="00AB38CD">
      <w:pPr>
        <w:pStyle w:val="NormalIndent"/>
        <w:spacing w:after="120"/>
        <w:ind w:left="0" w:firstLine="720"/>
        <w:contextualSpacing/>
        <w:rPr>
          <w:rStyle w:val="IntenseEmphasis"/>
        </w:rPr>
      </w:pPr>
      <w:r w:rsidRPr="007831F1">
        <w:rPr>
          <w:rStyle w:val="IntenseEmphasis"/>
        </w:rPr>
        <w:t>Access to Home- and Community-Based Services</w:t>
      </w:r>
    </w:p>
    <w:p w14:paraId="7F012DF4" w14:textId="77777777" w:rsidR="00C80213" w:rsidRPr="00E45FFC" w:rsidRDefault="00C80213" w:rsidP="00C80213">
      <w:pPr>
        <w:pStyle w:val="NormalIndent"/>
        <w:contextualSpacing/>
        <w:rPr>
          <w:rFonts w:cs="Calibri"/>
          <w:color w:val="244061"/>
        </w:rPr>
      </w:pPr>
      <w:r w:rsidRPr="00E45FFC">
        <w:rPr>
          <w:rFonts w:cs="Calibri"/>
        </w:rPr>
        <w:t>The SCO program ensures that providers demonstrate the capacity to deliver or arrange for the services in the home of the enrollees</w:t>
      </w:r>
      <w:r w:rsidR="007362A2">
        <w:rPr>
          <w:rFonts w:cs="Calibri"/>
        </w:rPr>
        <w:t xml:space="preserve">. </w:t>
      </w:r>
      <w:r w:rsidRPr="00E45FFC">
        <w:rPr>
          <w:rFonts w:cs="Calibri"/>
        </w:rPr>
        <w:t>This obligation applies to both scheduled and unscheduled visits.   Service sites must include, but not</w:t>
      </w:r>
      <w:r w:rsidR="00865471">
        <w:rPr>
          <w:rFonts w:cs="Calibri"/>
        </w:rPr>
        <w:t xml:space="preserve"> be</w:t>
      </w:r>
      <w:r w:rsidRPr="00E45FFC">
        <w:rPr>
          <w:rFonts w:cs="Calibri"/>
        </w:rPr>
        <w:t xml:space="preserve"> limited to, a membe</w:t>
      </w:r>
      <w:r w:rsidR="00E45FFC" w:rsidRPr="00E45FFC">
        <w:rPr>
          <w:rFonts w:cs="Calibri"/>
        </w:rPr>
        <w:t>r</w:t>
      </w:r>
      <w:r w:rsidRPr="00E45FFC">
        <w:rPr>
          <w:rFonts w:cs="Calibri"/>
        </w:rPr>
        <w:t>’s private residence, a nursing or assisted-living facility</w:t>
      </w:r>
      <w:r w:rsidR="00DB3A43">
        <w:rPr>
          <w:rFonts w:cs="Calibri"/>
        </w:rPr>
        <w:t>.</w:t>
      </w:r>
    </w:p>
    <w:p w14:paraId="6B4CD802" w14:textId="77777777" w:rsidR="001E50CF" w:rsidRPr="00821C14" w:rsidRDefault="001E50CF" w:rsidP="007513C1">
      <w:pPr>
        <w:pStyle w:val="Heading3"/>
        <w:rPr>
          <w:rFonts w:ascii="Calibri" w:hAnsi="Calibri" w:cs="Calibri"/>
        </w:rPr>
      </w:pPr>
      <w:bookmarkStart w:id="139" w:name="_Toc366501524"/>
      <w:bookmarkStart w:id="140" w:name="_Toc521939922"/>
      <w:bookmarkStart w:id="141" w:name="_Toc522025659"/>
      <w:bookmarkStart w:id="142" w:name="_Toc523490142"/>
      <w:bookmarkStart w:id="143" w:name="_Toc525294310"/>
      <w:bookmarkStart w:id="144" w:name="_Toc529177904"/>
      <w:r w:rsidRPr="00821C14">
        <w:rPr>
          <w:rFonts w:ascii="Calibri" w:hAnsi="Calibri" w:cs="Calibri"/>
        </w:rPr>
        <w:t>Coordination and Continuity of Care</w:t>
      </w:r>
      <w:bookmarkEnd w:id="139"/>
      <w:bookmarkEnd w:id="140"/>
      <w:bookmarkEnd w:id="141"/>
      <w:bookmarkEnd w:id="142"/>
      <w:bookmarkEnd w:id="143"/>
      <w:bookmarkEnd w:id="144"/>
    </w:p>
    <w:p w14:paraId="7E07B3FE" w14:textId="77777777" w:rsidR="001E50CF" w:rsidRPr="00821C14" w:rsidRDefault="001E50CF" w:rsidP="00D16952">
      <w:pPr>
        <w:rPr>
          <w:rFonts w:cs="Calibri"/>
          <w:color w:val="000000"/>
        </w:rPr>
      </w:pPr>
      <w:r w:rsidRPr="00821C14">
        <w:rPr>
          <w:rFonts w:cs="Calibri"/>
          <w:color w:val="000000"/>
        </w:rPr>
        <w:t xml:space="preserve">MassHealth </w:t>
      </w:r>
      <w:r w:rsidR="00444B20">
        <w:rPr>
          <w:rFonts w:cs="Calibri"/>
          <w:color w:val="000000"/>
        </w:rPr>
        <w:t>plan</w:t>
      </w:r>
      <w:r w:rsidRPr="00821C14">
        <w:rPr>
          <w:rFonts w:cs="Calibri"/>
          <w:color w:val="000000"/>
        </w:rPr>
        <w:t xml:space="preserve">s must </w:t>
      </w:r>
      <w:r w:rsidR="00A91797">
        <w:rPr>
          <w:rFonts w:cs="Calibri"/>
          <w:color w:val="000000"/>
        </w:rPr>
        <w:t xml:space="preserve">support coordinated care by </w:t>
      </w:r>
      <w:r w:rsidRPr="00821C14">
        <w:rPr>
          <w:rFonts w:cs="Calibri"/>
          <w:color w:val="000000"/>
        </w:rPr>
        <w:t>ensur</w:t>
      </w:r>
      <w:r w:rsidR="00A91797">
        <w:rPr>
          <w:rFonts w:cs="Calibri"/>
          <w:color w:val="000000"/>
        </w:rPr>
        <w:t>ing</w:t>
      </w:r>
      <w:r w:rsidRPr="00821C14">
        <w:rPr>
          <w:rFonts w:cs="Calibri"/>
          <w:color w:val="000000"/>
        </w:rPr>
        <w:t xml:space="preserve"> that each enrollee has an ongoing source of primary care appropriate to his or her needs and a person or entity formally designated as primarily responsible for coordinating the health care delivered to the enrollee. Timely and coordinated access to all medically necessary services, including </w:t>
      </w:r>
      <w:r w:rsidR="004E5D36">
        <w:rPr>
          <w:rFonts w:cs="Calibri"/>
          <w:color w:val="000000"/>
        </w:rPr>
        <w:t>BH</w:t>
      </w:r>
      <w:r w:rsidRPr="00821C14">
        <w:rPr>
          <w:rFonts w:cs="Calibri"/>
          <w:color w:val="000000"/>
        </w:rPr>
        <w:t xml:space="preserve"> and specialty services is provided to all enrollees. Plans are required to provide linkages with staff in other agencies and/or community service organizations if the agency/organization is already involved in meeting the enrollee’s needs, or if the agency/organization is identified as helpful in meeting such needs. </w:t>
      </w:r>
    </w:p>
    <w:p w14:paraId="08910D70" w14:textId="77777777" w:rsidR="001E50CF" w:rsidRPr="00821C14" w:rsidRDefault="002B3D3B" w:rsidP="00D16952">
      <w:pPr>
        <w:rPr>
          <w:rFonts w:cs="Calibri"/>
          <w:color w:val="000000"/>
        </w:rPr>
      </w:pPr>
      <w:r w:rsidRPr="00821C14">
        <w:rPr>
          <w:rFonts w:cs="Calibri"/>
          <w:color w:val="000000"/>
        </w:rPr>
        <w:t xml:space="preserve">MassHealth requires that </w:t>
      </w:r>
      <w:r>
        <w:rPr>
          <w:rFonts w:cs="Calibri"/>
          <w:color w:val="000000"/>
        </w:rPr>
        <w:t>plan</w:t>
      </w:r>
      <w:r w:rsidRPr="00821C14">
        <w:rPr>
          <w:rFonts w:cs="Calibri"/>
          <w:color w:val="000000"/>
        </w:rPr>
        <w:t>s exercise best efforts to provide coordinated covered and non-covered services in settings such as adult and family shelters, especially for enrollees who are homeless, at an enrollee’s home, when office visits are unsafe or inappropriate for an enrollee’s health status, at the Enrollee’s place of employment or school and other residential placements especially for children in the custody of the Commonwealth. Children and youth under 22 years of age who are in the care or custody of the Massachusetts Department of Children and Families and meet certain medical necessity criteria due to severe traumatic injury or birth defects are enrolled in a special complex care management program aimed at providing complex multi-disciplinary care in community-based foster home settings.</w:t>
      </w:r>
      <w:r w:rsidR="003A1011">
        <w:rPr>
          <w:rFonts w:cs="Calibri"/>
          <w:color w:val="000000"/>
        </w:rPr>
        <w:t xml:space="preserve">   </w:t>
      </w:r>
    </w:p>
    <w:p w14:paraId="3FBD4666" w14:textId="77777777" w:rsidR="001E50CF" w:rsidRPr="00821C14" w:rsidRDefault="001E50CF" w:rsidP="00D16952">
      <w:pPr>
        <w:rPr>
          <w:rFonts w:cs="Calibri"/>
          <w:color w:val="000000"/>
        </w:rPr>
      </w:pPr>
      <w:r w:rsidRPr="00821C14">
        <w:rPr>
          <w:rFonts w:cs="Calibri"/>
          <w:color w:val="000000"/>
        </w:rPr>
        <w:t xml:space="preserve">Contracted </w:t>
      </w:r>
      <w:r w:rsidR="00444B20">
        <w:rPr>
          <w:rFonts w:cs="Calibri"/>
          <w:color w:val="000000"/>
        </w:rPr>
        <w:t>plan</w:t>
      </w:r>
      <w:r w:rsidRPr="00821C14">
        <w:rPr>
          <w:rFonts w:cs="Calibri"/>
          <w:color w:val="000000"/>
        </w:rPr>
        <w:t xml:space="preserve">s ensure that a care management approach is coordinated with a dedicated group of clinicians and other professionals including the enrollee, the enrollee’s guardian, representative and/or family member(s) as appropriate; the enrollee’s Primary Care Physician (PCP); as appropriate; providers </w:t>
      </w:r>
      <w:r w:rsidRPr="00821C14">
        <w:rPr>
          <w:rFonts w:cs="Calibri"/>
          <w:color w:val="000000"/>
        </w:rPr>
        <w:lastRenderedPageBreak/>
        <w:t>from relevant specialties, sub-specialties, and other ancillary health care services</w:t>
      </w:r>
      <w:r w:rsidR="00B474B6" w:rsidRPr="00821C14">
        <w:rPr>
          <w:rFonts w:cs="Calibri"/>
          <w:color w:val="000000"/>
        </w:rPr>
        <w:t xml:space="preserve"> (e.g., </w:t>
      </w:r>
      <w:r w:rsidRPr="00821C14">
        <w:rPr>
          <w:rFonts w:cs="Calibri"/>
          <w:color w:val="000000"/>
        </w:rPr>
        <w:t>mental health and substance abuse, nutrition, and rehabilitation, as appropriate</w:t>
      </w:r>
      <w:r w:rsidR="00B474B6" w:rsidRPr="00821C14">
        <w:rPr>
          <w:rFonts w:cs="Calibri"/>
          <w:color w:val="000000"/>
        </w:rPr>
        <w:t>)</w:t>
      </w:r>
      <w:r w:rsidRPr="00821C14">
        <w:rPr>
          <w:rFonts w:cs="Calibri"/>
          <w:color w:val="000000"/>
        </w:rPr>
        <w:t xml:space="preserve">; and </w:t>
      </w:r>
      <w:r w:rsidR="00B474B6" w:rsidRPr="00821C14">
        <w:rPr>
          <w:rFonts w:cs="Calibri"/>
          <w:color w:val="000000"/>
        </w:rPr>
        <w:t xml:space="preserve">a Care Management Coordinator and </w:t>
      </w:r>
      <w:r w:rsidRPr="00821C14">
        <w:rPr>
          <w:rFonts w:cs="Calibri"/>
          <w:color w:val="000000"/>
        </w:rPr>
        <w:t xml:space="preserve">one or more Care Management individuals representing the </w:t>
      </w:r>
      <w:r w:rsidR="00444B20">
        <w:rPr>
          <w:rFonts w:cs="Calibri"/>
          <w:color w:val="000000"/>
        </w:rPr>
        <w:t>plan</w:t>
      </w:r>
      <w:r w:rsidRPr="00821C14">
        <w:rPr>
          <w:rFonts w:cs="Calibri"/>
          <w:color w:val="000000"/>
        </w:rPr>
        <w:t xml:space="preserve">, or Subcontractor.  </w:t>
      </w:r>
    </w:p>
    <w:p w14:paraId="5B42802F" w14:textId="77777777" w:rsidR="00CC7DCA" w:rsidRPr="00CC7DCA" w:rsidRDefault="00A85C6B" w:rsidP="00CC7DCA">
      <w:r>
        <w:t>MassHealth requires that contracted plans also provide appropriate continuity</w:t>
      </w:r>
      <w:r w:rsidR="002B3D3B">
        <w:t xml:space="preserve"> of care</w:t>
      </w:r>
      <w:r>
        <w:t xml:space="preserve"> for new members that enroll from another MassHealth MCE. These policies and procedures must aim to minimize disruption of care and ensure uninterrupted access to Medically Necessary Services. </w:t>
      </w:r>
      <w:r w:rsidR="00A91797">
        <w:t xml:space="preserve">Detailed continuity of care requirements are </w:t>
      </w:r>
      <w:r w:rsidR="002B3D3B">
        <w:t>included</w:t>
      </w:r>
      <w:r w:rsidR="00A91797">
        <w:t xml:space="preserve"> in </w:t>
      </w:r>
      <w:r w:rsidR="002B3D3B">
        <w:t xml:space="preserve">all </w:t>
      </w:r>
      <w:r w:rsidR="00A91797">
        <w:t>MCE contracts.</w:t>
      </w:r>
    </w:p>
    <w:p w14:paraId="213C6FB5" w14:textId="77777777" w:rsidR="001E50CF" w:rsidRPr="00C1080F" w:rsidRDefault="001E50CF" w:rsidP="002B3D3B">
      <w:pPr>
        <w:pStyle w:val="Heading3"/>
        <w:rPr>
          <w:rFonts w:asciiTheme="minorHAnsi" w:hAnsiTheme="minorHAnsi"/>
        </w:rPr>
      </w:pPr>
      <w:bookmarkStart w:id="145" w:name="_Toc521939923"/>
      <w:bookmarkStart w:id="146" w:name="_Toc522025660"/>
      <w:bookmarkStart w:id="147" w:name="_Toc523490143"/>
      <w:bookmarkStart w:id="148" w:name="_Toc525294311"/>
      <w:bookmarkStart w:id="149" w:name="_Toc529177905"/>
      <w:r w:rsidRPr="00C1080F">
        <w:rPr>
          <w:rFonts w:asciiTheme="minorHAnsi" w:hAnsiTheme="minorHAnsi"/>
        </w:rPr>
        <w:t>Program-Specific Requirements for Care Coordination</w:t>
      </w:r>
      <w:bookmarkEnd w:id="145"/>
      <w:bookmarkEnd w:id="146"/>
      <w:bookmarkEnd w:id="147"/>
      <w:bookmarkEnd w:id="148"/>
      <w:bookmarkEnd w:id="149"/>
    </w:p>
    <w:p w14:paraId="2696240F" w14:textId="77777777" w:rsidR="003617FB" w:rsidRPr="00821C14" w:rsidRDefault="003617FB" w:rsidP="003617FB">
      <w:pPr>
        <w:rPr>
          <w:rFonts w:cs="Calibri"/>
          <w:color w:val="000000"/>
        </w:rPr>
      </w:pPr>
      <w:r w:rsidRPr="00821C14">
        <w:rPr>
          <w:rFonts w:cs="Calibri"/>
          <w:color w:val="000000"/>
        </w:rPr>
        <w:t xml:space="preserve">Plans must maintain care management programs for any enrollee (adults and children) who needs assistance in coordinating physical and </w:t>
      </w:r>
      <w:r w:rsidR="004E5D36">
        <w:rPr>
          <w:rFonts w:cs="Calibri"/>
          <w:color w:val="000000"/>
        </w:rPr>
        <w:t>BH</w:t>
      </w:r>
      <w:r w:rsidRPr="00821C14">
        <w:rPr>
          <w:rFonts w:cs="Calibri"/>
          <w:color w:val="000000"/>
        </w:rPr>
        <w:t xml:space="preserve"> services and benefits to maintain optimal levels of health.   </w:t>
      </w:r>
    </w:p>
    <w:p w14:paraId="68F21ADB" w14:textId="77777777" w:rsidR="00E45FFC" w:rsidRPr="007831F1" w:rsidRDefault="001E50CF" w:rsidP="007831F1">
      <w:pPr>
        <w:rPr>
          <w:rFonts w:cs="Calibri"/>
          <w:color w:val="000000"/>
        </w:rPr>
      </w:pPr>
      <w:r w:rsidRPr="00821C14">
        <w:rPr>
          <w:rFonts w:cs="Calibri"/>
          <w:color w:val="000000"/>
        </w:rPr>
        <w:t>Some of the programs have additional program-specific requirements for care coordination</w:t>
      </w:r>
      <w:r w:rsidR="00FE221B" w:rsidRPr="00821C14">
        <w:rPr>
          <w:rFonts w:cs="Calibri"/>
          <w:color w:val="000000"/>
        </w:rPr>
        <w:t xml:space="preserve">. The following are example activities by </w:t>
      </w:r>
      <w:r w:rsidR="00296C96" w:rsidRPr="00821C14">
        <w:rPr>
          <w:rFonts w:cs="Calibri"/>
          <w:color w:val="000000"/>
        </w:rPr>
        <w:t>MassHealth</w:t>
      </w:r>
      <w:r w:rsidR="00FE221B" w:rsidRPr="00821C14">
        <w:rPr>
          <w:rFonts w:cs="Calibri"/>
          <w:color w:val="000000"/>
        </w:rPr>
        <w:t xml:space="preserve"> MCEs</w:t>
      </w:r>
      <w:r w:rsidR="00BF5D83">
        <w:rPr>
          <w:rFonts w:cs="Calibri"/>
          <w:color w:val="000000"/>
        </w:rPr>
        <w:t>, but do not represent the totality of requirements</w:t>
      </w:r>
      <w:bookmarkStart w:id="150" w:name="_Toc366501527"/>
    </w:p>
    <w:p w14:paraId="2AFD215F" w14:textId="77777777" w:rsidR="007831F1" w:rsidRPr="00CE5C6A" w:rsidRDefault="00E45FFC" w:rsidP="009729DB">
      <w:pPr>
        <w:pStyle w:val="Heading6"/>
        <w:numPr>
          <w:ilvl w:val="0"/>
          <w:numId w:val="44"/>
        </w:numPr>
        <w:rPr>
          <w:rStyle w:val="IntenseEmphasis"/>
          <w:rFonts w:ascii="Calibri" w:hAnsi="Calibri"/>
          <w:b/>
          <w:bCs/>
          <w:i w:val="0"/>
          <w:iCs w:val="0"/>
          <w:color w:val="auto"/>
        </w:rPr>
      </w:pPr>
      <w:r w:rsidRPr="00E45FFC">
        <w:t xml:space="preserve">ACO </w:t>
      </w:r>
      <w:r w:rsidR="00D86392">
        <w:t xml:space="preserve">and MCO </w:t>
      </w:r>
      <w:r w:rsidRPr="00E45FFC">
        <w:t>Program</w:t>
      </w:r>
      <w:r w:rsidR="00D86392">
        <w:t>s</w:t>
      </w:r>
      <w:r w:rsidRPr="00E45FFC">
        <w:t xml:space="preserve"> </w:t>
      </w:r>
    </w:p>
    <w:p w14:paraId="4BF5FCDF" w14:textId="77777777" w:rsidR="003B2B56" w:rsidRDefault="00E45FFC" w:rsidP="003B2B56">
      <w:pPr>
        <w:pStyle w:val="NormalIndent"/>
        <w:ind w:left="0" w:firstLine="720"/>
        <w:contextualSpacing/>
        <w:rPr>
          <w:rStyle w:val="IntenseEmphasis"/>
        </w:rPr>
      </w:pPr>
      <w:r w:rsidRPr="007831F1">
        <w:rPr>
          <w:rStyle w:val="IntenseEmphasis"/>
        </w:rPr>
        <w:t>Initial Care Needs Screening</w:t>
      </w:r>
    </w:p>
    <w:p w14:paraId="36F2DC2A" w14:textId="77777777" w:rsidR="00AB38CD" w:rsidRPr="003B2B56" w:rsidRDefault="0074414D" w:rsidP="003B2B56">
      <w:pPr>
        <w:pStyle w:val="NormalIndent"/>
        <w:contextualSpacing/>
        <w:rPr>
          <w:rFonts w:asciiTheme="minorHAnsi" w:hAnsiTheme="minorHAnsi"/>
          <w:b/>
          <w:bCs/>
          <w:i/>
          <w:iCs/>
          <w:color w:val="4F81BD"/>
        </w:rPr>
      </w:pPr>
      <w:r>
        <w:rPr>
          <w:rFonts w:cs="Calibri"/>
        </w:rPr>
        <w:t>Like the other MCEs, t</w:t>
      </w:r>
      <w:r w:rsidRPr="0084354B">
        <w:rPr>
          <w:rFonts w:cs="Calibri"/>
        </w:rPr>
        <w:t xml:space="preserve">he </w:t>
      </w:r>
      <w:r>
        <w:rPr>
          <w:rFonts w:cs="Calibri"/>
        </w:rPr>
        <w:t xml:space="preserve">MCO and </w:t>
      </w:r>
      <w:r w:rsidR="00E45FFC" w:rsidRPr="0084354B">
        <w:rPr>
          <w:rFonts w:cs="Calibri"/>
        </w:rPr>
        <w:t xml:space="preserve">ACO Program must ensure that the health and functional needs of member are identified. They must </w:t>
      </w:r>
      <w:r w:rsidR="00E45FFC" w:rsidRPr="0084354B">
        <w:t xml:space="preserve">develop, implement, and maintain procedures for completing, an initial Care Needs </w:t>
      </w:r>
      <w:proofErr w:type="gramStart"/>
      <w:r w:rsidR="00E45FFC" w:rsidRPr="0084354B">
        <w:t>Screening</w:t>
      </w:r>
      <w:proofErr w:type="gramEnd"/>
      <w:r w:rsidR="00E45FFC" w:rsidRPr="0084354B">
        <w:t xml:space="preserve"> for each Enrollee, and complete the screening within 90 days of the Enrollee’s Effective Date of Enrollment.</w:t>
      </w:r>
    </w:p>
    <w:p w14:paraId="1DF51957" w14:textId="77777777" w:rsidR="00B113BC" w:rsidRPr="00AB38CD" w:rsidRDefault="00E45FFC" w:rsidP="00AB38CD">
      <w:pPr>
        <w:ind w:left="720"/>
        <w:rPr>
          <w:b/>
        </w:rPr>
      </w:pPr>
      <w:r w:rsidRPr="007831F1">
        <w:t xml:space="preserve">In addition to other requirements, the survey instrument </w:t>
      </w:r>
      <w:r w:rsidR="0074414D">
        <w:t xml:space="preserve">used by MCOs and ACOs to conduct the Initial Care Needs Screening </w:t>
      </w:r>
      <w:r w:rsidRPr="007831F1">
        <w:t xml:space="preserve">must include questions on member demographics, health history, including chronic illness, current treatment and self-perceived health status. It must also include questions to identify members with special health care needs, need for culturally and linguistically appropriate services, medical and diagnostic equipment, health concerns/goals, and care needs experienced by children, including evaluating characteristics of the Enrollees’ families and homes. Furthermore, </w:t>
      </w:r>
      <w:r w:rsidR="0074414D">
        <w:t xml:space="preserve">like the other MCEs, </w:t>
      </w:r>
      <w:r w:rsidRPr="007831F1">
        <w:t>the</w:t>
      </w:r>
      <w:r w:rsidR="0074414D">
        <w:t xml:space="preserve"> MCO and</w:t>
      </w:r>
      <w:r w:rsidRPr="007831F1">
        <w:t xml:space="preserve"> ACO program also evaluates member needs for behavioral-health-related services, as well as any LTSS-related services. These evaluations must include an assessment of members’ current use of such services, as well as any unmet needs </w:t>
      </w:r>
    </w:p>
    <w:p w14:paraId="5ED9EF87" w14:textId="77777777" w:rsidR="007831F1" w:rsidRDefault="007831F1" w:rsidP="007831F1">
      <w:pPr>
        <w:ind w:left="720"/>
        <w:contextualSpacing/>
        <w:rPr>
          <w:rStyle w:val="IntenseEmphasis"/>
        </w:rPr>
      </w:pPr>
      <w:r>
        <w:rPr>
          <w:rStyle w:val="IntenseEmphasis"/>
        </w:rPr>
        <w:t xml:space="preserve">Transitional Care </w:t>
      </w:r>
      <w:r w:rsidR="00D86392">
        <w:rPr>
          <w:rStyle w:val="IntenseEmphasis"/>
        </w:rPr>
        <w:t xml:space="preserve">Management </w:t>
      </w:r>
      <w:r>
        <w:rPr>
          <w:rStyle w:val="IntenseEmphasis"/>
        </w:rPr>
        <w:t>Program:</w:t>
      </w:r>
    </w:p>
    <w:p w14:paraId="69C6EE79" w14:textId="77777777" w:rsidR="00665745" w:rsidRPr="007831F1" w:rsidRDefault="0074414D" w:rsidP="007831F1">
      <w:pPr>
        <w:ind w:left="720"/>
        <w:rPr>
          <w:b/>
          <w:bCs/>
          <w:i/>
          <w:iCs/>
          <w:color w:val="4F81BD"/>
        </w:rPr>
      </w:pPr>
      <w:r>
        <w:rPr>
          <w:rFonts w:eastAsia="Arial Unicode MS" w:cs="Arial Unicode MS"/>
        </w:rPr>
        <w:t xml:space="preserve">MCOs and </w:t>
      </w:r>
      <w:r w:rsidR="00665745" w:rsidRPr="00665745">
        <w:rPr>
          <w:rFonts w:eastAsia="Arial Unicode MS" w:cs="Arial Unicode MS"/>
        </w:rPr>
        <w:t xml:space="preserve">ACOs must develop and implement transitional care protocols with all network </w:t>
      </w:r>
      <w:r w:rsidR="003F5F1A">
        <w:rPr>
          <w:rFonts w:eastAsia="Arial Unicode MS" w:cs="Arial Unicode MS"/>
        </w:rPr>
        <w:t xml:space="preserve">or affiliated </w:t>
      </w:r>
      <w:r w:rsidR="00665745" w:rsidRPr="00665745">
        <w:rPr>
          <w:rFonts w:eastAsia="Arial Unicode MS" w:cs="Arial Unicode MS"/>
        </w:rPr>
        <w:t>hospitals to ensure</w:t>
      </w:r>
      <w:r w:rsidR="00665745" w:rsidRPr="00665745">
        <w:rPr>
          <w:rFonts w:eastAsia="Arial Unicode MS" w:cs="Arial Unicode MS"/>
          <w:b/>
        </w:rPr>
        <w:t xml:space="preserve"> </w:t>
      </w:r>
      <w:r w:rsidR="00665745" w:rsidRPr="00665745">
        <w:rPr>
          <w:rFonts w:eastAsia="Arial Unicode MS" w:cs="Arial Unicode MS"/>
        </w:rPr>
        <w:t xml:space="preserve">follow-up with a member within 72 hours discharge from any type of hospital inpatient stay or emergency department visit, through a home visit, in-office appointment, telehealth visit, or phone conversation, as appropriate. </w:t>
      </w:r>
      <w:r>
        <w:rPr>
          <w:rFonts w:eastAsia="Arial Unicode MS" w:cs="Arial Unicode MS"/>
        </w:rPr>
        <w:t xml:space="preserve">MCOs and </w:t>
      </w:r>
      <w:r w:rsidR="00665745" w:rsidRPr="00665745">
        <w:rPr>
          <w:rFonts w:eastAsia="Arial Unicode MS" w:cs="Arial Unicode MS"/>
        </w:rPr>
        <w:t xml:space="preserve">ACOs are required to ensure that post-discharge plans are appropriate based on the needs of the member and identify the need for follow-up services. These protocols must be developed in partnership with </w:t>
      </w:r>
      <w:r w:rsidR="004E5D36">
        <w:rPr>
          <w:rFonts w:eastAsia="Arial Unicode MS" w:cs="Arial Unicode MS"/>
        </w:rPr>
        <w:t>BH</w:t>
      </w:r>
      <w:r w:rsidR="00665745" w:rsidRPr="00665745">
        <w:rPr>
          <w:rFonts w:eastAsia="Arial Unicode MS" w:cs="Arial Unicode MS"/>
        </w:rPr>
        <w:t xml:space="preserve"> community partners and </w:t>
      </w:r>
      <w:r w:rsidR="007831F1">
        <w:rPr>
          <w:rFonts w:eastAsia="Arial Unicode MS" w:cs="Arial Unicode MS"/>
        </w:rPr>
        <w:t xml:space="preserve">LTSS community partnership and </w:t>
      </w:r>
      <w:r w:rsidR="00665745" w:rsidRPr="00665745">
        <w:rPr>
          <w:rFonts w:eastAsia="Arial Unicode MS" w:cs="Arial Unicode MS"/>
        </w:rPr>
        <w:t xml:space="preserve">integrate other care management activities and personnel, such as care coordinators or clinical care managers. </w:t>
      </w:r>
    </w:p>
    <w:p w14:paraId="0FB78F65" w14:textId="77777777" w:rsidR="00E45FFC" w:rsidRDefault="00E45FFC" w:rsidP="007831F1">
      <w:pPr>
        <w:pStyle w:val="Heading4"/>
        <w:numPr>
          <w:ilvl w:val="0"/>
          <w:numId w:val="0"/>
        </w:numPr>
        <w:ind w:left="2160"/>
        <w:rPr>
          <w:rFonts w:ascii="Calibri" w:hAnsi="Calibri" w:cs="Calibri"/>
          <w:b w:val="0"/>
        </w:rPr>
      </w:pPr>
    </w:p>
    <w:bookmarkEnd w:id="150"/>
    <w:p w14:paraId="1004DDB3" w14:textId="77777777" w:rsidR="001E50CF" w:rsidRPr="00821C14" w:rsidRDefault="001E50CF" w:rsidP="001E77E5">
      <w:pPr>
        <w:pStyle w:val="Heading6"/>
      </w:pPr>
      <w:r w:rsidRPr="00821C14">
        <w:t>SCO Program</w:t>
      </w:r>
    </w:p>
    <w:p w14:paraId="25B9E4DC" w14:textId="77777777" w:rsidR="001E50CF" w:rsidRPr="001E77E5" w:rsidRDefault="001E50CF" w:rsidP="001E77E5">
      <w:pPr>
        <w:pStyle w:val="Heading5"/>
        <w:numPr>
          <w:ilvl w:val="0"/>
          <w:numId w:val="0"/>
        </w:numPr>
        <w:ind w:firstLine="720"/>
        <w:rPr>
          <w:rStyle w:val="IntenseEmphasis"/>
        </w:rPr>
      </w:pPr>
      <w:r w:rsidRPr="001E77E5">
        <w:rPr>
          <w:rStyle w:val="IntenseEmphasis"/>
        </w:rPr>
        <w:lastRenderedPageBreak/>
        <w:t>Comprehensive Assessments</w:t>
      </w:r>
    </w:p>
    <w:p w14:paraId="678D94AD" w14:textId="77777777" w:rsidR="001E50CF" w:rsidRPr="00821C14" w:rsidRDefault="001E50CF" w:rsidP="0095473E">
      <w:pPr>
        <w:pStyle w:val="NormalIndent"/>
        <w:rPr>
          <w:rFonts w:cs="Calibri"/>
        </w:rPr>
      </w:pPr>
      <w:r w:rsidRPr="00821C14">
        <w:rPr>
          <w:rFonts w:cs="Calibri"/>
        </w:rPr>
        <w:t xml:space="preserve">Comprehensive assessment for members enrolled in the Senior Care Options (SCO) Plans are conducted and re-assessed every six months; when there is a change in status and quarterly for any enrollee with a Complex Care Need. Complex Care Need is defined as any condition or situation that demonstrates the Enrollee's need for expert coordination of multiple services, including, but not limited to:  clinical eligibility for institutional long term care; and medical illness, psychiatric illness, or cognitive impairment that requires skilled nursing to manage essential unskilled services and care.  </w:t>
      </w:r>
    </w:p>
    <w:p w14:paraId="3D8D9900" w14:textId="77777777" w:rsidR="001E50CF" w:rsidRPr="00821C14" w:rsidRDefault="001E50CF" w:rsidP="002B4DE9">
      <w:pPr>
        <w:pStyle w:val="NormalIndent"/>
        <w:rPr>
          <w:rFonts w:cs="Calibri"/>
        </w:rPr>
      </w:pPr>
      <w:r w:rsidRPr="00821C14">
        <w:rPr>
          <w:rFonts w:cs="Calibri"/>
        </w:rPr>
        <w:t xml:space="preserve">SCO </w:t>
      </w:r>
      <w:r w:rsidR="00444B20">
        <w:rPr>
          <w:rFonts w:cs="Calibri"/>
        </w:rPr>
        <w:t>plan</w:t>
      </w:r>
      <w:r w:rsidRPr="00821C14">
        <w:rPr>
          <w:rFonts w:cs="Calibri"/>
        </w:rPr>
        <w:t>s are required to maintain a Centralized Enrollee Record (CER)</w:t>
      </w:r>
      <w:r w:rsidRPr="00821C14">
        <w:rPr>
          <w:rFonts w:cs="Calibri"/>
          <w:b/>
        </w:rPr>
        <w:t xml:space="preserve"> </w:t>
      </w:r>
      <w:r w:rsidRPr="00821C14">
        <w:rPr>
          <w:rFonts w:cs="Calibri"/>
        </w:rPr>
        <w:t>that documents current medical, functional, and social status.  Th</w:t>
      </w:r>
      <w:r w:rsidR="00D126B7">
        <w:rPr>
          <w:rFonts w:cs="Calibri"/>
        </w:rPr>
        <w:t xml:space="preserve">e CER </w:t>
      </w:r>
      <w:r w:rsidRPr="00821C14">
        <w:rPr>
          <w:rFonts w:cs="Calibri"/>
        </w:rPr>
        <w:t>must be available 24/7 to nurse case managers and the enrollee’s clinicians to manage emergency and urgent care, as well as to manage transitions across institutional and community settings of care.</w:t>
      </w:r>
    </w:p>
    <w:p w14:paraId="7C335AE8" w14:textId="77777777" w:rsidR="001E50CF" w:rsidRPr="00821C14" w:rsidRDefault="001E50CF" w:rsidP="001E77E5">
      <w:pPr>
        <w:pStyle w:val="Heading6"/>
      </w:pPr>
      <w:bookmarkStart w:id="151" w:name="_Toc366501526"/>
      <w:r w:rsidRPr="00821C14">
        <w:t>One Care Program</w:t>
      </w:r>
    </w:p>
    <w:p w14:paraId="5933622D" w14:textId="77777777" w:rsidR="00243E21" w:rsidRPr="001E77E5" w:rsidRDefault="00243E21" w:rsidP="001E77E5">
      <w:pPr>
        <w:pStyle w:val="Heading5"/>
        <w:numPr>
          <w:ilvl w:val="0"/>
          <w:numId w:val="0"/>
        </w:numPr>
        <w:ind w:firstLine="720"/>
        <w:rPr>
          <w:rStyle w:val="IntenseEmphasis"/>
        </w:rPr>
      </w:pPr>
      <w:r w:rsidRPr="001E77E5">
        <w:rPr>
          <w:rStyle w:val="IntenseEmphasis"/>
        </w:rPr>
        <w:t>Comprehensive Assessments</w:t>
      </w:r>
    </w:p>
    <w:p w14:paraId="234A47C5" w14:textId="77777777" w:rsidR="00243E21" w:rsidRDefault="009E6996" w:rsidP="001E77E5">
      <w:pPr>
        <w:ind w:left="720"/>
      </w:pPr>
      <w:r>
        <w:t>One Care</w:t>
      </w:r>
      <w:r w:rsidR="00243E21">
        <w:t xml:space="preserve"> plans mu</w:t>
      </w:r>
      <w:r w:rsidR="00665745">
        <w:t>st</w:t>
      </w:r>
      <w:r w:rsidR="00243E21">
        <w:t xml:space="preserve"> complete </w:t>
      </w:r>
      <w:r w:rsidR="00665745">
        <w:t>Comprehensive</w:t>
      </w:r>
      <w:r w:rsidR="00243E21">
        <w:t xml:space="preserve"> Assessments for each new </w:t>
      </w:r>
      <w:r w:rsidR="00665745">
        <w:t>Enrollee</w:t>
      </w:r>
      <w:r w:rsidR="00243E21">
        <w:t xml:space="preserve"> within 90 days of the enrollee’s effective enrollment </w:t>
      </w:r>
      <w:r w:rsidR="00665745">
        <w:t>date</w:t>
      </w:r>
      <w:r w:rsidR="00C5352E">
        <w:t>,</w:t>
      </w:r>
      <w:r w:rsidR="00665745">
        <w:t xml:space="preserve"> </w:t>
      </w:r>
      <w:r w:rsidR="00F82A07">
        <w:t>at least annually</w:t>
      </w:r>
      <w:r w:rsidR="00C5352E">
        <w:t>,</w:t>
      </w:r>
      <w:r w:rsidR="00F82A07">
        <w:t xml:space="preserve"> </w:t>
      </w:r>
      <w:r w:rsidR="00665745">
        <w:t>and</w:t>
      </w:r>
      <w:r w:rsidR="00243E21">
        <w:t xml:space="preserve"> whenever the enrollee experiences a major change that is not temporary, affects their health status, and/or requires review or revision of their Individualized Care Plan. Comprehensive assessments are documented in the Centralized Enrollee Record and inclusive of domain areas specified by the </w:t>
      </w:r>
      <w:r w:rsidR="00F82A07">
        <w:t>Commonwealth</w:t>
      </w:r>
      <w:r w:rsidR="00243E21">
        <w:t>. Domain areas include health status, medications, functional status, personal goals, housing status, social supports and more. Results of the comprehensive assessments are used to info</w:t>
      </w:r>
      <w:r w:rsidR="007C1CB0">
        <w:t>rm the individualized care plan</w:t>
      </w:r>
      <w:r w:rsidR="00243E21">
        <w:t>.</w:t>
      </w:r>
    </w:p>
    <w:p w14:paraId="73B007DC" w14:textId="77777777" w:rsidR="001E50CF" w:rsidRPr="001E77E5" w:rsidRDefault="001E50CF" w:rsidP="001E77E5">
      <w:pPr>
        <w:pStyle w:val="Heading5"/>
        <w:numPr>
          <w:ilvl w:val="0"/>
          <w:numId w:val="0"/>
        </w:numPr>
        <w:ind w:firstLine="720"/>
        <w:rPr>
          <w:rStyle w:val="IntenseEmphasis"/>
        </w:rPr>
      </w:pPr>
      <w:r w:rsidRPr="001E77E5">
        <w:rPr>
          <w:rStyle w:val="IntenseEmphasis"/>
        </w:rPr>
        <w:t xml:space="preserve">Long-term Supports </w:t>
      </w:r>
      <w:r w:rsidR="00F82A07">
        <w:rPr>
          <w:rStyle w:val="IntenseEmphasis"/>
        </w:rPr>
        <w:t xml:space="preserve">(LTS) </w:t>
      </w:r>
      <w:r w:rsidRPr="001E77E5">
        <w:rPr>
          <w:rStyle w:val="IntenseEmphasis"/>
        </w:rPr>
        <w:t xml:space="preserve">Coordinator </w:t>
      </w:r>
    </w:p>
    <w:p w14:paraId="432A8513" w14:textId="77777777" w:rsidR="00970006" w:rsidRDefault="0074414D" w:rsidP="00970006">
      <w:pPr>
        <w:pStyle w:val="NormalIndent"/>
        <w:rPr>
          <w:rFonts w:cs="Calibri"/>
        </w:rPr>
      </w:pPr>
      <w:r>
        <w:rPr>
          <w:rFonts w:cs="Calibri"/>
        </w:rPr>
        <w:t>MassHealth</w:t>
      </w:r>
      <w:r w:rsidR="001E50CF" w:rsidRPr="00821C14">
        <w:rPr>
          <w:rFonts w:cs="Calibri"/>
        </w:rPr>
        <w:t xml:space="preserve"> requires each </w:t>
      </w:r>
      <w:r>
        <w:rPr>
          <w:rFonts w:cs="Calibri"/>
        </w:rPr>
        <w:t>One Care Plan</w:t>
      </w:r>
      <w:r w:rsidRPr="00821C14">
        <w:rPr>
          <w:rFonts w:cs="Calibri"/>
        </w:rPr>
        <w:t xml:space="preserve"> </w:t>
      </w:r>
      <w:r w:rsidR="001E50CF" w:rsidRPr="00821C14">
        <w:rPr>
          <w:rFonts w:cs="Calibri"/>
        </w:rPr>
        <w:t xml:space="preserve">to offer members an LTS Coordinator to participate as part of the member’s care team. The </w:t>
      </w:r>
      <w:r w:rsidR="00F82A07">
        <w:rPr>
          <w:rFonts w:cs="Calibri"/>
        </w:rPr>
        <w:t>C</w:t>
      </w:r>
      <w:r w:rsidR="001E50CF" w:rsidRPr="00821C14">
        <w:rPr>
          <w:rFonts w:cs="Calibri"/>
        </w:rPr>
        <w:t xml:space="preserve">oordinator brings </w:t>
      </w:r>
      <w:r w:rsidR="001E50CF" w:rsidRPr="00821C14">
        <w:rPr>
          <w:rFonts w:cs="Calibri"/>
          <w:highlight w:val="white"/>
        </w:rPr>
        <w:t xml:space="preserve">expertise </w:t>
      </w:r>
      <w:r w:rsidR="00F82A07">
        <w:rPr>
          <w:rFonts w:cs="Calibri"/>
          <w:highlight w:val="white"/>
        </w:rPr>
        <w:t>in</w:t>
      </w:r>
      <w:r w:rsidR="001E7683">
        <w:rPr>
          <w:rFonts w:cs="Calibri"/>
          <w:highlight w:val="white"/>
        </w:rPr>
        <w:t xml:space="preserve"> </w:t>
      </w:r>
      <w:r w:rsidR="001E50CF" w:rsidRPr="00821C14">
        <w:rPr>
          <w:rFonts w:cs="Calibri"/>
          <w:highlight w:val="white"/>
        </w:rPr>
        <w:t>community supports to the member and assists with the coordination of his/her LTSS</w:t>
      </w:r>
      <w:r w:rsidR="00F82A07">
        <w:rPr>
          <w:rFonts w:cs="Calibri"/>
          <w:highlight w:val="white"/>
        </w:rPr>
        <w:t xml:space="preserve"> and </w:t>
      </w:r>
      <w:r w:rsidR="004E5D36">
        <w:rPr>
          <w:rFonts w:cs="Calibri"/>
          <w:highlight w:val="white"/>
        </w:rPr>
        <w:t>BH</w:t>
      </w:r>
      <w:r w:rsidR="001E50CF" w:rsidRPr="00821C14">
        <w:rPr>
          <w:rFonts w:cs="Calibri"/>
          <w:highlight w:val="white"/>
        </w:rPr>
        <w:t xml:space="preserve"> needs</w:t>
      </w:r>
      <w:r w:rsidR="00243E21">
        <w:rPr>
          <w:rFonts w:cs="Calibri"/>
          <w:highlight w:val="white"/>
        </w:rPr>
        <w:t>, as applicable</w:t>
      </w:r>
      <w:r w:rsidR="001E50CF" w:rsidRPr="00821C14">
        <w:rPr>
          <w:rFonts w:cs="Calibri"/>
          <w:highlight w:val="white"/>
        </w:rPr>
        <w:t xml:space="preserve">. The IL-LTS Coordinator’s primary responsibilities </w:t>
      </w:r>
      <w:r w:rsidR="00D07F48" w:rsidRPr="00821C14">
        <w:rPr>
          <w:rFonts w:cs="Calibri"/>
          <w:highlight w:val="white"/>
        </w:rPr>
        <w:t>are</w:t>
      </w:r>
      <w:r w:rsidR="001E50CF" w:rsidRPr="00821C14">
        <w:rPr>
          <w:rFonts w:cs="Calibri"/>
          <w:highlight w:val="white"/>
        </w:rPr>
        <w:t xml:space="preserve"> to: ensure person-centered care, counsel potential Enrollees; provide communication and support needs; and act as an independent facilitator and liaison between the Enrollee, the </w:t>
      </w:r>
      <w:r w:rsidR="00F82A07">
        <w:rPr>
          <w:rFonts w:cs="Calibri"/>
          <w:highlight w:val="white"/>
        </w:rPr>
        <w:t>One Care plan</w:t>
      </w:r>
      <w:r w:rsidR="001E50CF" w:rsidRPr="00821C14">
        <w:rPr>
          <w:rFonts w:cs="Calibri"/>
          <w:highlight w:val="white"/>
        </w:rPr>
        <w:t xml:space="preserve"> and their service providers.</w:t>
      </w:r>
      <w:r w:rsidR="00970006">
        <w:rPr>
          <w:rFonts w:cs="Calibri"/>
        </w:rPr>
        <w:t xml:space="preserve">  LTS coordinators help members </w:t>
      </w:r>
      <w:r w:rsidR="00970006" w:rsidRPr="00970006">
        <w:rPr>
          <w:rFonts w:cs="Calibri"/>
        </w:rPr>
        <w:t xml:space="preserve">Identify and understand </w:t>
      </w:r>
      <w:r w:rsidR="00970006">
        <w:rPr>
          <w:rFonts w:cs="Calibri"/>
        </w:rPr>
        <w:t xml:space="preserve">their needs and the kind of help and supports they want from the One Care plan, including: </w:t>
      </w:r>
    </w:p>
    <w:p w14:paraId="513FF102" w14:textId="77777777" w:rsidR="00970006" w:rsidRDefault="00970006" w:rsidP="009729DB">
      <w:pPr>
        <w:pStyle w:val="NormalIndent"/>
        <w:numPr>
          <w:ilvl w:val="0"/>
          <w:numId w:val="49"/>
        </w:numPr>
        <w:rPr>
          <w:rFonts w:cs="Calibri"/>
        </w:rPr>
      </w:pPr>
      <w:r>
        <w:rPr>
          <w:rFonts w:cs="Calibri"/>
        </w:rPr>
        <w:t xml:space="preserve">Identification of </w:t>
      </w:r>
      <w:r w:rsidRPr="00970006">
        <w:rPr>
          <w:rFonts w:cs="Calibri"/>
        </w:rPr>
        <w:t>community services and resources that are available</w:t>
      </w:r>
    </w:p>
    <w:p w14:paraId="1D0DC207" w14:textId="77777777" w:rsidR="00970006" w:rsidRDefault="00970006" w:rsidP="009729DB">
      <w:pPr>
        <w:pStyle w:val="NormalIndent"/>
        <w:numPr>
          <w:ilvl w:val="0"/>
          <w:numId w:val="49"/>
        </w:numPr>
        <w:rPr>
          <w:rFonts w:cs="Calibri"/>
        </w:rPr>
      </w:pPr>
      <w:r>
        <w:rPr>
          <w:rFonts w:cs="Calibri"/>
        </w:rPr>
        <w:t xml:space="preserve">Development of </w:t>
      </w:r>
      <w:r w:rsidRPr="00970006">
        <w:rPr>
          <w:rFonts w:cs="Calibri"/>
        </w:rPr>
        <w:t>a personal care plan t</w:t>
      </w:r>
      <w:r>
        <w:rPr>
          <w:rFonts w:cs="Calibri"/>
        </w:rPr>
        <w:t>hat includes services that will support members’</w:t>
      </w:r>
      <w:r w:rsidRPr="00970006">
        <w:rPr>
          <w:rFonts w:cs="Calibri"/>
        </w:rPr>
        <w:t xml:space="preserve"> health, safety,</w:t>
      </w:r>
      <w:r>
        <w:rPr>
          <w:rFonts w:cs="Calibri"/>
        </w:rPr>
        <w:t xml:space="preserve"> independence, and/or recovery</w:t>
      </w:r>
    </w:p>
    <w:p w14:paraId="33D95A64" w14:textId="77777777" w:rsidR="00970006" w:rsidRDefault="00970006" w:rsidP="009729DB">
      <w:pPr>
        <w:pStyle w:val="NormalIndent"/>
        <w:numPr>
          <w:ilvl w:val="0"/>
          <w:numId w:val="49"/>
        </w:numPr>
        <w:rPr>
          <w:rFonts w:cs="Calibri"/>
        </w:rPr>
      </w:pPr>
      <w:r>
        <w:rPr>
          <w:rFonts w:cs="Calibri"/>
        </w:rPr>
        <w:t xml:space="preserve">Connection to </w:t>
      </w:r>
      <w:r w:rsidRPr="00970006">
        <w:rPr>
          <w:rFonts w:cs="Calibri"/>
        </w:rPr>
        <w:t xml:space="preserve"> the services in </w:t>
      </w:r>
      <w:r>
        <w:rPr>
          <w:rFonts w:cs="Calibri"/>
        </w:rPr>
        <w:t xml:space="preserve">members’ </w:t>
      </w:r>
      <w:r w:rsidRPr="00970006">
        <w:rPr>
          <w:rFonts w:cs="Calibri"/>
        </w:rPr>
        <w:t>personal care plan</w:t>
      </w:r>
      <w:r>
        <w:rPr>
          <w:rFonts w:cs="Calibri"/>
        </w:rPr>
        <w:t>s</w:t>
      </w:r>
      <w:r w:rsidRPr="00970006">
        <w:rPr>
          <w:rFonts w:cs="Calibri"/>
        </w:rPr>
        <w:t>; and</w:t>
      </w:r>
    </w:p>
    <w:p w14:paraId="346D6B9F" w14:textId="77777777" w:rsidR="001E50CF" w:rsidRPr="00970006" w:rsidRDefault="00970006" w:rsidP="009729DB">
      <w:pPr>
        <w:pStyle w:val="NormalIndent"/>
        <w:numPr>
          <w:ilvl w:val="0"/>
          <w:numId w:val="49"/>
        </w:numPr>
        <w:rPr>
          <w:rFonts w:cs="Calibri"/>
        </w:rPr>
      </w:pPr>
      <w:r>
        <w:rPr>
          <w:rFonts w:cs="Calibri"/>
        </w:rPr>
        <w:t>Helping members understand and protect their</w:t>
      </w:r>
      <w:r w:rsidRPr="00970006">
        <w:rPr>
          <w:rFonts w:cs="Calibri"/>
        </w:rPr>
        <w:t xml:space="preserve"> rights as a One Care</w:t>
      </w:r>
      <w:r>
        <w:rPr>
          <w:rFonts w:cs="Calibri"/>
        </w:rPr>
        <w:t xml:space="preserve"> </w:t>
      </w:r>
      <w:r w:rsidRPr="00970006">
        <w:rPr>
          <w:rFonts w:cs="Calibri"/>
        </w:rPr>
        <w:t>plan member</w:t>
      </w:r>
    </w:p>
    <w:p w14:paraId="64C67C90" w14:textId="77777777" w:rsidR="00953000" w:rsidRDefault="002E530A" w:rsidP="00F82A07">
      <w:pPr>
        <w:ind w:left="720"/>
        <w:rPr>
          <w:rFonts w:cs="Calibri"/>
          <w:szCs w:val="24"/>
        </w:rPr>
      </w:pPr>
      <w:r>
        <w:rPr>
          <w:rFonts w:cs="Calibri"/>
          <w:szCs w:val="24"/>
        </w:rPr>
        <w:t>M</w:t>
      </w:r>
      <w:r w:rsidR="00B113BC">
        <w:rPr>
          <w:rFonts w:cs="Calibri"/>
          <w:szCs w:val="24"/>
        </w:rPr>
        <w:t>ember</w:t>
      </w:r>
      <w:r w:rsidRPr="002E530A">
        <w:rPr>
          <w:rFonts w:cs="Calibri"/>
          <w:szCs w:val="24"/>
        </w:rPr>
        <w:t xml:space="preserve"> needs for</w:t>
      </w:r>
      <w:r>
        <w:rPr>
          <w:rFonts w:cs="Calibri"/>
          <w:szCs w:val="24"/>
        </w:rPr>
        <w:t xml:space="preserve"> LTSS </w:t>
      </w:r>
      <w:r w:rsidR="00F82A07">
        <w:rPr>
          <w:rFonts w:cs="Calibri"/>
          <w:szCs w:val="24"/>
        </w:rPr>
        <w:t xml:space="preserve">and </w:t>
      </w:r>
      <w:r w:rsidR="004E5D36">
        <w:rPr>
          <w:rFonts w:cs="Calibri"/>
          <w:szCs w:val="24"/>
        </w:rPr>
        <w:t>BH</w:t>
      </w:r>
      <w:r w:rsidR="00F82A07">
        <w:rPr>
          <w:rFonts w:cs="Calibri"/>
          <w:szCs w:val="24"/>
        </w:rPr>
        <w:t xml:space="preserve"> should be identified through the Comprehensive Assessment.  The member’s care plan should reflect their goals and preferences for addressing their LTSS and BH needs.</w:t>
      </w:r>
      <w:r w:rsidR="00F82A07" w:rsidRPr="002E530A">
        <w:rPr>
          <w:rFonts w:cs="Calibri"/>
          <w:szCs w:val="24"/>
        </w:rPr>
        <w:t xml:space="preserve"> </w:t>
      </w:r>
      <w:r w:rsidR="00F82A07">
        <w:rPr>
          <w:rFonts w:cs="Calibri"/>
          <w:szCs w:val="24"/>
        </w:rPr>
        <w:t>In addition the Comprehensive Assessment would also identify any functional limitations an individual may have and need assistance in addressing.</w:t>
      </w:r>
      <w:r w:rsidR="00F82A07" w:rsidDel="00F82A07">
        <w:rPr>
          <w:rFonts w:cs="Calibri"/>
          <w:szCs w:val="24"/>
        </w:rPr>
        <w:t xml:space="preserve"> </w:t>
      </w:r>
    </w:p>
    <w:p w14:paraId="2DA59D4B" w14:textId="77777777" w:rsidR="001E50CF" w:rsidRPr="001E77E5" w:rsidRDefault="001E50CF" w:rsidP="00953000">
      <w:pPr>
        <w:pStyle w:val="Heading6"/>
        <w:rPr>
          <w:rStyle w:val="Heading6Char"/>
          <w:rFonts w:eastAsia="Calibri"/>
        </w:rPr>
      </w:pPr>
      <w:r w:rsidRPr="001E77E5">
        <w:lastRenderedPageBreak/>
        <w:t>PCC Plan</w:t>
      </w:r>
    </w:p>
    <w:p w14:paraId="45901F30" w14:textId="77777777" w:rsidR="001E50CF" w:rsidRPr="00B113BC" w:rsidRDefault="001E50CF" w:rsidP="001E77E5">
      <w:pPr>
        <w:pStyle w:val="Heading5"/>
        <w:numPr>
          <w:ilvl w:val="0"/>
          <w:numId w:val="0"/>
        </w:numPr>
        <w:ind w:firstLine="720"/>
        <w:rPr>
          <w:rStyle w:val="IntenseEmphasis"/>
          <w:rFonts w:cstheme="minorHAnsi"/>
        </w:rPr>
      </w:pPr>
      <w:r w:rsidRPr="00B113BC">
        <w:rPr>
          <w:rStyle w:val="IntenseEmphasis"/>
          <w:rFonts w:cstheme="minorHAnsi"/>
        </w:rPr>
        <w:t>Integrated Care Management Program (CMP)</w:t>
      </w:r>
      <w:bookmarkEnd w:id="151"/>
    </w:p>
    <w:p w14:paraId="45093F37" w14:textId="77777777" w:rsidR="007D1DCF" w:rsidRPr="001E77E5" w:rsidRDefault="001E50CF" w:rsidP="001E77E5">
      <w:pPr>
        <w:pStyle w:val="NormalIndent"/>
        <w:rPr>
          <w:rFonts w:cs="Calibri"/>
        </w:rPr>
      </w:pPr>
      <w:r w:rsidRPr="00821C14">
        <w:rPr>
          <w:rFonts w:cs="Calibri"/>
        </w:rPr>
        <w:t xml:space="preserve">In collaboration with </w:t>
      </w:r>
      <w:r w:rsidR="006B4FBC">
        <w:t xml:space="preserve">the BH Plan </w:t>
      </w:r>
      <w:r w:rsidRPr="00821C14">
        <w:rPr>
          <w:rFonts w:cs="Calibri"/>
        </w:rPr>
        <w:t>the PCC Plan provides increased support</w:t>
      </w:r>
      <w:r w:rsidR="00D07F48" w:rsidRPr="00821C14">
        <w:rPr>
          <w:rFonts w:cs="Calibri"/>
        </w:rPr>
        <w:t xml:space="preserve"> and coordination of care</w:t>
      </w:r>
      <w:r w:rsidRPr="00821C14">
        <w:rPr>
          <w:rFonts w:cs="Calibri"/>
        </w:rPr>
        <w:t xml:space="preserve"> for members who have complex medical and /or </w:t>
      </w:r>
      <w:r w:rsidR="004E5D36">
        <w:rPr>
          <w:rFonts w:cs="Calibri"/>
        </w:rPr>
        <w:t>BH</w:t>
      </w:r>
      <w:r w:rsidRPr="00821C14">
        <w:rPr>
          <w:rFonts w:cs="Calibri"/>
        </w:rPr>
        <w:t xml:space="preserve"> care needs and whose overall health care may benefit from the assistance of a care manager; and increased support for the providers that regularly manage their care. </w:t>
      </w:r>
      <w:r w:rsidR="007574CD">
        <w:rPr>
          <w:rFonts w:cs="Calibri"/>
        </w:rPr>
        <w:t xml:space="preserve">Select PCC </w:t>
      </w:r>
      <w:r w:rsidR="00217B96">
        <w:rPr>
          <w:rFonts w:cs="Calibri"/>
        </w:rPr>
        <w:t>SLs contract</w:t>
      </w:r>
      <w:r w:rsidR="007574CD">
        <w:rPr>
          <w:rFonts w:cs="Calibri"/>
        </w:rPr>
        <w:t xml:space="preserve"> with </w:t>
      </w:r>
      <w:r w:rsidR="006B4FBC">
        <w:t>the BH Plan</w:t>
      </w:r>
      <w:r w:rsidR="007574CD">
        <w:rPr>
          <w:rFonts w:cs="Calibri"/>
        </w:rPr>
        <w:t xml:space="preserve"> to conduct their own Practice-Based Care Management programs that mirror the standards of the plan-based CMP.  </w:t>
      </w:r>
    </w:p>
    <w:p w14:paraId="0ECB0576" w14:textId="77777777" w:rsidR="001E50CF" w:rsidRPr="00821C14" w:rsidRDefault="001E50CF" w:rsidP="007513C1">
      <w:pPr>
        <w:pStyle w:val="Heading3"/>
        <w:rPr>
          <w:rFonts w:ascii="Calibri" w:hAnsi="Calibri" w:cs="Calibri"/>
        </w:rPr>
      </w:pPr>
      <w:bookmarkStart w:id="152" w:name="_Toc366501528"/>
      <w:bookmarkStart w:id="153" w:name="_Toc521939924"/>
      <w:bookmarkStart w:id="154" w:name="_Toc522025661"/>
      <w:bookmarkStart w:id="155" w:name="_Toc523490144"/>
      <w:bookmarkStart w:id="156" w:name="_Toc525294312"/>
      <w:bookmarkStart w:id="157" w:name="_Toc529177906"/>
      <w:r w:rsidRPr="00821C14">
        <w:rPr>
          <w:rFonts w:ascii="Calibri" w:hAnsi="Calibri" w:cs="Calibri"/>
        </w:rPr>
        <w:t>Coverage and Authorization of Services</w:t>
      </w:r>
      <w:bookmarkEnd w:id="152"/>
      <w:bookmarkEnd w:id="153"/>
      <w:bookmarkEnd w:id="154"/>
      <w:bookmarkEnd w:id="155"/>
      <w:bookmarkEnd w:id="156"/>
      <w:bookmarkEnd w:id="157"/>
    </w:p>
    <w:p w14:paraId="1D9D4999" w14:textId="77777777" w:rsidR="001E50CF" w:rsidRPr="00821C14" w:rsidRDefault="00E524CD" w:rsidP="00D16952">
      <w:pPr>
        <w:rPr>
          <w:rFonts w:cs="Calibri"/>
        </w:rPr>
      </w:pPr>
      <w:r>
        <w:rPr>
          <w:rFonts w:cs="Calibri"/>
        </w:rPr>
        <w:t xml:space="preserve">In </w:t>
      </w:r>
      <w:r w:rsidR="00B2484B">
        <w:rPr>
          <w:rFonts w:cs="Calibri"/>
        </w:rPr>
        <w:t>accordance</w:t>
      </w:r>
      <w:r>
        <w:rPr>
          <w:rFonts w:cs="Calibri"/>
        </w:rPr>
        <w:t xml:space="preserve"> with 42 CFR 438.210, </w:t>
      </w:r>
      <w:r w:rsidR="005B4D33">
        <w:rPr>
          <w:rFonts w:cs="Calibri"/>
        </w:rPr>
        <w:t>e</w:t>
      </w:r>
      <w:r w:rsidR="001E50CF" w:rsidRPr="00821C14">
        <w:rPr>
          <w:rFonts w:cs="Calibri"/>
        </w:rPr>
        <w:t xml:space="preserve">ach MassHealth MCE must specify the amount, duration, and scope of each covered service.  Services may be no less than the amount, duration, and scope for the same services furnished to beneficiaries under MassHealth fee-for-service, may not be compromised solely because of diagnosis, type of illness, or condition of an enrollee, and must be rendered in accordance with the medical necessity standard.  All </w:t>
      </w:r>
      <w:r w:rsidR="003617FB" w:rsidRPr="00821C14">
        <w:rPr>
          <w:rFonts w:cs="Calibri"/>
        </w:rPr>
        <w:t>MCEs</w:t>
      </w:r>
      <w:r w:rsidR="001E50CF" w:rsidRPr="00821C14">
        <w:rPr>
          <w:rFonts w:cs="Calibri"/>
        </w:rPr>
        <w:t xml:space="preserve"> operate under the same definition of medical necessity as MassHealth fee-for-service.</w:t>
      </w:r>
    </w:p>
    <w:p w14:paraId="361D423B" w14:textId="77777777" w:rsidR="001E50CF" w:rsidRPr="00821C14" w:rsidRDefault="001E50CF" w:rsidP="00D16952">
      <w:pPr>
        <w:rPr>
          <w:rFonts w:cs="Calibri"/>
          <w:iCs/>
          <w:color w:val="000000"/>
        </w:rPr>
      </w:pPr>
      <w:r w:rsidRPr="00821C14">
        <w:rPr>
          <w:rFonts w:cs="Calibri"/>
          <w:iCs/>
          <w:color w:val="000000"/>
        </w:rPr>
        <w:t xml:space="preserve">Written policies and procedures for processing requests for authorizations of services are in place and implemented by MassHealth </w:t>
      </w:r>
      <w:r w:rsidR="00C22E6B" w:rsidRPr="00821C14">
        <w:rPr>
          <w:rFonts w:cs="Calibri"/>
          <w:iCs/>
          <w:color w:val="000000"/>
        </w:rPr>
        <w:t>MCEs</w:t>
      </w:r>
      <w:r w:rsidRPr="00821C14">
        <w:rPr>
          <w:rFonts w:cs="Calibri"/>
          <w:iCs/>
          <w:color w:val="000000"/>
        </w:rPr>
        <w:t>. Authorization decisions must be based on consistently applied review criteria and consultation with requesting providers, when appropriate, and must be conducted in a timely fashion as required by regulation and contract.</w:t>
      </w:r>
    </w:p>
    <w:p w14:paraId="1B82AE7F" w14:textId="77777777" w:rsidR="001E50CF" w:rsidRPr="00821C14" w:rsidRDefault="001E50CF" w:rsidP="00D16952">
      <w:pPr>
        <w:rPr>
          <w:rFonts w:cs="Calibri"/>
          <w:iCs/>
          <w:color w:val="000000"/>
        </w:rPr>
      </w:pPr>
      <w:r w:rsidRPr="00821C14">
        <w:rPr>
          <w:rFonts w:cs="Calibri"/>
          <w:iCs/>
          <w:color w:val="000000"/>
        </w:rPr>
        <w:t xml:space="preserve">Denials, reductions, terminations and modifications of services must be made by a health professional that has appropriate clinical expertise in treating the enrollee’s condition or disease, and must notify the requesting provider and enrollee in a timely manner, as codified in entity contracts, suitable to the urgency of the enrollee’s condition.  </w:t>
      </w:r>
    </w:p>
    <w:p w14:paraId="7F6D0889" w14:textId="263B4142" w:rsidR="001E50CF" w:rsidRPr="00821C14" w:rsidRDefault="001E50CF" w:rsidP="00D16952">
      <w:pPr>
        <w:rPr>
          <w:rFonts w:cs="Calibri"/>
          <w:iCs/>
          <w:color w:val="000000"/>
        </w:rPr>
      </w:pPr>
      <w:r w:rsidRPr="00821C14">
        <w:rPr>
          <w:rFonts w:cs="Calibri"/>
          <w:iCs/>
          <w:color w:val="000000"/>
        </w:rPr>
        <w:t xml:space="preserve">Grievance procedures related to adverse decisions can be found </w:t>
      </w:r>
      <w:r w:rsidR="004F4376">
        <w:rPr>
          <w:rFonts w:cs="Calibri"/>
          <w:iCs/>
          <w:color w:val="000000"/>
        </w:rPr>
        <w:t xml:space="preserve">in </w:t>
      </w:r>
      <w:r w:rsidR="008169E5">
        <w:rPr>
          <w:rFonts w:cs="Calibri"/>
          <w:iCs/>
          <w:color w:val="000000"/>
        </w:rPr>
        <w:t>S</w:t>
      </w:r>
      <w:r w:rsidR="004F4376">
        <w:rPr>
          <w:rFonts w:cs="Calibri"/>
          <w:iCs/>
          <w:color w:val="000000"/>
        </w:rPr>
        <w:t>ection 6.2</w:t>
      </w:r>
      <w:r w:rsidRPr="00821C14">
        <w:rPr>
          <w:rFonts w:cs="Calibri"/>
          <w:iCs/>
          <w:color w:val="000000"/>
        </w:rPr>
        <w:t xml:space="preserve"> of the Quality Strategy.</w:t>
      </w:r>
    </w:p>
    <w:p w14:paraId="14ED7E23" w14:textId="77777777" w:rsidR="001E50CF" w:rsidRPr="00821C14" w:rsidRDefault="001E50CF" w:rsidP="00B113BC">
      <w:pPr>
        <w:pStyle w:val="Heading2"/>
      </w:pPr>
      <w:bookmarkStart w:id="158" w:name="_Toc366501537"/>
      <w:bookmarkStart w:id="159" w:name="_Ref522024943"/>
      <w:bookmarkStart w:id="160" w:name="_Ref522024948"/>
      <w:bookmarkStart w:id="161" w:name="_Toc529177907"/>
      <w:r w:rsidRPr="00821C14">
        <w:t>Measurement and Improvement Standards</w:t>
      </w:r>
      <w:bookmarkEnd w:id="158"/>
      <w:bookmarkEnd w:id="159"/>
      <w:bookmarkEnd w:id="160"/>
      <w:bookmarkEnd w:id="161"/>
    </w:p>
    <w:p w14:paraId="760CBCAF" w14:textId="77777777" w:rsidR="001E50CF" w:rsidRPr="00821C14" w:rsidRDefault="00EB1817" w:rsidP="00F50ED7">
      <w:pPr>
        <w:rPr>
          <w:rFonts w:cs="Calibri"/>
        </w:rPr>
      </w:pPr>
      <w:r>
        <w:rPr>
          <w:rFonts w:cs="Calibri"/>
        </w:rPr>
        <w:t>Contracts with MCEs</w:t>
      </w:r>
      <w:r w:rsidR="001E50CF" w:rsidRPr="00821C14">
        <w:rPr>
          <w:rFonts w:cs="Calibri"/>
        </w:rPr>
        <w:t xml:space="preserve"> require ongoing quality assessment and performance improvement of the services provided to members as required in 42 CFR 438.236- 438.242. Continuous monitoring and improvement activities include identifying current levels of quality and areas for improvement, designing interventions to achieve improvement, and documenting progress towards quality goals. The standards in this section address MassHealth managed care quality measurement and improvement activities.</w:t>
      </w:r>
    </w:p>
    <w:p w14:paraId="61AF79B6" w14:textId="77777777" w:rsidR="001E50CF" w:rsidRPr="00821C14" w:rsidRDefault="001E50CF" w:rsidP="007513C1">
      <w:pPr>
        <w:pStyle w:val="Heading3"/>
        <w:rPr>
          <w:rFonts w:ascii="Calibri" w:hAnsi="Calibri" w:cs="Calibri"/>
        </w:rPr>
      </w:pPr>
      <w:bookmarkStart w:id="162" w:name="_Toc366501538"/>
      <w:bookmarkStart w:id="163" w:name="_Toc521939933"/>
      <w:bookmarkStart w:id="164" w:name="_Toc522025670"/>
      <w:bookmarkStart w:id="165" w:name="_Toc523490153"/>
      <w:bookmarkStart w:id="166" w:name="_Toc525294314"/>
      <w:bookmarkStart w:id="167" w:name="_Toc529177908"/>
      <w:r w:rsidRPr="00821C14">
        <w:rPr>
          <w:rFonts w:ascii="Calibri" w:hAnsi="Calibri" w:cs="Calibri"/>
        </w:rPr>
        <w:t>Practice Guidelines</w:t>
      </w:r>
      <w:bookmarkEnd w:id="162"/>
      <w:bookmarkEnd w:id="163"/>
      <w:bookmarkEnd w:id="164"/>
      <w:bookmarkEnd w:id="165"/>
      <w:bookmarkEnd w:id="166"/>
      <w:bookmarkEnd w:id="167"/>
    </w:p>
    <w:p w14:paraId="23DD29F0" w14:textId="77777777" w:rsidR="001E50CF" w:rsidRPr="00821C14" w:rsidRDefault="00EB1817" w:rsidP="00F50ED7">
      <w:pPr>
        <w:rPr>
          <w:rFonts w:cs="Calibri"/>
        </w:rPr>
      </w:pPr>
      <w:r>
        <w:rPr>
          <w:rFonts w:cs="Calibri"/>
        </w:rPr>
        <w:t>MCEs</w:t>
      </w:r>
      <w:r w:rsidR="00B113BC">
        <w:rPr>
          <w:rFonts w:cs="Calibri"/>
        </w:rPr>
        <w:t xml:space="preserve"> implement evidence-bas</w:t>
      </w:r>
      <w:r w:rsidR="001E50CF" w:rsidRPr="00821C14">
        <w:rPr>
          <w:rFonts w:cs="Calibri"/>
        </w:rPr>
        <w:t xml:space="preserve">ed practice through dissemination and use of practice guidelines. The guidelines must stem from recognized organizations that develop evidence-based clinical practice guidelines with involvement of board-certified providers from appropriate specialties. Prior to adoption, the guidelines must be reviewed by the </w:t>
      </w:r>
      <w:r w:rsidR="00444B20">
        <w:rPr>
          <w:rFonts w:cs="Calibri"/>
        </w:rPr>
        <w:t>plan</w:t>
      </w:r>
      <w:r w:rsidR="001E50CF" w:rsidRPr="00821C14">
        <w:rPr>
          <w:rFonts w:cs="Calibri"/>
        </w:rPr>
        <w:t xml:space="preserve">’s Medical Director, as well as other practitioners and network providers, as appropriate. Guidelines must consider the needs of enrollees and be reviewed and updated, as appropriate, at least every two years. </w:t>
      </w:r>
      <w:r w:rsidR="006F58FB">
        <w:rPr>
          <w:rFonts w:cs="Calibri"/>
        </w:rPr>
        <w:t xml:space="preserve">Plans are required to disseminate guidelines to </w:t>
      </w:r>
      <w:r w:rsidR="006F58FB" w:rsidRPr="006F58FB">
        <w:rPr>
          <w:rFonts w:cs="Calibri"/>
        </w:rPr>
        <w:t xml:space="preserve">all new </w:t>
      </w:r>
      <w:r w:rsidR="006F58FB">
        <w:rPr>
          <w:rFonts w:cs="Calibri"/>
        </w:rPr>
        <w:t xml:space="preserve">network </w:t>
      </w:r>
      <w:r w:rsidR="00B113BC">
        <w:rPr>
          <w:rFonts w:cs="Calibri"/>
        </w:rPr>
        <w:t>providers</w:t>
      </w:r>
      <w:r w:rsidR="006F58FB">
        <w:rPr>
          <w:rFonts w:cs="Calibri"/>
        </w:rPr>
        <w:t xml:space="preserve"> an</w:t>
      </w:r>
      <w:r w:rsidR="00C87A17">
        <w:rPr>
          <w:rFonts w:cs="Calibri"/>
        </w:rPr>
        <w:t>d</w:t>
      </w:r>
      <w:r w:rsidR="006F58FB">
        <w:rPr>
          <w:rFonts w:cs="Calibri"/>
        </w:rPr>
        <w:t>, upon request, to all enrollees or potential enroll</w:t>
      </w:r>
      <w:r w:rsidR="00C87A17">
        <w:rPr>
          <w:rFonts w:cs="Calibri"/>
        </w:rPr>
        <w:t>e</w:t>
      </w:r>
      <w:r w:rsidR="006F58FB">
        <w:rPr>
          <w:rFonts w:cs="Calibri"/>
        </w:rPr>
        <w:t>es.  G</w:t>
      </w:r>
      <w:r w:rsidR="006F58FB" w:rsidRPr="006F58FB">
        <w:rPr>
          <w:rFonts w:cs="Calibri"/>
        </w:rPr>
        <w:t>uidelines</w:t>
      </w:r>
      <w:r w:rsidR="00B113BC">
        <w:rPr>
          <w:rFonts w:cs="Calibri"/>
        </w:rPr>
        <w:t xml:space="preserve"> mu</w:t>
      </w:r>
      <w:r w:rsidR="006F58FB">
        <w:rPr>
          <w:rFonts w:cs="Calibri"/>
        </w:rPr>
        <w:t xml:space="preserve">st be available on the plan’s web site. </w:t>
      </w:r>
      <w:r w:rsidR="001E50CF" w:rsidRPr="00821C14">
        <w:rPr>
          <w:rFonts w:cs="Calibri"/>
        </w:rPr>
        <w:t>In addition</w:t>
      </w:r>
      <w:r w:rsidR="001E50CF" w:rsidRPr="00821C14">
        <w:rPr>
          <w:rFonts w:cs="Calibri"/>
          <w:b/>
        </w:rPr>
        <w:t xml:space="preserve">, </w:t>
      </w:r>
      <w:r w:rsidR="00444B20">
        <w:rPr>
          <w:rFonts w:cs="Calibri"/>
        </w:rPr>
        <w:t>plan</w:t>
      </w:r>
      <w:r w:rsidR="001E50CF" w:rsidRPr="00821C14">
        <w:rPr>
          <w:rFonts w:cs="Calibri"/>
        </w:rPr>
        <w:t xml:space="preserve">s must develop explicit processes for monitoring adherence to guidelines, including ensuring that decisions regarding utilization management, enrollee education, coverage of services, and other areas to which the guidelines apply are consistent with the guidelines. Managed care entities also must establish processes for reviewing and updating guidelines. </w:t>
      </w:r>
    </w:p>
    <w:p w14:paraId="769EA876" w14:textId="77777777" w:rsidR="001E50CF" w:rsidRPr="00821C14" w:rsidRDefault="001E50CF" w:rsidP="00F50ED7">
      <w:pPr>
        <w:rPr>
          <w:rFonts w:cs="Calibri"/>
        </w:rPr>
      </w:pPr>
      <w:r w:rsidRPr="00821C14">
        <w:rPr>
          <w:rFonts w:cs="Calibri"/>
        </w:rPr>
        <w:lastRenderedPageBreak/>
        <w:t xml:space="preserve">Guidelines that MassHealth endorses include, but are not limited to, the following: </w:t>
      </w:r>
    </w:p>
    <w:p w14:paraId="3FB1B3A0" w14:textId="77777777" w:rsidR="00EB1817" w:rsidRPr="00821C14" w:rsidRDefault="00EB1817" w:rsidP="009729DB">
      <w:pPr>
        <w:pStyle w:val="ListParagraph"/>
        <w:numPr>
          <w:ilvl w:val="0"/>
          <w:numId w:val="7"/>
        </w:numPr>
        <w:spacing w:line="276" w:lineRule="auto"/>
        <w:rPr>
          <w:rFonts w:cs="Calibri"/>
        </w:rPr>
      </w:pPr>
      <w:r w:rsidRPr="00821C14">
        <w:rPr>
          <w:rFonts w:cs="Calibri"/>
        </w:rPr>
        <w:t xml:space="preserve">MassHealth All Provider Manual </w:t>
      </w:r>
      <w:r>
        <w:rPr>
          <w:rFonts w:cs="Calibri"/>
        </w:rPr>
        <w:t>–</w:t>
      </w:r>
      <w:r w:rsidRPr="00821C14">
        <w:rPr>
          <w:rFonts w:cs="Calibri"/>
        </w:rPr>
        <w:t>Early and Periodic Screening, Diagnosis, and Treatment (EPSDT) Medical and Dental Protocol and  Periodicity Schedule</w:t>
      </w:r>
      <w:r>
        <w:rPr>
          <w:rFonts w:cs="Calibri"/>
        </w:rPr>
        <w:t xml:space="preserve">, Appendix W </w:t>
      </w:r>
      <w:r w:rsidRPr="00821C14">
        <w:rPr>
          <w:rFonts w:cs="Calibri"/>
        </w:rPr>
        <w:t>(201</w:t>
      </w:r>
      <w:r>
        <w:rPr>
          <w:rFonts w:cs="Calibri"/>
        </w:rPr>
        <w:t>7</w:t>
      </w:r>
      <w:r w:rsidRPr="00821C14">
        <w:rPr>
          <w:rFonts w:cs="Calibri"/>
        </w:rPr>
        <w:t>)</w:t>
      </w:r>
    </w:p>
    <w:p w14:paraId="1F44C53D" w14:textId="77777777" w:rsidR="00404C29" w:rsidRDefault="001E50CF" w:rsidP="009729DB">
      <w:pPr>
        <w:pStyle w:val="ListParagraph"/>
        <w:numPr>
          <w:ilvl w:val="0"/>
          <w:numId w:val="7"/>
        </w:numPr>
        <w:spacing w:line="276" w:lineRule="auto"/>
        <w:rPr>
          <w:rFonts w:cs="Calibri"/>
        </w:rPr>
      </w:pPr>
      <w:r w:rsidRPr="00821C14">
        <w:rPr>
          <w:rFonts w:cs="Calibri"/>
        </w:rPr>
        <w:t>Massachusetts Health Quality Partners Guidelines for Adult and Pediatric Preventive</w:t>
      </w:r>
      <w:r w:rsidR="00404C29">
        <w:rPr>
          <w:rFonts w:cs="Calibri"/>
        </w:rPr>
        <w:t xml:space="preserve"> </w:t>
      </w:r>
      <w:r w:rsidRPr="00821C14">
        <w:rPr>
          <w:rFonts w:cs="Calibri"/>
        </w:rPr>
        <w:t xml:space="preserve">Care  </w:t>
      </w:r>
      <w:r w:rsidR="00404C29" w:rsidRPr="00821C14">
        <w:rPr>
          <w:rFonts w:cs="Calibri"/>
        </w:rPr>
        <w:t>201</w:t>
      </w:r>
      <w:r w:rsidR="00EB1817">
        <w:rPr>
          <w:rFonts w:cs="Calibri"/>
        </w:rPr>
        <w:t>8</w:t>
      </w:r>
      <w:r w:rsidR="00404C29" w:rsidRPr="00821C14">
        <w:rPr>
          <w:rFonts w:cs="Calibri"/>
        </w:rPr>
        <w:t xml:space="preserve"> </w:t>
      </w:r>
      <w:r w:rsidR="00404C29">
        <w:rPr>
          <w:rFonts w:cs="Calibri"/>
        </w:rPr>
        <w:t xml:space="preserve"> </w:t>
      </w:r>
    </w:p>
    <w:p w14:paraId="2C4F6CE9" w14:textId="77777777" w:rsidR="00EB1817" w:rsidRDefault="00EB1817" w:rsidP="009729DB">
      <w:pPr>
        <w:pStyle w:val="ListParagraph"/>
        <w:numPr>
          <w:ilvl w:val="0"/>
          <w:numId w:val="7"/>
        </w:numPr>
        <w:spacing w:line="276" w:lineRule="auto"/>
        <w:rPr>
          <w:rFonts w:cs="Calibri"/>
        </w:rPr>
      </w:pPr>
      <w:r w:rsidRPr="00821C14">
        <w:rPr>
          <w:rFonts w:cs="Calibri"/>
        </w:rPr>
        <w:t>Massachusetts Health Quality Partners Guidelines for Perinatal Care  (201</w:t>
      </w:r>
      <w:r>
        <w:rPr>
          <w:rFonts w:cs="Calibri"/>
        </w:rPr>
        <w:t>8)</w:t>
      </w:r>
    </w:p>
    <w:p w14:paraId="7E11DF83" w14:textId="77777777" w:rsidR="00C87A17" w:rsidRDefault="006D4F6E" w:rsidP="009729DB">
      <w:pPr>
        <w:pStyle w:val="ListParagraph"/>
        <w:numPr>
          <w:ilvl w:val="0"/>
          <w:numId w:val="7"/>
        </w:numPr>
        <w:spacing w:line="276" w:lineRule="auto"/>
        <w:rPr>
          <w:rFonts w:cs="Calibri"/>
        </w:rPr>
      </w:pPr>
      <w:r>
        <w:rPr>
          <w:rFonts w:cs="Calibri"/>
        </w:rPr>
        <w:t>Massachusetts Department of Public Health and CDC  Immunization</w:t>
      </w:r>
      <w:r w:rsidR="00670151">
        <w:rPr>
          <w:rFonts w:cs="Calibri"/>
        </w:rPr>
        <w:t xml:space="preserve"> Schedules and</w:t>
      </w:r>
      <w:r>
        <w:rPr>
          <w:rFonts w:cs="Calibri"/>
        </w:rPr>
        <w:t xml:space="preserve"> Guidelines</w:t>
      </w:r>
    </w:p>
    <w:p w14:paraId="0EB89FA0" w14:textId="77777777" w:rsidR="001E50CF" w:rsidRDefault="00D11EFF" w:rsidP="009729DB">
      <w:pPr>
        <w:pStyle w:val="ListParagraph"/>
        <w:numPr>
          <w:ilvl w:val="0"/>
          <w:numId w:val="7"/>
        </w:numPr>
        <w:spacing w:line="276" w:lineRule="auto"/>
        <w:rPr>
          <w:rFonts w:cs="Calibri"/>
        </w:rPr>
      </w:pPr>
      <w:r>
        <w:rPr>
          <w:rFonts w:cs="Calibri"/>
        </w:rPr>
        <w:t xml:space="preserve">Tobacco Treatment Guidelines, </w:t>
      </w:r>
      <w:proofErr w:type="spellStart"/>
      <w:r>
        <w:rPr>
          <w:rFonts w:cs="Calibri"/>
        </w:rPr>
        <w:t>Quitworks</w:t>
      </w:r>
      <w:proofErr w:type="spellEnd"/>
      <w:r>
        <w:rPr>
          <w:rFonts w:cs="Calibri"/>
        </w:rPr>
        <w:t xml:space="preserve"> Implementation Kit</w:t>
      </w:r>
    </w:p>
    <w:p w14:paraId="5BD07A7D" w14:textId="77777777" w:rsidR="001E50CF" w:rsidRPr="00821C14" w:rsidRDefault="001E50CF" w:rsidP="007513C1">
      <w:pPr>
        <w:pStyle w:val="Heading3"/>
        <w:rPr>
          <w:rFonts w:ascii="Calibri" w:hAnsi="Calibri" w:cs="Calibri"/>
        </w:rPr>
      </w:pPr>
      <w:bookmarkStart w:id="168" w:name="_Toc366501539"/>
      <w:bookmarkStart w:id="169" w:name="_Toc521939934"/>
      <w:bookmarkStart w:id="170" w:name="_Toc522025671"/>
      <w:bookmarkStart w:id="171" w:name="_Toc523490154"/>
      <w:bookmarkStart w:id="172" w:name="_Toc525294315"/>
      <w:bookmarkStart w:id="173" w:name="_Toc529177909"/>
      <w:r w:rsidRPr="00821C14">
        <w:rPr>
          <w:rFonts w:ascii="Calibri" w:hAnsi="Calibri" w:cs="Calibri"/>
        </w:rPr>
        <w:t>Quality Assessment and Performance Improvement Program</w:t>
      </w:r>
      <w:bookmarkEnd w:id="168"/>
      <w:bookmarkEnd w:id="169"/>
      <w:bookmarkEnd w:id="170"/>
      <w:bookmarkEnd w:id="171"/>
      <w:bookmarkEnd w:id="172"/>
      <w:bookmarkEnd w:id="173"/>
    </w:p>
    <w:p w14:paraId="67F8048B" w14:textId="77777777" w:rsidR="001E50CF" w:rsidRPr="00821C14" w:rsidRDefault="001E50CF" w:rsidP="00323308">
      <w:pPr>
        <w:rPr>
          <w:rFonts w:cs="Calibri"/>
        </w:rPr>
      </w:pPr>
      <w:r w:rsidRPr="00821C14">
        <w:rPr>
          <w:rFonts w:cs="Calibri"/>
        </w:rPr>
        <w:t>Managed care entities must establish ongoing performance improvement projects that focus on clinical and nonclinical areas and involve measurement of performance using objective quality indicators, implementation of interventions to achieve improvements, evaluation of the effectiveness of interventions, and planning and initiation of activities for sustaining improvement.</w:t>
      </w:r>
    </w:p>
    <w:p w14:paraId="30D3415B" w14:textId="77777777" w:rsidR="001E50CF" w:rsidRDefault="001E50CF" w:rsidP="00323308">
      <w:pPr>
        <w:rPr>
          <w:rFonts w:cs="Calibri"/>
        </w:rPr>
      </w:pPr>
      <w:r w:rsidRPr="00821C14">
        <w:rPr>
          <w:rFonts w:cs="Calibri"/>
        </w:rPr>
        <w:t xml:space="preserve">The annual HEDIS measurement initiative addresses both access and clinical quality. HEDIS measures are selected with consideration of measure relevance to MassHealth and its stakeholders, as well as action-ability.  Data are collected by the plans, submitted to </w:t>
      </w:r>
      <w:r w:rsidR="00F80127" w:rsidRPr="00821C14">
        <w:rPr>
          <w:rFonts w:cs="Calibri"/>
        </w:rPr>
        <w:t>MassHealth</w:t>
      </w:r>
      <w:r w:rsidRPr="00821C14">
        <w:rPr>
          <w:rFonts w:cs="Calibri"/>
        </w:rPr>
        <w:t xml:space="preserve">, and summarized in an annual report. Contracted SCO </w:t>
      </w:r>
      <w:r w:rsidR="00444B20">
        <w:rPr>
          <w:rFonts w:cs="Calibri"/>
        </w:rPr>
        <w:t>plan</w:t>
      </w:r>
      <w:r w:rsidRPr="00821C14">
        <w:rPr>
          <w:rFonts w:cs="Calibri"/>
        </w:rPr>
        <w:t xml:space="preserve">s must report clinical indicator data in accordance with the specific HEDIS </w:t>
      </w:r>
      <w:r w:rsidRPr="00821C14" w:rsidDel="00A03101">
        <w:rPr>
          <w:rFonts w:cs="Calibri"/>
        </w:rPr>
        <w:t>measures developed for Medicare Advantage Special Needs Plans (SNPs) by the</w:t>
      </w:r>
      <w:r w:rsidRPr="00821C14">
        <w:rPr>
          <w:rFonts w:cs="Calibri"/>
        </w:rPr>
        <w:t xml:space="preserve"> National Commission on Quality Assurance (NCQA), to the extent they are relevant to the SCO population.</w:t>
      </w:r>
    </w:p>
    <w:p w14:paraId="337F1960" w14:textId="77777777" w:rsidR="001E50CF" w:rsidRPr="00821C14" w:rsidRDefault="001E50CF" w:rsidP="00FC440A">
      <w:pPr>
        <w:pStyle w:val="Heading3"/>
        <w:rPr>
          <w:rFonts w:ascii="Calibri" w:hAnsi="Calibri" w:cs="Calibri"/>
        </w:rPr>
      </w:pPr>
      <w:bookmarkStart w:id="174" w:name="_Toc521939935"/>
      <w:bookmarkStart w:id="175" w:name="_Toc522025672"/>
      <w:bookmarkStart w:id="176" w:name="_Toc523490155"/>
      <w:bookmarkStart w:id="177" w:name="_Toc525294316"/>
      <w:bookmarkStart w:id="178" w:name="_Toc529177910"/>
      <w:r w:rsidRPr="00821C14">
        <w:rPr>
          <w:rFonts w:ascii="Calibri" w:hAnsi="Calibri" w:cs="Calibri"/>
        </w:rPr>
        <w:t>Program-Specific Requirements for Measurement and Improvement</w:t>
      </w:r>
      <w:bookmarkEnd w:id="174"/>
      <w:bookmarkEnd w:id="175"/>
      <w:bookmarkEnd w:id="176"/>
      <w:bookmarkEnd w:id="177"/>
      <w:bookmarkEnd w:id="178"/>
    </w:p>
    <w:p w14:paraId="2DFD3F22" w14:textId="77777777" w:rsidR="001E50CF" w:rsidRDefault="001E50CF" w:rsidP="00F50ED7">
      <w:pPr>
        <w:spacing w:after="0"/>
        <w:rPr>
          <w:rFonts w:cs="Calibri"/>
          <w:color w:val="000000"/>
        </w:rPr>
      </w:pPr>
      <w:r w:rsidRPr="00821C14">
        <w:rPr>
          <w:rFonts w:cs="Calibri"/>
          <w:color w:val="000000"/>
        </w:rPr>
        <w:t xml:space="preserve">Several of the </w:t>
      </w:r>
      <w:r w:rsidR="006B0B70" w:rsidRPr="00821C14">
        <w:rPr>
          <w:rFonts w:cs="Calibri"/>
          <w:color w:val="000000"/>
        </w:rPr>
        <w:t xml:space="preserve">MCEs </w:t>
      </w:r>
      <w:r w:rsidRPr="00821C14">
        <w:rPr>
          <w:rFonts w:cs="Calibri"/>
          <w:color w:val="000000"/>
        </w:rPr>
        <w:t>have additional requirements for measurement and improvement.</w:t>
      </w:r>
      <w:r w:rsidR="006B0B70" w:rsidRPr="00821C14">
        <w:rPr>
          <w:rFonts w:cs="Calibri"/>
          <w:color w:val="000000"/>
        </w:rPr>
        <w:t xml:space="preserve"> The following are example</w:t>
      </w:r>
      <w:r w:rsidR="00F80127" w:rsidRPr="00821C14">
        <w:rPr>
          <w:rFonts w:cs="Calibri"/>
          <w:color w:val="000000"/>
        </w:rPr>
        <w:t>s of</w:t>
      </w:r>
      <w:r w:rsidR="006B0B70" w:rsidRPr="00821C14">
        <w:rPr>
          <w:rFonts w:cs="Calibri"/>
          <w:color w:val="000000"/>
        </w:rPr>
        <w:t xml:space="preserve"> activities by MassHealth MCEs.</w:t>
      </w:r>
    </w:p>
    <w:p w14:paraId="676BCB39" w14:textId="77777777" w:rsidR="00AB38CD" w:rsidRDefault="00AB38CD" w:rsidP="00F50ED7">
      <w:pPr>
        <w:spacing w:after="0"/>
        <w:rPr>
          <w:rFonts w:cs="Calibri"/>
          <w:color w:val="000000"/>
        </w:rPr>
      </w:pPr>
    </w:p>
    <w:p w14:paraId="2D603BAD" w14:textId="77777777" w:rsidR="00670151" w:rsidRPr="00821C14" w:rsidRDefault="00670151" w:rsidP="009729DB">
      <w:pPr>
        <w:pStyle w:val="Heading6"/>
        <w:numPr>
          <w:ilvl w:val="0"/>
          <w:numId w:val="45"/>
        </w:numPr>
      </w:pPr>
      <w:r>
        <w:t>MCO and ACO Program</w:t>
      </w:r>
    </w:p>
    <w:p w14:paraId="5FDE19E3" w14:textId="77777777" w:rsidR="001E50CF" w:rsidRPr="00670151" w:rsidRDefault="001E50CF" w:rsidP="00AB38CD">
      <w:pPr>
        <w:pStyle w:val="Heading5"/>
        <w:numPr>
          <w:ilvl w:val="0"/>
          <w:numId w:val="0"/>
        </w:numPr>
        <w:ind w:left="360"/>
        <w:rPr>
          <w:rStyle w:val="IntenseEmphasis"/>
        </w:rPr>
      </w:pPr>
      <w:bookmarkStart w:id="179" w:name="_Toc366501543"/>
      <w:r w:rsidRPr="00670151">
        <w:rPr>
          <w:rStyle w:val="IntenseEmphasis"/>
        </w:rPr>
        <w:t>Quality Improvement Goals (QI Goals)</w:t>
      </w:r>
      <w:bookmarkEnd w:id="179"/>
    </w:p>
    <w:p w14:paraId="66940296" w14:textId="77777777" w:rsidR="001E50CF" w:rsidRPr="00821C14" w:rsidRDefault="00356A04" w:rsidP="00AB38CD">
      <w:pPr>
        <w:pStyle w:val="NormalIndent"/>
        <w:ind w:left="360"/>
        <w:rPr>
          <w:rFonts w:cs="Calibri"/>
        </w:rPr>
      </w:pPr>
      <w:r w:rsidRPr="00821C14">
        <w:rPr>
          <w:rFonts w:cs="Calibri"/>
        </w:rPr>
        <w:t>MassHealth requires</w:t>
      </w:r>
      <w:r w:rsidR="003E0EF2">
        <w:rPr>
          <w:rFonts w:cs="Calibri"/>
        </w:rPr>
        <w:t xml:space="preserve"> </w:t>
      </w:r>
      <w:r w:rsidR="001D1080">
        <w:rPr>
          <w:rFonts w:cs="Calibri"/>
        </w:rPr>
        <w:t>Accountable Care Partnership Plan</w:t>
      </w:r>
      <w:r w:rsidR="004D0F18">
        <w:rPr>
          <w:rFonts w:cs="Calibri"/>
        </w:rPr>
        <w:t>s</w:t>
      </w:r>
      <w:r w:rsidR="003E0EF2">
        <w:rPr>
          <w:rFonts w:cs="Calibri"/>
        </w:rPr>
        <w:t xml:space="preserve">, MCOs, SCOs, </w:t>
      </w:r>
      <w:r w:rsidR="009E6996">
        <w:rPr>
          <w:rFonts w:cs="Calibri"/>
        </w:rPr>
        <w:t>One Care</w:t>
      </w:r>
      <w:r w:rsidR="003E0EF2">
        <w:rPr>
          <w:rFonts w:cs="Calibri"/>
        </w:rPr>
        <w:t xml:space="preserve"> and </w:t>
      </w:r>
      <w:r w:rsidR="006B4FBC">
        <w:t>the BH Plan</w:t>
      </w:r>
      <w:r w:rsidR="001E50CF" w:rsidRPr="00821C14">
        <w:rPr>
          <w:rFonts w:cs="Calibri"/>
        </w:rPr>
        <w:t xml:space="preserve"> to conduct performance improvement projects, per </w:t>
      </w:r>
      <w:r w:rsidR="002C231C">
        <w:rPr>
          <w:rFonts w:cs="Calibri"/>
        </w:rPr>
        <w:t>Commonwealth</w:t>
      </w:r>
      <w:r w:rsidR="002C231C" w:rsidRPr="00821C14">
        <w:rPr>
          <w:rFonts w:cs="Calibri"/>
        </w:rPr>
        <w:t xml:space="preserve"> </w:t>
      </w:r>
      <w:r w:rsidR="001E50CF" w:rsidRPr="00821C14">
        <w:rPr>
          <w:rFonts w:cs="Calibri"/>
        </w:rPr>
        <w:t>specifications of QI goals and measures.</w:t>
      </w:r>
      <w:r w:rsidR="001D1080">
        <w:rPr>
          <w:rFonts w:cs="Calibri"/>
        </w:rPr>
        <w:t xml:space="preserve"> For </w:t>
      </w:r>
      <w:r w:rsidR="004D0F18">
        <w:rPr>
          <w:rFonts w:cs="Calibri"/>
        </w:rPr>
        <w:t xml:space="preserve">Accountable Care Partnership Plans </w:t>
      </w:r>
      <w:r w:rsidR="001D1080">
        <w:rPr>
          <w:rFonts w:cs="Calibri"/>
        </w:rPr>
        <w:t>and MCOs,</w:t>
      </w:r>
      <w:r w:rsidR="001E50CF" w:rsidRPr="00821C14">
        <w:rPr>
          <w:rFonts w:cs="Calibri"/>
        </w:rPr>
        <w:t xml:space="preserve"> QI goals focus </w:t>
      </w:r>
      <w:r w:rsidR="00670151">
        <w:rPr>
          <w:rFonts w:cs="Calibri"/>
        </w:rPr>
        <w:t>on two</w:t>
      </w:r>
      <w:r w:rsidR="0019716D" w:rsidRPr="00821C14">
        <w:rPr>
          <w:rFonts w:cs="Calibri"/>
        </w:rPr>
        <w:t xml:space="preserve"> </w:t>
      </w:r>
      <w:r w:rsidR="001E50CF" w:rsidRPr="00821C14">
        <w:rPr>
          <w:rFonts w:cs="Calibri"/>
        </w:rPr>
        <w:t>priority areas:</w:t>
      </w:r>
      <w:r w:rsidR="00670151">
        <w:rPr>
          <w:rFonts w:cs="Calibri"/>
        </w:rPr>
        <w:t xml:space="preserve">  1) behavioral health and 2) </w:t>
      </w:r>
      <w:r w:rsidR="0019716D">
        <w:rPr>
          <w:rFonts w:cs="Calibri"/>
        </w:rPr>
        <w:t>chronic</w:t>
      </w:r>
      <w:r w:rsidR="001E50CF" w:rsidRPr="00821C14">
        <w:rPr>
          <w:rFonts w:cs="Calibri"/>
        </w:rPr>
        <w:t xml:space="preserve"> disease management</w:t>
      </w:r>
      <w:r w:rsidR="00670151">
        <w:rPr>
          <w:rFonts w:cs="Calibri"/>
        </w:rPr>
        <w:t xml:space="preserve">. </w:t>
      </w:r>
      <w:r w:rsidRPr="00821C14">
        <w:rPr>
          <w:rFonts w:cs="Calibri"/>
        </w:rPr>
        <w:t xml:space="preserve">The selected </w:t>
      </w:r>
      <w:r w:rsidR="001E50CF" w:rsidRPr="00821C14">
        <w:rPr>
          <w:rFonts w:cs="Calibri"/>
        </w:rPr>
        <w:t>QI Goals measures and specifications are as consistent as p</w:t>
      </w:r>
      <w:r w:rsidR="00670151">
        <w:rPr>
          <w:rFonts w:cs="Calibri"/>
        </w:rPr>
        <w:t>ossible with corresponding performance measurement</w:t>
      </w:r>
      <w:r w:rsidR="001E50CF" w:rsidRPr="00821C14">
        <w:rPr>
          <w:rFonts w:cs="Calibri"/>
        </w:rPr>
        <w:t xml:space="preserve"> indicators to minimize duplicity and resource burden on </w:t>
      </w:r>
      <w:r w:rsidR="00444B20">
        <w:rPr>
          <w:rFonts w:cs="Calibri"/>
        </w:rPr>
        <w:t>plan</w:t>
      </w:r>
      <w:r w:rsidR="001E50CF" w:rsidRPr="00821C14">
        <w:rPr>
          <w:rFonts w:cs="Calibri"/>
        </w:rPr>
        <w:t xml:space="preserve">s and also to enhance comparability with national benchmarks.  </w:t>
      </w:r>
    </w:p>
    <w:p w14:paraId="57342EA0" w14:textId="77777777" w:rsidR="0019716D" w:rsidRDefault="0019716D" w:rsidP="00AB38CD">
      <w:pPr>
        <w:pStyle w:val="NormalIndent"/>
        <w:ind w:left="360"/>
      </w:pPr>
      <w:r>
        <w:t>The QI G</w:t>
      </w:r>
      <w:r w:rsidR="00670151">
        <w:t>oals measurement cycle spans a 2 or 3</w:t>
      </w:r>
      <w:r>
        <w:t xml:space="preserve">-year period which includes planning/baseline, mid-cycle, and final evaluations to allow for tracking of improvement gains.  For each QI goal </w:t>
      </w:r>
      <w:r w:rsidR="00670151">
        <w:t>cycle,</w:t>
      </w:r>
      <w:r>
        <w:t xml:space="preserve"> EOHHS will establish a series of QI goal domains as well as approve and/or designate measurement and quality improvement activities.</w:t>
      </w:r>
      <w:r w:rsidRPr="00821C14" w:rsidDel="0019716D">
        <w:rPr>
          <w:rFonts w:cs="Calibri"/>
        </w:rPr>
        <w:t xml:space="preserve"> </w:t>
      </w:r>
      <w:r>
        <w:rPr>
          <w:rFonts w:cs="Calibri"/>
        </w:rPr>
        <w:t xml:space="preserve">Annually, MCEs submit a progress report, focused on planning and modification to the previous year’s plans, and an annual reports measuring progress from the previous year. MCOs </w:t>
      </w:r>
      <w:r w:rsidR="001D1080">
        <w:rPr>
          <w:rFonts w:cs="Calibri"/>
        </w:rPr>
        <w:t xml:space="preserve">and </w:t>
      </w:r>
      <w:r w:rsidR="004D0F18">
        <w:rPr>
          <w:rFonts w:cs="Calibri"/>
        </w:rPr>
        <w:t xml:space="preserve">Accountable Care Partnership Plans </w:t>
      </w:r>
      <w:r>
        <w:rPr>
          <w:rFonts w:cs="Calibri"/>
        </w:rPr>
        <w:t xml:space="preserve">are also required to submit </w:t>
      </w:r>
      <w:r>
        <w:t xml:space="preserve">an annual QM/QI Work Plan, inclusive of </w:t>
      </w:r>
      <w:r w:rsidR="001D1080">
        <w:t>all elements outlined in the</w:t>
      </w:r>
      <w:r w:rsidR="004D0F18">
        <w:t>ir</w:t>
      </w:r>
      <w:r w:rsidR="001D1080">
        <w:t xml:space="preserve"> </w:t>
      </w:r>
      <w:r>
        <w:t>contract</w:t>
      </w:r>
      <w:r w:rsidR="001D1080">
        <w:t>s</w:t>
      </w:r>
      <w:r>
        <w:t xml:space="preserve">. </w:t>
      </w:r>
    </w:p>
    <w:p w14:paraId="07ED8CD1" w14:textId="77777777" w:rsidR="00CB3052" w:rsidRDefault="00CB3052" w:rsidP="00CB3052">
      <w:pPr>
        <w:pStyle w:val="NormalIndent"/>
        <w:ind w:left="360"/>
        <w:rPr>
          <w:rStyle w:val="IntenseEmphasis"/>
        </w:rPr>
      </w:pPr>
      <w:r>
        <w:rPr>
          <w:rStyle w:val="IntenseEmphasis"/>
        </w:rPr>
        <w:t>Performance Measurement</w:t>
      </w:r>
    </w:p>
    <w:p w14:paraId="3F3FD57D" w14:textId="4A434B01" w:rsidR="00CB3052" w:rsidRPr="008169E5" w:rsidRDefault="00CB3052" w:rsidP="00CB3052">
      <w:pPr>
        <w:ind w:left="360"/>
        <w:rPr>
          <w:rStyle w:val="IntenseEmphasis"/>
        </w:rPr>
      </w:pPr>
      <w:r>
        <w:t>MCO</w:t>
      </w:r>
      <w:r w:rsidR="003255C8">
        <w:t>,</w:t>
      </w:r>
      <w:r w:rsidR="006E5DEE">
        <w:t xml:space="preserve"> </w:t>
      </w:r>
      <w:r w:rsidR="003255C8">
        <w:t xml:space="preserve">ACPPS </w:t>
      </w:r>
      <w:r w:rsidR="006E5DEE">
        <w:t xml:space="preserve">Accountable Care Partnership Plans, </w:t>
      </w:r>
      <w:r w:rsidR="003255C8">
        <w:t xml:space="preserve">and Primary Care ACOs, </w:t>
      </w:r>
      <w:r w:rsidRPr="00F917BE">
        <w:t xml:space="preserve">are required to collect and report on </w:t>
      </w:r>
      <w:r>
        <w:t xml:space="preserve">a slate of measures identified by EOHHS, including HEDIS, CAHPS </w:t>
      </w:r>
      <w:r w:rsidRPr="00F917BE">
        <w:t xml:space="preserve">measures as set </w:t>
      </w:r>
      <w:r w:rsidRPr="00F917BE">
        <w:lastRenderedPageBreak/>
        <w:t>forth in</w:t>
      </w:r>
      <w:r>
        <w:t xml:space="preserve"> managed care contracts. The ACO program emphasizes performance measurement through its payment structure detailed in </w:t>
      </w:r>
      <w:r w:rsidRPr="008169E5">
        <w:rPr>
          <w:rFonts w:asciiTheme="minorHAnsi" w:hAnsiTheme="minorHAnsi"/>
        </w:rPr>
        <w:t xml:space="preserve">Section </w:t>
      </w:r>
      <w:r w:rsidRPr="008169E5">
        <w:rPr>
          <w:rFonts w:asciiTheme="minorHAnsi" w:hAnsiTheme="minorHAnsi"/>
        </w:rPr>
        <w:fldChar w:fldCharType="begin"/>
      </w:r>
      <w:r w:rsidRPr="008169E5">
        <w:rPr>
          <w:rFonts w:asciiTheme="minorHAnsi" w:hAnsiTheme="minorHAnsi"/>
        </w:rPr>
        <w:instrText xml:space="preserve"> REF _Ref523400811 \r \h </w:instrText>
      </w:r>
      <w:r w:rsidR="008169E5">
        <w:rPr>
          <w:rFonts w:asciiTheme="minorHAnsi" w:hAnsiTheme="minorHAnsi"/>
        </w:rPr>
        <w:instrText xml:space="preserve"> \* MERGEFORMAT </w:instrText>
      </w:r>
      <w:r w:rsidRPr="008169E5">
        <w:rPr>
          <w:rFonts w:asciiTheme="minorHAnsi" w:hAnsiTheme="minorHAnsi"/>
        </w:rPr>
      </w:r>
      <w:r w:rsidRPr="008169E5">
        <w:rPr>
          <w:rFonts w:asciiTheme="minorHAnsi" w:hAnsiTheme="minorHAnsi"/>
        </w:rPr>
        <w:fldChar w:fldCharType="separate"/>
      </w:r>
      <w:r w:rsidR="00207DB8">
        <w:rPr>
          <w:rFonts w:asciiTheme="minorHAnsi" w:hAnsiTheme="minorHAnsi"/>
        </w:rPr>
        <w:t>D</w:t>
      </w:r>
      <w:r w:rsidRPr="008169E5">
        <w:rPr>
          <w:rFonts w:asciiTheme="minorHAnsi" w:hAnsiTheme="minorHAnsi"/>
        </w:rPr>
        <w:fldChar w:fldCharType="end"/>
      </w:r>
      <w:r w:rsidRPr="008169E5">
        <w:rPr>
          <w:rFonts w:asciiTheme="minorHAnsi" w:hAnsiTheme="minorHAnsi"/>
        </w:rPr>
        <w:t xml:space="preserve">: </w:t>
      </w:r>
      <w:r w:rsidRPr="008169E5">
        <w:rPr>
          <w:rFonts w:asciiTheme="minorHAnsi" w:hAnsiTheme="minorHAnsi"/>
        </w:rPr>
        <w:fldChar w:fldCharType="begin"/>
      </w:r>
      <w:r w:rsidRPr="008169E5">
        <w:rPr>
          <w:rFonts w:asciiTheme="minorHAnsi" w:hAnsiTheme="minorHAnsi"/>
        </w:rPr>
        <w:instrText xml:space="preserve"> REF _Ref523400811 \h </w:instrText>
      </w:r>
      <w:r w:rsidR="008169E5">
        <w:rPr>
          <w:rFonts w:asciiTheme="minorHAnsi" w:hAnsiTheme="minorHAnsi"/>
        </w:rPr>
        <w:instrText xml:space="preserve"> \* MERGEFORMAT </w:instrText>
      </w:r>
      <w:r w:rsidRPr="008169E5">
        <w:rPr>
          <w:rFonts w:asciiTheme="minorHAnsi" w:hAnsiTheme="minorHAnsi"/>
        </w:rPr>
      </w:r>
      <w:r w:rsidRPr="008169E5">
        <w:rPr>
          <w:rFonts w:asciiTheme="minorHAnsi" w:hAnsiTheme="minorHAnsi"/>
        </w:rPr>
        <w:fldChar w:fldCharType="separate"/>
      </w:r>
      <w:r w:rsidR="00207DB8" w:rsidRPr="00207DB8">
        <w:rPr>
          <w:rStyle w:val="IntenseEmphasis"/>
          <w:b w:val="0"/>
          <w:bCs w:val="0"/>
          <w:i w:val="0"/>
          <w:iCs w:val="0"/>
          <w:color w:val="auto"/>
        </w:rPr>
        <w:t>ACO Performance Measurement and Payments</w:t>
      </w:r>
      <w:r w:rsidRPr="008169E5">
        <w:rPr>
          <w:rFonts w:asciiTheme="minorHAnsi" w:hAnsiTheme="minorHAnsi"/>
        </w:rPr>
        <w:fldChar w:fldCharType="end"/>
      </w:r>
      <w:r w:rsidR="003152CF" w:rsidRPr="008169E5">
        <w:rPr>
          <w:rFonts w:asciiTheme="minorHAnsi" w:hAnsiTheme="minorHAnsi"/>
        </w:rPr>
        <w:t>.</w:t>
      </w:r>
    </w:p>
    <w:p w14:paraId="0EEDF2A8" w14:textId="77777777" w:rsidR="00AB38CD" w:rsidRPr="00AB38CD" w:rsidRDefault="001E50CF" w:rsidP="00AB38CD">
      <w:pPr>
        <w:pStyle w:val="Heading6"/>
      </w:pPr>
      <w:r w:rsidRPr="00821C14">
        <w:t>SCO Program</w:t>
      </w:r>
    </w:p>
    <w:p w14:paraId="5982CD21" w14:textId="77777777" w:rsidR="00B113BC" w:rsidRPr="001703E5" w:rsidRDefault="00B113BC" w:rsidP="00AB38CD">
      <w:pPr>
        <w:spacing w:after="120"/>
        <w:ind w:left="360"/>
        <w:rPr>
          <w:rStyle w:val="IntenseEmphasis"/>
          <w:sz w:val="20"/>
        </w:rPr>
      </w:pPr>
      <w:bookmarkStart w:id="180" w:name="_Toc366501541"/>
      <w:r w:rsidRPr="001703E5">
        <w:rPr>
          <w:rStyle w:val="IntenseEmphasis"/>
        </w:rPr>
        <w:t xml:space="preserve">Performance Measurement </w:t>
      </w:r>
    </w:p>
    <w:p w14:paraId="0A044A60" w14:textId="77777777" w:rsidR="00B113BC" w:rsidRPr="00B113BC" w:rsidRDefault="00B113BC" w:rsidP="00AB38CD">
      <w:pPr>
        <w:ind w:left="360"/>
        <w:rPr>
          <w:rStyle w:val="IntenseEmphasis"/>
          <w:sz w:val="24"/>
        </w:rPr>
      </w:pPr>
      <w:r>
        <w:t>SCO</w:t>
      </w:r>
      <w:r w:rsidRPr="00F917BE">
        <w:t xml:space="preserve"> plans are required</w:t>
      </w:r>
      <w:r>
        <w:t xml:space="preserve"> to collect and report on HEDIS</w:t>
      </w:r>
      <w:r w:rsidRPr="00F917BE">
        <w:t xml:space="preserve"> measures as set forth in</w:t>
      </w:r>
      <w:r>
        <w:t xml:space="preserve"> Appendix L of their contract. Their Quality Management Programs must include a </w:t>
      </w:r>
      <w:r w:rsidRPr="00AB6641">
        <w:t>process to utilize HEDIS results in designing QM/QI activities</w:t>
      </w:r>
    </w:p>
    <w:p w14:paraId="61A6011E" w14:textId="77777777" w:rsidR="001E50CF" w:rsidRPr="00670151" w:rsidRDefault="001E50CF" w:rsidP="00AB38CD">
      <w:pPr>
        <w:pStyle w:val="Heading5"/>
        <w:numPr>
          <w:ilvl w:val="0"/>
          <w:numId w:val="0"/>
        </w:numPr>
        <w:ind w:left="360"/>
        <w:rPr>
          <w:rStyle w:val="IntenseEmphasis"/>
        </w:rPr>
      </w:pPr>
      <w:r w:rsidRPr="00670151">
        <w:rPr>
          <w:rStyle w:val="IntenseEmphasis"/>
        </w:rPr>
        <w:t>SCO Performance Improvement Projects</w:t>
      </w:r>
      <w:bookmarkEnd w:id="180"/>
    </w:p>
    <w:p w14:paraId="3885B73D" w14:textId="77777777" w:rsidR="001E50CF" w:rsidRPr="00821C14" w:rsidRDefault="001E50CF" w:rsidP="00AB38CD">
      <w:pPr>
        <w:pStyle w:val="NormalIndent"/>
        <w:ind w:left="360"/>
        <w:rPr>
          <w:rFonts w:cs="Calibri"/>
        </w:rPr>
      </w:pPr>
      <w:r w:rsidRPr="00821C14">
        <w:rPr>
          <w:rFonts w:cs="Calibri"/>
        </w:rPr>
        <w:t xml:space="preserve">Plans contracted </w:t>
      </w:r>
      <w:r w:rsidR="00FE4DB5">
        <w:rPr>
          <w:rFonts w:cs="Calibri"/>
        </w:rPr>
        <w:t>by</w:t>
      </w:r>
      <w:r w:rsidR="003E0EF2">
        <w:rPr>
          <w:rFonts w:cs="Calibri"/>
        </w:rPr>
        <w:t xml:space="preserve"> </w:t>
      </w:r>
      <w:r w:rsidRPr="00821C14">
        <w:rPr>
          <w:rFonts w:cs="Calibri"/>
        </w:rPr>
        <w:t xml:space="preserve">the SCO Program are required to annually develop two specific performance improvement projects </w:t>
      </w:r>
      <w:r w:rsidR="00511B51">
        <w:rPr>
          <w:rFonts w:cs="Calibri"/>
        </w:rPr>
        <w:t xml:space="preserve">focusing on </w:t>
      </w:r>
      <w:r w:rsidR="004E5D36">
        <w:rPr>
          <w:rFonts w:cs="Calibri"/>
        </w:rPr>
        <w:t>BH</w:t>
      </w:r>
      <w:r w:rsidR="00511B51">
        <w:rPr>
          <w:rFonts w:cs="Calibri"/>
        </w:rPr>
        <w:t xml:space="preserve"> or chronic disease management</w:t>
      </w:r>
      <w:r w:rsidRPr="00821C14">
        <w:rPr>
          <w:rFonts w:cs="Calibri"/>
        </w:rPr>
        <w:t xml:space="preserve"> </w:t>
      </w:r>
      <w:r w:rsidR="00511B51">
        <w:rPr>
          <w:rFonts w:cs="Calibri"/>
        </w:rPr>
        <w:t xml:space="preserve">and </w:t>
      </w:r>
      <w:r w:rsidRPr="00821C14">
        <w:rPr>
          <w:rFonts w:cs="Calibri"/>
        </w:rPr>
        <w:t xml:space="preserve">provide documentation on each project. </w:t>
      </w:r>
    </w:p>
    <w:p w14:paraId="7CD362BE" w14:textId="77777777" w:rsidR="001E50CF" w:rsidRPr="00670151" w:rsidRDefault="001E50CF" w:rsidP="00AB38CD">
      <w:pPr>
        <w:pStyle w:val="Heading5"/>
        <w:numPr>
          <w:ilvl w:val="0"/>
          <w:numId w:val="0"/>
        </w:numPr>
        <w:ind w:left="360"/>
        <w:rPr>
          <w:rStyle w:val="IntenseEmphasis"/>
        </w:rPr>
      </w:pPr>
      <w:bookmarkStart w:id="181" w:name="_Toc366501542"/>
      <w:r w:rsidRPr="00670151">
        <w:rPr>
          <w:rStyle w:val="IntenseEmphasis"/>
        </w:rPr>
        <w:t>Annual Enrollee Survey for Contracted SCO Plans</w:t>
      </w:r>
      <w:bookmarkEnd w:id="181"/>
    </w:p>
    <w:p w14:paraId="54800D15" w14:textId="77777777" w:rsidR="00023B94" w:rsidRPr="00917D6C" w:rsidRDefault="00023B94" w:rsidP="00AB38CD">
      <w:pPr>
        <w:pStyle w:val="Body4"/>
        <w:ind w:left="360"/>
      </w:pPr>
      <w:r>
        <w:t>Plans</w:t>
      </w:r>
      <w:r w:rsidRPr="00917D6C">
        <w:t xml:space="preserve"> must conduct</w:t>
      </w:r>
      <w:r>
        <w:t xml:space="preserve"> </w:t>
      </w:r>
      <w:r w:rsidR="00515069">
        <w:t xml:space="preserve">an annual SCO-level </w:t>
      </w:r>
      <w:r w:rsidRPr="002B2603">
        <w:t xml:space="preserve">CAHPS survey, including the Persons with Mobility Impairment Supplemental Questions, using an approved CAHPS vendor and report CAHPS data to EOHHS </w:t>
      </w:r>
      <w:r>
        <w:t xml:space="preserve">annually. </w:t>
      </w:r>
    </w:p>
    <w:p w14:paraId="4F82B46C" w14:textId="77777777" w:rsidR="001E50CF" w:rsidRPr="00821C14" w:rsidRDefault="001E50CF" w:rsidP="00670151">
      <w:pPr>
        <w:pStyle w:val="Heading6"/>
      </w:pPr>
      <w:bookmarkStart w:id="182" w:name="_Toc366501546"/>
      <w:r w:rsidRPr="00821C14">
        <w:t>One Care Program</w:t>
      </w:r>
    </w:p>
    <w:p w14:paraId="64506C3F" w14:textId="77777777" w:rsidR="0065508E" w:rsidRPr="001703E5" w:rsidRDefault="0065508E" w:rsidP="00AB38CD">
      <w:pPr>
        <w:spacing w:after="0"/>
        <w:ind w:left="360"/>
        <w:rPr>
          <w:rStyle w:val="IntenseEmphasis"/>
        </w:rPr>
      </w:pPr>
      <w:r w:rsidRPr="001703E5">
        <w:rPr>
          <w:rStyle w:val="IntenseEmphasis"/>
        </w:rPr>
        <w:t xml:space="preserve">Performance Measurement </w:t>
      </w:r>
    </w:p>
    <w:p w14:paraId="7C55A4FE" w14:textId="77777777" w:rsidR="0065508E" w:rsidRPr="00F917BE" w:rsidRDefault="0065508E" w:rsidP="00AB38CD">
      <w:pPr>
        <w:spacing w:after="0"/>
        <w:ind w:left="360"/>
        <w:rPr>
          <w:rFonts w:eastAsia="Times New Roman" w:cs="Calibri"/>
          <w:color w:val="000000"/>
        </w:rPr>
      </w:pPr>
      <w:r w:rsidRPr="00F917BE">
        <w:rPr>
          <w:rFonts w:eastAsia="Times New Roman" w:cs="Calibri"/>
          <w:color w:val="000000"/>
        </w:rPr>
        <w:t>One Care plans are required to collect and report on HEDIS, CAHPS, the Health Outcomes Survey and additional measures as set forth in</w:t>
      </w:r>
      <w:r w:rsidR="00F917BE">
        <w:rPr>
          <w:rFonts w:eastAsia="Times New Roman" w:cs="Calibri"/>
          <w:color w:val="000000"/>
        </w:rPr>
        <w:t xml:space="preserve"> the Memorandum </w:t>
      </w:r>
      <w:r w:rsidR="001703E5">
        <w:rPr>
          <w:rFonts w:eastAsia="Times New Roman" w:cs="Calibri"/>
          <w:color w:val="000000"/>
        </w:rPr>
        <w:t>of</w:t>
      </w:r>
      <w:r w:rsidR="00F917BE">
        <w:rPr>
          <w:rFonts w:eastAsia="Times New Roman" w:cs="Calibri"/>
          <w:color w:val="000000"/>
        </w:rPr>
        <w:t xml:space="preserve"> Understanding between CM</w:t>
      </w:r>
      <w:r w:rsidR="001703E5">
        <w:rPr>
          <w:rFonts w:eastAsia="Times New Roman" w:cs="Calibri"/>
          <w:color w:val="000000"/>
        </w:rPr>
        <w:t xml:space="preserve">S and the State related to the </w:t>
      </w:r>
      <w:r w:rsidR="009E6996">
        <w:rPr>
          <w:rFonts w:eastAsia="Times New Roman" w:cs="Calibri"/>
          <w:color w:val="000000"/>
        </w:rPr>
        <w:t>One Care</w:t>
      </w:r>
      <w:r w:rsidR="00F917BE">
        <w:rPr>
          <w:rFonts w:eastAsia="Times New Roman" w:cs="Calibri"/>
          <w:color w:val="000000"/>
        </w:rPr>
        <w:t xml:space="preserve"> demonstration project. </w:t>
      </w:r>
    </w:p>
    <w:p w14:paraId="7CA7AAFE" w14:textId="77777777" w:rsidR="0065508E" w:rsidRPr="00F917BE" w:rsidRDefault="0065508E" w:rsidP="00AB38CD">
      <w:pPr>
        <w:spacing w:after="0"/>
        <w:ind w:left="1080"/>
        <w:rPr>
          <w:rFonts w:eastAsia="Times New Roman" w:cs="Calibri"/>
          <w:b/>
          <w:bCs/>
          <w:color w:val="000000"/>
        </w:rPr>
      </w:pPr>
    </w:p>
    <w:p w14:paraId="4757C2E4" w14:textId="77777777" w:rsidR="0065508E" w:rsidRPr="00733253" w:rsidRDefault="0065508E" w:rsidP="00AB38CD">
      <w:pPr>
        <w:spacing w:after="0"/>
        <w:ind w:left="360"/>
        <w:rPr>
          <w:rStyle w:val="IntenseEmphasis"/>
        </w:rPr>
      </w:pPr>
      <w:r w:rsidRPr="00733253">
        <w:rPr>
          <w:rStyle w:val="IntenseEmphasis"/>
        </w:rPr>
        <w:t>Continuous Review and Monitoring</w:t>
      </w:r>
    </w:p>
    <w:p w14:paraId="0CDC7EF8" w14:textId="77777777" w:rsidR="0065508E" w:rsidRPr="00F917BE" w:rsidRDefault="0065508E" w:rsidP="00AB38CD">
      <w:pPr>
        <w:spacing w:after="0"/>
        <w:ind w:left="360"/>
        <w:rPr>
          <w:rFonts w:eastAsia="Times New Roman" w:cs="Calibri"/>
          <w:color w:val="000000"/>
        </w:rPr>
      </w:pPr>
      <w:r w:rsidRPr="00F917BE">
        <w:rPr>
          <w:rFonts w:eastAsia="Times New Roman" w:cs="Calibri"/>
          <w:color w:val="000000"/>
        </w:rPr>
        <w:t xml:space="preserve">Several working groups support the quality review and monitoring of </w:t>
      </w:r>
      <w:r w:rsidR="00F82A07">
        <w:rPr>
          <w:rFonts w:eastAsia="Times New Roman" w:cs="Calibri"/>
          <w:color w:val="000000"/>
        </w:rPr>
        <w:t>One Care</w:t>
      </w:r>
      <w:r w:rsidRPr="00F917BE">
        <w:rPr>
          <w:rFonts w:eastAsia="Times New Roman" w:cs="Calibri"/>
          <w:color w:val="000000"/>
        </w:rPr>
        <w:t>.  The Plan Quality Workgroup includes quality and medical staff from the plans and contract monitoring takes place on a daily basis.</w:t>
      </w:r>
    </w:p>
    <w:p w14:paraId="01FFB748" w14:textId="77777777" w:rsidR="001E50CF" w:rsidRPr="00733253" w:rsidRDefault="001E50CF" w:rsidP="00AB38CD">
      <w:pPr>
        <w:pStyle w:val="Heading5"/>
        <w:numPr>
          <w:ilvl w:val="0"/>
          <w:numId w:val="0"/>
        </w:numPr>
        <w:ind w:left="360"/>
        <w:rPr>
          <w:rStyle w:val="IntenseEmphasis"/>
          <w:rFonts w:cstheme="minorHAnsi"/>
        </w:rPr>
      </w:pPr>
      <w:r w:rsidRPr="00733253">
        <w:rPr>
          <w:rStyle w:val="IntenseEmphasis"/>
          <w:rFonts w:cstheme="minorHAnsi"/>
        </w:rPr>
        <w:t>Quality Improvement Projects</w:t>
      </w:r>
    </w:p>
    <w:p w14:paraId="4A26E7B3" w14:textId="77777777" w:rsidR="00135AE4" w:rsidRDefault="001E50CF" w:rsidP="00AB38CD">
      <w:pPr>
        <w:pStyle w:val="NormalIndent"/>
        <w:ind w:left="360"/>
        <w:rPr>
          <w:rFonts w:cs="Calibri"/>
        </w:rPr>
      </w:pPr>
      <w:r w:rsidRPr="00F917BE">
        <w:rPr>
          <w:rFonts w:cs="Calibri"/>
        </w:rPr>
        <w:t xml:space="preserve">The One Care </w:t>
      </w:r>
      <w:r w:rsidR="00291A48">
        <w:rPr>
          <w:rFonts w:cs="Calibri"/>
        </w:rPr>
        <w:t xml:space="preserve">plans report annually on two quality improvement projects. One project maintains a focus area on improving outcomes for members with a chronic condition. The other focuses on a second quality improvement area. Plans are expected to use information about their member population to develop interventions that have a high impact on a significant number of members. </w:t>
      </w:r>
      <w:r w:rsidR="00135AE4">
        <w:rPr>
          <w:rFonts w:cs="Calibri"/>
        </w:rPr>
        <w:t xml:space="preserve"> </w:t>
      </w:r>
    </w:p>
    <w:p w14:paraId="51938DC1" w14:textId="77777777" w:rsidR="001E50CF" w:rsidRPr="00821C14" w:rsidRDefault="001E50CF" w:rsidP="00291A48">
      <w:pPr>
        <w:pStyle w:val="Heading6"/>
      </w:pPr>
      <w:r w:rsidRPr="00821C14">
        <w:t>PCC Plan</w:t>
      </w:r>
      <w:r w:rsidR="00F80127" w:rsidRPr="00821C14">
        <w:t xml:space="preserve"> </w:t>
      </w:r>
      <w:r w:rsidR="00A12BF5">
        <w:t xml:space="preserve">Quality </w:t>
      </w:r>
      <w:r w:rsidR="00F80127" w:rsidRPr="00821C14">
        <w:t>Program</w:t>
      </w:r>
    </w:p>
    <w:p w14:paraId="24B1F9C9" w14:textId="77777777" w:rsidR="007523EC" w:rsidRDefault="007523EC" w:rsidP="00AB38CD">
      <w:pPr>
        <w:ind w:left="360"/>
        <w:rPr>
          <w:rFonts w:cs="Calibri"/>
        </w:rPr>
      </w:pPr>
      <w:bookmarkStart w:id="183" w:name="_Toc366501540"/>
      <w:r w:rsidRPr="00821C14">
        <w:rPr>
          <w:rFonts w:cs="Calibri"/>
        </w:rPr>
        <w:t xml:space="preserve">In collaboration with </w:t>
      </w:r>
      <w:r w:rsidR="006B4FBC">
        <w:t>the BH Plan</w:t>
      </w:r>
      <w:r w:rsidRPr="00821C14">
        <w:rPr>
          <w:rFonts w:cs="Calibri"/>
        </w:rPr>
        <w:t>, the PCC Plan produces reports to assist PCCs in addressing</w:t>
      </w:r>
      <w:r>
        <w:rPr>
          <w:rFonts w:cs="Calibri"/>
        </w:rPr>
        <w:t xml:space="preserve"> members with high and emerging risk as identified through a claims-based algorithm. PCCs refer members as needed to </w:t>
      </w:r>
      <w:r w:rsidR="006B4FBC">
        <w:t>the BH Plan</w:t>
      </w:r>
      <w:r>
        <w:rPr>
          <w:rFonts w:cs="Calibri"/>
        </w:rPr>
        <w:t xml:space="preserve"> for integrated care management supports.   </w:t>
      </w:r>
      <w:r w:rsidRPr="00821C14">
        <w:rPr>
          <w:rFonts w:cs="Calibri"/>
        </w:rPr>
        <w:t xml:space="preserve"> Through </w:t>
      </w:r>
      <w:r w:rsidR="00BD7874">
        <w:rPr>
          <w:rFonts w:cs="Calibri"/>
        </w:rPr>
        <w:t>Plan</w:t>
      </w:r>
      <w:r w:rsidR="00BD7874" w:rsidRPr="00821C14">
        <w:rPr>
          <w:rFonts w:cs="Calibri"/>
        </w:rPr>
        <w:t xml:space="preserve"> </w:t>
      </w:r>
      <w:r w:rsidRPr="00821C14">
        <w:rPr>
          <w:rFonts w:cs="Calibri"/>
        </w:rPr>
        <w:t xml:space="preserve">Management Support Services, which include face-to-face site visits, the data are used to </w:t>
      </w:r>
      <w:r w:rsidR="00FE4DB5">
        <w:rPr>
          <w:rFonts w:cs="Calibri"/>
        </w:rPr>
        <w:t>support the development of</w:t>
      </w:r>
      <w:r w:rsidRPr="00821C14">
        <w:rPr>
          <w:rFonts w:cs="Calibri"/>
        </w:rPr>
        <w:t xml:space="preserve"> practice-level quality improvement initiatives.</w:t>
      </w:r>
      <w:r>
        <w:rPr>
          <w:rFonts w:cs="Calibri"/>
        </w:rPr>
        <w:t xml:space="preserve"> </w:t>
      </w:r>
    </w:p>
    <w:p w14:paraId="5AC8513C" w14:textId="77777777" w:rsidR="00A12BF5" w:rsidRDefault="00A12BF5" w:rsidP="00AB38CD">
      <w:pPr>
        <w:ind w:left="360"/>
        <w:rPr>
          <w:rFonts w:cs="Calibri"/>
        </w:rPr>
      </w:pPr>
      <w:r>
        <w:rPr>
          <w:rFonts w:cs="Calibri"/>
        </w:rPr>
        <w:t xml:space="preserve">The PCC Plan also participates in the annual collection and review of HEDIS measurement to assess quality of care. </w:t>
      </w:r>
    </w:p>
    <w:p w14:paraId="51E153FF" w14:textId="77777777" w:rsidR="001703E5" w:rsidRPr="00AD2DBB" w:rsidRDefault="00CB3052" w:rsidP="00AD2DBB">
      <w:pPr>
        <w:pStyle w:val="Heading3"/>
        <w:rPr>
          <w:rStyle w:val="IntenseEmphasis"/>
          <w:rFonts w:ascii="Cambria" w:hAnsi="Cambria"/>
          <w:b/>
          <w:bCs/>
          <w:i/>
          <w:iCs w:val="0"/>
          <w:color w:val="auto"/>
          <w:sz w:val="22"/>
        </w:rPr>
      </w:pPr>
      <w:bookmarkStart w:id="184" w:name="_Ref523400811"/>
      <w:bookmarkStart w:id="185" w:name="_Toc523490156"/>
      <w:bookmarkStart w:id="186" w:name="_Toc525294317"/>
      <w:bookmarkStart w:id="187" w:name="_Toc529177911"/>
      <w:r w:rsidRPr="00AD2DBB">
        <w:rPr>
          <w:rStyle w:val="IntenseEmphasis"/>
          <w:rFonts w:ascii="Cambria" w:hAnsi="Cambria"/>
          <w:b/>
          <w:bCs/>
          <w:i/>
          <w:iCs w:val="0"/>
          <w:color w:val="auto"/>
          <w:sz w:val="22"/>
        </w:rPr>
        <w:t>ACO Performance M</w:t>
      </w:r>
      <w:r w:rsidR="001703E5" w:rsidRPr="00AD2DBB">
        <w:rPr>
          <w:rStyle w:val="IntenseEmphasis"/>
          <w:rFonts w:ascii="Cambria" w:hAnsi="Cambria"/>
          <w:b/>
          <w:bCs/>
          <w:i/>
          <w:iCs w:val="0"/>
          <w:color w:val="auto"/>
          <w:sz w:val="22"/>
        </w:rPr>
        <w:t>easurement and Payments</w:t>
      </w:r>
      <w:bookmarkEnd w:id="184"/>
      <w:bookmarkEnd w:id="185"/>
      <w:bookmarkEnd w:id="186"/>
      <w:bookmarkEnd w:id="187"/>
    </w:p>
    <w:p w14:paraId="4C603860" w14:textId="77777777" w:rsidR="00CB3052" w:rsidRDefault="00CB3052" w:rsidP="00AB38CD">
      <w:pPr>
        <w:ind w:left="360"/>
        <w:contextualSpacing/>
        <w:rPr>
          <w:szCs w:val="24"/>
        </w:rPr>
      </w:pPr>
    </w:p>
    <w:p w14:paraId="225F9371" w14:textId="77777777" w:rsidR="0037064C" w:rsidRPr="00AD2DBB" w:rsidRDefault="00AD2DBB" w:rsidP="00AD2DBB">
      <w:pPr>
        <w:contextualSpacing/>
        <w:rPr>
          <w:szCs w:val="24"/>
        </w:rPr>
      </w:pPr>
      <w:r>
        <w:rPr>
          <w:szCs w:val="24"/>
        </w:rPr>
        <w:lastRenderedPageBreak/>
        <w:t>The ACO model</w:t>
      </w:r>
      <w:r w:rsidR="00CE79AC">
        <w:rPr>
          <w:szCs w:val="24"/>
        </w:rPr>
        <w:t>s</w:t>
      </w:r>
      <w:r>
        <w:rPr>
          <w:szCs w:val="24"/>
        </w:rPr>
        <w:t>’</w:t>
      </w:r>
      <w:r w:rsidR="00CE79AC">
        <w:rPr>
          <w:szCs w:val="24"/>
        </w:rPr>
        <w:t xml:space="preserve"> </w:t>
      </w:r>
      <w:r w:rsidR="00291A48">
        <w:rPr>
          <w:szCs w:val="24"/>
        </w:rPr>
        <w:t xml:space="preserve">emphasis </w:t>
      </w:r>
      <w:r w:rsidR="00291A48" w:rsidRPr="00CE79AC">
        <w:rPr>
          <w:szCs w:val="24"/>
        </w:rPr>
        <w:t>is</w:t>
      </w:r>
      <w:r w:rsidR="00CE79AC" w:rsidRPr="00CE79AC">
        <w:rPr>
          <w:szCs w:val="24"/>
        </w:rPr>
        <w:t xml:space="preserve"> on coordination, quality, and cost effectiveness, with a strong member focus. </w:t>
      </w:r>
      <w:r>
        <w:rPr>
          <w:szCs w:val="24"/>
        </w:rPr>
        <w:t xml:space="preserve">The ACO entities </w:t>
      </w:r>
      <w:r w:rsidR="0037064C" w:rsidRPr="0037064C">
        <w:rPr>
          <w:szCs w:val="24"/>
        </w:rPr>
        <w:t xml:space="preserve">engage in performance measurement and performance improvement projects, designed to achieve </w:t>
      </w:r>
      <w:r w:rsidR="0037064C">
        <w:rPr>
          <w:szCs w:val="24"/>
        </w:rPr>
        <w:t xml:space="preserve">improvements </w:t>
      </w:r>
      <w:r w:rsidR="0037064C" w:rsidRPr="0037064C">
        <w:rPr>
          <w:szCs w:val="24"/>
        </w:rPr>
        <w:t>in clinical care and non-clinical care processes, outcomes and Enrollee satisfaction</w:t>
      </w:r>
      <w:r w:rsidR="0037064C">
        <w:rPr>
          <w:szCs w:val="24"/>
        </w:rPr>
        <w:t xml:space="preserve">. </w:t>
      </w:r>
      <w:r w:rsidR="00EC71C3">
        <w:rPr>
          <w:rFonts w:cs="Calibri"/>
        </w:rPr>
        <w:t xml:space="preserve">ACO and MCO members with complex BH and LTSS needs also participate in the Community </w:t>
      </w:r>
      <w:r>
        <w:rPr>
          <w:rFonts w:cs="Calibri"/>
        </w:rPr>
        <w:t xml:space="preserve">Partners (CP) program. </w:t>
      </w:r>
      <w:r w:rsidR="00EC71C3">
        <w:rPr>
          <w:rFonts w:cs="Calibri"/>
        </w:rPr>
        <w:t xml:space="preserve">CPs also </w:t>
      </w:r>
      <w:proofErr w:type="gramStart"/>
      <w:r w:rsidR="00EC71C3">
        <w:rPr>
          <w:rFonts w:cs="Calibri"/>
        </w:rPr>
        <w:t>participate</w:t>
      </w:r>
      <w:proofErr w:type="gramEnd"/>
      <w:r w:rsidR="00EC71C3">
        <w:rPr>
          <w:rFonts w:cs="Calibri"/>
        </w:rPr>
        <w:t xml:space="preserve"> in performance measurement consistent with the ACO program and unique to the program, specific to addressing and monitoring the care and needs of the population.  </w:t>
      </w:r>
      <w:r w:rsidR="0037064C">
        <w:rPr>
          <w:szCs w:val="24"/>
        </w:rPr>
        <w:t>Ongoing measurement will be central to holding ACOs</w:t>
      </w:r>
      <w:r w:rsidR="00EC71C3">
        <w:rPr>
          <w:szCs w:val="24"/>
        </w:rPr>
        <w:t xml:space="preserve"> </w:t>
      </w:r>
      <w:r w:rsidR="0037064C">
        <w:rPr>
          <w:szCs w:val="24"/>
        </w:rPr>
        <w:t>accountable for providing high-va</w:t>
      </w:r>
      <w:r w:rsidR="00733253">
        <w:rPr>
          <w:szCs w:val="24"/>
        </w:rPr>
        <w:t>l</w:t>
      </w:r>
      <w:r w:rsidR="0037064C">
        <w:rPr>
          <w:szCs w:val="24"/>
        </w:rPr>
        <w:t xml:space="preserve">ue care across a variety of measures that is sustained over time. These measures will be used both for payment purposes, as well as reporting to MassHealth and CMS. </w:t>
      </w:r>
      <w:r w:rsidR="0037064C">
        <w:rPr>
          <w:rFonts w:cs="Calibri"/>
        </w:rPr>
        <w:t>The</w:t>
      </w:r>
      <w:r w:rsidR="0037064C" w:rsidRPr="0037064C">
        <w:rPr>
          <w:rFonts w:cs="Calibri"/>
        </w:rPr>
        <w:t xml:space="preserve"> </w:t>
      </w:r>
      <w:r w:rsidR="0037064C">
        <w:rPr>
          <w:rFonts w:cs="Calibri"/>
        </w:rPr>
        <w:t>ACO payment model includes significant financial incentives for ACO</w:t>
      </w:r>
      <w:r w:rsidR="00733253">
        <w:rPr>
          <w:rFonts w:cs="Calibri"/>
        </w:rPr>
        <w:t>s to provide strong performance</w:t>
      </w:r>
      <w:r w:rsidR="0037064C">
        <w:rPr>
          <w:rFonts w:cs="Calibri"/>
        </w:rPr>
        <w:t xml:space="preserve"> </w:t>
      </w:r>
      <w:r w:rsidR="0037064C" w:rsidRPr="0037064C">
        <w:rPr>
          <w:rFonts w:cs="Calibri"/>
        </w:rPr>
        <w:t xml:space="preserve">on cost and </w:t>
      </w:r>
      <w:r w:rsidR="0037064C">
        <w:rPr>
          <w:rFonts w:cs="Calibri"/>
        </w:rPr>
        <w:t xml:space="preserve">quality. To ensure appropriate </w:t>
      </w:r>
      <w:r w:rsidR="0037064C" w:rsidRPr="0037064C">
        <w:rPr>
          <w:rFonts w:cs="Calibri"/>
        </w:rPr>
        <w:t xml:space="preserve">accountability on </w:t>
      </w:r>
      <w:r w:rsidR="001703E5">
        <w:rPr>
          <w:rFonts w:cs="Calibri"/>
        </w:rPr>
        <w:t>the part of ACOs, all ACOs</w:t>
      </w:r>
      <w:r w:rsidR="0037064C">
        <w:rPr>
          <w:rFonts w:cs="Calibri"/>
        </w:rPr>
        <w:t xml:space="preserve"> </w:t>
      </w:r>
      <w:r w:rsidR="0037064C" w:rsidRPr="0037064C">
        <w:rPr>
          <w:rFonts w:cs="Calibri"/>
        </w:rPr>
        <w:t>bear some degree o</w:t>
      </w:r>
      <w:r w:rsidR="0037064C">
        <w:rPr>
          <w:rFonts w:cs="Calibri"/>
        </w:rPr>
        <w:t xml:space="preserve">f downside risk; different ACO </w:t>
      </w:r>
      <w:r w:rsidR="001703E5">
        <w:rPr>
          <w:rFonts w:cs="Calibri"/>
        </w:rPr>
        <w:t xml:space="preserve">models and risk tracks </w:t>
      </w:r>
      <w:r w:rsidR="0037064C" w:rsidRPr="0037064C">
        <w:rPr>
          <w:rFonts w:cs="Calibri"/>
        </w:rPr>
        <w:t>allow ACOs to appropriately match their l</w:t>
      </w:r>
      <w:r w:rsidR="0037064C">
        <w:rPr>
          <w:rFonts w:cs="Calibri"/>
        </w:rPr>
        <w:t xml:space="preserve">evel of downside risk to their </w:t>
      </w:r>
      <w:r w:rsidR="0037064C" w:rsidRPr="0037064C">
        <w:rPr>
          <w:rFonts w:cs="Calibri"/>
        </w:rPr>
        <w:t>capabilities and financial readiness</w:t>
      </w:r>
      <w:r w:rsidR="004D0F18">
        <w:rPr>
          <w:rFonts w:cs="Calibri"/>
        </w:rPr>
        <w:t>.</w:t>
      </w:r>
    </w:p>
    <w:p w14:paraId="47A8245A" w14:textId="77777777" w:rsidR="001E50CF" w:rsidRPr="00821C14" w:rsidRDefault="001E50CF" w:rsidP="007513C1">
      <w:pPr>
        <w:pStyle w:val="Heading3"/>
        <w:rPr>
          <w:rFonts w:ascii="Calibri" w:hAnsi="Calibri" w:cs="Calibri"/>
        </w:rPr>
      </w:pPr>
      <w:bookmarkStart w:id="188" w:name="_Toc521939936"/>
      <w:bookmarkStart w:id="189" w:name="_Toc522025673"/>
      <w:bookmarkStart w:id="190" w:name="_Toc523490157"/>
      <w:bookmarkStart w:id="191" w:name="_Toc525294318"/>
      <w:bookmarkStart w:id="192" w:name="_Toc529177912"/>
      <w:bookmarkEnd w:id="183"/>
      <w:r w:rsidRPr="00821C14">
        <w:rPr>
          <w:rFonts w:ascii="Calibri" w:hAnsi="Calibri" w:cs="Calibri"/>
        </w:rPr>
        <w:t>Health Information Systems</w:t>
      </w:r>
      <w:bookmarkEnd w:id="182"/>
      <w:bookmarkEnd w:id="188"/>
      <w:bookmarkEnd w:id="189"/>
      <w:bookmarkEnd w:id="190"/>
      <w:bookmarkEnd w:id="191"/>
      <w:bookmarkEnd w:id="192"/>
    </w:p>
    <w:p w14:paraId="1887636B" w14:textId="77777777" w:rsidR="001E50CF" w:rsidRPr="00821C14" w:rsidRDefault="003E0EF2" w:rsidP="00F50ED7">
      <w:pPr>
        <w:rPr>
          <w:rFonts w:cs="Calibri"/>
        </w:rPr>
      </w:pPr>
      <w:r>
        <w:rPr>
          <w:rFonts w:cs="Calibri"/>
        </w:rPr>
        <w:t>MCE</w:t>
      </w:r>
      <w:r w:rsidR="001E50CF" w:rsidRPr="00821C14">
        <w:rPr>
          <w:rFonts w:cs="Calibri"/>
        </w:rPr>
        <w:t>s must maintain a health information system (or systems) that collects, analyzes, integrates and reports data</w:t>
      </w:r>
      <w:r w:rsidR="009E5281">
        <w:rPr>
          <w:rFonts w:cs="Calibri"/>
        </w:rPr>
        <w:t xml:space="preserve"> in accordance with </w:t>
      </w:r>
      <w:r w:rsidR="009E5281" w:rsidRPr="009E5281">
        <w:rPr>
          <w:rFonts w:cs="Calibri"/>
        </w:rPr>
        <w:t>42 CFR 438.242</w:t>
      </w:r>
      <w:r w:rsidR="009E5281">
        <w:rPr>
          <w:rFonts w:cs="Calibri"/>
        </w:rPr>
        <w:t xml:space="preserve"> and that support all aspects of the quality management programs</w:t>
      </w:r>
      <w:r w:rsidR="00135AE4">
        <w:rPr>
          <w:rFonts w:cs="Calibri"/>
        </w:rPr>
        <w:t xml:space="preserve">. </w:t>
      </w:r>
      <w:r w:rsidR="001E50CF" w:rsidRPr="00821C14">
        <w:rPr>
          <w:rFonts w:cs="Calibri"/>
        </w:rPr>
        <w:t xml:space="preserve">The system must collect data on enrollee and provider characteristics and on services furnished to enrollees. Contracted </w:t>
      </w:r>
      <w:r w:rsidR="00444B20">
        <w:rPr>
          <w:rFonts w:cs="Calibri"/>
        </w:rPr>
        <w:t>plan</w:t>
      </w:r>
      <w:r w:rsidR="001E50CF" w:rsidRPr="00821C14">
        <w:rPr>
          <w:rFonts w:cs="Calibri"/>
        </w:rPr>
        <w:t xml:space="preserve">s, including </w:t>
      </w:r>
      <w:r w:rsidR="006B4FBC">
        <w:t>the BH Plan</w:t>
      </w:r>
      <w:r w:rsidR="009B1825">
        <w:rPr>
          <w:rFonts w:cs="Calibri"/>
        </w:rPr>
        <w:t xml:space="preserve">, </w:t>
      </w:r>
      <w:r w:rsidR="001E50CF" w:rsidRPr="00821C14">
        <w:rPr>
          <w:rFonts w:cs="Calibri"/>
        </w:rPr>
        <w:t>ensure that data received from providers is accurate and complete by:</w:t>
      </w:r>
    </w:p>
    <w:p w14:paraId="1CFDC7BB" w14:textId="77777777" w:rsidR="001E50CF" w:rsidRPr="00821C14" w:rsidRDefault="001E50CF" w:rsidP="009729DB">
      <w:pPr>
        <w:pStyle w:val="ListParagraph"/>
        <w:numPr>
          <w:ilvl w:val="0"/>
          <w:numId w:val="8"/>
        </w:numPr>
        <w:spacing w:line="276" w:lineRule="auto"/>
        <w:rPr>
          <w:rFonts w:cs="Calibri"/>
        </w:rPr>
      </w:pPr>
      <w:r w:rsidRPr="00821C14">
        <w:rPr>
          <w:rFonts w:cs="Calibri"/>
        </w:rPr>
        <w:t>Verifying the accuracy and timeliness of reported data</w:t>
      </w:r>
    </w:p>
    <w:p w14:paraId="4EE40BD4" w14:textId="77777777" w:rsidR="001E50CF" w:rsidRPr="00821C14" w:rsidRDefault="001E50CF" w:rsidP="009729DB">
      <w:pPr>
        <w:pStyle w:val="ListParagraph"/>
        <w:numPr>
          <w:ilvl w:val="0"/>
          <w:numId w:val="8"/>
        </w:numPr>
        <w:spacing w:line="276" w:lineRule="auto"/>
        <w:rPr>
          <w:rFonts w:cs="Calibri"/>
        </w:rPr>
      </w:pPr>
      <w:r w:rsidRPr="00821C14">
        <w:rPr>
          <w:rFonts w:cs="Calibri"/>
        </w:rPr>
        <w:t>Screening the data for completeness, logic, and consistency; and</w:t>
      </w:r>
    </w:p>
    <w:p w14:paraId="1DA69504" w14:textId="77777777" w:rsidR="001E50CF" w:rsidRPr="00821C14" w:rsidRDefault="001E50CF" w:rsidP="009729DB">
      <w:pPr>
        <w:pStyle w:val="ListParagraph"/>
        <w:numPr>
          <w:ilvl w:val="0"/>
          <w:numId w:val="8"/>
        </w:numPr>
        <w:spacing w:line="276" w:lineRule="auto"/>
        <w:rPr>
          <w:rFonts w:cs="Calibri"/>
        </w:rPr>
      </w:pPr>
      <w:r w:rsidRPr="00821C14">
        <w:rPr>
          <w:rFonts w:cs="Calibri"/>
        </w:rPr>
        <w:t>Collecting service information in standardized formats to the extent feasible and appropriate</w:t>
      </w:r>
    </w:p>
    <w:p w14:paraId="1AAF7B7E" w14:textId="77777777" w:rsidR="001E50CF" w:rsidRPr="00821C14" w:rsidRDefault="00F96B73" w:rsidP="00F50ED7">
      <w:pPr>
        <w:rPr>
          <w:rFonts w:cs="Calibri"/>
        </w:rPr>
        <w:sectPr w:rsidR="001E50CF" w:rsidRPr="00821C14" w:rsidSect="001D0D8B">
          <w:headerReference w:type="default" r:id="rId23"/>
          <w:type w:val="continuous"/>
          <w:pgSz w:w="12240" w:h="15840"/>
          <w:pgMar w:top="1440" w:right="1440" w:bottom="1440" w:left="1440" w:header="720" w:footer="720" w:gutter="0"/>
          <w:cols w:space="720"/>
          <w:docGrid w:linePitch="360"/>
        </w:sectPr>
      </w:pPr>
      <w:r w:rsidRPr="00821C14">
        <w:rPr>
          <w:rFonts w:cs="Calibri"/>
        </w:rPr>
        <w:t xml:space="preserve">MassHealth requires </w:t>
      </w:r>
      <w:r w:rsidR="00711BCE">
        <w:rPr>
          <w:rFonts w:cs="Calibri"/>
        </w:rPr>
        <w:t>MCEs</w:t>
      </w:r>
      <w:r w:rsidR="001E50CF" w:rsidRPr="00821C14">
        <w:rPr>
          <w:rFonts w:cs="Calibri"/>
        </w:rPr>
        <w:t xml:space="preserve"> </w:t>
      </w:r>
      <w:r w:rsidRPr="00821C14">
        <w:rPr>
          <w:rFonts w:cs="Calibri"/>
        </w:rPr>
        <w:t xml:space="preserve">to </w:t>
      </w:r>
      <w:r w:rsidR="001E50CF" w:rsidRPr="00821C14">
        <w:rPr>
          <w:rFonts w:cs="Calibri"/>
        </w:rPr>
        <w:t xml:space="preserve">certify that information, data, and documentation in all reports is true, accurate, and complete. </w:t>
      </w:r>
    </w:p>
    <w:p w14:paraId="59215DB9" w14:textId="77777777" w:rsidR="001E50CF" w:rsidRPr="00821C14" w:rsidRDefault="001E50CF" w:rsidP="002E34B8">
      <w:pPr>
        <w:pStyle w:val="Heading1"/>
      </w:pPr>
      <w:bookmarkStart w:id="193" w:name="_Toc366501547"/>
      <w:r w:rsidRPr="00821C14">
        <w:lastRenderedPageBreak/>
        <w:t xml:space="preserve"> </w:t>
      </w:r>
      <w:bookmarkStart w:id="194" w:name="_Ref522020035"/>
      <w:bookmarkStart w:id="195" w:name="_Toc529177913"/>
      <w:r w:rsidRPr="00821C14">
        <w:t>Improvement and Interventions</w:t>
      </w:r>
      <w:bookmarkEnd w:id="194"/>
      <w:bookmarkEnd w:id="195"/>
    </w:p>
    <w:p w14:paraId="701570F3" w14:textId="77777777" w:rsidR="001E50CF" w:rsidRPr="00821C14" w:rsidRDefault="001E50CF" w:rsidP="007513C1">
      <w:pPr>
        <w:pStyle w:val="Heading2"/>
        <w:rPr>
          <w:rFonts w:ascii="Calibri" w:hAnsi="Calibri" w:cs="Calibri"/>
        </w:rPr>
      </w:pPr>
      <w:bookmarkStart w:id="196" w:name="_Toc529177914"/>
      <w:r w:rsidRPr="00821C14">
        <w:rPr>
          <w:rFonts w:ascii="Calibri" w:hAnsi="Calibri" w:cs="Calibri"/>
        </w:rPr>
        <w:t>:  Improvement and Interventions</w:t>
      </w:r>
      <w:bookmarkEnd w:id="193"/>
      <w:bookmarkEnd w:id="196"/>
    </w:p>
    <w:p w14:paraId="019B05F4" w14:textId="77777777" w:rsidR="001E50CF" w:rsidRPr="00821C14" w:rsidRDefault="001E50CF" w:rsidP="000B61FD">
      <w:pPr>
        <w:rPr>
          <w:rFonts w:cs="Calibri"/>
          <w:color w:val="000000"/>
        </w:rPr>
      </w:pPr>
      <w:r w:rsidRPr="00821C14">
        <w:rPr>
          <w:rFonts w:cs="Calibri"/>
          <w:color w:val="000000"/>
        </w:rPr>
        <w:t>Improvement strategies described throughout</w:t>
      </w:r>
      <w:r w:rsidR="008F3A27">
        <w:rPr>
          <w:rFonts w:cs="Calibri"/>
          <w:color w:val="000000"/>
        </w:rPr>
        <w:t xml:space="preserve"> this document are designed to advance</w:t>
      </w:r>
      <w:r w:rsidRPr="00821C14">
        <w:rPr>
          <w:rFonts w:cs="Calibri"/>
          <w:color w:val="000000"/>
        </w:rPr>
        <w:t xml:space="preserve"> the quality of care delivered by MCEs through ongoing measurement and intervention. </w:t>
      </w:r>
    </w:p>
    <w:p w14:paraId="334015DE" w14:textId="77777777" w:rsidR="001703E5" w:rsidRDefault="001E50CF" w:rsidP="00383863">
      <w:pPr>
        <w:rPr>
          <w:rFonts w:cs="Calibri"/>
        </w:rPr>
      </w:pPr>
      <w:r w:rsidRPr="00821C14">
        <w:rPr>
          <w:rFonts w:cs="Calibri"/>
          <w:color w:val="000000"/>
        </w:rPr>
        <w:t xml:space="preserve">MassHealth convenes various collaborative workgroups to ensure stakeholders have opportunities to advise, share best practices, and contribute to the development of improvement projects and program services. </w:t>
      </w:r>
      <w:r w:rsidR="001703E5">
        <w:rPr>
          <w:rFonts w:cs="Calibri"/>
          <w:color w:val="000000"/>
        </w:rPr>
        <w:t xml:space="preserve">Examples of these workgroups include the MassHealth Quality Committee, the Quality Technical Advisory Group, and the Delivery System Reform Incentive Payment (DSRIP) subcommittee. </w:t>
      </w:r>
    </w:p>
    <w:p w14:paraId="3C93B047" w14:textId="77777777" w:rsidR="00D05140" w:rsidRPr="001703E5" w:rsidRDefault="001703E5" w:rsidP="00D05140">
      <w:pPr>
        <w:rPr>
          <w:rFonts w:cs="Calibri"/>
        </w:rPr>
      </w:pPr>
      <w:r>
        <w:rPr>
          <w:rFonts w:cs="Calibri"/>
        </w:rPr>
        <w:t xml:space="preserve">MassHealth also implements activities through grant work. </w:t>
      </w:r>
      <w:r w:rsidR="00D05140">
        <w:rPr>
          <w:rFonts w:cs="Calibri"/>
        </w:rPr>
        <w:t xml:space="preserve">In 2015, Massachusetts received a four- year CMS grant designed to improve the ability to report on use of most/moderately effective methods of contraception, including </w:t>
      </w:r>
      <w:r w:rsidR="00D05140" w:rsidRPr="001703E5">
        <w:rPr>
          <w:rFonts w:cs="Calibri"/>
        </w:rPr>
        <w:t xml:space="preserve">Long Acting Reversible Contraceptives (LARCs) and to support improvements in the delivery of these contraceptive types. </w:t>
      </w:r>
      <w:bookmarkStart w:id="197" w:name="_Toc366501550"/>
      <w:r w:rsidR="00D05140" w:rsidRPr="001703E5">
        <w:rPr>
          <w:rFonts w:cs="Calibri"/>
        </w:rPr>
        <w:t xml:space="preserve">The </w:t>
      </w:r>
      <w:r w:rsidR="008F3A27">
        <w:rPr>
          <w:rFonts w:cs="Calibri"/>
        </w:rPr>
        <w:t>Maternal and Infant H</w:t>
      </w:r>
      <w:r w:rsidRPr="001703E5">
        <w:rPr>
          <w:rFonts w:cs="Calibri"/>
        </w:rPr>
        <w:t xml:space="preserve">ealth Initiative </w:t>
      </w:r>
      <w:r w:rsidR="00D05140" w:rsidRPr="001703E5">
        <w:rPr>
          <w:rFonts w:cs="Calibri"/>
        </w:rPr>
        <w:t>grant activities include:</w:t>
      </w:r>
    </w:p>
    <w:p w14:paraId="08DE75D7" w14:textId="77777777" w:rsidR="00D05140" w:rsidRDefault="00D05140" w:rsidP="009729DB">
      <w:pPr>
        <w:pStyle w:val="ListParagraph"/>
        <w:numPr>
          <w:ilvl w:val="0"/>
          <w:numId w:val="24"/>
        </w:numPr>
        <w:rPr>
          <w:rFonts w:cs="Calibri"/>
        </w:rPr>
      </w:pPr>
      <w:r>
        <w:rPr>
          <w:rFonts w:cs="Calibri"/>
        </w:rPr>
        <w:t>Implement the most reliable and valid method for reporting on the contraceptive care measures</w:t>
      </w:r>
    </w:p>
    <w:p w14:paraId="595B7366" w14:textId="77777777" w:rsidR="00D05140" w:rsidRDefault="00D05140" w:rsidP="009729DB">
      <w:pPr>
        <w:pStyle w:val="ListParagraph"/>
        <w:numPr>
          <w:ilvl w:val="1"/>
          <w:numId w:val="24"/>
        </w:numPr>
        <w:rPr>
          <w:rFonts w:cs="Calibri"/>
        </w:rPr>
      </w:pPr>
      <w:r>
        <w:rPr>
          <w:rFonts w:cs="Calibri"/>
        </w:rPr>
        <w:t>Identify opportunities to improve the quality of claims and encounter data</w:t>
      </w:r>
    </w:p>
    <w:p w14:paraId="2466F609" w14:textId="77777777" w:rsidR="00D05140" w:rsidRDefault="00D05140" w:rsidP="009729DB">
      <w:pPr>
        <w:pStyle w:val="ListParagraph"/>
        <w:numPr>
          <w:ilvl w:val="1"/>
          <w:numId w:val="24"/>
        </w:numPr>
        <w:rPr>
          <w:rFonts w:cs="Calibri"/>
        </w:rPr>
      </w:pPr>
      <w:r>
        <w:rPr>
          <w:rFonts w:cs="Calibri"/>
        </w:rPr>
        <w:t>Identify opportunities to improve claims data submitted by providers</w:t>
      </w:r>
    </w:p>
    <w:p w14:paraId="1CF972EA" w14:textId="77777777" w:rsidR="00D05140" w:rsidRDefault="008F3A27" w:rsidP="009729DB">
      <w:pPr>
        <w:pStyle w:val="ListParagraph"/>
        <w:numPr>
          <w:ilvl w:val="0"/>
          <w:numId w:val="24"/>
        </w:numPr>
        <w:rPr>
          <w:rFonts w:cs="Calibri"/>
        </w:rPr>
      </w:pPr>
      <w:r>
        <w:rPr>
          <w:rFonts w:cs="Calibri"/>
        </w:rPr>
        <w:lastRenderedPageBreak/>
        <w:t>M</w:t>
      </w:r>
      <w:r w:rsidR="00D05140">
        <w:rPr>
          <w:rFonts w:cs="Calibri"/>
        </w:rPr>
        <w:t>easure, design and implement provider-level reporting for quality improvement</w:t>
      </w:r>
      <w:r>
        <w:rPr>
          <w:rFonts w:cs="Calibri"/>
        </w:rPr>
        <w:t>, using the results of the measure</w:t>
      </w:r>
    </w:p>
    <w:p w14:paraId="28BA44F7" w14:textId="77777777" w:rsidR="00D05140" w:rsidRDefault="00D05140" w:rsidP="009729DB">
      <w:pPr>
        <w:pStyle w:val="ListParagraph"/>
        <w:numPr>
          <w:ilvl w:val="1"/>
          <w:numId w:val="24"/>
        </w:numPr>
        <w:rPr>
          <w:rFonts w:cs="Calibri"/>
        </w:rPr>
      </w:pPr>
      <w:r>
        <w:rPr>
          <w:rFonts w:cs="Calibri"/>
        </w:rPr>
        <w:t>Develop reports for provider practices to share data on use rates for most/moderate effective contraception methods, including LARCs</w:t>
      </w:r>
    </w:p>
    <w:p w14:paraId="0CF475ED" w14:textId="77777777" w:rsidR="001E50CF" w:rsidRPr="00E40086" w:rsidRDefault="00D05140" w:rsidP="009729DB">
      <w:pPr>
        <w:pStyle w:val="ListParagraph"/>
        <w:numPr>
          <w:ilvl w:val="1"/>
          <w:numId w:val="24"/>
        </w:numPr>
        <w:rPr>
          <w:rFonts w:cs="Calibri"/>
        </w:rPr>
      </w:pPr>
      <w:r>
        <w:rPr>
          <w:rFonts w:cs="Calibri"/>
        </w:rPr>
        <w:t>Supply technical assistance, such as benchmarking and sharing best practices, to help practices achieve their quality improvement goals</w:t>
      </w:r>
      <w:bookmarkEnd w:id="197"/>
    </w:p>
    <w:p w14:paraId="195CAF6F" w14:textId="77777777" w:rsidR="001E50CF" w:rsidRPr="00821C14" w:rsidRDefault="001E50CF" w:rsidP="007513C1">
      <w:pPr>
        <w:pStyle w:val="Heading2"/>
        <w:rPr>
          <w:rFonts w:ascii="Calibri" w:hAnsi="Calibri" w:cs="Calibri"/>
        </w:rPr>
      </w:pPr>
      <w:bookmarkStart w:id="198" w:name="_Toc366501552"/>
      <w:bookmarkStart w:id="199" w:name="_Toc529177915"/>
      <w:r w:rsidRPr="00821C14">
        <w:rPr>
          <w:rFonts w:ascii="Calibri" w:hAnsi="Calibri" w:cs="Calibri"/>
        </w:rPr>
        <w:t>:  Intermediate Sanctions</w:t>
      </w:r>
      <w:bookmarkEnd w:id="198"/>
      <w:bookmarkEnd w:id="199"/>
    </w:p>
    <w:p w14:paraId="13C300DB" w14:textId="77777777" w:rsidR="001E50CF" w:rsidRPr="00821C14" w:rsidRDefault="001E50CF" w:rsidP="007513C1">
      <w:pPr>
        <w:pStyle w:val="Heading3"/>
        <w:rPr>
          <w:rFonts w:ascii="Calibri" w:hAnsi="Calibri" w:cs="Calibri"/>
        </w:rPr>
      </w:pPr>
      <w:bookmarkStart w:id="200" w:name="_Toc366501553"/>
      <w:bookmarkStart w:id="201" w:name="_Toc521939940"/>
      <w:bookmarkStart w:id="202" w:name="_Toc522025677"/>
      <w:bookmarkStart w:id="203" w:name="_Toc523490161"/>
      <w:bookmarkStart w:id="204" w:name="_Toc525294322"/>
      <w:bookmarkStart w:id="205" w:name="_Toc529177916"/>
      <w:r w:rsidRPr="00821C14">
        <w:rPr>
          <w:rFonts w:ascii="Calibri" w:hAnsi="Calibri" w:cs="Calibri"/>
        </w:rPr>
        <w:t>Intermediate Sanctions</w:t>
      </w:r>
      <w:bookmarkEnd w:id="200"/>
      <w:bookmarkEnd w:id="201"/>
      <w:bookmarkEnd w:id="202"/>
      <w:bookmarkEnd w:id="203"/>
      <w:bookmarkEnd w:id="204"/>
      <w:bookmarkEnd w:id="205"/>
    </w:p>
    <w:p w14:paraId="3B0488A2" w14:textId="77777777" w:rsidR="001E50CF" w:rsidRPr="00821C14" w:rsidRDefault="001E50CF" w:rsidP="000B61FD">
      <w:pPr>
        <w:rPr>
          <w:rFonts w:cs="Calibri"/>
          <w:color w:val="000000"/>
        </w:rPr>
      </w:pPr>
      <w:r w:rsidRPr="00821C14">
        <w:rPr>
          <w:rFonts w:cs="Calibri"/>
          <w:color w:val="000000"/>
        </w:rPr>
        <w:t xml:space="preserve">EOHHS monitors compliance through routine reporting requirements, regular meetings with entities, and ongoing communications as appropriate and necessary. </w:t>
      </w:r>
    </w:p>
    <w:p w14:paraId="37FA75BC" w14:textId="77777777" w:rsidR="001E50CF" w:rsidRPr="00821C14" w:rsidRDefault="001E50CF" w:rsidP="000B61FD">
      <w:pPr>
        <w:rPr>
          <w:rFonts w:cs="Calibri"/>
          <w:color w:val="000000"/>
        </w:rPr>
      </w:pPr>
      <w:r w:rsidRPr="00821C14">
        <w:rPr>
          <w:rFonts w:cs="Calibri"/>
          <w:color w:val="000000"/>
        </w:rPr>
        <w:t xml:space="preserve">EOHHS may apply intermediate sanctions to managed care entities if any of the entities act or fail to act as follows: </w:t>
      </w:r>
    </w:p>
    <w:p w14:paraId="1E8380B2" w14:textId="52EDE207" w:rsidR="001E50CF" w:rsidRPr="00821C14" w:rsidRDefault="001E50CF" w:rsidP="009729DB">
      <w:pPr>
        <w:pStyle w:val="ListParagraph"/>
        <w:numPr>
          <w:ilvl w:val="0"/>
          <w:numId w:val="9"/>
        </w:numPr>
        <w:spacing w:line="276" w:lineRule="auto"/>
        <w:rPr>
          <w:rFonts w:cs="Calibri"/>
          <w:color w:val="000000"/>
        </w:rPr>
      </w:pPr>
      <w:r w:rsidRPr="00821C14">
        <w:rPr>
          <w:rFonts w:cs="Calibri"/>
          <w:color w:val="000000"/>
        </w:rPr>
        <w:t>Fail</w:t>
      </w:r>
      <w:r w:rsidR="00C466C8">
        <w:rPr>
          <w:rFonts w:cs="Calibri"/>
          <w:color w:val="000000"/>
        </w:rPr>
        <w:t xml:space="preserve"> substantially</w:t>
      </w:r>
      <w:r w:rsidRPr="00821C14">
        <w:rPr>
          <w:rFonts w:cs="Calibri"/>
          <w:color w:val="000000"/>
        </w:rPr>
        <w:t xml:space="preserve"> to provide medically necessary </w:t>
      </w:r>
      <w:r w:rsidR="00C466C8">
        <w:rPr>
          <w:rFonts w:cs="Calibri"/>
          <w:color w:val="000000"/>
        </w:rPr>
        <w:t xml:space="preserve">items or </w:t>
      </w:r>
      <w:r w:rsidRPr="00821C14">
        <w:rPr>
          <w:rFonts w:cs="Calibri"/>
          <w:color w:val="000000"/>
        </w:rPr>
        <w:t>services</w:t>
      </w:r>
    </w:p>
    <w:p w14:paraId="35ECE682" w14:textId="2BEE363C" w:rsidR="001E50CF" w:rsidRPr="00821C14" w:rsidRDefault="001E50CF" w:rsidP="009729DB">
      <w:pPr>
        <w:pStyle w:val="ListParagraph"/>
        <w:numPr>
          <w:ilvl w:val="0"/>
          <w:numId w:val="9"/>
        </w:numPr>
        <w:spacing w:line="276" w:lineRule="auto"/>
        <w:rPr>
          <w:rFonts w:cs="Calibri"/>
          <w:color w:val="000000"/>
        </w:rPr>
      </w:pPr>
      <w:r w:rsidRPr="00821C14">
        <w:rPr>
          <w:rFonts w:cs="Calibri"/>
          <w:color w:val="000000"/>
        </w:rPr>
        <w:t xml:space="preserve">Impose excess </w:t>
      </w:r>
      <w:r w:rsidR="00C466C8">
        <w:rPr>
          <w:rFonts w:cs="Calibri"/>
          <w:color w:val="000000"/>
        </w:rPr>
        <w:t xml:space="preserve">co-payments, </w:t>
      </w:r>
      <w:r w:rsidRPr="00821C14">
        <w:rPr>
          <w:rFonts w:cs="Calibri"/>
          <w:color w:val="000000"/>
        </w:rPr>
        <w:t>premiums or charges on enrollees</w:t>
      </w:r>
    </w:p>
    <w:p w14:paraId="5C53EBC2" w14:textId="77777777" w:rsidR="001E50CF" w:rsidRPr="00821C14" w:rsidRDefault="001E50CF" w:rsidP="009729DB">
      <w:pPr>
        <w:pStyle w:val="ListParagraph"/>
        <w:numPr>
          <w:ilvl w:val="0"/>
          <w:numId w:val="9"/>
        </w:numPr>
        <w:spacing w:line="276" w:lineRule="auto"/>
        <w:rPr>
          <w:rFonts w:cs="Calibri"/>
          <w:color w:val="000000"/>
        </w:rPr>
      </w:pPr>
      <w:r w:rsidRPr="00821C14">
        <w:rPr>
          <w:rFonts w:cs="Calibri"/>
          <w:color w:val="000000"/>
        </w:rPr>
        <w:t>Discriminate among enrollees on the basis of health status or need for services</w:t>
      </w:r>
    </w:p>
    <w:p w14:paraId="1A8845D9" w14:textId="77777777" w:rsidR="001E50CF" w:rsidRPr="00821C14" w:rsidRDefault="001E50CF" w:rsidP="009729DB">
      <w:pPr>
        <w:pStyle w:val="ListParagraph"/>
        <w:numPr>
          <w:ilvl w:val="0"/>
          <w:numId w:val="9"/>
        </w:numPr>
        <w:spacing w:line="276" w:lineRule="auto"/>
        <w:rPr>
          <w:rFonts w:cs="Calibri"/>
          <w:color w:val="000000"/>
        </w:rPr>
      </w:pPr>
      <w:r w:rsidRPr="00821C14">
        <w:rPr>
          <w:rFonts w:cs="Calibri"/>
          <w:color w:val="000000"/>
        </w:rPr>
        <w:t>Misrepresent or falsify information submitted to EOHHS or CMS</w:t>
      </w:r>
    </w:p>
    <w:p w14:paraId="78EC5D89" w14:textId="0B050DDF" w:rsidR="001E50CF" w:rsidRPr="00821C14" w:rsidRDefault="001E50CF" w:rsidP="009729DB">
      <w:pPr>
        <w:pStyle w:val="ListParagraph"/>
        <w:numPr>
          <w:ilvl w:val="0"/>
          <w:numId w:val="9"/>
        </w:numPr>
        <w:spacing w:line="276" w:lineRule="auto"/>
        <w:rPr>
          <w:rFonts w:cs="Calibri"/>
          <w:color w:val="000000"/>
        </w:rPr>
      </w:pPr>
      <w:r w:rsidRPr="00821C14">
        <w:rPr>
          <w:rFonts w:cs="Calibri"/>
          <w:color w:val="000000"/>
        </w:rPr>
        <w:t>Misrepresent or falsify information to enrollees</w:t>
      </w:r>
      <w:r w:rsidR="00C466C8">
        <w:rPr>
          <w:rFonts w:cs="Calibri"/>
          <w:color w:val="000000"/>
        </w:rPr>
        <w:t>, members,</w:t>
      </w:r>
      <w:r w:rsidRPr="00821C14">
        <w:rPr>
          <w:rFonts w:cs="Calibri"/>
          <w:color w:val="000000"/>
        </w:rPr>
        <w:t xml:space="preserve"> or providers</w:t>
      </w:r>
    </w:p>
    <w:p w14:paraId="1ECD4A75" w14:textId="77777777" w:rsidR="001E50CF" w:rsidRPr="00821C14" w:rsidRDefault="001E50CF" w:rsidP="009729DB">
      <w:pPr>
        <w:pStyle w:val="ListParagraph"/>
        <w:numPr>
          <w:ilvl w:val="0"/>
          <w:numId w:val="9"/>
        </w:numPr>
        <w:spacing w:line="276" w:lineRule="auto"/>
        <w:rPr>
          <w:rFonts w:cs="Calibri"/>
          <w:color w:val="000000"/>
        </w:rPr>
      </w:pPr>
      <w:r w:rsidRPr="00821C14">
        <w:rPr>
          <w:rFonts w:cs="Calibri"/>
          <w:color w:val="000000"/>
        </w:rPr>
        <w:t>Fail to comply with the requirements for physician incentive plans</w:t>
      </w:r>
    </w:p>
    <w:p w14:paraId="44AE1D61" w14:textId="59555BA0" w:rsidR="001E50CF" w:rsidRPr="00821C14" w:rsidRDefault="001E50CF" w:rsidP="000B61FD">
      <w:pPr>
        <w:rPr>
          <w:rFonts w:cs="Calibri"/>
          <w:color w:val="000000"/>
        </w:rPr>
      </w:pPr>
      <w:r w:rsidRPr="00821C14">
        <w:rPr>
          <w:rFonts w:cs="Calibri"/>
          <w:color w:val="000000"/>
        </w:rPr>
        <w:t>Plan contracts identify additional circumstances under which sanctions may be imposed</w:t>
      </w:r>
      <w:r w:rsidR="00C466C8">
        <w:rPr>
          <w:rFonts w:cs="Calibri"/>
          <w:color w:val="000000"/>
        </w:rPr>
        <w:t>,</w:t>
      </w:r>
      <w:r w:rsidRPr="00821C14">
        <w:rPr>
          <w:rFonts w:cs="Calibri"/>
          <w:color w:val="000000"/>
        </w:rPr>
        <w:t xml:space="preserve"> including</w:t>
      </w:r>
      <w:r w:rsidR="00C466C8">
        <w:rPr>
          <w:rFonts w:cs="Calibri"/>
          <w:color w:val="000000"/>
        </w:rPr>
        <w:t>, but not limited to</w:t>
      </w:r>
      <w:r w:rsidRPr="00821C14">
        <w:rPr>
          <w:rFonts w:cs="Calibri"/>
          <w:color w:val="000000"/>
        </w:rPr>
        <w:t>:</w:t>
      </w:r>
    </w:p>
    <w:p w14:paraId="66A9F8E3" w14:textId="77777777" w:rsidR="001E50CF" w:rsidRPr="00821C14" w:rsidRDefault="001E50CF" w:rsidP="009729DB">
      <w:pPr>
        <w:pStyle w:val="ListParagraph"/>
        <w:numPr>
          <w:ilvl w:val="0"/>
          <w:numId w:val="10"/>
        </w:numPr>
        <w:spacing w:line="276" w:lineRule="auto"/>
        <w:rPr>
          <w:rFonts w:cs="Calibri"/>
          <w:color w:val="000000"/>
        </w:rPr>
      </w:pPr>
      <w:r w:rsidRPr="00821C14">
        <w:rPr>
          <w:rFonts w:cs="Calibri"/>
          <w:color w:val="000000"/>
        </w:rPr>
        <w:t>Failure to comply with federal or state statutory or regulatory requirements</w:t>
      </w:r>
    </w:p>
    <w:p w14:paraId="21BE16D3" w14:textId="77777777" w:rsidR="001E50CF" w:rsidRPr="00821C14" w:rsidRDefault="001E50CF" w:rsidP="009729DB">
      <w:pPr>
        <w:pStyle w:val="ListParagraph"/>
        <w:numPr>
          <w:ilvl w:val="0"/>
          <w:numId w:val="10"/>
        </w:numPr>
        <w:spacing w:line="276" w:lineRule="auto"/>
        <w:rPr>
          <w:rFonts w:cs="Calibri"/>
          <w:color w:val="000000"/>
        </w:rPr>
      </w:pPr>
      <w:r w:rsidRPr="00821C14">
        <w:rPr>
          <w:rFonts w:cs="Calibri"/>
          <w:color w:val="000000"/>
        </w:rPr>
        <w:t>Violation of restrictions or other requirements regarding marketing materials</w:t>
      </w:r>
    </w:p>
    <w:p w14:paraId="147E67E2" w14:textId="77777777" w:rsidR="001E50CF" w:rsidRPr="00821C14" w:rsidRDefault="001E50CF" w:rsidP="009729DB">
      <w:pPr>
        <w:pStyle w:val="ListParagraph"/>
        <w:numPr>
          <w:ilvl w:val="0"/>
          <w:numId w:val="10"/>
        </w:numPr>
        <w:spacing w:line="276" w:lineRule="auto"/>
        <w:rPr>
          <w:rFonts w:cs="Calibri"/>
          <w:color w:val="000000"/>
        </w:rPr>
      </w:pPr>
      <w:r w:rsidRPr="00821C14">
        <w:rPr>
          <w:rFonts w:cs="Calibri"/>
          <w:color w:val="000000"/>
        </w:rPr>
        <w:t>Failure to comply with any corrective action plan required by MassHealth</w:t>
      </w:r>
    </w:p>
    <w:p w14:paraId="50640AAA" w14:textId="77777777" w:rsidR="001E50CF" w:rsidRPr="00821C14" w:rsidRDefault="001E50CF" w:rsidP="009729DB">
      <w:pPr>
        <w:pStyle w:val="ListParagraph"/>
        <w:numPr>
          <w:ilvl w:val="0"/>
          <w:numId w:val="10"/>
        </w:numPr>
        <w:spacing w:line="276" w:lineRule="auto"/>
        <w:rPr>
          <w:rFonts w:cs="Calibri"/>
          <w:color w:val="000000"/>
        </w:rPr>
      </w:pPr>
      <w:r w:rsidRPr="00821C14">
        <w:rPr>
          <w:rFonts w:cs="Calibri"/>
          <w:color w:val="000000"/>
        </w:rPr>
        <w:t>Failure to comply with financial solvency requirements</w:t>
      </w:r>
    </w:p>
    <w:p w14:paraId="28F9F320" w14:textId="77777777" w:rsidR="001E50CF" w:rsidRPr="00821C14" w:rsidRDefault="001E50CF" w:rsidP="009729DB">
      <w:pPr>
        <w:pStyle w:val="ListParagraph"/>
        <w:numPr>
          <w:ilvl w:val="0"/>
          <w:numId w:val="10"/>
        </w:numPr>
        <w:spacing w:line="276" w:lineRule="auto"/>
        <w:rPr>
          <w:rFonts w:cs="Calibri"/>
          <w:color w:val="000000"/>
        </w:rPr>
      </w:pPr>
      <w:r w:rsidRPr="00821C14">
        <w:rPr>
          <w:rFonts w:cs="Calibri"/>
          <w:color w:val="000000"/>
        </w:rPr>
        <w:t>Failure to comply with the contract</w:t>
      </w:r>
    </w:p>
    <w:p w14:paraId="17F0E486" w14:textId="441ED299" w:rsidR="001E50CF" w:rsidRPr="00821C14" w:rsidRDefault="001E50CF" w:rsidP="000B61FD">
      <w:pPr>
        <w:rPr>
          <w:rFonts w:cs="Calibri"/>
          <w:color w:val="000000"/>
        </w:rPr>
      </w:pPr>
      <w:r w:rsidRPr="00821C14">
        <w:rPr>
          <w:rFonts w:cs="Calibri"/>
          <w:color w:val="000000"/>
        </w:rPr>
        <w:t xml:space="preserve">A list of additional </w:t>
      </w:r>
      <w:r w:rsidR="00444B20">
        <w:rPr>
          <w:rFonts w:cs="Calibri"/>
          <w:color w:val="000000"/>
        </w:rPr>
        <w:t>plan</w:t>
      </w:r>
      <w:r w:rsidRPr="00821C14">
        <w:rPr>
          <w:rFonts w:cs="Calibri"/>
          <w:color w:val="000000"/>
        </w:rPr>
        <w:t xml:space="preserve"> sanctions</w:t>
      </w:r>
      <w:r w:rsidR="00EF1CB6">
        <w:rPr>
          <w:rFonts w:cs="Calibri"/>
          <w:color w:val="000000"/>
        </w:rPr>
        <w:t xml:space="preserve">, </w:t>
      </w:r>
      <w:r w:rsidR="00EF1CB6" w:rsidRPr="00821C14">
        <w:rPr>
          <w:rFonts w:cs="Calibri"/>
          <w:color w:val="000000"/>
        </w:rPr>
        <w:t xml:space="preserve">as per </w:t>
      </w:r>
      <w:r w:rsidR="00EF1CB6">
        <w:rPr>
          <w:rFonts w:cs="Calibri"/>
          <w:color w:val="000000"/>
        </w:rPr>
        <w:t xml:space="preserve">42 CFR </w:t>
      </w:r>
      <w:r w:rsidR="00EF1CB6" w:rsidRPr="00821C14">
        <w:rPr>
          <w:rFonts w:cs="Calibri"/>
          <w:color w:val="000000"/>
        </w:rPr>
        <w:t>438.702</w:t>
      </w:r>
      <w:r w:rsidR="00EF1CB6">
        <w:rPr>
          <w:rFonts w:cs="Calibri"/>
          <w:color w:val="000000"/>
        </w:rPr>
        <w:t xml:space="preserve">, </w:t>
      </w:r>
      <w:r w:rsidRPr="00821C14">
        <w:rPr>
          <w:rFonts w:cs="Calibri"/>
          <w:color w:val="000000"/>
        </w:rPr>
        <w:t>includes</w:t>
      </w:r>
      <w:r w:rsidR="00C466C8">
        <w:rPr>
          <w:rFonts w:cs="Calibri"/>
          <w:color w:val="000000"/>
        </w:rPr>
        <w:t>, but is not limited to</w:t>
      </w:r>
      <w:r w:rsidRPr="00821C14">
        <w:rPr>
          <w:rFonts w:cs="Calibri"/>
          <w:color w:val="000000"/>
        </w:rPr>
        <w:t>:</w:t>
      </w:r>
    </w:p>
    <w:p w14:paraId="0F7BB09D" w14:textId="77777777" w:rsidR="009D5795" w:rsidRPr="009D5795" w:rsidRDefault="00194962" w:rsidP="00A275DD">
      <w:pPr>
        <w:pStyle w:val="ListParagraph"/>
        <w:numPr>
          <w:ilvl w:val="0"/>
          <w:numId w:val="11"/>
        </w:numPr>
        <w:spacing w:line="276" w:lineRule="auto"/>
        <w:rPr>
          <w:rFonts w:cs="Calibri"/>
          <w:color w:val="000000"/>
        </w:rPr>
      </w:pPr>
      <w:r w:rsidRPr="002E2474">
        <w:t xml:space="preserve">Suspension of payment for Enrollees enrolled after the effective date of the sanction </w:t>
      </w:r>
    </w:p>
    <w:p w14:paraId="173338E6" w14:textId="77777777" w:rsidR="009438C4" w:rsidRPr="009438C4" w:rsidRDefault="009438C4" w:rsidP="00A275DD">
      <w:pPr>
        <w:pStyle w:val="ListParagraph"/>
        <w:numPr>
          <w:ilvl w:val="0"/>
          <w:numId w:val="11"/>
        </w:numPr>
        <w:spacing w:line="276" w:lineRule="auto"/>
        <w:rPr>
          <w:rFonts w:cs="Calibri"/>
          <w:color w:val="000000"/>
        </w:rPr>
      </w:pPr>
      <w:r w:rsidRPr="00AB6641">
        <w:t>The appointment of temporary management to oversee the operation</w:t>
      </w:r>
      <w:r>
        <w:t xml:space="preserve"> of the plan in </w:t>
      </w:r>
      <w:r w:rsidRPr="00AB6641">
        <w:t>those circumstances set forth in 42 USC §1396 u-2(e)(2)(B) and 42 CFR 438.706</w:t>
      </w:r>
    </w:p>
    <w:p w14:paraId="231A9C6F" w14:textId="6D821C48" w:rsidR="00194962" w:rsidRDefault="00194962" w:rsidP="00A275DD">
      <w:pPr>
        <w:pStyle w:val="ListParagraph"/>
        <w:numPr>
          <w:ilvl w:val="0"/>
          <w:numId w:val="11"/>
        </w:numPr>
        <w:spacing w:line="276" w:lineRule="auto"/>
        <w:rPr>
          <w:rFonts w:cs="Calibri"/>
          <w:color w:val="000000"/>
        </w:rPr>
      </w:pPr>
      <w:r>
        <w:rPr>
          <w:rFonts w:cs="Calibri"/>
          <w:color w:val="000000"/>
        </w:rPr>
        <w:t>Notification to affected enrollees</w:t>
      </w:r>
      <w:r w:rsidR="00130F39">
        <w:rPr>
          <w:rFonts w:cs="Calibri"/>
          <w:color w:val="000000"/>
        </w:rPr>
        <w:t xml:space="preserve"> of their right to </w:t>
      </w:r>
      <w:proofErr w:type="spellStart"/>
      <w:r w:rsidR="00130F39">
        <w:rPr>
          <w:rFonts w:cs="Calibri"/>
          <w:color w:val="000000"/>
        </w:rPr>
        <w:t>disenroll</w:t>
      </w:r>
      <w:proofErr w:type="spellEnd"/>
    </w:p>
    <w:p w14:paraId="4EF00FBC" w14:textId="77777777" w:rsidR="00194962" w:rsidRDefault="00194962" w:rsidP="00A275DD">
      <w:pPr>
        <w:pStyle w:val="ListParagraph"/>
        <w:numPr>
          <w:ilvl w:val="0"/>
          <w:numId w:val="11"/>
        </w:numPr>
        <w:spacing w:line="276" w:lineRule="auto"/>
        <w:rPr>
          <w:rFonts w:cs="Calibri"/>
          <w:color w:val="000000"/>
        </w:rPr>
      </w:pPr>
      <w:r>
        <w:rPr>
          <w:rFonts w:cs="Calibri"/>
          <w:color w:val="000000"/>
        </w:rPr>
        <w:t xml:space="preserve">Suspension </w:t>
      </w:r>
      <w:r w:rsidR="00130F39">
        <w:rPr>
          <w:rFonts w:cs="Calibri"/>
          <w:color w:val="000000"/>
        </w:rPr>
        <w:t xml:space="preserve">of enrollment, </w:t>
      </w:r>
      <w:r>
        <w:rPr>
          <w:rFonts w:cs="Calibri"/>
          <w:color w:val="000000"/>
        </w:rPr>
        <w:t xml:space="preserve">or disenrollment </w:t>
      </w:r>
      <w:r w:rsidR="00130F39">
        <w:rPr>
          <w:rFonts w:cs="Calibri"/>
          <w:color w:val="000000"/>
        </w:rPr>
        <w:t>of enrollees</w:t>
      </w:r>
    </w:p>
    <w:p w14:paraId="6A988F16" w14:textId="77777777" w:rsidR="0048741F" w:rsidRPr="0048741F" w:rsidRDefault="0048741F" w:rsidP="00A275DD">
      <w:pPr>
        <w:pStyle w:val="ListParagraph"/>
        <w:numPr>
          <w:ilvl w:val="0"/>
          <w:numId w:val="11"/>
        </w:numPr>
        <w:spacing w:line="276" w:lineRule="auto"/>
        <w:rPr>
          <w:rFonts w:cs="Calibri"/>
          <w:color w:val="000000"/>
        </w:rPr>
      </w:pPr>
      <w:r>
        <w:rPr>
          <w:rFonts w:cs="Calibri"/>
          <w:color w:val="000000"/>
        </w:rPr>
        <w:t>Termination of the contract</w:t>
      </w:r>
    </w:p>
    <w:p w14:paraId="69AF1AF3" w14:textId="77777777" w:rsidR="003664D8" w:rsidRDefault="004B740C" w:rsidP="00A275DD">
      <w:pPr>
        <w:pStyle w:val="ListParagraph"/>
        <w:numPr>
          <w:ilvl w:val="0"/>
          <w:numId w:val="11"/>
        </w:numPr>
        <w:spacing w:line="276" w:lineRule="auto"/>
        <w:sectPr w:rsidR="003664D8" w:rsidSect="001D0D8B">
          <w:headerReference w:type="default" r:id="rId24"/>
          <w:type w:val="continuous"/>
          <w:pgSz w:w="12240" w:h="15840"/>
          <w:pgMar w:top="1440" w:right="1440" w:bottom="1440" w:left="1440" w:header="720" w:footer="720" w:gutter="0"/>
          <w:cols w:space="720"/>
          <w:docGrid w:linePitch="360"/>
        </w:sectPr>
      </w:pPr>
      <w:r w:rsidRPr="002E2474">
        <w:t>Additional sanctions allowed under federal law or state statue or regulation that address areas of noncompliance</w:t>
      </w:r>
    </w:p>
    <w:p w14:paraId="79B63F7E" w14:textId="6899A72B" w:rsidR="003664D8" w:rsidRDefault="003664D8" w:rsidP="003664D8">
      <w:pPr>
        <w:pStyle w:val="ListParagraph"/>
        <w:spacing w:line="276" w:lineRule="auto"/>
        <w:rPr>
          <w:rFonts w:cs="Calibri"/>
          <w:color w:val="000000"/>
        </w:rPr>
      </w:pPr>
    </w:p>
    <w:p w14:paraId="35AD53F7" w14:textId="557AF1C3" w:rsidR="004B740C" w:rsidRPr="003664D8" w:rsidRDefault="003664D8" w:rsidP="003664D8">
      <w:pPr>
        <w:tabs>
          <w:tab w:val="left" w:pos="3960"/>
        </w:tabs>
      </w:pPr>
      <w:r>
        <w:tab/>
      </w:r>
    </w:p>
    <w:p w14:paraId="5FAEB251" w14:textId="77777777" w:rsidR="00337C3E" w:rsidRPr="00F95EEA" w:rsidRDefault="001E50CF" w:rsidP="00E40086">
      <w:pPr>
        <w:pStyle w:val="Heading1"/>
      </w:pPr>
      <w:bookmarkStart w:id="206" w:name="_Ref522020009"/>
      <w:bookmarkStart w:id="207" w:name="_Toc529177917"/>
      <w:r w:rsidRPr="00821C14">
        <w:lastRenderedPageBreak/>
        <w:t>Delivery System Reform</w:t>
      </w:r>
      <w:bookmarkEnd w:id="206"/>
      <w:bookmarkEnd w:id="207"/>
    </w:p>
    <w:p w14:paraId="4BFBBCD8" w14:textId="77777777" w:rsidR="00337C3E" w:rsidRPr="0084354B" w:rsidRDefault="00337C3E" w:rsidP="00E40086">
      <w:pPr>
        <w:pStyle w:val="Heading2"/>
      </w:pPr>
      <w:bookmarkStart w:id="208" w:name="_Toc529177918"/>
      <w:r w:rsidRPr="0084354B">
        <w:t>Advancing Accountable Care</w:t>
      </w:r>
      <w:bookmarkEnd w:id="208"/>
      <w:r w:rsidRPr="0084354B">
        <w:t xml:space="preserve"> </w:t>
      </w:r>
    </w:p>
    <w:p w14:paraId="13888822" w14:textId="77777777" w:rsidR="00337C3E" w:rsidRPr="00337C3E" w:rsidRDefault="0048741F" w:rsidP="00AF67A2">
      <w:r>
        <w:t xml:space="preserve">As described above, </w:t>
      </w:r>
      <w:r w:rsidR="00337C3E">
        <w:t xml:space="preserve">ACOs are provider-led organizations that are held contractually responsible for the quality, coordination and total cost of members’ care. </w:t>
      </w:r>
      <w:proofErr w:type="spellStart"/>
      <w:r w:rsidR="00C66ECF">
        <w:t>MassHealth’s</w:t>
      </w:r>
      <w:proofErr w:type="spellEnd"/>
      <w:r w:rsidR="00337C3E">
        <w:t xml:space="preserve"> ACO approach places a significant focus on improving integration and delivery of care for members with </w:t>
      </w:r>
      <w:r w:rsidR="004E5D36">
        <w:t>BH</w:t>
      </w:r>
      <w:r w:rsidR="00337C3E">
        <w:t xml:space="preserve"> needs and those with dual diagnoses of substance abuse disorder; as well as integration of long term services and supports (LTSS) and health-related social services. Therefore, ACOs will be required to maintain formal relationships with community-based </w:t>
      </w:r>
      <w:r w:rsidR="004E5D36">
        <w:t>BH</w:t>
      </w:r>
      <w:r w:rsidR="00337C3E">
        <w:t xml:space="preserve"> and LTSS </w:t>
      </w:r>
      <w:r w:rsidR="002A0624">
        <w:t>organizations selected to contract with</w:t>
      </w:r>
      <w:r w:rsidR="00337C3E">
        <w:t xml:space="preserve"> MassHealth as Community Partners, furthering the integration of care. This shift from fee-for-service to accountable, total cost of care models is central to the Commonwealth’s goals of a sustainable MassHealth program.</w:t>
      </w:r>
    </w:p>
    <w:p w14:paraId="77DB35C6" w14:textId="77777777" w:rsidR="00AC3E96" w:rsidRPr="00821C14" w:rsidRDefault="00AC3E96" w:rsidP="00E40086">
      <w:pPr>
        <w:pStyle w:val="Heading2"/>
      </w:pPr>
      <w:bookmarkStart w:id="209" w:name="_Toc529177919"/>
      <w:r>
        <w:t>Performance-Based Incentive Payments</w:t>
      </w:r>
      <w:bookmarkEnd w:id="209"/>
    </w:p>
    <w:p w14:paraId="2FAADA54" w14:textId="77777777" w:rsidR="00AC3E96" w:rsidRPr="003B0499" w:rsidRDefault="00AC3E96" w:rsidP="00AC3E96">
      <w:r w:rsidRPr="003B0499">
        <w:t xml:space="preserve">Delivery system reform efforts seek to shift payments to risk-based alternative payment models that are centered on accountability for quality, integration and total cost of care. Consistent with this goal, Massachusetts will direct MCEs and ACOs </w:t>
      </w:r>
      <w:r w:rsidR="00BD52CC" w:rsidRPr="003B0499">
        <w:t xml:space="preserve">to </w:t>
      </w:r>
      <w:r w:rsidR="00BD52CC">
        <w:t>adopt payment mechanisms under 42 CFR 438.6(c) such as, but not limited to</w:t>
      </w:r>
      <w:r w:rsidR="00BD52CC" w:rsidRPr="003B0499">
        <w:t xml:space="preserve"> </w:t>
      </w:r>
      <w:r w:rsidRPr="003B0499">
        <w:t>administer</w:t>
      </w:r>
      <w:r w:rsidR="00BD52CC">
        <w:t>ing</w:t>
      </w:r>
      <w:r w:rsidRPr="003B0499">
        <w:t xml:space="preserve"> performance-based quality incentive programs for hospitals</w:t>
      </w:r>
      <w:r w:rsidR="00BD52CC">
        <w:t>, adopting minimum or maximum fee schedules, or providing a uniform dollar or percentage increase for network providers that provide a particular service under the contract.</w:t>
      </w:r>
      <w:r w:rsidR="001703E5">
        <w:t xml:space="preserve"> </w:t>
      </w:r>
      <w:r w:rsidR="00BD52CC">
        <w:t>P</w:t>
      </w:r>
      <w:r w:rsidRPr="003B0499">
        <w:t>ayment mechanisms</w:t>
      </w:r>
      <w:r w:rsidR="00BD52CC">
        <w:t xml:space="preserve"> include</w:t>
      </w:r>
      <w:r w:rsidRPr="003B0499">
        <w:t>:</w:t>
      </w:r>
    </w:p>
    <w:p w14:paraId="4886837C" w14:textId="77777777" w:rsidR="00AC3E96" w:rsidRDefault="002A1280" w:rsidP="009729DB">
      <w:pPr>
        <w:numPr>
          <w:ilvl w:val="0"/>
          <w:numId w:val="25"/>
        </w:numPr>
      </w:pPr>
      <w:r>
        <w:t>Disability Access Incentive</w:t>
      </w:r>
      <w:r w:rsidR="00AC3E96">
        <w:t>—Ma</w:t>
      </w:r>
      <w:r>
        <w:t>ssachusetts directs MCO</w:t>
      </w:r>
      <w:r w:rsidR="00AC3E96">
        <w:t xml:space="preserve">s to make payments to all contracted hospitals based on reporting and performance related to disabled members access to medical </w:t>
      </w:r>
      <w:r w:rsidR="0066740D">
        <w:t>and</w:t>
      </w:r>
      <w:r w:rsidR="00AC3E96">
        <w:t xml:space="preserve"> diagnostic equipment</w:t>
      </w:r>
    </w:p>
    <w:p w14:paraId="6B6F0403" w14:textId="3383FB28" w:rsidR="00AC3E96" w:rsidRDefault="00AC3E96" w:rsidP="009729DB">
      <w:pPr>
        <w:numPr>
          <w:ilvl w:val="0"/>
          <w:numId w:val="25"/>
        </w:numPr>
      </w:pPr>
      <w:r w:rsidRPr="00D652A2">
        <w:t>Hospital Quality Incentive</w:t>
      </w:r>
      <w:r>
        <w:t>— Massachuset</w:t>
      </w:r>
      <w:r w:rsidR="002A1280">
        <w:t>ts directs MC</w:t>
      </w:r>
      <w:r>
        <w:t xml:space="preserve">Os to make payments to “Essential MassHealth hospitals” based on hospital quality improvement. These include Cambridge Health Alliance and UMass Memorial Health Care. </w:t>
      </w:r>
    </w:p>
    <w:p w14:paraId="1CF9CA5F" w14:textId="77777777" w:rsidR="00AC3E96" w:rsidRDefault="00AC3E96" w:rsidP="009729DB">
      <w:pPr>
        <w:numPr>
          <w:ilvl w:val="0"/>
          <w:numId w:val="25"/>
        </w:numPr>
      </w:pPr>
      <w:r>
        <w:t>Integrated Care Incentive—</w:t>
      </w:r>
      <w:r w:rsidR="00BD52CC" w:rsidRPr="00BD52CC">
        <w:t xml:space="preserve"> </w:t>
      </w:r>
      <w:r w:rsidR="002A1280">
        <w:t>Massachusetts will</w:t>
      </w:r>
      <w:r w:rsidR="00BD52CC">
        <w:t xml:space="preserve"> direct A</w:t>
      </w:r>
      <w:r w:rsidR="002A1280">
        <w:t>ccountable Care Partnership Plan</w:t>
      </w:r>
      <w:r w:rsidR="00FB5E22">
        <w:t>s</w:t>
      </w:r>
      <w:r w:rsidR="002A1280">
        <w:t xml:space="preserve"> affiliated</w:t>
      </w:r>
      <w:r w:rsidR="00FB5E22">
        <w:t xml:space="preserve"> with</w:t>
      </w:r>
      <w:r w:rsidR="002A1280">
        <w:t xml:space="preserve"> Cambridge Health Alliance </w:t>
      </w:r>
      <w:r w:rsidR="00BD52CC">
        <w:t xml:space="preserve"> to make payments to non-federal, non-state, public hospitals based on the accountable care performance of such hospitals’ owned or aff</w:t>
      </w:r>
      <w:r w:rsidR="002A1280">
        <w:t>iliated primary care providers.</w:t>
      </w:r>
    </w:p>
    <w:p w14:paraId="35D56BEA" w14:textId="77777777" w:rsidR="00AC3E96" w:rsidRPr="00D652A2" w:rsidRDefault="00AC3E96" w:rsidP="009729DB">
      <w:pPr>
        <w:numPr>
          <w:ilvl w:val="0"/>
          <w:numId w:val="25"/>
        </w:numPr>
      </w:pPr>
      <w:r>
        <w:t xml:space="preserve">Behavioral Health Quality Incentive—Massachusetts will direct </w:t>
      </w:r>
      <w:r w:rsidR="006B4FBC">
        <w:t>the BH Plan</w:t>
      </w:r>
      <w:r>
        <w:t xml:space="preserve"> (the state’s Prepaid Inpatient Health Plan) to make payments to non-federal, non-state public hospitals in its network based on </w:t>
      </w:r>
      <w:r w:rsidR="004E5D36">
        <w:t>BH</w:t>
      </w:r>
      <w:r>
        <w:t xml:space="preserve"> quality performance. </w:t>
      </w:r>
    </w:p>
    <w:p w14:paraId="5799BBD6" w14:textId="77777777" w:rsidR="00AC3E96" w:rsidRPr="003B0499" w:rsidRDefault="00AC3E96" w:rsidP="003B0499">
      <w:pPr>
        <w:pStyle w:val="Heading2"/>
        <w:rPr>
          <w:rFonts w:ascii="Calibri" w:hAnsi="Calibri" w:cs="Calibri"/>
          <w:sz w:val="24"/>
          <w:szCs w:val="24"/>
        </w:rPr>
      </w:pPr>
      <w:bookmarkStart w:id="210" w:name="_Toc529177920"/>
      <w:r w:rsidRPr="003B0499">
        <w:rPr>
          <w:rFonts w:ascii="Calibri" w:hAnsi="Calibri" w:cs="Calibri"/>
          <w:sz w:val="24"/>
          <w:szCs w:val="24"/>
        </w:rPr>
        <w:t>Evaluation</w:t>
      </w:r>
      <w:bookmarkEnd w:id="210"/>
    </w:p>
    <w:p w14:paraId="3FC7D3B0" w14:textId="77777777" w:rsidR="00AC3E96" w:rsidRDefault="00AC3E96" w:rsidP="00AC3E96">
      <w:r>
        <w:t xml:space="preserve">As required under 42 CFR 438.6(c)(2)(i)(D), the State must have a plan to evaluate  the extent to which </w:t>
      </w:r>
      <w:r w:rsidR="00EC71C3">
        <w:t>quality care and improvement</w:t>
      </w:r>
      <w:r w:rsidR="00CE5FB6">
        <w:t>s,</w:t>
      </w:r>
      <w:r w:rsidR="00EC71C3">
        <w:t xml:space="preserve"> in concert with </w:t>
      </w:r>
      <w:r>
        <w:t>payment mechanisms and performance measure incentives</w:t>
      </w:r>
      <w:r w:rsidR="00CE5FB6">
        <w:t xml:space="preserve">, </w:t>
      </w:r>
      <w:r>
        <w:t>achieve the goals and objectives identified in the quality strategy</w:t>
      </w:r>
      <w:r w:rsidR="001703E5">
        <w:t xml:space="preserve">. The State will use process </w:t>
      </w:r>
      <w:r>
        <w:t xml:space="preserve">improvement, outcomes, system transformation, and innovative measures and indicators to </w:t>
      </w:r>
      <w:r w:rsidR="00CE5FB6">
        <w:t xml:space="preserve">support and </w:t>
      </w:r>
      <w:r>
        <w:t xml:space="preserve">evaluate the program. To the extent possible, measures will be drawn from nationally recognized measure sets. </w:t>
      </w:r>
    </w:p>
    <w:p w14:paraId="63375F9E" w14:textId="77777777" w:rsidR="003664D8" w:rsidRDefault="008E1C0F" w:rsidP="00CE5FB6">
      <w:pPr>
        <w:sectPr w:rsidR="003664D8" w:rsidSect="001D0D8B">
          <w:headerReference w:type="default" r:id="rId25"/>
          <w:type w:val="continuous"/>
          <w:pgSz w:w="12240" w:h="15840"/>
          <w:pgMar w:top="1440" w:right="1440" w:bottom="1440" w:left="1440" w:header="720" w:footer="720" w:gutter="0"/>
          <w:cols w:space="720"/>
          <w:docGrid w:linePitch="360"/>
        </w:sectPr>
      </w:pPr>
      <w:r>
        <w:t xml:space="preserve">As part of </w:t>
      </w:r>
      <w:proofErr w:type="gramStart"/>
      <w:r w:rsidR="002A1280">
        <w:t>t</w:t>
      </w:r>
      <w:r>
        <w:t xml:space="preserve">he </w:t>
      </w:r>
      <w:r w:rsidR="002A1280">
        <w:t xml:space="preserve"> broader</w:t>
      </w:r>
      <w:proofErr w:type="gramEnd"/>
      <w:r w:rsidR="002A1280">
        <w:t xml:space="preserve"> 1115 waiver </w:t>
      </w:r>
      <w:r>
        <w:t>Evaluation Plan</w:t>
      </w:r>
      <w:r w:rsidR="00CE5FB6">
        <w:t xml:space="preserve">, </w:t>
      </w:r>
      <w:r w:rsidR="005D140C">
        <w:t xml:space="preserve">other </w:t>
      </w:r>
      <w:r w:rsidR="00CE5FB6">
        <w:t>agency-wide quality pro</w:t>
      </w:r>
      <w:r w:rsidR="00E57E03">
        <w:t xml:space="preserve">grams and their implementation </w:t>
      </w:r>
      <w:r>
        <w:t xml:space="preserve"> will be evaluated </w:t>
      </w:r>
      <w:r w:rsidR="005925A8">
        <w:t xml:space="preserve">with consideration given to </w:t>
      </w:r>
      <w:r w:rsidR="00CE5FB6">
        <w:t xml:space="preserve">both overall and specific </w:t>
      </w:r>
      <w:r w:rsidR="00EC71C3">
        <w:t>program impact on</w:t>
      </w:r>
      <w:r>
        <w:t xml:space="preserve"> promot</w:t>
      </w:r>
      <w:r w:rsidR="00EC71C3">
        <w:t>ing</w:t>
      </w:r>
      <w:r>
        <w:t xml:space="preserve"> systems of integrated and coordinated care</w:t>
      </w:r>
      <w:r w:rsidR="005925A8">
        <w:t xml:space="preserve">; </w:t>
      </w:r>
      <w:r>
        <w:t>demonstrate</w:t>
      </w:r>
      <w:r w:rsidR="00EC71C3">
        <w:t>d</w:t>
      </w:r>
      <w:r>
        <w:t xml:space="preserve"> improv</w:t>
      </w:r>
      <w:r w:rsidR="00EC71C3">
        <w:t>ement in</w:t>
      </w:r>
      <w:r>
        <w:t xml:space="preserve"> care quality and member experience</w:t>
      </w:r>
      <w:r w:rsidR="005925A8">
        <w:t xml:space="preserve">; and </w:t>
      </w:r>
      <w:r w:rsidR="00CE5FB6">
        <w:t xml:space="preserve"> </w:t>
      </w:r>
      <w:r>
        <w:t>impact of expand</w:t>
      </w:r>
      <w:r w:rsidR="005925A8">
        <w:t>ed</w:t>
      </w:r>
      <w:r>
        <w:t xml:space="preserve"> MassHealth coverage to include</w:t>
      </w:r>
      <w:r w:rsidR="005925A8">
        <w:t xml:space="preserve"> increased</w:t>
      </w:r>
      <w:r w:rsidR="00A43B13">
        <w:t xml:space="preserve"> coverage</w:t>
      </w:r>
    </w:p>
    <w:p w14:paraId="7010E3B2" w14:textId="6E739566" w:rsidR="00A06E51" w:rsidRDefault="00A43B13" w:rsidP="00CE5FB6">
      <w:pPr>
        <w:sectPr w:rsidR="00A06E51" w:rsidSect="001D0D8B">
          <w:headerReference w:type="default" r:id="rId26"/>
          <w:type w:val="continuous"/>
          <w:pgSz w:w="12240" w:h="15840"/>
          <w:pgMar w:top="1440" w:right="1440" w:bottom="1440" w:left="1440" w:header="720" w:footer="720" w:gutter="0"/>
          <w:cols w:space="720"/>
          <w:docGrid w:linePitch="360"/>
        </w:sectPr>
      </w:pPr>
      <w:r>
        <w:lastRenderedPageBreak/>
        <w:t xml:space="preserve"> and services (e</w:t>
      </w:r>
      <w:r w:rsidR="00CE5FB6">
        <w:t xml:space="preserve">.g., community partners coordinating BH and LTSS care for members with complex needs,   access to additional services focused on the </w:t>
      </w:r>
      <w:r w:rsidR="004E5D36">
        <w:t>BH</w:t>
      </w:r>
      <w:r w:rsidR="00CE5FB6">
        <w:t xml:space="preserve"> population and flexible services).</w:t>
      </w:r>
    </w:p>
    <w:p w14:paraId="52FC1EEC" w14:textId="77777777" w:rsidR="001E50CF" w:rsidRPr="00821C14" w:rsidRDefault="005925A8" w:rsidP="00E40086">
      <w:pPr>
        <w:pStyle w:val="Heading1"/>
      </w:pPr>
      <w:bookmarkStart w:id="211" w:name="_Ref523492423"/>
      <w:bookmarkStart w:id="212" w:name="_Ref523492427"/>
      <w:bookmarkStart w:id="213" w:name="_Toc529177921"/>
      <w:r>
        <w:lastRenderedPageBreak/>
        <w:t xml:space="preserve">Future </w:t>
      </w:r>
      <w:r w:rsidR="001E50CF" w:rsidRPr="00821C14">
        <w:t>Opportunities</w:t>
      </w:r>
      <w:bookmarkEnd w:id="211"/>
      <w:bookmarkEnd w:id="212"/>
      <w:bookmarkEnd w:id="213"/>
    </w:p>
    <w:p w14:paraId="2D3B15EF" w14:textId="2EEFAAD2" w:rsidR="00E06694" w:rsidRDefault="001E50CF" w:rsidP="00A36EB2">
      <w:pPr>
        <w:rPr>
          <w:rFonts w:cs="Calibri"/>
        </w:rPr>
      </w:pPr>
      <w:r w:rsidRPr="00821C14">
        <w:rPr>
          <w:rFonts w:cs="Calibri"/>
        </w:rPr>
        <w:t xml:space="preserve">MassHealth </w:t>
      </w:r>
      <w:r w:rsidR="00866363">
        <w:rPr>
          <w:rFonts w:cs="Calibri"/>
        </w:rPr>
        <w:t xml:space="preserve">is committed to ongoing development, implementation, monitoring and evaluation of a </w:t>
      </w:r>
      <w:r w:rsidRPr="00821C14">
        <w:rPr>
          <w:rFonts w:cs="Calibri"/>
        </w:rPr>
        <w:t xml:space="preserve">vigorous quality management program that </w:t>
      </w:r>
      <w:r w:rsidR="00FB3667">
        <w:rPr>
          <w:rFonts w:cs="Calibri"/>
        </w:rPr>
        <w:t xml:space="preserve">aims to </w:t>
      </w:r>
      <w:r w:rsidRPr="00821C14">
        <w:rPr>
          <w:rFonts w:cs="Calibri"/>
        </w:rPr>
        <w:t>effectively and efficiently</w:t>
      </w:r>
      <w:r w:rsidR="00FB3667">
        <w:rPr>
          <w:rFonts w:cs="Calibri"/>
        </w:rPr>
        <w:t xml:space="preserve"> improve and </w:t>
      </w:r>
      <w:r w:rsidRPr="00821C14">
        <w:rPr>
          <w:rFonts w:cs="Calibri"/>
        </w:rPr>
        <w:t xml:space="preserve">monitor the quality of care for </w:t>
      </w:r>
      <w:r w:rsidR="00866363">
        <w:rPr>
          <w:rFonts w:cs="Calibri"/>
        </w:rPr>
        <w:t xml:space="preserve">its </w:t>
      </w:r>
      <w:r w:rsidRPr="00821C14">
        <w:rPr>
          <w:rFonts w:cs="Calibri"/>
        </w:rPr>
        <w:t>members</w:t>
      </w:r>
      <w:r w:rsidR="00866363">
        <w:rPr>
          <w:rFonts w:cs="Calibri"/>
        </w:rPr>
        <w:t xml:space="preserve">.  </w:t>
      </w:r>
      <w:r w:rsidR="00A43B13">
        <w:rPr>
          <w:rFonts w:cs="Calibri"/>
        </w:rPr>
        <w:t xml:space="preserve"> MassHealth</w:t>
      </w:r>
      <w:r w:rsidRPr="00821C14">
        <w:rPr>
          <w:rFonts w:cs="Calibri"/>
        </w:rPr>
        <w:t xml:space="preserve"> has been able to create and </w:t>
      </w:r>
      <w:r w:rsidR="00866363">
        <w:rPr>
          <w:rFonts w:cs="Calibri"/>
        </w:rPr>
        <w:t>evolve its</w:t>
      </w:r>
      <w:r w:rsidRPr="00821C14">
        <w:rPr>
          <w:rFonts w:cs="Calibri"/>
        </w:rPr>
        <w:t xml:space="preserve"> program with strong leadership support and a drive to embrace the Triple Aim of better health, better healthcare, and lower costs.</w:t>
      </w:r>
      <w:r w:rsidR="00866363">
        <w:rPr>
          <w:rFonts w:cs="Calibri"/>
        </w:rPr>
        <w:t xml:space="preserve">  Opportunities to</w:t>
      </w:r>
      <w:r w:rsidR="00E06694">
        <w:rPr>
          <w:rFonts w:cs="Calibri"/>
        </w:rPr>
        <w:t xml:space="preserve"> advance our comprehensive agency-wide quality strategy and goals to support these aims and meet the needs of our unique and often complex needs of our population</w:t>
      </w:r>
      <w:r w:rsidR="00ED7EAF">
        <w:rPr>
          <w:rFonts w:cs="Calibri"/>
        </w:rPr>
        <w:t xml:space="preserve"> include</w:t>
      </w:r>
      <w:r w:rsidR="00E06694">
        <w:rPr>
          <w:rFonts w:cs="Calibri"/>
        </w:rPr>
        <w:t>:</w:t>
      </w:r>
    </w:p>
    <w:p w14:paraId="4EC52F44" w14:textId="77777777" w:rsidR="00E06694" w:rsidRPr="00E06694" w:rsidRDefault="00E06694" w:rsidP="009729DB">
      <w:pPr>
        <w:pStyle w:val="ListParagraph"/>
        <w:numPr>
          <w:ilvl w:val="0"/>
          <w:numId w:val="47"/>
        </w:numPr>
        <w:rPr>
          <w:rFonts w:cs="Calibri"/>
        </w:rPr>
      </w:pPr>
      <w:r>
        <w:rPr>
          <w:rFonts w:cs="Calibri"/>
        </w:rPr>
        <w:t>Identifying key priorities across the organization to drive population health</w:t>
      </w:r>
      <w:r w:rsidR="007A2AC0">
        <w:rPr>
          <w:rFonts w:cs="Calibri"/>
        </w:rPr>
        <w:t>.</w:t>
      </w:r>
    </w:p>
    <w:p w14:paraId="7DB31B71" w14:textId="77777777" w:rsidR="00E06694" w:rsidRDefault="00E06694" w:rsidP="009729DB">
      <w:pPr>
        <w:pStyle w:val="ListParagraph"/>
        <w:numPr>
          <w:ilvl w:val="0"/>
          <w:numId w:val="47"/>
        </w:numPr>
        <w:rPr>
          <w:rFonts w:cs="Calibri"/>
        </w:rPr>
      </w:pPr>
      <w:r>
        <w:rPr>
          <w:rFonts w:cs="Calibri"/>
        </w:rPr>
        <w:t>Ensuring access to expanded value-added coordinated and integrated services</w:t>
      </w:r>
      <w:r w:rsidR="007A2AC0">
        <w:rPr>
          <w:rFonts w:cs="Calibri"/>
        </w:rPr>
        <w:t>.</w:t>
      </w:r>
      <w:r>
        <w:rPr>
          <w:rFonts w:cs="Calibri"/>
        </w:rPr>
        <w:t xml:space="preserve">  </w:t>
      </w:r>
    </w:p>
    <w:p w14:paraId="5B30B2CA" w14:textId="77777777" w:rsidR="00E06694" w:rsidRDefault="00E06694" w:rsidP="009729DB">
      <w:pPr>
        <w:pStyle w:val="ListParagraph"/>
        <w:numPr>
          <w:ilvl w:val="0"/>
          <w:numId w:val="47"/>
        </w:numPr>
        <w:rPr>
          <w:rFonts w:cs="Calibri"/>
        </w:rPr>
      </w:pPr>
      <w:r>
        <w:rPr>
          <w:rFonts w:cs="Calibri"/>
        </w:rPr>
        <w:t>Continuing to understand and improve our members experience</w:t>
      </w:r>
      <w:r w:rsidR="007A2AC0">
        <w:rPr>
          <w:rFonts w:cs="Calibri"/>
        </w:rPr>
        <w:t xml:space="preserve"> core to patient-centered care.</w:t>
      </w:r>
    </w:p>
    <w:p w14:paraId="7647C938" w14:textId="77777777" w:rsidR="007A2AC0" w:rsidRDefault="00E06694" w:rsidP="009729DB">
      <w:pPr>
        <w:pStyle w:val="ListParagraph"/>
        <w:numPr>
          <w:ilvl w:val="0"/>
          <w:numId w:val="47"/>
        </w:numPr>
        <w:rPr>
          <w:rFonts w:cs="Calibri"/>
        </w:rPr>
      </w:pPr>
      <w:r>
        <w:rPr>
          <w:rFonts w:cs="Calibri"/>
        </w:rPr>
        <w:t>Aligning measurement and quality improvement to focus priorities and reduce burden to providers and payers</w:t>
      </w:r>
      <w:r w:rsidR="007A2AC0">
        <w:rPr>
          <w:rFonts w:cs="Calibri"/>
        </w:rPr>
        <w:t xml:space="preserve"> both internal to the organization and at a statewide and national level.</w:t>
      </w:r>
    </w:p>
    <w:p w14:paraId="3AFF6161" w14:textId="2B966F3C" w:rsidR="001E50CF" w:rsidRDefault="007A2AC0" w:rsidP="009729DB">
      <w:pPr>
        <w:pStyle w:val="ListParagraph"/>
        <w:numPr>
          <w:ilvl w:val="0"/>
          <w:numId w:val="47"/>
        </w:numPr>
        <w:rPr>
          <w:rFonts w:cs="Calibri"/>
        </w:rPr>
      </w:pPr>
      <w:r>
        <w:rPr>
          <w:rFonts w:cs="Calibri"/>
        </w:rPr>
        <w:t xml:space="preserve">Advancements in quality measurement, collection and reporting. </w:t>
      </w:r>
      <w:r w:rsidR="00E06694">
        <w:rPr>
          <w:rFonts w:cs="Calibri"/>
        </w:rPr>
        <w:t xml:space="preserve">   </w:t>
      </w:r>
    </w:p>
    <w:p w14:paraId="5D9A9731" w14:textId="4501B754" w:rsidR="004859CF" w:rsidRDefault="004859CF" w:rsidP="004859CF">
      <w:r>
        <w:t xml:space="preserve">Development, implementation, monitoring and evaluation of </w:t>
      </w:r>
      <w:r w:rsidR="0033369B">
        <w:t>the</w:t>
      </w:r>
      <w:r>
        <w:t xml:space="preserve"> quality strategy </w:t>
      </w:r>
      <w:r w:rsidR="00A275DD">
        <w:t>are</w:t>
      </w:r>
      <w:r>
        <w:t xml:space="preserve"> </w:t>
      </w:r>
      <w:r w:rsidR="00A275DD">
        <w:t xml:space="preserve">real-time, </w:t>
      </w:r>
      <w:r>
        <w:t>ongoing and iterative process</w:t>
      </w:r>
      <w:r w:rsidR="00A275DD">
        <w:t xml:space="preserve">es. </w:t>
      </w:r>
      <w:r w:rsidR="00B95AEF">
        <w:t>MassHealth is committed to</w:t>
      </w:r>
      <w:r w:rsidR="00A275DD">
        <w:t xml:space="preserve"> </w:t>
      </w:r>
      <w:r>
        <w:t>enhance</w:t>
      </w:r>
      <w:r w:rsidR="00B95AEF">
        <w:t>ment of</w:t>
      </w:r>
      <w:r>
        <w:t xml:space="preserve"> processes and opportunities for transparent stakeholder engagement </w:t>
      </w:r>
      <w:r w:rsidR="00B95AEF">
        <w:t>with</w:t>
      </w:r>
      <w:r>
        <w:t xml:space="preserve"> the quality strategy and programs across </w:t>
      </w:r>
      <w:r w:rsidR="004F5B8D">
        <w:t>MassHealth</w:t>
      </w:r>
      <w:r w:rsidR="00B95AEF">
        <w:t>.  Such input</w:t>
      </w:r>
      <w:r w:rsidR="004F5B8D">
        <w:t xml:space="preserve"> </w:t>
      </w:r>
      <w:r>
        <w:t xml:space="preserve">will be critical to </w:t>
      </w:r>
      <w:proofErr w:type="spellStart"/>
      <w:r w:rsidR="00B95AEF">
        <w:t>MassHealth’s</w:t>
      </w:r>
      <w:proofErr w:type="spellEnd"/>
      <w:r>
        <w:t xml:space="preserve"> overall success</w:t>
      </w:r>
      <w:r w:rsidR="00053211">
        <w:t xml:space="preserve"> in providing </w:t>
      </w:r>
      <w:r w:rsidR="00B90FB5">
        <w:t>high quality care for members</w:t>
      </w:r>
      <w:r>
        <w:t>.</w:t>
      </w:r>
    </w:p>
    <w:p w14:paraId="72479FC6" w14:textId="2B9F8BA7" w:rsidR="00747BF7" w:rsidRPr="00821C14" w:rsidRDefault="00747BF7" w:rsidP="00944CF9">
      <w:pPr>
        <w:contextualSpacing/>
        <w:rPr>
          <w:rFonts w:cs="Calibri"/>
          <w:sz w:val="18"/>
          <w:szCs w:val="18"/>
        </w:rPr>
        <w:sectPr w:rsidR="00747BF7" w:rsidRPr="00821C14" w:rsidSect="001D0D8B">
          <w:type w:val="continuous"/>
          <w:pgSz w:w="12240" w:h="15840"/>
          <w:pgMar w:top="1440" w:right="1440" w:bottom="1440" w:left="1440" w:header="720" w:footer="720" w:gutter="0"/>
          <w:cols w:space="720"/>
          <w:docGrid w:linePitch="360"/>
        </w:sectPr>
      </w:pPr>
    </w:p>
    <w:p w14:paraId="40C97174" w14:textId="26C13225" w:rsidR="001E50CF" w:rsidRPr="002E22D0" w:rsidRDefault="001E50CF" w:rsidP="002E22D0">
      <w:pPr>
        <w:pStyle w:val="Title"/>
      </w:pPr>
      <w:bookmarkStart w:id="214" w:name="_Toc284922442"/>
      <w:r w:rsidRPr="002E22D0">
        <w:lastRenderedPageBreak/>
        <w:t>Appendix 1   Managed Care Entity Program Reporting Requirements</w:t>
      </w:r>
      <w:bookmarkEnd w:id="214"/>
    </w:p>
    <w:p w14:paraId="0B12592B" w14:textId="197AB3D4" w:rsidR="001E50CF" w:rsidRPr="00821C14" w:rsidRDefault="000A36AE" w:rsidP="00474CDC">
      <w:pPr>
        <w:rPr>
          <w:rFonts w:cs="Calibri"/>
        </w:rPr>
      </w:pPr>
      <w:r w:rsidRPr="00821C14">
        <w:rPr>
          <w:rFonts w:cs="Calibri"/>
        </w:rPr>
        <w:t>This section includ</w:t>
      </w:r>
      <w:r w:rsidR="00D64398">
        <w:rPr>
          <w:rFonts w:cs="Calibri"/>
        </w:rPr>
        <w:t>es</w:t>
      </w:r>
      <w:r w:rsidRPr="00821C14">
        <w:rPr>
          <w:rFonts w:cs="Calibri"/>
        </w:rPr>
        <w:t xml:space="preserve"> </w:t>
      </w:r>
      <w:r w:rsidR="003E24DB">
        <w:rPr>
          <w:rFonts w:cs="Calibri"/>
        </w:rPr>
        <w:t xml:space="preserve">examples of </w:t>
      </w:r>
      <w:r w:rsidRPr="00821C14">
        <w:rPr>
          <w:rFonts w:cs="Calibri"/>
        </w:rPr>
        <w:t>the reporting requirements for entities covered by the Strategy.</w:t>
      </w:r>
      <w:r w:rsidR="001F0A8B">
        <w:rPr>
          <w:rFonts w:cs="Calibri"/>
        </w:rPr>
        <w:t xml:space="preserve"> </w:t>
      </w:r>
      <w:r w:rsidR="00B95AEF">
        <w:rPr>
          <w:rFonts w:cs="Calibri"/>
        </w:rPr>
        <w:t xml:space="preserve"> Reporting requirements are subject to change.</w:t>
      </w:r>
    </w:p>
    <w:tbl>
      <w:tblPr>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2706"/>
        <w:gridCol w:w="6783"/>
      </w:tblGrid>
      <w:tr w:rsidR="00B82093" w:rsidRPr="00821C14" w14:paraId="42349852" w14:textId="77777777" w:rsidTr="00127D1B">
        <w:trPr>
          <w:trHeight w:val="466"/>
          <w:tblHeader/>
        </w:trPr>
        <w:tc>
          <w:tcPr>
            <w:tcW w:w="1443" w:type="dxa"/>
            <w:shd w:val="clear" w:color="auto" w:fill="808080"/>
          </w:tcPr>
          <w:p w14:paraId="59F37AEB" w14:textId="77777777" w:rsidR="00B82093" w:rsidRPr="00821C14" w:rsidRDefault="00B82093" w:rsidP="005D5285">
            <w:pPr>
              <w:pStyle w:val="Header"/>
              <w:rPr>
                <w:rFonts w:cs="Calibri"/>
                <w:color w:val="FFFFFF"/>
                <w:sz w:val="20"/>
                <w:szCs w:val="20"/>
              </w:rPr>
            </w:pPr>
            <w:r w:rsidRPr="00821C14">
              <w:rPr>
                <w:rFonts w:cs="Calibri"/>
                <w:color w:val="FFFFFF"/>
                <w:sz w:val="20"/>
                <w:szCs w:val="20"/>
              </w:rPr>
              <w:t>Program</w:t>
            </w:r>
          </w:p>
        </w:tc>
        <w:tc>
          <w:tcPr>
            <w:tcW w:w="2706" w:type="dxa"/>
            <w:shd w:val="clear" w:color="auto" w:fill="808080"/>
          </w:tcPr>
          <w:p w14:paraId="6CBF8154" w14:textId="77777777" w:rsidR="00B82093" w:rsidRPr="00821C14" w:rsidRDefault="00B82093" w:rsidP="005D5285">
            <w:pPr>
              <w:spacing w:after="0"/>
              <w:rPr>
                <w:rFonts w:cs="Calibri"/>
                <w:color w:val="FFFFFF"/>
                <w:sz w:val="20"/>
                <w:szCs w:val="20"/>
              </w:rPr>
            </w:pPr>
            <w:r w:rsidRPr="00821C14">
              <w:rPr>
                <w:rFonts w:cs="Calibri"/>
                <w:color w:val="FFFFFF"/>
                <w:sz w:val="20"/>
                <w:szCs w:val="20"/>
              </w:rPr>
              <w:t>Report Title</w:t>
            </w:r>
          </w:p>
        </w:tc>
        <w:tc>
          <w:tcPr>
            <w:tcW w:w="6783" w:type="dxa"/>
            <w:shd w:val="clear" w:color="auto" w:fill="808080"/>
          </w:tcPr>
          <w:p w14:paraId="09D16C4E" w14:textId="77777777" w:rsidR="00B82093" w:rsidRPr="00821C14" w:rsidRDefault="00B82093" w:rsidP="005D5285">
            <w:pPr>
              <w:rPr>
                <w:rFonts w:cs="Calibri"/>
                <w:color w:val="FFFFFF"/>
              </w:rPr>
            </w:pPr>
            <w:r w:rsidRPr="00821C14">
              <w:rPr>
                <w:rFonts w:cs="Calibri"/>
                <w:color w:val="FFFFFF"/>
              </w:rPr>
              <w:t>Description</w:t>
            </w:r>
          </w:p>
        </w:tc>
      </w:tr>
      <w:tr w:rsidR="00B82093" w:rsidRPr="00821C14" w14:paraId="6324EFD0" w14:textId="77777777" w:rsidTr="00127D1B">
        <w:trPr>
          <w:cantSplit/>
          <w:trHeight w:val="466"/>
        </w:trPr>
        <w:tc>
          <w:tcPr>
            <w:tcW w:w="10932" w:type="dxa"/>
            <w:gridSpan w:val="3"/>
            <w:shd w:val="clear" w:color="auto" w:fill="D9D9D9"/>
          </w:tcPr>
          <w:p w14:paraId="76C44D2A" w14:textId="77777777" w:rsidR="00B82093" w:rsidRPr="00821C14" w:rsidRDefault="00B82093" w:rsidP="00F81D67">
            <w:pPr>
              <w:spacing w:after="0"/>
              <w:rPr>
                <w:rFonts w:cs="Calibri"/>
                <w:b/>
                <w:bCs/>
                <w:color w:val="000000"/>
                <w:sz w:val="20"/>
                <w:szCs w:val="20"/>
              </w:rPr>
            </w:pPr>
            <w:r w:rsidRPr="00821C14">
              <w:rPr>
                <w:rFonts w:cs="Calibri"/>
                <w:b/>
                <w:bCs/>
                <w:color w:val="000000"/>
                <w:sz w:val="20"/>
                <w:szCs w:val="20"/>
              </w:rPr>
              <w:t>Availability of Services:  Delivery networks</w:t>
            </w:r>
          </w:p>
          <w:p w14:paraId="63D13A1E" w14:textId="6DE2F0D2" w:rsidR="00B82093" w:rsidRPr="00821C14" w:rsidRDefault="009542B1" w:rsidP="00F81D67">
            <w:pPr>
              <w:spacing w:after="0"/>
              <w:rPr>
                <w:rFonts w:cs="Calibri"/>
                <w:color w:val="000000"/>
                <w:sz w:val="20"/>
                <w:szCs w:val="20"/>
              </w:rPr>
            </w:pPr>
            <w:r>
              <w:rPr>
                <w:rFonts w:cs="Calibri"/>
                <w:color w:val="000000"/>
                <w:sz w:val="20"/>
                <w:szCs w:val="20"/>
              </w:rPr>
              <w:t xml:space="preserve">CFR </w:t>
            </w:r>
            <w:r w:rsidR="00B82093" w:rsidRPr="00821C14">
              <w:rPr>
                <w:rFonts w:cs="Calibri"/>
                <w:color w:val="000000"/>
                <w:sz w:val="20"/>
                <w:szCs w:val="20"/>
              </w:rPr>
              <w:t>Sections:</w:t>
            </w:r>
          </w:p>
          <w:p w14:paraId="6CAF8675" w14:textId="77777777" w:rsidR="00B82093" w:rsidRPr="00821C14" w:rsidRDefault="00B82093" w:rsidP="006707EF">
            <w:pPr>
              <w:pStyle w:val="ListBullet2"/>
              <w:rPr>
                <w:rFonts w:cs="Calibri"/>
              </w:rPr>
            </w:pPr>
            <w:r w:rsidRPr="00821C14">
              <w:rPr>
                <w:rFonts w:cs="Calibri"/>
              </w:rPr>
              <w:t>42 CFR 438.206 - Availability of services</w:t>
            </w:r>
          </w:p>
          <w:p w14:paraId="24C6367C" w14:textId="77777777" w:rsidR="00B82093" w:rsidRPr="00821C14" w:rsidRDefault="00B82093" w:rsidP="006707EF">
            <w:pPr>
              <w:pStyle w:val="ListBullet2"/>
              <w:rPr>
                <w:rFonts w:cs="Calibri"/>
              </w:rPr>
            </w:pPr>
            <w:r w:rsidRPr="00821C14">
              <w:rPr>
                <w:rFonts w:cs="Calibri"/>
              </w:rPr>
              <w:t>42 CFR 438.207 – Assurances of</w:t>
            </w:r>
            <w:r w:rsidR="006707EF" w:rsidRPr="00821C14">
              <w:rPr>
                <w:rFonts w:cs="Calibri"/>
              </w:rPr>
              <w:t xml:space="preserve"> adequate capacity and services</w:t>
            </w:r>
          </w:p>
        </w:tc>
      </w:tr>
      <w:tr w:rsidR="00A7001D" w:rsidRPr="00821C14" w14:paraId="066C2F89" w14:textId="77777777" w:rsidTr="00127D1B">
        <w:trPr>
          <w:cantSplit/>
          <w:trHeight w:val="466"/>
        </w:trPr>
        <w:tc>
          <w:tcPr>
            <w:tcW w:w="1443" w:type="dxa"/>
            <w:vMerge w:val="restart"/>
          </w:tcPr>
          <w:p w14:paraId="1B10E451" w14:textId="77777777" w:rsidR="00A7001D" w:rsidRPr="00821C14" w:rsidRDefault="00A7001D" w:rsidP="005D5285">
            <w:pPr>
              <w:tabs>
                <w:tab w:val="left" w:pos="750"/>
              </w:tabs>
              <w:spacing w:after="0"/>
              <w:rPr>
                <w:rFonts w:cs="Calibri"/>
                <w:color w:val="000000"/>
                <w:sz w:val="20"/>
                <w:szCs w:val="20"/>
              </w:rPr>
            </w:pPr>
            <w:r w:rsidRPr="00821C14">
              <w:rPr>
                <w:rFonts w:cs="Calibri"/>
                <w:color w:val="000000"/>
                <w:sz w:val="20"/>
                <w:szCs w:val="20"/>
              </w:rPr>
              <w:t>MCO</w:t>
            </w:r>
            <w:r w:rsidR="00C04C2D">
              <w:rPr>
                <w:rFonts w:cs="Calibri"/>
                <w:color w:val="000000"/>
                <w:sz w:val="20"/>
                <w:szCs w:val="20"/>
              </w:rPr>
              <w:t xml:space="preserve"> and </w:t>
            </w:r>
            <w:r w:rsidR="00660AF3">
              <w:rPr>
                <w:rFonts w:cs="Calibri"/>
                <w:color w:val="000000"/>
                <w:sz w:val="20"/>
                <w:szCs w:val="20"/>
              </w:rPr>
              <w:t>A</w:t>
            </w:r>
            <w:r w:rsidR="00721D9F">
              <w:rPr>
                <w:rFonts w:cs="Calibri"/>
                <w:color w:val="000000"/>
                <w:sz w:val="20"/>
                <w:szCs w:val="20"/>
              </w:rPr>
              <w:t>ccountable Care Partnership Plan</w:t>
            </w:r>
            <w:r w:rsidR="00660AF3">
              <w:rPr>
                <w:rFonts w:cs="Calibri"/>
                <w:color w:val="000000"/>
                <w:sz w:val="20"/>
                <w:szCs w:val="20"/>
              </w:rPr>
              <w:t xml:space="preserve"> </w:t>
            </w:r>
            <w:r w:rsidRPr="00821C14">
              <w:rPr>
                <w:rFonts w:cs="Calibri"/>
                <w:color w:val="000000"/>
                <w:sz w:val="20"/>
                <w:szCs w:val="20"/>
              </w:rPr>
              <w:t>Program</w:t>
            </w:r>
          </w:p>
          <w:p w14:paraId="7213C486" w14:textId="77777777" w:rsidR="00A7001D" w:rsidRPr="00235C6A" w:rsidRDefault="00A7001D" w:rsidP="005D5285">
            <w:pPr>
              <w:spacing w:after="0"/>
              <w:rPr>
                <w:rFonts w:ascii="onecaer" w:hAnsi="onecaer" w:cs="Calibri"/>
                <w:color w:val="000000"/>
                <w:sz w:val="20"/>
                <w:szCs w:val="20"/>
              </w:rPr>
            </w:pPr>
          </w:p>
        </w:tc>
        <w:tc>
          <w:tcPr>
            <w:tcW w:w="2706" w:type="dxa"/>
          </w:tcPr>
          <w:p w14:paraId="7B67455B" w14:textId="77777777" w:rsidR="00A7001D" w:rsidRPr="00821C14" w:rsidRDefault="00A7001D" w:rsidP="005D5285">
            <w:pPr>
              <w:spacing w:after="0"/>
              <w:rPr>
                <w:rFonts w:cs="Calibri"/>
                <w:color w:val="000000"/>
                <w:sz w:val="20"/>
                <w:szCs w:val="20"/>
              </w:rPr>
            </w:pPr>
            <w:r w:rsidRPr="00821C14">
              <w:rPr>
                <w:rFonts w:cs="Calibri"/>
                <w:bCs/>
                <w:color w:val="000000"/>
                <w:sz w:val="20"/>
                <w:szCs w:val="20"/>
              </w:rPr>
              <w:t xml:space="preserve">PCP </w:t>
            </w:r>
            <w:r w:rsidRPr="00821C14">
              <w:rPr>
                <w:rFonts w:cs="Calibri"/>
                <w:color w:val="000000"/>
                <w:sz w:val="20"/>
                <w:szCs w:val="20"/>
              </w:rPr>
              <w:t>Geographic</w:t>
            </w:r>
            <w:r w:rsidRPr="00821C14">
              <w:rPr>
                <w:rFonts w:cs="Calibri"/>
                <w:bCs/>
                <w:color w:val="000000"/>
                <w:sz w:val="20"/>
                <w:szCs w:val="20"/>
              </w:rPr>
              <w:t>-Access Report</w:t>
            </w:r>
          </w:p>
        </w:tc>
        <w:tc>
          <w:tcPr>
            <w:tcW w:w="6783" w:type="dxa"/>
          </w:tcPr>
          <w:p w14:paraId="43DCBDDA" w14:textId="77777777" w:rsidR="00A7001D" w:rsidRPr="00821C14" w:rsidRDefault="00A7001D" w:rsidP="009729DB">
            <w:pPr>
              <w:pStyle w:val="ListBullet1"/>
              <w:numPr>
                <w:ilvl w:val="0"/>
                <w:numId w:val="16"/>
              </w:numPr>
            </w:pPr>
            <w:r w:rsidRPr="00821C14">
              <w:t>Annual report and geo-access maps of adult and pediatric PCP  geographic locations by service area</w:t>
            </w:r>
          </w:p>
        </w:tc>
      </w:tr>
      <w:tr w:rsidR="00A7001D" w:rsidRPr="00821C14" w14:paraId="075F364D" w14:textId="77777777" w:rsidTr="00127D1B">
        <w:trPr>
          <w:cantSplit/>
          <w:trHeight w:val="466"/>
        </w:trPr>
        <w:tc>
          <w:tcPr>
            <w:tcW w:w="1443" w:type="dxa"/>
            <w:vMerge/>
          </w:tcPr>
          <w:p w14:paraId="7F685E5A" w14:textId="77777777" w:rsidR="00A7001D" w:rsidRPr="00821C14" w:rsidRDefault="00A7001D" w:rsidP="005D5285">
            <w:pPr>
              <w:spacing w:after="0"/>
              <w:rPr>
                <w:rFonts w:cs="Calibri"/>
                <w:color w:val="000000"/>
                <w:sz w:val="20"/>
                <w:szCs w:val="20"/>
              </w:rPr>
            </w:pPr>
          </w:p>
        </w:tc>
        <w:tc>
          <w:tcPr>
            <w:tcW w:w="2706" w:type="dxa"/>
          </w:tcPr>
          <w:p w14:paraId="61F89CC0" w14:textId="77777777" w:rsidR="00A7001D" w:rsidRPr="00821C14" w:rsidRDefault="00A7001D" w:rsidP="005D5285">
            <w:pPr>
              <w:spacing w:after="0"/>
              <w:rPr>
                <w:rFonts w:cs="Calibri"/>
                <w:bCs/>
                <w:color w:val="000000"/>
                <w:sz w:val="20"/>
                <w:szCs w:val="20"/>
              </w:rPr>
            </w:pPr>
            <w:r w:rsidRPr="00821C14">
              <w:rPr>
                <w:rFonts w:cs="Calibri"/>
                <w:bCs/>
                <w:color w:val="000000"/>
                <w:sz w:val="20"/>
                <w:szCs w:val="20"/>
              </w:rPr>
              <w:t>PCP-to-Enrollee Ratio Report</w:t>
            </w:r>
          </w:p>
        </w:tc>
        <w:tc>
          <w:tcPr>
            <w:tcW w:w="6783" w:type="dxa"/>
          </w:tcPr>
          <w:p w14:paraId="19A26DE9" w14:textId="77777777" w:rsidR="00A7001D" w:rsidRPr="00821C14" w:rsidRDefault="00A7001D" w:rsidP="009729DB">
            <w:pPr>
              <w:pStyle w:val="ListBullet1"/>
              <w:numPr>
                <w:ilvl w:val="0"/>
                <w:numId w:val="16"/>
              </w:numPr>
            </w:pPr>
            <w:r w:rsidRPr="00821C14">
              <w:t>Annual report of open and closed adult, pediatric, family and OB/GYN PCPs per number of enrollees by Service Area (includes data collection methodologies)</w:t>
            </w:r>
          </w:p>
        </w:tc>
      </w:tr>
      <w:tr w:rsidR="00A7001D" w:rsidRPr="00821C14" w14:paraId="06B486F4" w14:textId="77777777" w:rsidTr="00127D1B">
        <w:trPr>
          <w:trHeight w:val="466"/>
        </w:trPr>
        <w:tc>
          <w:tcPr>
            <w:tcW w:w="1443" w:type="dxa"/>
            <w:vMerge/>
          </w:tcPr>
          <w:p w14:paraId="6AB2D35B" w14:textId="77777777" w:rsidR="00A7001D" w:rsidRPr="00821C14" w:rsidRDefault="00A7001D" w:rsidP="005D5285">
            <w:pPr>
              <w:spacing w:after="0"/>
              <w:rPr>
                <w:rFonts w:cs="Calibri"/>
                <w:color w:val="000000"/>
                <w:sz w:val="20"/>
                <w:szCs w:val="20"/>
              </w:rPr>
            </w:pPr>
          </w:p>
        </w:tc>
        <w:tc>
          <w:tcPr>
            <w:tcW w:w="2706" w:type="dxa"/>
          </w:tcPr>
          <w:p w14:paraId="69632A6A" w14:textId="77777777" w:rsidR="00A7001D" w:rsidRPr="00821C14" w:rsidRDefault="00A7001D" w:rsidP="005D5285">
            <w:pPr>
              <w:spacing w:after="0"/>
              <w:rPr>
                <w:rFonts w:cs="Calibri"/>
                <w:color w:val="000000"/>
                <w:sz w:val="20"/>
                <w:szCs w:val="20"/>
              </w:rPr>
            </w:pPr>
            <w:r w:rsidRPr="00821C14">
              <w:rPr>
                <w:rFonts w:cs="Calibri"/>
                <w:color w:val="000000"/>
                <w:sz w:val="20"/>
                <w:szCs w:val="20"/>
              </w:rPr>
              <w:t>Specialist –to-Enrollee Ratio Report</w:t>
            </w:r>
          </w:p>
        </w:tc>
        <w:tc>
          <w:tcPr>
            <w:tcW w:w="6783" w:type="dxa"/>
          </w:tcPr>
          <w:p w14:paraId="1C5F14FA" w14:textId="77777777" w:rsidR="00A7001D" w:rsidRPr="00821C14" w:rsidRDefault="00A7001D" w:rsidP="009729DB">
            <w:pPr>
              <w:pStyle w:val="ListBullet1"/>
              <w:numPr>
                <w:ilvl w:val="0"/>
                <w:numId w:val="16"/>
              </w:numPr>
            </w:pPr>
            <w:r w:rsidRPr="00821C14">
              <w:t>Annual report of number of specialists by specialty type per number of enrollees by Service Area</w:t>
            </w:r>
          </w:p>
        </w:tc>
      </w:tr>
      <w:tr w:rsidR="00A7001D" w:rsidRPr="00821C14" w14:paraId="4637B725" w14:textId="77777777" w:rsidTr="00127D1B">
        <w:trPr>
          <w:trHeight w:val="466"/>
        </w:trPr>
        <w:tc>
          <w:tcPr>
            <w:tcW w:w="1443" w:type="dxa"/>
            <w:vMerge/>
          </w:tcPr>
          <w:p w14:paraId="56A9E0BB" w14:textId="77777777" w:rsidR="00A7001D" w:rsidRPr="00821C14" w:rsidRDefault="00A7001D" w:rsidP="005D5285">
            <w:pPr>
              <w:spacing w:after="0"/>
              <w:rPr>
                <w:rFonts w:cs="Calibri"/>
                <w:color w:val="000000"/>
                <w:sz w:val="20"/>
                <w:szCs w:val="20"/>
              </w:rPr>
            </w:pPr>
          </w:p>
        </w:tc>
        <w:tc>
          <w:tcPr>
            <w:tcW w:w="2706" w:type="dxa"/>
          </w:tcPr>
          <w:p w14:paraId="4E1F5893" w14:textId="77777777" w:rsidR="00A7001D" w:rsidRPr="00821C14" w:rsidRDefault="00A7001D" w:rsidP="005D5285">
            <w:pPr>
              <w:spacing w:after="0"/>
              <w:rPr>
                <w:rFonts w:cs="Calibri"/>
                <w:color w:val="000000"/>
                <w:sz w:val="20"/>
                <w:szCs w:val="20"/>
              </w:rPr>
            </w:pPr>
            <w:r w:rsidRPr="00821C14">
              <w:rPr>
                <w:rFonts w:cs="Calibri"/>
                <w:color w:val="000000"/>
                <w:sz w:val="20"/>
                <w:szCs w:val="20"/>
              </w:rPr>
              <w:t>Pharmacy Network Geographic-Access Report</w:t>
            </w:r>
          </w:p>
        </w:tc>
        <w:tc>
          <w:tcPr>
            <w:tcW w:w="6783" w:type="dxa"/>
          </w:tcPr>
          <w:p w14:paraId="2395D5CC" w14:textId="77777777" w:rsidR="00A7001D" w:rsidRPr="00821C14" w:rsidRDefault="00A7001D" w:rsidP="009729DB">
            <w:pPr>
              <w:pStyle w:val="ListBullet1"/>
              <w:numPr>
                <w:ilvl w:val="0"/>
                <w:numId w:val="16"/>
              </w:numPr>
            </w:pPr>
            <w:r w:rsidRPr="00821C14">
              <w:t>Annual geo-access map of pharmacy network by service area</w:t>
            </w:r>
          </w:p>
        </w:tc>
      </w:tr>
      <w:tr w:rsidR="00A7001D" w:rsidRPr="00821C14" w14:paraId="3E6395C8" w14:textId="77777777" w:rsidTr="00127D1B">
        <w:trPr>
          <w:trHeight w:val="466"/>
        </w:trPr>
        <w:tc>
          <w:tcPr>
            <w:tcW w:w="1443" w:type="dxa"/>
            <w:vMerge/>
          </w:tcPr>
          <w:p w14:paraId="6279DD95" w14:textId="77777777" w:rsidR="00A7001D" w:rsidRPr="00821C14" w:rsidRDefault="00A7001D" w:rsidP="005D5285">
            <w:pPr>
              <w:spacing w:after="0"/>
              <w:rPr>
                <w:rFonts w:cs="Calibri"/>
                <w:color w:val="000000"/>
                <w:sz w:val="20"/>
                <w:szCs w:val="20"/>
              </w:rPr>
            </w:pPr>
          </w:p>
        </w:tc>
        <w:tc>
          <w:tcPr>
            <w:tcW w:w="2706" w:type="dxa"/>
          </w:tcPr>
          <w:p w14:paraId="7836807B" w14:textId="77777777" w:rsidR="00A7001D" w:rsidRPr="00821C14" w:rsidRDefault="00A7001D" w:rsidP="005D5285">
            <w:pPr>
              <w:spacing w:after="0"/>
              <w:rPr>
                <w:rFonts w:cs="Calibri"/>
                <w:color w:val="000000"/>
                <w:sz w:val="20"/>
                <w:szCs w:val="20"/>
              </w:rPr>
            </w:pPr>
            <w:r w:rsidRPr="00821C14">
              <w:rPr>
                <w:rFonts w:cs="Calibri"/>
                <w:color w:val="000000"/>
                <w:sz w:val="20"/>
                <w:szCs w:val="20"/>
              </w:rPr>
              <w:t>Significant Changes in Provider Network Report</w:t>
            </w:r>
          </w:p>
        </w:tc>
        <w:tc>
          <w:tcPr>
            <w:tcW w:w="6783" w:type="dxa"/>
          </w:tcPr>
          <w:p w14:paraId="5DEBE957" w14:textId="77777777" w:rsidR="00A7001D" w:rsidRPr="00821C14" w:rsidRDefault="00A7001D" w:rsidP="009729DB">
            <w:pPr>
              <w:pStyle w:val="ListBullet1"/>
              <w:numPr>
                <w:ilvl w:val="0"/>
                <w:numId w:val="16"/>
              </w:numPr>
            </w:pPr>
            <w:r w:rsidRPr="00821C14">
              <w:t>Immediate notice and Annual  Summary report of significant changes in provider network that will affect the adequacy and capacity of services</w:t>
            </w:r>
          </w:p>
        </w:tc>
      </w:tr>
      <w:tr w:rsidR="00A7001D" w:rsidRPr="00821C14" w14:paraId="2E925174" w14:textId="77777777" w:rsidTr="00127D1B">
        <w:trPr>
          <w:trHeight w:val="466"/>
        </w:trPr>
        <w:tc>
          <w:tcPr>
            <w:tcW w:w="1443" w:type="dxa"/>
            <w:vMerge/>
          </w:tcPr>
          <w:p w14:paraId="0D75F812" w14:textId="77777777" w:rsidR="00A7001D" w:rsidRPr="00821C14" w:rsidRDefault="00A7001D" w:rsidP="005D5285">
            <w:pPr>
              <w:spacing w:after="0"/>
              <w:rPr>
                <w:rFonts w:cs="Calibri"/>
                <w:color w:val="000000"/>
                <w:sz w:val="20"/>
                <w:szCs w:val="20"/>
              </w:rPr>
            </w:pPr>
          </w:p>
        </w:tc>
        <w:tc>
          <w:tcPr>
            <w:tcW w:w="2706" w:type="dxa"/>
          </w:tcPr>
          <w:p w14:paraId="01BA78EC" w14:textId="77777777" w:rsidR="00A7001D" w:rsidRPr="00821C14" w:rsidRDefault="00A7001D" w:rsidP="005D5285">
            <w:pPr>
              <w:pStyle w:val="FootnoteText"/>
              <w:rPr>
                <w:rFonts w:cs="Calibri"/>
                <w:color w:val="000000"/>
              </w:rPr>
            </w:pPr>
            <w:r w:rsidRPr="00821C14">
              <w:rPr>
                <w:rFonts w:cs="Calibri"/>
                <w:color w:val="000000"/>
              </w:rPr>
              <w:t>PCP Network Turnover Rate</w:t>
            </w:r>
          </w:p>
        </w:tc>
        <w:tc>
          <w:tcPr>
            <w:tcW w:w="6783" w:type="dxa"/>
          </w:tcPr>
          <w:p w14:paraId="69BDB9EB" w14:textId="77777777" w:rsidR="00A7001D" w:rsidRPr="00821C14" w:rsidRDefault="00A7001D" w:rsidP="009729DB">
            <w:pPr>
              <w:pStyle w:val="ListBullet1"/>
              <w:numPr>
                <w:ilvl w:val="0"/>
                <w:numId w:val="16"/>
              </w:numPr>
            </w:pPr>
            <w:r w:rsidRPr="00821C14">
              <w:t>Annual PCP turnover w/in MCO network (considering voluntary turnover and terminations)</w:t>
            </w:r>
          </w:p>
        </w:tc>
      </w:tr>
      <w:tr w:rsidR="00A7001D" w:rsidRPr="00821C14" w14:paraId="4881BA75" w14:textId="77777777" w:rsidTr="00127D1B">
        <w:trPr>
          <w:trHeight w:val="466"/>
        </w:trPr>
        <w:tc>
          <w:tcPr>
            <w:tcW w:w="1443" w:type="dxa"/>
            <w:vMerge/>
          </w:tcPr>
          <w:p w14:paraId="3E4B9AE5" w14:textId="77777777" w:rsidR="00A7001D" w:rsidRPr="00821C14" w:rsidRDefault="00A7001D" w:rsidP="005D5285">
            <w:pPr>
              <w:spacing w:after="0"/>
              <w:rPr>
                <w:rFonts w:cs="Calibri"/>
                <w:color w:val="000000"/>
                <w:sz w:val="20"/>
                <w:szCs w:val="20"/>
              </w:rPr>
            </w:pPr>
          </w:p>
        </w:tc>
        <w:tc>
          <w:tcPr>
            <w:tcW w:w="2706" w:type="dxa"/>
          </w:tcPr>
          <w:p w14:paraId="75820F2A" w14:textId="77777777" w:rsidR="00A7001D" w:rsidRPr="00821C14" w:rsidRDefault="00A7001D" w:rsidP="005D5285">
            <w:pPr>
              <w:pStyle w:val="FootnoteText"/>
              <w:rPr>
                <w:rFonts w:cs="Calibri"/>
                <w:color w:val="000000"/>
              </w:rPr>
            </w:pPr>
            <w:r w:rsidRPr="00821C14">
              <w:rPr>
                <w:rFonts w:cs="Calibri"/>
                <w:color w:val="000000"/>
              </w:rPr>
              <w:t>PCP Assignment Accuracy Report</w:t>
            </w:r>
          </w:p>
        </w:tc>
        <w:tc>
          <w:tcPr>
            <w:tcW w:w="6783" w:type="dxa"/>
          </w:tcPr>
          <w:p w14:paraId="198CC582" w14:textId="77777777" w:rsidR="00A7001D" w:rsidRPr="00821C14" w:rsidRDefault="00A7001D" w:rsidP="009729DB">
            <w:pPr>
              <w:pStyle w:val="ListBullet1"/>
              <w:numPr>
                <w:ilvl w:val="0"/>
                <w:numId w:val="16"/>
              </w:numPr>
            </w:pPr>
            <w:r w:rsidRPr="00821C14">
              <w:t>Annual report of number/percentage of enrollees not having an assigned PCP or w/ incorrect PCP assignment  at any point &gt; 15 days of effective enrollment (includes auditing/ monitoring activities, data sources, and methodologies)</w:t>
            </w:r>
          </w:p>
        </w:tc>
      </w:tr>
      <w:tr w:rsidR="00A7001D" w:rsidRPr="00821C14" w14:paraId="66E858F8" w14:textId="77777777" w:rsidTr="00127D1B">
        <w:trPr>
          <w:trHeight w:val="466"/>
        </w:trPr>
        <w:tc>
          <w:tcPr>
            <w:tcW w:w="1443" w:type="dxa"/>
            <w:vMerge/>
          </w:tcPr>
          <w:p w14:paraId="33DAF71E" w14:textId="77777777" w:rsidR="00A7001D" w:rsidRPr="00821C14" w:rsidRDefault="00A7001D" w:rsidP="005D5285">
            <w:pPr>
              <w:spacing w:after="0"/>
              <w:rPr>
                <w:rFonts w:cs="Calibri"/>
                <w:color w:val="000000"/>
                <w:sz w:val="20"/>
                <w:szCs w:val="20"/>
              </w:rPr>
            </w:pPr>
          </w:p>
        </w:tc>
        <w:tc>
          <w:tcPr>
            <w:tcW w:w="2706" w:type="dxa"/>
          </w:tcPr>
          <w:p w14:paraId="724700DA" w14:textId="77777777" w:rsidR="00A7001D" w:rsidRPr="00821C14" w:rsidRDefault="00A7001D" w:rsidP="005D5285">
            <w:pPr>
              <w:pStyle w:val="FootnoteText"/>
              <w:rPr>
                <w:rFonts w:cs="Calibri"/>
                <w:color w:val="000000"/>
              </w:rPr>
            </w:pPr>
            <w:r w:rsidRPr="00821C14">
              <w:rPr>
                <w:rFonts w:cs="Calibri"/>
                <w:color w:val="000000"/>
              </w:rPr>
              <w:t>Enrollee Change of PCP Report</w:t>
            </w:r>
          </w:p>
        </w:tc>
        <w:tc>
          <w:tcPr>
            <w:tcW w:w="6783" w:type="dxa"/>
          </w:tcPr>
          <w:p w14:paraId="28F8ABED" w14:textId="77777777" w:rsidR="00A7001D" w:rsidRPr="00821C14" w:rsidRDefault="00A7001D" w:rsidP="009729DB">
            <w:pPr>
              <w:pStyle w:val="ListBullet1"/>
              <w:numPr>
                <w:ilvl w:val="0"/>
                <w:numId w:val="17"/>
              </w:numPr>
            </w:pPr>
            <w:r w:rsidRPr="00821C14">
              <w:t xml:space="preserve">Annual report of voluntary Enrollee change of PCPs, with components including Enrollees with multiple/frequent PCP changes, PCPs with higher relative rates of Enrollee </w:t>
            </w:r>
            <w:r w:rsidR="00217B96" w:rsidRPr="00821C14">
              <w:t>disenrollment</w:t>
            </w:r>
            <w:r w:rsidRPr="00821C14">
              <w:t>, and summary of top 10 reasons for PCP changes</w:t>
            </w:r>
          </w:p>
        </w:tc>
      </w:tr>
      <w:tr w:rsidR="00A7001D" w:rsidRPr="00821C14" w14:paraId="56D5ED63" w14:textId="77777777" w:rsidTr="00127D1B">
        <w:trPr>
          <w:trHeight w:val="466"/>
        </w:trPr>
        <w:tc>
          <w:tcPr>
            <w:tcW w:w="1443" w:type="dxa"/>
            <w:vMerge/>
          </w:tcPr>
          <w:p w14:paraId="7AAA12EF" w14:textId="77777777" w:rsidR="00A7001D" w:rsidRPr="00821C14" w:rsidRDefault="00A7001D" w:rsidP="005D5285">
            <w:pPr>
              <w:spacing w:after="0"/>
              <w:rPr>
                <w:rFonts w:cs="Calibri"/>
                <w:color w:val="000000"/>
                <w:sz w:val="20"/>
                <w:szCs w:val="20"/>
              </w:rPr>
            </w:pPr>
          </w:p>
        </w:tc>
        <w:tc>
          <w:tcPr>
            <w:tcW w:w="2706" w:type="dxa"/>
          </w:tcPr>
          <w:p w14:paraId="69A549CA" w14:textId="77777777" w:rsidR="00A7001D" w:rsidRPr="00821C14" w:rsidRDefault="00A7001D" w:rsidP="005D5285">
            <w:pPr>
              <w:pStyle w:val="FootnoteText"/>
              <w:rPr>
                <w:rFonts w:cs="Calibri"/>
                <w:color w:val="000000"/>
              </w:rPr>
            </w:pPr>
            <w:r w:rsidRPr="00821C14">
              <w:rPr>
                <w:rFonts w:cs="Calibri"/>
                <w:color w:val="000000"/>
              </w:rPr>
              <w:t>Summary Access and Availability Analysis Report</w:t>
            </w:r>
          </w:p>
        </w:tc>
        <w:tc>
          <w:tcPr>
            <w:tcW w:w="6783" w:type="dxa"/>
          </w:tcPr>
          <w:p w14:paraId="050CCB0A" w14:textId="77777777" w:rsidR="00A7001D" w:rsidRPr="00821C14" w:rsidRDefault="00A7001D" w:rsidP="009729DB">
            <w:pPr>
              <w:pStyle w:val="ListBullet1"/>
              <w:numPr>
                <w:ilvl w:val="0"/>
                <w:numId w:val="17"/>
              </w:numPr>
            </w:pPr>
            <w:r w:rsidRPr="00821C14">
              <w:t>Annual report of key findings from all access reports and data sources(e.g. grievance system, telephone contacts with access /availability associated reason codes, provider site visits, use of out of network alternatives due to access/availability, care management staff experiences with scheduling appointments)</w:t>
            </w:r>
            <w:r w:rsidR="001F0A8B">
              <w:t xml:space="preserve"> </w:t>
            </w:r>
          </w:p>
        </w:tc>
      </w:tr>
      <w:tr w:rsidR="00A7001D" w:rsidRPr="00821C14" w14:paraId="69533B50" w14:textId="77777777" w:rsidTr="00127D1B">
        <w:trPr>
          <w:trHeight w:val="466"/>
        </w:trPr>
        <w:tc>
          <w:tcPr>
            <w:tcW w:w="1443" w:type="dxa"/>
            <w:vMerge/>
          </w:tcPr>
          <w:p w14:paraId="6800D5FD" w14:textId="77777777" w:rsidR="00A7001D" w:rsidRPr="00821C14" w:rsidRDefault="00A7001D" w:rsidP="005D5285">
            <w:pPr>
              <w:spacing w:after="0"/>
              <w:rPr>
                <w:rFonts w:cs="Calibri"/>
                <w:color w:val="000000"/>
                <w:sz w:val="20"/>
                <w:szCs w:val="20"/>
              </w:rPr>
            </w:pPr>
          </w:p>
        </w:tc>
        <w:tc>
          <w:tcPr>
            <w:tcW w:w="2706" w:type="dxa"/>
          </w:tcPr>
          <w:p w14:paraId="031E41C0" w14:textId="77777777" w:rsidR="00A7001D" w:rsidRPr="00821C14" w:rsidRDefault="00A7001D" w:rsidP="005D5285">
            <w:pPr>
              <w:pStyle w:val="FootnoteText"/>
              <w:rPr>
                <w:rFonts w:cs="Calibri"/>
                <w:color w:val="000000"/>
              </w:rPr>
            </w:pPr>
            <w:r w:rsidRPr="00821C14">
              <w:rPr>
                <w:rFonts w:cs="Calibri"/>
                <w:color w:val="000000"/>
              </w:rPr>
              <w:t>Non-Compliant Pharmacies Report</w:t>
            </w:r>
          </w:p>
        </w:tc>
        <w:tc>
          <w:tcPr>
            <w:tcW w:w="6783" w:type="dxa"/>
          </w:tcPr>
          <w:p w14:paraId="3ACD1960" w14:textId="77777777" w:rsidR="00A7001D" w:rsidRPr="00821C14" w:rsidRDefault="00A7001D" w:rsidP="009729DB">
            <w:pPr>
              <w:pStyle w:val="ListBullet1"/>
              <w:numPr>
                <w:ilvl w:val="0"/>
                <w:numId w:val="17"/>
              </w:numPr>
            </w:pPr>
            <w:r w:rsidRPr="00821C14">
              <w:t>Annual, if applicable list of pharmacies that demonstrate a pattern of inappropriately denying prescriptions to Enrollees, and steps taken to resolve the situations</w:t>
            </w:r>
          </w:p>
        </w:tc>
      </w:tr>
      <w:tr w:rsidR="00A7001D" w:rsidRPr="00821C14" w14:paraId="14434906" w14:textId="77777777" w:rsidTr="00127D1B">
        <w:trPr>
          <w:trHeight w:val="466"/>
        </w:trPr>
        <w:tc>
          <w:tcPr>
            <w:tcW w:w="1443" w:type="dxa"/>
            <w:vMerge/>
          </w:tcPr>
          <w:p w14:paraId="391748D3" w14:textId="77777777" w:rsidR="00A7001D" w:rsidRPr="00821C14" w:rsidRDefault="00A7001D" w:rsidP="005D5285">
            <w:pPr>
              <w:spacing w:after="0"/>
              <w:rPr>
                <w:rFonts w:cs="Calibri"/>
                <w:color w:val="000000"/>
                <w:sz w:val="20"/>
                <w:szCs w:val="20"/>
              </w:rPr>
            </w:pPr>
          </w:p>
        </w:tc>
        <w:tc>
          <w:tcPr>
            <w:tcW w:w="2706" w:type="dxa"/>
          </w:tcPr>
          <w:p w14:paraId="4D519B8C" w14:textId="77777777" w:rsidR="00A7001D" w:rsidRPr="00821C14" w:rsidRDefault="00A7001D" w:rsidP="005D5285">
            <w:pPr>
              <w:pStyle w:val="FootnoteText"/>
              <w:rPr>
                <w:rFonts w:cs="Calibri"/>
                <w:color w:val="000000"/>
              </w:rPr>
            </w:pPr>
            <w:r w:rsidRPr="00821C14">
              <w:rPr>
                <w:rFonts w:cs="Calibri"/>
                <w:color w:val="000000"/>
              </w:rPr>
              <w:t>Mail Order Pharmacy Program Report</w:t>
            </w:r>
          </w:p>
        </w:tc>
        <w:tc>
          <w:tcPr>
            <w:tcW w:w="6783" w:type="dxa"/>
          </w:tcPr>
          <w:p w14:paraId="4EC91BFB" w14:textId="77777777" w:rsidR="00A7001D" w:rsidRPr="00821C14" w:rsidRDefault="00A7001D" w:rsidP="009729DB">
            <w:pPr>
              <w:pStyle w:val="ListBullet1"/>
              <w:numPr>
                <w:ilvl w:val="0"/>
                <w:numId w:val="17"/>
              </w:numPr>
            </w:pPr>
            <w:r w:rsidRPr="00821C14">
              <w:t xml:space="preserve">Annual, if applicable summary of Mail Order Pharmacy Program including, number of Enrollees, enrollments/ </w:t>
            </w:r>
            <w:proofErr w:type="spellStart"/>
            <w:r w:rsidRPr="00821C14">
              <w:t>disenrollments</w:t>
            </w:r>
            <w:proofErr w:type="spellEnd"/>
            <w:r w:rsidRPr="00821C14">
              <w:t xml:space="preserve">, top 10 utilized drugs, requests for drugs not included in Program, % of early refills requested, # and method of refills, medication compliance rate. </w:t>
            </w:r>
          </w:p>
        </w:tc>
      </w:tr>
      <w:tr w:rsidR="00A7001D" w:rsidRPr="00821C14" w14:paraId="19516A3B" w14:textId="77777777" w:rsidTr="00127D1B">
        <w:trPr>
          <w:trHeight w:val="466"/>
        </w:trPr>
        <w:tc>
          <w:tcPr>
            <w:tcW w:w="1443" w:type="dxa"/>
            <w:vMerge/>
          </w:tcPr>
          <w:p w14:paraId="745520AD" w14:textId="77777777" w:rsidR="00A7001D" w:rsidRPr="00821C14" w:rsidRDefault="00A7001D" w:rsidP="005D5285">
            <w:pPr>
              <w:spacing w:after="0"/>
              <w:rPr>
                <w:rFonts w:cs="Calibri"/>
                <w:color w:val="000000"/>
                <w:sz w:val="20"/>
                <w:szCs w:val="20"/>
              </w:rPr>
            </w:pPr>
          </w:p>
        </w:tc>
        <w:tc>
          <w:tcPr>
            <w:tcW w:w="2706" w:type="dxa"/>
          </w:tcPr>
          <w:p w14:paraId="00D38137" w14:textId="77777777" w:rsidR="00A7001D" w:rsidRPr="00403950" w:rsidRDefault="00A7001D" w:rsidP="005D5285">
            <w:pPr>
              <w:pStyle w:val="FootnoteText"/>
              <w:rPr>
                <w:rFonts w:cs="Calibri"/>
                <w:color w:val="000000"/>
              </w:rPr>
            </w:pPr>
            <w:r w:rsidRPr="00403950">
              <w:rPr>
                <w:rFonts w:cs="Calibri"/>
                <w:color w:val="000000"/>
              </w:rPr>
              <w:t>Credentialing Policy</w:t>
            </w:r>
          </w:p>
        </w:tc>
        <w:tc>
          <w:tcPr>
            <w:tcW w:w="6783" w:type="dxa"/>
          </w:tcPr>
          <w:p w14:paraId="4D10D1E7" w14:textId="77777777" w:rsidR="00A7001D" w:rsidRPr="00403950" w:rsidRDefault="00A7001D" w:rsidP="00D12C42">
            <w:pPr>
              <w:pStyle w:val="ListBullet1"/>
              <w:ind w:left="360"/>
            </w:pPr>
            <w:r w:rsidRPr="00403950">
              <w:t>Annual changes to credentialing policies and procedures</w:t>
            </w:r>
          </w:p>
        </w:tc>
      </w:tr>
      <w:tr w:rsidR="00A7001D" w:rsidRPr="00821C14" w14:paraId="110AF80B" w14:textId="77777777" w:rsidTr="00127D1B">
        <w:trPr>
          <w:trHeight w:val="466"/>
        </w:trPr>
        <w:tc>
          <w:tcPr>
            <w:tcW w:w="1443" w:type="dxa"/>
            <w:vMerge/>
          </w:tcPr>
          <w:p w14:paraId="63651A2B" w14:textId="77777777" w:rsidR="00A7001D" w:rsidRPr="00821C14" w:rsidRDefault="00A7001D" w:rsidP="005D5285">
            <w:pPr>
              <w:spacing w:after="0"/>
              <w:rPr>
                <w:rFonts w:cs="Calibri"/>
                <w:color w:val="000000"/>
                <w:sz w:val="20"/>
                <w:szCs w:val="20"/>
              </w:rPr>
            </w:pPr>
          </w:p>
        </w:tc>
        <w:tc>
          <w:tcPr>
            <w:tcW w:w="2706" w:type="dxa"/>
          </w:tcPr>
          <w:p w14:paraId="38A9E16D" w14:textId="77777777" w:rsidR="00A7001D" w:rsidRPr="00403950" w:rsidRDefault="00A7001D" w:rsidP="005D5285">
            <w:pPr>
              <w:spacing w:after="0"/>
              <w:rPr>
                <w:rFonts w:cs="Calibri"/>
                <w:color w:val="000000"/>
                <w:sz w:val="20"/>
                <w:szCs w:val="20"/>
              </w:rPr>
            </w:pPr>
            <w:r w:rsidRPr="00403950">
              <w:rPr>
                <w:rFonts w:cs="Calibri"/>
                <w:color w:val="000000"/>
                <w:sz w:val="20"/>
                <w:szCs w:val="20"/>
              </w:rPr>
              <w:t>Provider Suspensions and Termination Notification</w:t>
            </w:r>
          </w:p>
        </w:tc>
        <w:tc>
          <w:tcPr>
            <w:tcW w:w="6783" w:type="dxa"/>
          </w:tcPr>
          <w:p w14:paraId="6839EB76" w14:textId="77777777" w:rsidR="00A7001D" w:rsidRPr="00403950" w:rsidRDefault="00A7001D" w:rsidP="00D12C42">
            <w:pPr>
              <w:pStyle w:val="ListBullet1"/>
              <w:ind w:left="360"/>
            </w:pPr>
            <w:r w:rsidRPr="00403950">
              <w:t xml:space="preserve">Immediate notice of any independent action taken by the MCO to suspend or terminate network provider; </w:t>
            </w:r>
          </w:p>
        </w:tc>
      </w:tr>
      <w:tr w:rsidR="00A7001D" w:rsidRPr="00821C14" w14:paraId="5B8F92C7" w14:textId="77777777" w:rsidTr="00127D1B">
        <w:trPr>
          <w:trHeight w:val="466"/>
        </w:trPr>
        <w:tc>
          <w:tcPr>
            <w:tcW w:w="1443" w:type="dxa"/>
            <w:vMerge/>
          </w:tcPr>
          <w:p w14:paraId="6CDA803B" w14:textId="77777777" w:rsidR="00A7001D" w:rsidRPr="00821C14" w:rsidRDefault="00A7001D" w:rsidP="005D5285">
            <w:pPr>
              <w:spacing w:after="0"/>
              <w:rPr>
                <w:rFonts w:cs="Calibri"/>
                <w:color w:val="000000"/>
                <w:sz w:val="20"/>
                <w:szCs w:val="20"/>
              </w:rPr>
            </w:pPr>
          </w:p>
        </w:tc>
        <w:tc>
          <w:tcPr>
            <w:tcW w:w="2706" w:type="dxa"/>
          </w:tcPr>
          <w:p w14:paraId="15764728" w14:textId="77777777" w:rsidR="00A7001D" w:rsidRPr="00403950" w:rsidRDefault="00A7001D" w:rsidP="005D5285">
            <w:pPr>
              <w:spacing w:after="0"/>
              <w:rPr>
                <w:rFonts w:cs="Calibri"/>
                <w:color w:val="000000"/>
                <w:sz w:val="20"/>
                <w:szCs w:val="20"/>
              </w:rPr>
            </w:pPr>
            <w:r w:rsidRPr="00403950">
              <w:rPr>
                <w:rFonts w:cs="Calibri"/>
                <w:color w:val="000000"/>
                <w:sz w:val="20"/>
                <w:szCs w:val="20"/>
              </w:rPr>
              <w:t>Provider Suspensions and Termination Report</w:t>
            </w:r>
          </w:p>
        </w:tc>
        <w:tc>
          <w:tcPr>
            <w:tcW w:w="6783" w:type="dxa"/>
          </w:tcPr>
          <w:p w14:paraId="75947669" w14:textId="77777777" w:rsidR="00A7001D" w:rsidRPr="00403950" w:rsidRDefault="00A7001D" w:rsidP="00D12C42">
            <w:pPr>
              <w:pStyle w:val="ListBullet1"/>
              <w:ind w:left="360"/>
            </w:pPr>
            <w:r w:rsidRPr="00403950">
              <w:t xml:space="preserve">Annual list of providers that MCO suspended or terminated upon notice of suspension or termination by MassHealth, and list of provides suspended or terminated by MCO independently. </w:t>
            </w:r>
          </w:p>
        </w:tc>
      </w:tr>
      <w:tr w:rsidR="00A7001D" w:rsidRPr="00821C14" w14:paraId="606EC87E" w14:textId="77777777" w:rsidTr="007D363A">
        <w:trPr>
          <w:trHeight w:val="1394"/>
        </w:trPr>
        <w:tc>
          <w:tcPr>
            <w:tcW w:w="1443" w:type="dxa"/>
            <w:vMerge/>
          </w:tcPr>
          <w:p w14:paraId="2DFEC738" w14:textId="77777777" w:rsidR="00A7001D" w:rsidRPr="00821C14" w:rsidRDefault="00A7001D" w:rsidP="005D5285">
            <w:pPr>
              <w:spacing w:after="0"/>
              <w:rPr>
                <w:rFonts w:cs="Calibri"/>
                <w:color w:val="000000"/>
                <w:sz w:val="20"/>
                <w:szCs w:val="20"/>
              </w:rPr>
            </w:pPr>
          </w:p>
        </w:tc>
        <w:tc>
          <w:tcPr>
            <w:tcW w:w="2706" w:type="dxa"/>
          </w:tcPr>
          <w:p w14:paraId="222D6A8A" w14:textId="77777777" w:rsidR="00A7001D" w:rsidRPr="00403950" w:rsidRDefault="00A7001D" w:rsidP="005D5285">
            <w:pPr>
              <w:spacing w:after="0"/>
              <w:rPr>
                <w:rFonts w:cs="Calibri"/>
                <w:color w:val="000000"/>
                <w:sz w:val="20"/>
                <w:szCs w:val="20"/>
              </w:rPr>
            </w:pPr>
            <w:r w:rsidRPr="00403950">
              <w:rPr>
                <w:rFonts w:cs="Calibri"/>
                <w:color w:val="000000"/>
                <w:sz w:val="20"/>
                <w:szCs w:val="20"/>
              </w:rPr>
              <w:t>Provider Policies and Procedures</w:t>
            </w:r>
          </w:p>
        </w:tc>
        <w:tc>
          <w:tcPr>
            <w:tcW w:w="6783" w:type="dxa"/>
          </w:tcPr>
          <w:p w14:paraId="435CF6A4" w14:textId="77777777" w:rsidR="00A7001D" w:rsidRPr="00403950" w:rsidRDefault="00A7001D" w:rsidP="00403950">
            <w:pPr>
              <w:pStyle w:val="ListBullet1"/>
              <w:ind w:left="360"/>
            </w:pPr>
            <w:r w:rsidRPr="00403950">
              <w:t xml:space="preserve">Prospective for review and prior approval, </w:t>
            </w:r>
            <w:r w:rsidR="00403950">
              <w:t xml:space="preserve">MCO Policies and Procedures. </w:t>
            </w:r>
            <w:r w:rsidR="00403950" w:rsidRPr="00403950">
              <w:t>New drafts and any changes to the most recent printed and electronic versions of the Provider procedures and policies which affect the process by which Enrollees receive care (relating to both medical health and Behavioral Heal</w:t>
            </w:r>
            <w:r w:rsidR="00403950">
              <w:t xml:space="preserve">th, if separate.) </w:t>
            </w:r>
          </w:p>
        </w:tc>
      </w:tr>
      <w:tr w:rsidR="00A7001D" w:rsidRPr="00821C14" w14:paraId="16FF9EAA" w14:textId="77777777" w:rsidTr="00127D1B">
        <w:trPr>
          <w:trHeight w:val="466"/>
        </w:trPr>
        <w:tc>
          <w:tcPr>
            <w:tcW w:w="1443" w:type="dxa"/>
            <w:vMerge/>
          </w:tcPr>
          <w:p w14:paraId="150E7E97" w14:textId="77777777" w:rsidR="00A7001D" w:rsidRPr="00821C14" w:rsidRDefault="00A7001D" w:rsidP="005D5285">
            <w:pPr>
              <w:spacing w:after="0"/>
              <w:rPr>
                <w:rFonts w:cs="Calibri"/>
                <w:color w:val="000000"/>
                <w:sz w:val="20"/>
                <w:szCs w:val="20"/>
              </w:rPr>
            </w:pPr>
          </w:p>
        </w:tc>
        <w:tc>
          <w:tcPr>
            <w:tcW w:w="2706" w:type="dxa"/>
          </w:tcPr>
          <w:p w14:paraId="681B2126" w14:textId="77777777" w:rsidR="00A7001D" w:rsidRPr="001F0A8B" w:rsidRDefault="00A7001D" w:rsidP="005D5285">
            <w:pPr>
              <w:pStyle w:val="FootnoteText"/>
              <w:rPr>
                <w:rFonts w:cs="Calibri"/>
                <w:color w:val="000000"/>
              </w:rPr>
            </w:pPr>
            <w:r w:rsidRPr="001F0A8B">
              <w:rPr>
                <w:rFonts w:cs="Calibri"/>
                <w:color w:val="000000"/>
              </w:rPr>
              <w:t>Provider Manual</w:t>
            </w:r>
          </w:p>
        </w:tc>
        <w:tc>
          <w:tcPr>
            <w:tcW w:w="6783" w:type="dxa"/>
          </w:tcPr>
          <w:p w14:paraId="73D394C7" w14:textId="77777777" w:rsidR="00A7001D" w:rsidRPr="001F0A8B" w:rsidRDefault="00A7001D" w:rsidP="00D12C42">
            <w:pPr>
              <w:pStyle w:val="ListBullet1"/>
              <w:ind w:left="360"/>
            </w:pPr>
            <w:r w:rsidRPr="001F0A8B">
              <w:t xml:space="preserve">Annual, provider manual which includes specific information about MCO covered services, non MCO covered services, and other requirements relevant to provider responsibilities. </w:t>
            </w:r>
          </w:p>
        </w:tc>
      </w:tr>
      <w:tr w:rsidR="005575AD" w:rsidRPr="00821C14" w14:paraId="0666F89B" w14:textId="77777777" w:rsidTr="00127D1B">
        <w:trPr>
          <w:trHeight w:val="466"/>
        </w:trPr>
        <w:tc>
          <w:tcPr>
            <w:tcW w:w="1443" w:type="dxa"/>
            <w:vMerge w:val="restart"/>
          </w:tcPr>
          <w:p w14:paraId="6776A9B6" w14:textId="77777777" w:rsidR="005575AD" w:rsidRPr="00821C14" w:rsidRDefault="009E6996" w:rsidP="005D5285">
            <w:pPr>
              <w:spacing w:after="0"/>
              <w:rPr>
                <w:rFonts w:cs="Calibri"/>
                <w:color w:val="000000"/>
                <w:sz w:val="20"/>
                <w:szCs w:val="20"/>
              </w:rPr>
            </w:pPr>
            <w:r>
              <w:rPr>
                <w:rFonts w:cs="Calibri"/>
                <w:color w:val="000000"/>
                <w:sz w:val="20"/>
                <w:szCs w:val="20"/>
              </w:rPr>
              <w:t>One Care</w:t>
            </w:r>
            <w:r w:rsidR="005575AD">
              <w:rPr>
                <w:rFonts w:cs="Calibri"/>
                <w:color w:val="000000"/>
                <w:sz w:val="20"/>
                <w:szCs w:val="20"/>
              </w:rPr>
              <w:t xml:space="preserve"> Program</w:t>
            </w:r>
          </w:p>
        </w:tc>
        <w:tc>
          <w:tcPr>
            <w:tcW w:w="2706" w:type="dxa"/>
          </w:tcPr>
          <w:p w14:paraId="4E598FAC" w14:textId="77777777" w:rsidR="005575AD" w:rsidRPr="001F0A8B" w:rsidRDefault="009F423E" w:rsidP="005D5285">
            <w:pPr>
              <w:pStyle w:val="FootnoteText"/>
              <w:rPr>
                <w:rFonts w:cs="Calibri"/>
                <w:color w:val="000000"/>
              </w:rPr>
            </w:pPr>
            <w:r>
              <w:rPr>
                <w:rFonts w:cs="Calibri"/>
                <w:color w:val="000000"/>
              </w:rPr>
              <w:t>LTS Coordinator Report</w:t>
            </w:r>
          </w:p>
        </w:tc>
        <w:tc>
          <w:tcPr>
            <w:tcW w:w="6783" w:type="dxa"/>
          </w:tcPr>
          <w:p w14:paraId="5CE98A2E" w14:textId="77777777" w:rsidR="005575AD" w:rsidRPr="001F0A8B" w:rsidRDefault="009F423E" w:rsidP="009F423E">
            <w:pPr>
              <w:pStyle w:val="ListBullet1"/>
              <w:ind w:left="360"/>
            </w:pPr>
            <w:r>
              <w:t xml:space="preserve">Monthly Assessment progress tracking tool </w:t>
            </w:r>
          </w:p>
        </w:tc>
      </w:tr>
      <w:tr w:rsidR="005575AD" w:rsidRPr="00821C14" w14:paraId="1E786A43" w14:textId="77777777" w:rsidTr="00127D1B">
        <w:trPr>
          <w:trHeight w:val="466"/>
        </w:trPr>
        <w:tc>
          <w:tcPr>
            <w:tcW w:w="1443" w:type="dxa"/>
            <w:vMerge/>
          </w:tcPr>
          <w:p w14:paraId="375C0962" w14:textId="77777777" w:rsidR="005575AD" w:rsidRPr="00821C14" w:rsidRDefault="005575AD" w:rsidP="005D5285">
            <w:pPr>
              <w:spacing w:after="0"/>
              <w:rPr>
                <w:rFonts w:cs="Calibri"/>
                <w:color w:val="000000"/>
                <w:sz w:val="20"/>
                <w:szCs w:val="20"/>
              </w:rPr>
            </w:pPr>
          </w:p>
        </w:tc>
        <w:tc>
          <w:tcPr>
            <w:tcW w:w="2706" w:type="dxa"/>
          </w:tcPr>
          <w:p w14:paraId="60E0BB7B" w14:textId="77777777" w:rsidR="005575AD" w:rsidRPr="00821C14" w:rsidRDefault="005575AD" w:rsidP="005D5285">
            <w:pPr>
              <w:pStyle w:val="FootnoteText"/>
              <w:rPr>
                <w:rFonts w:cs="Calibri"/>
                <w:color w:val="000000"/>
              </w:rPr>
            </w:pPr>
            <w:r>
              <w:rPr>
                <w:rFonts w:cs="Calibri"/>
                <w:color w:val="000000"/>
              </w:rPr>
              <w:t>Enrollment Report</w:t>
            </w:r>
          </w:p>
        </w:tc>
        <w:tc>
          <w:tcPr>
            <w:tcW w:w="6783" w:type="dxa"/>
          </w:tcPr>
          <w:p w14:paraId="28855772" w14:textId="77777777" w:rsidR="005575AD" w:rsidRPr="00821C14" w:rsidRDefault="005575AD" w:rsidP="009F423E">
            <w:pPr>
              <w:pStyle w:val="ListBullet1"/>
              <w:ind w:left="360"/>
            </w:pPr>
            <w:r>
              <w:t xml:space="preserve">Monthly Enrollment </w:t>
            </w:r>
            <w:r w:rsidR="009F423E">
              <w:t xml:space="preserve">Report </w:t>
            </w:r>
          </w:p>
        </w:tc>
      </w:tr>
      <w:tr w:rsidR="005575AD" w:rsidRPr="00821C14" w14:paraId="72B61A33" w14:textId="77777777" w:rsidTr="00127D1B">
        <w:trPr>
          <w:trHeight w:val="466"/>
        </w:trPr>
        <w:tc>
          <w:tcPr>
            <w:tcW w:w="1443" w:type="dxa"/>
            <w:vMerge/>
          </w:tcPr>
          <w:p w14:paraId="0C914883" w14:textId="77777777" w:rsidR="005575AD" w:rsidRPr="00821C14" w:rsidRDefault="005575AD" w:rsidP="005D5285">
            <w:pPr>
              <w:spacing w:after="0"/>
              <w:rPr>
                <w:rFonts w:cs="Calibri"/>
                <w:color w:val="000000"/>
                <w:sz w:val="20"/>
                <w:szCs w:val="20"/>
              </w:rPr>
            </w:pPr>
          </w:p>
        </w:tc>
        <w:tc>
          <w:tcPr>
            <w:tcW w:w="2706" w:type="dxa"/>
          </w:tcPr>
          <w:p w14:paraId="3C977799" w14:textId="77777777" w:rsidR="005575AD" w:rsidRPr="00821C14" w:rsidRDefault="005575AD" w:rsidP="005D5285">
            <w:pPr>
              <w:pStyle w:val="FootnoteText"/>
              <w:rPr>
                <w:rFonts w:cs="Calibri"/>
                <w:color w:val="000000"/>
              </w:rPr>
            </w:pPr>
            <w:r>
              <w:rPr>
                <w:rFonts w:cs="Calibri"/>
                <w:color w:val="000000"/>
              </w:rPr>
              <w:t>Credentialing Policy</w:t>
            </w:r>
          </w:p>
        </w:tc>
        <w:tc>
          <w:tcPr>
            <w:tcW w:w="6783" w:type="dxa"/>
          </w:tcPr>
          <w:p w14:paraId="19D3F04B" w14:textId="76711F2C" w:rsidR="005575AD" w:rsidRPr="00821C14" w:rsidRDefault="005575AD" w:rsidP="00D12C42">
            <w:pPr>
              <w:pStyle w:val="ListBullet1"/>
              <w:ind w:left="360"/>
            </w:pPr>
            <w:r>
              <w:t>If amende</w:t>
            </w:r>
            <w:r w:rsidR="00511B51">
              <w:t>d, submit credentialing policie</w:t>
            </w:r>
            <w:r>
              <w:t>s</w:t>
            </w:r>
            <w:r w:rsidR="00511B51">
              <w:t xml:space="preserve"> </w:t>
            </w:r>
            <w:r>
              <w:t>and procedures to EOHHS and demonstrate that all providers with</w:t>
            </w:r>
            <w:r w:rsidR="00CE5995">
              <w:t>i</w:t>
            </w:r>
            <w:r>
              <w:t xml:space="preserve">n network are credentialed </w:t>
            </w:r>
            <w:r w:rsidR="00217B96">
              <w:t>accordingly</w:t>
            </w:r>
            <w:r>
              <w:t xml:space="preserve"> </w:t>
            </w:r>
          </w:p>
        </w:tc>
      </w:tr>
      <w:tr w:rsidR="005575AD" w:rsidRPr="00821C14" w14:paraId="076CAD86" w14:textId="77777777" w:rsidTr="00127D1B">
        <w:trPr>
          <w:trHeight w:val="466"/>
        </w:trPr>
        <w:tc>
          <w:tcPr>
            <w:tcW w:w="1443" w:type="dxa"/>
            <w:vMerge/>
          </w:tcPr>
          <w:p w14:paraId="4F181621" w14:textId="77777777" w:rsidR="005575AD" w:rsidRPr="00821C14" w:rsidRDefault="005575AD" w:rsidP="005D5285">
            <w:pPr>
              <w:spacing w:after="0"/>
              <w:rPr>
                <w:rFonts w:cs="Calibri"/>
                <w:color w:val="000000"/>
                <w:sz w:val="20"/>
                <w:szCs w:val="20"/>
              </w:rPr>
            </w:pPr>
          </w:p>
        </w:tc>
        <w:tc>
          <w:tcPr>
            <w:tcW w:w="2706" w:type="dxa"/>
          </w:tcPr>
          <w:p w14:paraId="6A15D6B6" w14:textId="77777777" w:rsidR="005575AD" w:rsidRPr="00821C14" w:rsidRDefault="005575AD" w:rsidP="005D5285">
            <w:pPr>
              <w:pStyle w:val="FootnoteText"/>
              <w:rPr>
                <w:rFonts w:cs="Calibri"/>
                <w:color w:val="000000"/>
              </w:rPr>
            </w:pPr>
            <w:r>
              <w:rPr>
                <w:rFonts w:cs="Calibri"/>
                <w:color w:val="000000"/>
              </w:rPr>
              <w:t>PCP Turnover Rate</w:t>
            </w:r>
          </w:p>
        </w:tc>
        <w:tc>
          <w:tcPr>
            <w:tcW w:w="6783" w:type="dxa"/>
          </w:tcPr>
          <w:p w14:paraId="62DB0571" w14:textId="77777777" w:rsidR="005575AD" w:rsidRPr="00821C14" w:rsidRDefault="005575AD" w:rsidP="00DE3AC5">
            <w:pPr>
              <w:pStyle w:val="ListBullet1"/>
              <w:ind w:left="360"/>
            </w:pPr>
            <w:r w:rsidRPr="00821C14">
              <w:t xml:space="preserve">Annual PCP turnover </w:t>
            </w:r>
            <w:r>
              <w:t xml:space="preserve">rate, reported separately for those who leave the </w:t>
            </w:r>
            <w:r w:rsidR="00444B20">
              <w:t>plan</w:t>
            </w:r>
            <w:r>
              <w:t xml:space="preserve"> voluntarily, and those PCPs who are terminated. </w:t>
            </w:r>
          </w:p>
        </w:tc>
      </w:tr>
      <w:tr w:rsidR="005575AD" w:rsidRPr="00821C14" w14:paraId="3907F876" w14:textId="77777777" w:rsidTr="00127D1B">
        <w:trPr>
          <w:trHeight w:val="466"/>
        </w:trPr>
        <w:tc>
          <w:tcPr>
            <w:tcW w:w="1443" w:type="dxa"/>
            <w:vMerge/>
          </w:tcPr>
          <w:p w14:paraId="6F49AF9D" w14:textId="77777777" w:rsidR="005575AD" w:rsidRPr="00821C14" w:rsidRDefault="005575AD" w:rsidP="005D5285">
            <w:pPr>
              <w:spacing w:after="0"/>
              <w:rPr>
                <w:rFonts w:cs="Calibri"/>
                <w:color w:val="000000"/>
                <w:sz w:val="20"/>
                <w:szCs w:val="20"/>
              </w:rPr>
            </w:pPr>
          </w:p>
        </w:tc>
        <w:tc>
          <w:tcPr>
            <w:tcW w:w="2706" w:type="dxa"/>
          </w:tcPr>
          <w:p w14:paraId="78E3143D" w14:textId="77777777" w:rsidR="005575AD" w:rsidRPr="00821C14" w:rsidRDefault="005575AD" w:rsidP="005D5285">
            <w:pPr>
              <w:pStyle w:val="FootnoteText"/>
              <w:rPr>
                <w:rFonts w:cs="Calibri"/>
                <w:color w:val="000000"/>
              </w:rPr>
            </w:pPr>
            <w:r>
              <w:rPr>
                <w:rFonts w:cs="Calibri"/>
                <w:color w:val="000000"/>
              </w:rPr>
              <w:t>Provider Manual</w:t>
            </w:r>
          </w:p>
        </w:tc>
        <w:tc>
          <w:tcPr>
            <w:tcW w:w="6783" w:type="dxa"/>
          </w:tcPr>
          <w:p w14:paraId="3A8C7241" w14:textId="77777777" w:rsidR="005575AD" w:rsidRPr="00821C14" w:rsidRDefault="005575AD" w:rsidP="00D12C42">
            <w:pPr>
              <w:pStyle w:val="ListBullet1"/>
              <w:ind w:left="360"/>
            </w:pPr>
            <w:r>
              <w:t xml:space="preserve">Annual update to provider manual should be submitted to EOHHSS and CMS;  in the event of no substantial changes, the plan may certify there are no substantial changes </w:t>
            </w:r>
          </w:p>
        </w:tc>
      </w:tr>
      <w:tr w:rsidR="00B82093" w:rsidRPr="00821C14" w14:paraId="158E4D21" w14:textId="77777777" w:rsidTr="00127D1B">
        <w:trPr>
          <w:trHeight w:val="466"/>
        </w:trPr>
        <w:tc>
          <w:tcPr>
            <w:tcW w:w="1443" w:type="dxa"/>
          </w:tcPr>
          <w:p w14:paraId="01D3A056" w14:textId="77777777" w:rsidR="00B82093" w:rsidRPr="00821C14" w:rsidRDefault="00B82093" w:rsidP="005D5285">
            <w:pPr>
              <w:spacing w:after="0"/>
              <w:rPr>
                <w:rFonts w:cs="Calibri"/>
                <w:color w:val="000000"/>
                <w:sz w:val="20"/>
                <w:szCs w:val="20"/>
              </w:rPr>
            </w:pPr>
            <w:r w:rsidRPr="00821C14">
              <w:rPr>
                <w:rFonts w:cs="Calibri"/>
                <w:color w:val="000000"/>
                <w:sz w:val="20"/>
                <w:szCs w:val="20"/>
              </w:rPr>
              <w:t>SCO Program</w:t>
            </w:r>
          </w:p>
        </w:tc>
        <w:tc>
          <w:tcPr>
            <w:tcW w:w="2706" w:type="dxa"/>
          </w:tcPr>
          <w:p w14:paraId="2EBAB213" w14:textId="77777777" w:rsidR="00B82093" w:rsidRPr="00821C14" w:rsidRDefault="00B82093" w:rsidP="005D5285">
            <w:pPr>
              <w:pStyle w:val="FootnoteText"/>
              <w:rPr>
                <w:rFonts w:cs="Calibri"/>
                <w:color w:val="000000"/>
              </w:rPr>
            </w:pPr>
            <w:r w:rsidRPr="00821C14">
              <w:rPr>
                <w:rFonts w:cs="Calibri"/>
                <w:color w:val="000000"/>
              </w:rPr>
              <w:t>Report of members of Provider Network by Zip Code and capacity for accepting new enrollees</w:t>
            </w:r>
          </w:p>
        </w:tc>
        <w:tc>
          <w:tcPr>
            <w:tcW w:w="6783" w:type="dxa"/>
          </w:tcPr>
          <w:p w14:paraId="4B4E4A89" w14:textId="77777777" w:rsidR="00B82093" w:rsidRPr="00821C14" w:rsidRDefault="00B82093" w:rsidP="00D12C42">
            <w:pPr>
              <w:pStyle w:val="ListBullet1"/>
              <w:ind w:left="360"/>
            </w:pPr>
            <w:r w:rsidRPr="00821C14">
              <w:t>Upon event:  Provider network changes must be reported to State and CMS within 5 business days</w:t>
            </w:r>
          </w:p>
        </w:tc>
      </w:tr>
      <w:tr w:rsidR="00FA7DAC" w:rsidRPr="00821C14" w14:paraId="467D2D6A" w14:textId="77777777" w:rsidTr="00127D1B">
        <w:trPr>
          <w:trHeight w:val="466"/>
        </w:trPr>
        <w:tc>
          <w:tcPr>
            <w:tcW w:w="1443" w:type="dxa"/>
            <w:vMerge w:val="restart"/>
          </w:tcPr>
          <w:p w14:paraId="0F3198EC" w14:textId="363DAA4A" w:rsidR="00FA7DAC" w:rsidRPr="00821C14" w:rsidRDefault="00FA7DAC" w:rsidP="005D5285">
            <w:pPr>
              <w:spacing w:after="0"/>
              <w:rPr>
                <w:rFonts w:cs="Calibri"/>
                <w:color w:val="000000"/>
                <w:sz w:val="20"/>
                <w:szCs w:val="20"/>
              </w:rPr>
            </w:pPr>
            <w:r w:rsidRPr="00821C14">
              <w:rPr>
                <w:rFonts w:cs="Calibri"/>
                <w:color w:val="000000"/>
                <w:sz w:val="20"/>
                <w:szCs w:val="20"/>
              </w:rPr>
              <w:t xml:space="preserve">PCC </w:t>
            </w:r>
            <w:r w:rsidR="00B95AEF" w:rsidRPr="00821C14">
              <w:rPr>
                <w:rFonts w:cs="Calibri"/>
                <w:color w:val="000000"/>
                <w:sz w:val="20"/>
                <w:szCs w:val="20"/>
              </w:rPr>
              <w:t>P</w:t>
            </w:r>
            <w:r w:rsidR="00B95AEF">
              <w:rPr>
                <w:rFonts w:cs="Calibri"/>
                <w:color w:val="000000"/>
                <w:sz w:val="20"/>
                <w:szCs w:val="20"/>
              </w:rPr>
              <w:t>lan and Primary Care ACO</w:t>
            </w:r>
            <w:r w:rsidR="00B95AEF" w:rsidRPr="00821C14">
              <w:rPr>
                <w:rFonts w:cs="Calibri"/>
                <w:color w:val="000000"/>
                <w:sz w:val="20"/>
                <w:szCs w:val="20"/>
              </w:rPr>
              <w:t xml:space="preserve"> </w:t>
            </w:r>
            <w:r w:rsidRPr="00821C14">
              <w:rPr>
                <w:rFonts w:cs="Calibri"/>
                <w:color w:val="000000"/>
                <w:sz w:val="20"/>
                <w:szCs w:val="20"/>
              </w:rPr>
              <w:t>BH Program</w:t>
            </w:r>
          </w:p>
          <w:p w14:paraId="7CC45678" w14:textId="77777777" w:rsidR="00FA7DAC" w:rsidRPr="00821C14" w:rsidRDefault="00FA7DAC" w:rsidP="005D5285">
            <w:pPr>
              <w:spacing w:after="0"/>
              <w:rPr>
                <w:rFonts w:cs="Calibri"/>
                <w:color w:val="000000"/>
                <w:sz w:val="20"/>
                <w:szCs w:val="20"/>
              </w:rPr>
            </w:pPr>
          </w:p>
        </w:tc>
        <w:tc>
          <w:tcPr>
            <w:tcW w:w="2706" w:type="dxa"/>
          </w:tcPr>
          <w:p w14:paraId="13363767" w14:textId="77777777" w:rsidR="00FA7DAC" w:rsidRPr="00821C14" w:rsidRDefault="00FA7DAC" w:rsidP="005D5285">
            <w:pPr>
              <w:spacing w:after="0"/>
              <w:rPr>
                <w:rFonts w:cs="Calibri"/>
                <w:color w:val="000000"/>
                <w:sz w:val="20"/>
                <w:szCs w:val="20"/>
              </w:rPr>
            </w:pPr>
            <w:r w:rsidRPr="00821C14">
              <w:rPr>
                <w:rFonts w:cs="Calibri"/>
                <w:bCs/>
                <w:color w:val="000000"/>
                <w:sz w:val="20"/>
                <w:szCs w:val="20"/>
              </w:rPr>
              <w:t>Network Provider Geographic Access Report</w:t>
            </w:r>
          </w:p>
        </w:tc>
        <w:tc>
          <w:tcPr>
            <w:tcW w:w="6783" w:type="dxa"/>
          </w:tcPr>
          <w:p w14:paraId="21F81CFF" w14:textId="77777777" w:rsidR="00FA7DAC" w:rsidRPr="00821C14" w:rsidRDefault="009B1150" w:rsidP="00D12C42">
            <w:pPr>
              <w:pStyle w:val="ListBullet1"/>
              <w:ind w:left="360"/>
            </w:pPr>
            <w:r>
              <w:t>Quarterly</w:t>
            </w:r>
          </w:p>
        </w:tc>
      </w:tr>
      <w:tr w:rsidR="00FA7DAC" w:rsidRPr="00821C14" w14:paraId="17DEAB22" w14:textId="77777777" w:rsidTr="00127D1B">
        <w:trPr>
          <w:trHeight w:val="466"/>
        </w:trPr>
        <w:tc>
          <w:tcPr>
            <w:tcW w:w="1443" w:type="dxa"/>
            <w:vMerge/>
          </w:tcPr>
          <w:p w14:paraId="4B441FFC" w14:textId="77777777" w:rsidR="00FA7DAC" w:rsidRPr="00821C14" w:rsidRDefault="00FA7DAC" w:rsidP="005D5285">
            <w:pPr>
              <w:spacing w:after="0"/>
              <w:rPr>
                <w:rFonts w:cs="Calibri"/>
                <w:color w:val="000000"/>
                <w:sz w:val="20"/>
                <w:szCs w:val="20"/>
              </w:rPr>
            </w:pPr>
          </w:p>
        </w:tc>
        <w:tc>
          <w:tcPr>
            <w:tcW w:w="2706" w:type="dxa"/>
          </w:tcPr>
          <w:p w14:paraId="0F8BF6A5" w14:textId="77777777" w:rsidR="00FA7DAC" w:rsidRPr="00821C14" w:rsidRDefault="00FA7DAC" w:rsidP="005D5285">
            <w:pPr>
              <w:spacing w:after="0"/>
              <w:rPr>
                <w:rFonts w:cs="Calibri"/>
                <w:color w:val="000000"/>
                <w:sz w:val="20"/>
                <w:szCs w:val="20"/>
              </w:rPr>
            </w:pPr>
            <w:r w:rsidRPr="00821C14">
              <w:rPr>
                <w:rFonts w:cs="Calibri"/>
                <w:color w:val="000000"/>
                <w:sz w:val="20"/>
                <w:szCs w:val="20"/>
              </w:rPr>
              <w:t>Provider Network Semiannual Report</w:t>
            </w:r>
          </w:p>
        </w:tc>
        <w:tc>
          <w:tcPr>
            <w:tcW w:w="6783" w:type="dxa"/>
          </w:tcPr>
          <w:p w14:paraId="0781C13B" w14:textId="77777777" w:rsidR="00FA7DAC" w:rsidRPr="00821C14" w:rsidRDefault="00FA7DAC" w:rsidP="00D12C42">
            <w:pPr>
              <w:pStyle w:val="ListBullet1"/>
              <w:ind w:left="360"/>
            </w:pPr>
            <w:r w:rsidRPr="00821C14">
              <w:t>Annual report of provider sites, credentials and covered services</w:t>
            </w:r>
          </w:p>
        </w:tc>
      </w:tr>
      <w:tr w:rsidR="00FA7DAC" w:rsidRPr="00821C14" w14:paraId="194E4FCA" w14:textId="77777777" w:rsidTr="00127D1B">
        <w:trPr>
          <w:trHeight w:val="466"/>
        </w:trPr>
        <w:tc>
          <w:tcPr>
            <w:tcW w:w="1443" w:type="dxa"/>
            <w:vMerge/>
          </w:tcPr>
          <w:p w14:paraId="545801C1" w14:textId="77777777" w:rsidR="00FA7DAC" w:rsidRPr="00821C14" w:rsidRDefault="00FA7DAC" w:rsidP="005D5285">
            <w:pPr>
              <w:spacing w:after="0"/>
              <w:rPr>
                <w:rFonts w:cs="Calibri"/>
                <w:color w:val="000000"/>
                <w:sz w:val="20"/>
                <w:szCs w:val="20"/>
              </w:rPr>
            </w:pPr>
          </w:p>
        </w:tc>
        <w:tc>
          <w:tcPr>
            <w:tcW w:w="2706" w:type="dxa"/>
          </w:tcPr>
          <w:p w14:paraId="4F48311D" w14:textId="77777777" w:rsidR="00FA7DAC" w:rsidRPr="00821C14" w:rsidRDefault="009B1150" w:rsidP="005D5285">
            <w:pPr>
              <w:spacing w:after="0"/>
              <w:rPr>
                <w:rFonts w:cs="Calibri"/>
                <w:color w:val="000000"/>
                <w:sz w:val="20"/>
                <w:szCs w:val="20"/>
              </w:rPr>
            </w:pPr>
            <w:r>
              <w:rPr>
                <w:rFonts w:cs="Calibri"/>
                <w:color w:val="000000"/>
                <w:sz w:val="20"/>
                <w:szCs w:val="20"/>
              </w:rPr>
              <w:t>Use of Out-of –Network Providers</w:t>
            </w:r>
          </w:p>
        </w:tc>
        <w:tc>
          <w:tcPr>
            <w:tcW w:w="6783" w:type="dxa"/>
          </w:tcPr>
          <w:p w14:paraId="1F9103DF" w14:textId="77777777" w:rsidR="00FA7DAC" w:rsidRPr="00821C14" w:rsidRDefault="00FA7DAC" w:rsidP="009B1150">
            <w:pPr>
              <w:pStyle w:val="ListBullet1"/>
              <w:ind w:left="360"/>
            </w:pPr>
            <w:r w:rsidRPr="00821C14">
              <w:t xml:space="preserve">Quarterly </w:t>
            </w:r>
          </w:p>
        </w:tc>
      </w:tr>
      <w:tr w:rsidR="00FA7DAC" w:rsidRPr="00821C14" w14:paraId="7D5A8F56" w14:textId="77777777" w:rsidTr="00127D1B">
        <w:trPr>
          <w:trHeight w:val="466"/>
        </w:trPr>
        <w:tc>
          <w:tcPr>
            <w:tcW w:w="1443" w:type="dxa"/>
            <w:vMerge/>
          </w:tcPr>
          <w:p w14:paraId="6C57C0B0" w14:textId="77777777" w:rsidR="00FA7DAC" w:rsidRPr="00821C14" w:rsidRDefault="00FA7DAC" w:rsidP="005D5285">
            <w:pPr>
              <w:spacing w:after="0"/>
              <w:rPr>
                <w:rFonts w:cs="Calibri"/>
                <w:color w:val="000000"/>
                <w:sz w:val="20"/>
                <w:szCs w:val="20"/>
              </w:rPr>
            </w:pPr>
          </w:p>
        </w:tc>
        <w:tc>
          <w:tcPr>
            <w:tcW w:w="2706" w:type="dxa"/>
          </w:tcPr>
          <w:p w14:paraId="7D8804A3" w14:textId="77777777" w:rsidR="00FA7DAC" w:rsidRPr="00821C14" w:rsidRDefault="00FA7DAC" w:rsidP="005D5285">
            <w:pPr>
              <w:spacing w:after="0"/>
              <w:rPr>
                <w:rFonts w:cs="Calibri"/>
                <w:color w:val="000000"/>
                <w:sz w:val="20"/>
                <w:szCs w:val="20"/>
              </w:rPr>
            </w:pPr>
            <w:r w:rsidRPr="00821C14">
              <w:rPr>
                <w:rFonts w:cs="Calibri"/>
                <w:color w:val="000000"/>
                <w:sz w:val="20"/>
                <w:szCs w:val="20"/>
              </w:rPr>
              <w:t>Significant Changes in Provider Network</w:t>
            </w:r>
          </w:p>
        </w:tc>
        <w:tc>
          <w:tcPr>
            <w:tcW w:w="6783" w:type="dxa"/>
          </w:tcPr>
          <w:p w14:paraId="6626E636" w14:textId="77777777" w:rsidR="00FA7DAC" w:rsidRPr="00821C14" w:rsidRDefault="00FA7DAC" w:rsidP="00D12C42">
            <w:pPr>
              <w:pStyle w:val="ListBullet1"/>
              <w:ind w:left="360"/>
            </w:pPr>
            <w:r w:rsidRPr="00821C14">
              <w:t>Daily report of significant changes ink provider network</w:t>
            </w:r>
          </w:p>
        </w:tc>
      </w:tr>
      <w:tr w:rsidR="00FA7DAC" w:rsidRPr="00821C14" w14:paraId="5B5D9E39" w14:textId="77777777" w:rsidTr="00127D1B">
        <w:trPr>
          <w:trHeight w:val="466"/>
        </w:trPr>
        <w:tc>
          <w:tcPr>
            <w:tcW w:w="1443" w:type="dxa"/>
            <w:vMerge/>
          </w:tcPr>
          <w:p w14:paraId="1639E1C3" w14:textId="77777777" w:rsidR="00FA7DAC" w:rsidRPr="00821C14" w:rsidRDefault="00FA7DAC" w:rsidP="005D5285">
            <w:pPr>
              <w:spacing w:after="0"/>
              <w:rPr>
                <w:rFonts w:cs="Calibri"/>
                <w:color w:val="000000"/>
                <w:sz w:val="20"/>
                <w:szCs w:val="20"/>
              </w:rPr>
            </w:pPr>
          </w:p>
        </w:tc>
        <w:tc>
          <w:tcPr>
            <w:tcW w:w="2706" w:type="dxa"/>
          </w:tcPr>
          <w:p w14:paraId="4596B1B5" w14:textId="77777777" w:rsidR="00FA7DAC" w:rsidRPr="00821C14" w:rsidRDefault="00FA7DAC" w:rsidP="005D5285">
            <w:pPr>
              <w:spacing w:after="0"/>
              <w:rPr>
                <w:rFonts w:cs="Calibri"/>
                <w:color w:val="000000"/>
                <w:sz w:val="20"/>
                <w:szCs w:val="20"/>
              </w:rPr>
            </w:pPr>
            <w:r w:rsidRPr="00821C14">
              <w:rPr>
                <w:rFonts w:cs="Calibri"/>
                <w:color w:val="000000"/>
                <w:sz w:val="20"/>
                <w:szCs w:val="20"/>
              </w:rPr>
              <w:t>Provider Expertise/Specialty Report</w:t>
            </w:r>
          </w:p>
        </w:tc>
        <w:tc>
          <w:tcPr>
            <w:tcW w:w="6783" w:type="dxa"/>
          </w:tcPr>
          <w:p w14:paraId="412C4B9D" w14:textId="77777777" w:rsidR="00FA7DAC" w:rsidRPr="00821C14" w:rsidRDefault="00FA7DAC" w:rsidP="00D12C42">
            <w:pPr>
              <w:pStyle w:val="ListBullet1"/>
              <w:ind w:left="360"/>
            </w:pPr>
            <w:r w:rsidRPr="00821C14">
              <w:t>Semi-annual report listing providers and their areas of expertise</w:t>
            </w:r>
          </w:p>
        </w:tc>
      </w:tr>
      <w:tr w:rsidR="00FA7DAC" w:rsidRPr="00821C14" w14:paraId="3D447275" w14:textId="77777777" w:rsidTr="00127D1B">
        <w:trPr>
          <w:trHeight w:val="466"/>
        </w:trPr>
        <w:tc>
          <w:tcPr>
            <w:tcW w:w="1443" w:type="dxa"/>
            <w:vMerge/>
          </w:tcPr>
          <w:p w14:paraId="318BE8E5" w14:textId="77777777" w:rsidR="00FA7DAC" w:rsidRPr="00821C14" w:rsidRDefault="00FA7DAC" w:rsidP="005D5285">
            <w:pPr>
              <w:spacing w:after="0"/>
              <w:rPr>
                <w:rFonts w:cs="Calibri"/>
                <w:color w:val="000000"/>
              </w:rPr>
            </w:pPr>
          </w:p>
        </w:tc>
        <w:tc>
          <w:tcPr>
            <w:tcW w:w="2706" w:type="dxa"/>
          </w:tcPr>
          <w:p w14:paraId="5F725A27" w14:textId="77777777" w:rsidR="00FA7DAC" w:rsidRPr="00821C14" w:rsidRDefault="00FA7DAC" w:rsidP="005D5285">
            <w:pPr>
              <w:spacing w:after="0"/>
              <w:rPr>
                <w:rFonts w:cs="Calibri"/>
                <w:color w:val="000000"/>
                <w:sz w:val="20"/>
                <w:szCs w:val="20"/>
              </w:rPr>
            </w:pPr>
            <w:r w:rsidRPr="00821C14">
              <w:rPr>
                <w:rFonts w:cs="Calibri"/>
                <w:color w:val="000000"/>
                <w:sz w:val="20"/>
                <w:szCs w:val="20"/>
              </w:rPr>
              <w:t>Emergency Services Program Activity</w:t>
            </w:r>
          </w:p>
        </w:tc>
        <w:tc>
          <w:tcPr>
            <w:tcW w:w="6783" w:type="dxa"/>
          </w:tcPr>
          <w:p w14:paraId="40F97684" w14:textId="77777777" w:rsidR="00FA7DAC" w:rsidRPr="00821C14" w:rsidRDefault="009B1150" w:rsidP="00D12C42">
            <w:pPr>
              <w:pStyle w:val="ListBullet1"/>
              <w:ind w:left="360"/>
            </w:pPr>
            <w:r>
              <w:t>Monthly</w:t>
            </w:r>
            <w:r w:rsidR="00FA7DAC" w:rsidRPr="00821C14">
              <w:t xml:space="preserve"> report of utilization and follow-up of ESP encounters</w:t>
            </w:r>
          </w:p>
        </w:tc>
      </w:tr>
      <w:tr w:rsidR="00FA7DAC" w:rsidRPr="00821C14" w14:paraId="7FB590BE" w14:textId="77777777" w:rsidTr="00127D1B">
        <w:trPr>
          <w:trHeight w:val="466"/>
        </w:trPr>
        <w:tc>
          <w:tcPr>
            <w:tcW w:w="1443" w:type="dxa"/>
            <w:vMerge/>
          </w:tcPr>
          <w:p w14:paraId="05E7B771" w14:textId="77777777" w:rsidR="00FA7DAC" w:rsidRPr="00821C14" w:rsidRDefault="00FA7DAC" w:rsidP="005D5285">
            <w:pPr>
              <w:spacing w:after="0"/>
              <w:rPr>
                <w:rFonts w:cs="Calibri"/>
                <w:color w:val="000000"/>
              </w:rPr>
            </w:pPr>
          </w:p>
        </w:tc>
        <w:tc>
          <w:tcPr>
            <w:tcW w:w="2706" w:type="dxa"/>
          </w:tcPr>
          <w:p w14:paraId="257521B9" w14:textId="77777777" w:rsidR="00FA7DAC" w:rsidRPr="00821C14" w:rsidRDefault="00FA7DAC" w:rsidP="005D5285">
            <w:pPr>
              <w:spacing w:after="0"/>
              <w:rPr>
                <w:rFonts w:cs="Calibri"/>
                <w:color w:val="000000"/>
                <w:sz w:val="20"/>
                <w:szCs w:val="20"/>
              </w:rPr>
            </w:pPr>
            <w:r w:rsidRPr="00821C14">
              <w:rPr>
                <w:rFonts w:cs="Calibri"/>
                <w:color w:val="000000"/>
                <w:sz w:val="20"/>
                <w:szCs w:val="20"/>
              </w:rPr>
              <w:t>DMH Daily Admission</w:t>
            </w:r>
          </w:p>
        </w:tc>
        <w:tc>
          <w:tcPr>
            <w:tcW w:w="6783" w:type="dxa"/>
          </w:tcPr>
          <w:p w14:paraId="199B8E7A" w14:textId="77777777" w:rsidR="00FA7DAC" w:rsidRPr="00821C14" w:rsidRDefault="00FA7DAC" w:rsidP="00D12C42">
            <w:pPr>
              <w:pStyle w:val="ListBullet1"/>
              <w:ind w:left="360"/>
            </w:pPr>
            <w:r w:rsidRPr="00821C14">
              <w:t>Daily report on inpatient admissions of DMH clients.</w:t>
            </w:r>
          </w:p>
        </w:tc>
      </w:tr>
      <w:tr w:rsidR="00FA7DAC" w:rsidRPr="00821C14" w14:paraId="53F082F3" w14:textId="77777777" w:rsidTr="00127D1B">
        <w:trPr>
          <w:trHeight w:val="466"/>
        </w:trPr>
        <w:tc>
          <w:tcPr>
            <w:tcW w:w="1443" w:type="dxa"/>
            <w:vMerge/>
          </w:tcPr>
          <w:p w14:paraId="737ED297" w14:textId="77777777" w:rsidR="00FA7DAC" w:rsidRPr="00821C14" w:rsidRDefault="00FA7DAC" w:rsidP="005D5285">
            <w:pPr>
              <w:spacing w:after="0"/>
              <w:rPr>
                <w:rFonts w:cs="Calibri"/>
                <w:color w:val="000000"/>
                <w:sz w:val="20"/>
                <w:szCs w:val="20"/>
              </w:rPr>
            </w:pPr>
          </w:p>
        </w:tc>
        <w:tc>
          <w:tcPr>
            <w:tcW w:w="2706" w:type="dxa"/>
          </w:tcPr>
          <w:p w14:paraId="6361D793" w14:textId="77777777" w:rsidR="00FA7DAC" w:rsidRPr="00821C14" w:rsidRDefault="00FA7DAC" w:rsidP="005D5285">
            <w:pPr>
              <w:spacing w:after="0"/>
              <w:rPr>
                <w:rFonts w:cs="Calibri"/>
                <w:color w:val="000000"/>
                <w:sz w:val="20"/>
                <w:szCs w:val="20"/>
              </w:rPr>
            </w:pPr>
            <w:r w:rsidRPr="00821C14">
              <w:rPr>
                <w:rFonts w:cs="Calibri"/>
                <w:color w:val="000000"/>
                <w:sz w:val="20"/>
                <w:szCs w:val="20"/>
              </w:rPr>
              <w:t>Inpatient Cases Awaiting Resolution and Discharge (CARD) Census Report</w:t>
            </w:r>
          </w:p>
        </w:tc>
        <w:tc>
          <w:tcPr>
            <w:tcW w:w="6783" w:type="dxa"/>
          </w:tcPr>
          <w:p w14:paraId="3B9811D2" w14:textId="77777777" w:rsidR="00FA7DAC" w:rsidRPr="00821C14" w:rsidRDefault="00DF2439" w:rsidP="00D12C42">
            <w:pPr>
              <w:pStyle w:val="ListBullet1"/>
              <w:ind w:left="360"/>
            </w:pPr>
            <w:r>
              <w:t>Monthly</w:t>
            </w:r>
            <w:r w:rsidR="00E40086">
              <w:t xml:space="preserve"> </w:t>
            </w:r>
            <w:r w:rsidR="00FA7DAC" w:rsidRPr="00821C14">
              <w:t>report on covered individuals who do not meet the Inpatient or CBAT Services Level of Care criteria but remain in an inpatient setting awaiting discharge or members previously met one of these criteria and were discharged during the reporting month</w:t>
            </w:r>
          </w:p>
        </w:tc>
      </w:tr>
      <w:tr w:rsidR="00B82093" w:rsidRPr="00821C14" w14:paraId="662B36C8" w14:textId="77777777" w:rsidTr="00127D1B">
        <w:trPr>
          <w:cantSplit/>
          <w:trHeight w:val="466"/>
        </w:trPr>
        <w:tc>
          <w:tcPr>
            <w:tcW w:w="10932" w:type="dxa"/>
            <w:gridSpan w:val="3"/>
            <w:shd w:val="clear" w:color="auto" w:fill="D9D9D9"/>
          </w:tcPr>
          <w:p w14:paraId="4CDC8010" w14:textId="77777777" w:rsidR="00B82093" w:rsidRPr="00821C14" w:rsidRDefault="00B82093" w:rsidP="00D12C42">
            <w:pPr>
              <w:spacing w:after="0"/>
              <w:ind w:left="360" w:hanging="360"/>
              <w:rPr>
                <w:rFonts w:cs="Calibri"/>
                <w:b/>
                <w:bCs/>
                <w:color w:val="000000"/>
                <w:sz w:val="20"/>
                <w:szCs w:val="20"/>
              </w:rPr>
            </w:pPr>
            <w:r w:rsidRPr="00821C14">
              <w:rPr>
                <w:rFonts w:cs="Calibri"/>
                <w:b/>
                <w:bCs/>
                <w:color w:val="000000"/>
                <w:sz w:val="20"/>
                <w:szCs w:val="20"/>
              </w:rPr>
              <w:t>Availability of Services:  Timely access</w:t>
            </w:r>
          </w:p>
          <w:p w14:paraId="4229D335" w14:textId="76BAB86A" w:rsidR="00B82093" w:rsidRPr="00821C14" w:rsidRDefault="009542B1" w:rsidP="00D12C42">
            <w:pPr>
              <w:spacing w:after="0"/>
              <w:ind w:left="360" w:hanging="360"/>
              <w:rPr>
                <w:rFonts w:cs="Calibri"/>
                <w:color w:val="000000"/>
                <w:sz w:val="20"/>
                <w:szCs w:val="20"/>
              </w:rPr>
            </w:pPr>
            <w:r>
              <w:rPr>
                <w:rFonts w:cs="Calibri"/>
                <w:color w:val="000000"/>
                <w:sz w:val="20"/>
                <w:szCs w:val="20"/>
              </w:rPr>
              <w:t>CFR</w:t>
            </w:r>
            <w:r w:rsidR="00B82093" w:rsidRPr="00821C14">
              <w:rPr>
                <w:rFonts w:cs="Calibri"/>
                <w:color w:val="000000"/>
                <w:sz w:val="20"/>
                <w:szCs w:val="20"/>
              </w:rPr>
              <w:t xml:space="preserve"> Sections:</w:t>
            </w:r>
          </w:p>
          <w:p w14:paraId="59987996" w14:textId="77777777" w:rsidR="00B82093" w:rsidRPr="00821C14" w:rsidRDefault="00B82093" w:rsidP="00D12C42">
            <w:pPr>
              <w:pStyle w:val="ListBullet2"/>
              <w:ind w:left="360"/>
              <w:rPr>
                <w:rFonts w:cs="Calibri"/>
              </w:rPr>
            </w:pPr>
            <w:r w:rsidRPr="00821C14">
              <w:rPr>
                <w:rFonts w:cs="Calibri"/>
              </w:rPr>
              <w:t>42 CFR 438.206 - Availability of services</w:t>
            </w:r>
          </w:p>
          <w:p w14:paraId="497D4775" w14:textId="77777777" w:rsidR="00B82093" w:rsidRPr="00821C14" w:rsidRDefault="00B82093" w:rsidP="00D12C42">
            <w:pPr>
              <w:pStyle w:val="ListBullet2"/>
              <w:ind w:left="360"/>
              <w:rPr>
                <w:rFonts w:cs="Calibri"/>
                <w:u w:val="single"/>
              </w:rPr>
            </w:pPr>
            <w:r w:rsidRPr="00821C14">
              <w:rPr>
                <w:rFonts w:cs="Calibri"/>
              </w:rPr>
              <w:t>42 CFR 438.207 – Assurances of adequate capacity and services</w:t>
            </w:r>
          </w:p>
        </w:tc>
      </w:tr>
      <w:tr w:rsidR="00B82093" w:rsidRPr="00821C14" w14:paraId="42FCBC09" w14:textId="77777777" w:rsidTr="00127D1B">
        <w:trPr>
          <w:cantSplit/>
          <w:trHeight w:val="466"/>
        </w:trPr>
        <w:tc>
          <w:tcPr>
            <w:tcW w:w="1443" w:type="dxa"/>
          </w:tcPr>
          <w:p w14:paraId="22E18A59" w14:textId="77777777" w:rsidR="00B82093" w:rsidRPr="00721D9F" w:rsidRDefault="00721D9F" w:rsidP="00721D9F">
            <w:pPr>
              <w:tabs>
                <w:tab w:val="left" w:pos="750"/>
              </w:tabs>
              <w:spacing w:after="0"/>
              <w:rPr>
                <w:rFonts w:cs="Calibri"/>
                <w:color w:val="000000"/>
                <w:sz w:val="20"/>
                <w:szCs w:val="20"/>
              </w:rPr>
            </w:pPr>
            <w:r w:rsidRPr="00821C14">
              <w:rPr>
                <w:rFonts w:cs="Calibri"/>
                <w:color w:val="000000"/>
                <w:sz w:val="20"/>
                <w:szCs w:val="20"/>
              </w:rPr>
              <w:lastRenderedPageBreak/>
              <w:t>MCO</w:t>
            </w:r>
            <w:r>
              <w:rPr>
                <w:rFonts w:cs="Calibri"/>
                <w:color w:val="000000"/>
                <w:sz w:val="20"/>
                <w:szCs w:val="20"/>
              </w:rPr>
              <w:t xml:space="preserve"> and Accountable Care Partnership Plan Program</w:t>
            </w:r>
          </w:p>
        </w:tc>
        <w:tc>
          <w:tcPr>
            <w:tcW w:w="2706" w:type="dxa"/>
            <w:tcBorders>
              <w:bottom w:val="nil"/>
            </w:tcBorders>
          </w:tcPr>
          <w:p w14:paraId="41853D31" w14:textId="77777777" w:rsidR="00B82093" w:rsidRPr="00821C14" w:rsidRDefault="00B82093" w:rsidP="005D5285">
            <w:pPr>
              <w:spacing w:after="0"/>
              <w:rPr>
                <w:rFonts w:cs="Calibri"/>
                <w:color w:val="000000"/>
                <w:sz w:val="20"/>
                <w:szCs w:val="20"/>
              </w:rPr>
            </w:pPr>
            <w:r w:rsidRPr="00821C14">
              <w:rPr>
                <w:rFonts w:cs="Calibri"/>
                <w:color w:val="000000"/>
                <w:sz w:val="20"/>
                <w:szCs w:val="20"/>
              </w:rPr>
              <w:t>Telephone Statistics Report</w:t>
            </w:r>
          </w:p>
        </w:tc>
        <w:tc>
          <w:tcPr>
            <w:tcW w:w="6783" w:type="dxa"/>
            <w:tcBorders>
              <w:bottom w:val="nil"/>
            </w:tcBorders>
          </w:tcPr>
          <w:p w14:paraId="2F8957DE" w14:textId="77777777" w:rsidR="00B82093" w:rsidRPr="00821C14" w:rsidRDefault="00B82093" w:rsidP="00D12C42">
            <w:pPr>
              <w:pStyle w:val="ListBullet1"/>
              <w:ind w:left="360"/>
            </w:pPr>
            <w:r w:rsidRPr="00821C14">
              <w:t>Monthly report of telephone answer statistics including, number of calls received, number /percentage of calls abandoned, number/ percentage calls answered w/in 30 seconds , average speed of answer</w:t>
            </w:r>
          </w:p>
        </w:tc>
      </w:tr>
      <w:tr w:rsidR="00AE1E43" w:rsidRPr="00821C14" w14:paraId="555FA64E" w14:textId="77777777" w:rsidTr="00127D1B">
        <w:trPr>
          <w:cantSplit/>
          <w:trHeight w:val="466"/>
        </w:trPr>
        <w:tc>
          <w:tcPr>
            <w:tcW w:w="1443" w:type="dxa"/>
            <w:vMerge w:val="restart"/>
          </w:tcPr>
          <w:p w14:paraId="74C67DAF" w14:textId="7441AB0C" w:rsidR="00AE1E43" w:rsidRPr="00821C14" w:rsidRDefault="00AE1E43" w:rsidP="005D5285">
            <w:pPr>
              <w:spacing w:after="0"/>
              <w:rPr>
                <w:rFonts w:cs="Calibri"/>
                <w:color w:val="000000"/>
                <w:sz w:val="20"/>
                <w:szCs w:val="20"/>
              </w:rPr>
            </w:pPr>
            <w:r w:rsidRPr="00821C14">
              <w:rPr>
                <w:rFonts w:cs="Calibri"/>
                <w:color w:val="000000"/>
                <w:sz w:val="20"/>
                <w:szCs w:val="20"/>
              </w:rPr>
              <w:t xml:space="preserve">PCC </w:t>
            </w:r>
            <w:r w:rsidR="009542B1" w:rsidRPr="00821C14">
              <w:rPr>
                <w:rFonts w:cs="Calibri"/>
                <w:color w:val="000000"/>
                <w:sz w:val="20"/>
                <w:szCs w:val="20"/>
              </w:rPr>
              <w:t>P</w:t>
            </w:r>
            <w:r w:rsidR="009542B1">
              <w:rPr>
                <w:rFonts w:cs="Calibri"/>
                <w:color w:val="000000"/>
                <w:sz w:val="20"/>
                <w:szCs w:val="20"/>
              </w:rPr>
              <w:t>lan and Primary Care ACO</w:t>
            </w:r>
            <w:r w:rsidR="009542B1" w:rsidRPr="00821C14">
              <w:rPr>
                <w:rFonts w:cs="Calibri"/>
                <w:color w:val="000000"/>
                <w:sz w:val="20"/>
                <w:szCs w:val="20"/>
              </w:rPr>
              <w:t xml:space="preserve"> </w:t>
            </w:r>
            <w:r w:rsidRPr="00821C14">
              <w:rPr>
                <w:rFonts w:cs="Calibri"/>
                <w:color w:val="000000"/>
                <w:sz w:val="20"/>
                <w:szCs w:val="20"/>
              </w:rPr>
              <w:t>BH Program</w:t>
            </w:r>
          </w:p>
          <w:p w14:paraId="7DD0894C" w14:textId="77777777" w:rsidR="00AE1E43" w:rsidRPr="00821C14" w:rsidRDefault="00AE1E43" w:rsidP="005D5285">
            <w:pPr>
              <w:spacing w:after="0"/>
              <w:rPr>
                <w:rFonts w:cs="Calibri"/>
                <w:color w:val="000000"/>
                <w:sz w:val="20"/>
                <w:szCs w:val="20"/>
              </w:rPr>
            </w:pPr>
          </w:p>
        </w:tc>
        <w:tc>
          <w:tcPr>
            <w:tcW w:w="2706" w:type="dxa"/>
          </w:tcPr>
          <w:p w14:paraId="44302A03" w14:textId="77777777" w:rsidR="00AE1E43" w:rsidRPr="00821C14" w:rsidRDefault="00AE1E43" w:rsidP="005D5285">
            <w:pPr>
              <w:pStyle w:val="Header"/>
              <w:rPr>
                <w:rFonts w:cs="Calibri"/>
                <w:bCs/>
                <w:color w:val="000000"/>
                <w:sz w:val="20"/>
                <w:szCs w:val="20"/>
              </w:rPr>
            </w:pPr>
            <w:r w:rsidRPr="00821C14">
              <w:rPr>
                <w:rFonts w:cs="Calibri"/>
                <w:bCs/>
                <w:color w:val="000000"/>
                <w:sz w:val="20"/>
                <w:szCs w:val="20"/>
              </w:rPr>
              <w:t>Clinical Access Line Report</w:t>
            </w:r>
          </w:p>
        </w:tc>
        <w:tc>
          <w:tcPr>
            <w:tcW w:w="6783" w:type="dxa"/>
          </w:tcPr>
          <w:p w14:paraId="06C8833E" w14:textId="77777777" w:rsidR="00AE1E43" w:rsidRPr="00821C14" w:rsidRDefault="00AE1E43" w:rsidP="00D12C42">
            <w:pPr>
              <w:pStyle w:val="ListBullet1"/>
              <w:ind w:left="360"/>
            </w:pPr>
            <w:r w:rsidRPr="00821C14">
              <w:t>Quarterly report of telephone answering statistics</w:t>
            </w:r>
          </w:p>
        </w:tc>
      </w:tr>
      <w:tr w:rsidR="00AE1E43" w:rsidRPr="00821C14" w14:paraId="637249EF" w14:textId="77777777" w:rsidTr="00127D1B">
        <w:trPr>
          <w:cantSplit/>
          <w:trHeight w:val="466"/>
        </w:trPr>
        <w:tc>
          <w:tcPr>
            <w:tcW w:w="1443" w:type="dxa"/>
            <w:vMerge/>
          </w:tcPr>
          <w:p w14:paraId="517BF4CC" w14:textId="77777777" w:rsidR="00AE1E43" w:rsidRPr="00821C14" w:rsidRDefault="00AE1E43" w:rsidP="005D5285">
            <w:pPr>
              <w:spacing w:after="0"/>
              <w:rPr>
                <w:rFonts w:cs="Calibri"/>
                <w:color w:val="000000"/>
                <w:sz w:val="20"/>
                <w:szCs w:val="20"/>
              </w:rPr>
            </w:pPr>
          </w:p>
        </w:tc>
        <w:tc>
          <w:tcPr>
            <w:tcW w:w="2706" w:type="dxa"/>
          </w:tcPr>
          <w:p w14:paraId="1B6B169F" w14:textId="77777777" w:rsidR="00AE1E43" w:rsidRPr="00821C14" w:rsidRDefault="00AE1E43" w:rsidP="005D5285">
            <w:pPr>
              <w:pStyle w:val="Header"/>
              <w:rPr>
                <w:rFonts w:cs="Calibri"/>
                <w:bCs/>
                <w:color w:val="000000"/>
                <w:sz w:val="20"/>
                <w:szCs w:val="20"/>
              </w:rPr>
            </w:pPr>
            <w:r w:rsidRPr="00821C14">
              <w:rPr>
                <w:rFonts w:cs="Calibri"/>
                <w:color w:val="000000"/>
                <w:sz w:val="20"/>
                <w:szCs w:val="20"/>
              </w:rPr>
              <w:t>Telephone Statistics Report</w:t>
            </w:r>
          </w:p>
        </w:tc>
        <w:tc>
          <w:tcPr>
            <w:tcW w:w="6783" w:type="dxa"/>
          </w:tcPr>
          <w:p w14:paraId="764F8370" w14:textId="77777777" w:rsidR="00AE1E43" w:rsidRPr="00821C14" w:rsidRDefault="00AE1E43" w:rsidP="00D12C42">
            <w:pPr>
              <w:pStyle w:val="ListBullet1"/>
              <w:ind w:left="360"/>
            </w:pPr>
            <w:r w:rsidRPr="00821C14">
              <w:t>Quarterly report including a separate section for clinical calls, provider and member services calls, and PCC hotline calls that include the number of calls, received, answered/abandoned as well as the measures of performance standards on calls within 30 seconds, and average speed of answer</w:t>
            </w:r>
          </w:p>
        </w:tc>
      </w:tr>
      <w:tr w:rsidR="00B82093" w:rsidRPr="00821C14" w14:paraId="144B7522" w14:textId="77777777" w:rsidTr="00127D1B">
        <w:trPr>
          <w:cantSplit/>
          <w:trHeight w:val="466"/>
        </w:trPr>
        <w:tc>
          <w:tcPr>
            <w:tcW w:w="10932" w:type="dxa"/>
            <w:gridSpan w:val="3"/>
            <w:shd w:val="clear" w:color="auto" w:fill="D9D9D9"/>
          </w:tcPr>
          <w:p w14:paraId="328B458B" w14:textId="77777777" w:rsidR="00B82093" w:rsidRPr="00821C14" w:rsidRDefault="00B82093" w:rsidP="00D12C42">
            <w:pPr>
              <w:spacing w:after="0"/>
              <w:ind w:left="360" w:hanging="360"/>
              <w:rPr>
                <w:rFonts w:cs="Calibri"/>
                <w:b/>
                <w:bCs/>
                <w:color w:val="000000"/>
                <w:sz w:val="20"/>
                <w:szCs w:val="20"/>
              </w:rPr>
            </w:pPr>
            <w:r w:rsidRPr="00821C14">
              <w:rPr>
                <w:rFonts w:cs="Calibri"/>
                <w:b/>
                <w:bCs/>
                <w:color w:val="000000"/>
                <w:sz w:val="20"/>
                <w:szCs w:val="20"/>
              </w:rPr>
              <w:t>Coordination and continuity of care</w:t>
            </w:r>
          </w:p>
          <w:p w14:paraId="23F7B8AB" w14:textId="164BE4D2" w:rsidR="00B82093" w:rsidRPr="00821C14" w:rsidRDefault="00D546C8" w:rsidP="00D12C42">
            <w:pPr>
              <w:spacing w:after="0"/>
              <w:ind w:left="360" w:hanging="360"/>
              <w:rPr>
                <w:rFonts w:cs="Calibri"/>
                <w:color w:val="000000"/>
                <w:sz w:val="20"/>
                <w:szCs w:val="20"/>
              </w:rPr>
            </w:pPr>
            <w:r>
              <w:rPr>
                <w:rFonts w:cs="Calibri"/>
                <w:color w:val="000000"/>
                <w:sz w:val="20"/>
                <w:szCs w:val="20"/>
              </w:rPr>
              <w:t>CFR</w:t>
            </w:r>
            <w:r w:rsidRPr="00821C14">
              <w:rPr>
                <w:rFonts w:cs="Calibri"/>
                <w:color w:val="000000"/>
                <w:sz w:val="20"/>
                <w:szCs w:val="20"/>
              </w:rPr>
              <w:t xml:space="preserve"> </w:t>
            </w:r>
            <w:r w:rsidR="00B82093" w:rsidRPr="00821C14">
              <w:rPr>
                <w:rFonts w:cs="Calibri"/>
                <w:color w:val="000000"/>
                <w:sz w:val="20"/>
                <w:szCs w:val="20"/>
              </w:rPr>
              <w:t>Section:</w:t>
            </w:r>
          </w:p>
          <w:p w14:paraId="7174436C" w14:textId="77777777" w:rsidR="00B82093" w:rsidRPr="00821C14" w:rsidRDefault="00B82093" w:rsidP="00D12C42">
            <w:pPr>
              <w:pStyle w:val="ListBullet2"/>
              <w:ind w:left="360"/>
              <w:rPr>
                <w:rFonts w:cs="Calibri"/>
                <w:u w:val="single"/>
              </w:rPr>
            </w:pPr>
            <w:r w:rsidRPr="00821C14">
              <w:rPr>
                <w:rFonts w:cs="Calibri"/>
              </w:rPr>
              <w:t>42 CFR 438.208 - Coordination and continuity of care</w:t>
            </w:r>
          </w:p>
        </w:tc>
      </w:tr>
      <w:tr w:rsidR="00A7001D" w:rsidRPr="00821C14" w14:paraId="19DB4B4F" w14:textId="77777777" w:rsidTr="00127D1B">
        <w:trPr>
          <w:cantSplit/>
          <w:trHeight w:val="466"/>
        </w:trPr>
        <w:tc>
          <w:tcPr>
            <w:tcW w:w="1443" w:type="dxa"/>
            <w:vMerge w:val="restart"/>
          </w:tcPr>
          <w:p w14:paraId="2DD9463C" w14:textId="77777777" w:rsidR="00721D9F" w:rsidRPr="00821C14" w:rsidRDefault="00721D9F" w:rsidP="00721D9F">
            <w:pPr>
              <w:tabs>
                <w:tab w:val="left" w:pos="750"/>
              </w:tabs>
              <w:spacing w:after="0"/>
              <w:rPr>
                <w:rFonts w:cs="Calibri"/>
                <w:color w:val="000000"/>
                <w:sz w:val="20"/>
                <w:szCs w:val="20"/>
              </w:rPr>
            </w:pPr>
            <w:r w:rsidRPr="00821C14">
              <w:rPr>
                <w:rFonts w:cs="Calibri"/>
                <w:color w:val="000000"/>
                <w:sz w:val="20"/>
                <w:szCs w:val="20"/>
              </w:rPr>
              <w:t>MCO</w:t>
            </w:r>
            <w:r>
              <w:rPr>
                <w:rFonts w:cs="Calibri"/>
                <w:color w:val="000000"/>
                <w:sz w:val="20"/>
                <w:szCs w:val="20"/>
              </w:rPr>
              <w:t xml:space="preserve"> and Accountable Care Partnership Plan </w:t>
            </w:r>
            <w:r w:rsidRPr="00821C14">
              <w:rPr>
                <w:rFonts w:cs="Calibri"/>
                <w:color w:val="000000"/>
                <w:sz w:val="20"/>
                <w:szCs w:val="20"/>
              </w:rPr>
              <w:t>Program</w:t>
            </w:r>
          </w:p>
          <w:p w14:paraId="03683E12" w14:textId="77777777" w:rsidR="00A7001D" w:rsidRPr="00821C14" w:rsidRDefault="00A7001D" w:rsidP="00721D9F">
            <w:pPr>
              <w:spacing w:after="0"/>
              <w:rPr>
                <w:rFonts w:cs="Calibri"/>
                <w:color w:val="000000"/>
                <w:sz w:val="20"/>
                <w:szCs w:val="20"/>
              </w:rPr>
            </w:pPr>
          </w:p>
        </w:tc>
        <w:tc>
          <w:tcPr>
            <w:tcW w:w="2706" w:type="dxa"/>
          </w:tcPr>
          <w:p w14:paraId="5121FCF3" w14:textId="77777777" w:rsidR="00A7001D" w:rsidRPr="00821C14" w:rsidRDefault="00A7001D" w:rsidP="005D5285">
            <w:pPr>
              <w:spacing w:after="0"/>
              <w:rPr>
                <w:rFonts w:cs="Calibri"/>
                <w:color w:val="000000"/>
                <w:sz w:val="20"/>
                <w:szCs w:val="20"/>
              </w:rPr>
            </w:pPr>
            <w:r w:rsidRPr="00821C14">
              <w:rPr>
                <w:rFonts w:cs="Calibri"/>
                <w:color w:val="000000"/>
                <w:sz w:val="20"/>
                <w:szCs w:val="20"/>
              </w:rPr>
              <w:t>PCP Assignment Accuracy Report</w:t>
            </w:r>
          </w:p>
        </w:tc>
        <w:tc>
          <w:tcPr>
            <w:tcW w:w="6783" w:type="dxa"/>
          </w:tcPr>
          <w:p w14:paraId="1FF1C9E6" w14:textId="77777777" w:rsidR="00A7001D" w:rsidRPr="00821C14" w:rsidRDefault="00A7001D" w:rsidP="00D12C42">
            <w:pPr>
              <w:pStyle w:val="ListBullet1"/>
              <w:ind w:left="360"/>
            </w:pPr>
            <w:r w:rsidRPr="00821C14">
              <w:t>Annual report of number/percentage of enrollees not having an assigned PCP or w/ incorrect PCP assignment  at any point &gt; 15 days of effective enrollment (includes auditing/ monitoring activities, data sources, and methodologies)</w:t>
            </w:r>
          </w:p>
        </w:tc>
      </w:tr>
      <w:tr w:rsidR="00A7001D" w:rsidRPr="00821C14" w14:paraId="1E4BF78C" w14:textId="77777777" w:rsidTr="00127D1B">
        <w:trPr>
          <w:cantSplit/>
          <w:trHeight w:val="466"/>
        </w:trPr>
        <w:tc>
          <w:tcPr>
            <w:tcW w:w="1443" w:type="dxa"/>
            <w:vMerge/>
          </w:tcPr>
          <w:p w14:paraId="0CE4C582" w14:textId="77777777" w:rsidR="00A7001D" w:rsidRPr="00821C14" w:rsidRDefault="00A7001D" w:rsidP="005D5285">
            <w:pPr>
              <w:spacing w:after="0"/>
              <w:rPr>
                <w:rFonts w:cs="Calibri"/>
                <w:color w:val="000000"/>
                <w:sz w:val="20"/>
                <w:szCs w:val="20"/>
              </w:rPr>
            </w:pPr>
          </w:p>
        </w:tc>
        <w:tc>
          <w:tcPr>
            <w:tcW w:w="2706" w:type="dxa"/>
          </w:tcPr>
          <w:p w14:paraId="3F79BB5B" w14:textId="77777777" w:rsidR="00A7001D" w:rsidRPr="00821C14" w:rsidRDefault="00A7001D" w:rsidP="005D5285">
            <w:pPr>
              <w:spacing w:after="0"/>
              <w:rPr>
                <w:rFonts w:cs="Calibri"/>
                <w:color w:val="000000"/>
                <w:sz w:val="20"/>
                <w:szCs w:val="20"/>
              </w:rPr>
            </w:pPr>
            <w:r w:rsidRPr="00821C14">
              <w:rPr>
                <w:rFonts w:cs="Calibri"/>
                <w:color w:val="000000"/>
                <w:sz w:val="20"/>
                <w:szCs w:val="20"/>
              </w:rPr>
              <w:t>Medical and Behavioral Health Organizational Chart/Management Level Staff Changes</w:t>
            </w:r>
          </w:p>
        </w:tc>
        <w:tc>
          <w:tcPr>
            <w:tcW w:w="6783" w:type="dxa"/>
          </w:tcPr>
          <w:p w14:paraId="3C157590" w14:textId="77777777" w:rsidR="00A7001D" w:rsidRPr="00821C14" w:rsidRDefault="00A7001D" w:rsidP="00D12C42">
            <w:pPr>
              <w:pStyle w:val="ListBullet1"/>
              <w:ind w:left="360"/>
            </w:pPr>
            <w:r w:rsidRPr="00821C14">
              <w:t xml:space="preserve">Annual organizational chart detailing individuals in each position and management level vacancies, staff changes, restructuring, and status of filling vacancies. </w:t>
            </w:r>
          </w:p>
        </w:tc>
      </w:tr>
      <w:tr w:rsidR="00A7001D" w:rsidRPr="00821C14" w14:paraId="704977DD" w14:textId="77777777" w:rsidTr="00127D1B">
        <w:trPr>
          <w:cantSplit/>
          <w:trHeight w:val="466"/>
        </w:trPr>
        <w:tc>
          <w:tcPr>
            <w:tcW w:w="1443" w:type="dxa"/>
            <w:vMerge/>
          </w:tcPr>
          <w:p w14:paraId="63646E5A" w14:textId="77777777" w:rsidR="00A7001D" w:rsidRPr="00821C14" w:rsidRDefault="00A7001D" w:rsidP="005D5285">
            <w:pPr>
              <w:spacing w:after="0"/>
              <w:rPr>
                <w:rFonts w:cs="Calibri"/>
                <w:color w:val="000000"/>
                <w:sz w:val="20"/>
                <w:szCs w:val="20"/>
              </w:rPr>
            </w:pPr>
          </w:p>
        </w:tc>
        <w:tc>
          <w:tcPr>
            <w:tcW w:w="2706" w:type="dxa"/>
          </w:tcPr>
          <w:p w14:paraId="1EEA7140" w14:textId="77777777" w:rsidR="00A7001D" w:rsidRPr="00821C14" w:rsidRDefault="00A7001D" w:rsidP="005D5285">
            <w:pPr>
              <w:spacing w:after="0"/>
              <w:rPr>
                <w:rFonts w:cs="Calibri"/>
                <w:color w:val="000000"/>
                <w:sz w:val="20"/>
                <w:szCs w:val="20"/>
              </w:rPr>
            </w:pPr>
            <w:r w:rsidRPr="00821C14">
              <w:rPr>
                <w:rFonts w:cs="Calibri"/>
                <w:color w:val="000000"/>
                <w:sz w:val="20"/>
                <w:szCs w:val="20"/>
              </w:rPr>
              <w:t>Changes to Key Personnel</w:t>
            </w:r>
          </w:p>
        </w:tc>
        <w:tc>
          <w:tcPr>
            <w:tcW w:w="6783" w:type="dxa"/>
          </w:tcPr>
          <w:p w14:paraId="23077613" w14:textId="77777777" w:rsidR="00A7001D" w:rsidRPr="00821C14" w:rsidRDefault="00A7001D" w:rsidP="00D12C42">
            <w:pPr>
              <w:pStyle w:val="ListBullet1"/>
              <w:ind w:left="360"/>
            </w:pPr>
            <w:r w:rsidRPr="00821C14">
              <w:t>As relevant, notice of new personnel, including resume and job description for specified positions</w:t>
            </w:r>
          </w:p>
        </w:tc>
      </w:tr>
      <w:tr w:rsidR="00AE1E43" w:rsidRPr="00821C14" w14:paraId="7055713D" w14:textId="77777777" w:rsidTr="00127D1B">
        <w:trPr>
          <w:cantSplit/>
          <w:trHeight w:val="466"/>
        </w:trPr>
        <w:tc>
          <w:tcPr>
            <w:tcW w:w="1443" w:type="dxa"/>
            <w:vMerge w:val="restart"/>
          </w:tcPr>
          <w:p w14:paraId="4D8845A2" w14:textId="77777777" w:rsidR="00AE1E43" w:rsidRPr="00821C14" w:rsidRDefault="00AE1E43" w:rsidP="00AE1E43">
            <w:pPr>
              <w:spacing w:after="0"/>
              <w:rPr>
                <w:rFonts w:cs="Calibri"/>
                <w:color w:val="000000"/>
                <w:sz w:val="20"/>
                <w:szCs w:val="20"/>
              </w:rPr>
            </w:pPr>
            <w:r>
              <w:rPr>
                <w:rFonts w:cs="Calibri"/>
                <w:color w:val="000000"/>
                <w:sz w:val="20"/>
                <w:szCs w:val="20"/>
              </w:rPr>
              <w:t>Primary Care ACO</w:t>
            </w:r>
          </w:p>
        </w:tc>
        <w:tc>
          <w:tcPr>
            <w:tcW w:w="2706" w:type="dxa"/>
          </w:tcPr>
          <w:p w14:paraId="7FE42480" w14:textId="77777777" w:rsidR="00AE1E43" w:rsidRPr="00821C14" w:rsidRDefault="00AE1E43" w:rsidP="005D5285">
            <w:pPr>
              <w:spacing w:after="0"/>
              <w:rPr>
                <w:rFonts w:cs="Calibri"/>
                <w:color w:val="000000"/>
                <w:sz w:val="20"/>
                <w:szCs w:val="20"/>
              </w:rPr>
            </w:pPr>
            <w:r>
              <w:rPr>
                <w:rFonts w:cs="Calibri"/>
                <w:color w:val="000000"/>
                <w:sz w:val="20"/>
                <w:szCs w:val="20"/>
              </w:rPr>
              <w:t xml:space="preserve">Changes to Key Personnel </w:t>
            </w:r>
          </w:p>
        </w:tc>
        <w:tc>
          <w:tcPr>
            <w:tcW w:w="6783" w:type="dxa"/>
          </w:tcPr>
          <w:p w14:paraId="6E593BBB" w14:textId="77777777" w:rsidR="00AE1E43" w:rsidRPr="00821C14" w:rsidRDefault="00AE1E43" w:rsidP="00D12C42">
            <w:pPr>
              <w:pStyle w:val="ListBullet1"/>
              <w:ind w:left="360"/>
            </w:pPr>
            <w:r w:rsidRPr="00821C14">
              <w:t>As relevant, notice of new personnel, including resume and job description for specified positions</w:t>
            </w:r>
          </w:p>
        </w:tc>
      </w:tr>
      <w:tr w:rsidR="00AE1E43" w:rsidRPr="00821C14" w14:paraId="4F01002D" w14:textId="77777777" w:rsidTr="00127D1B">
        <w:trPr>
          <w:cantSplit/>
          <w:trHeight w:val="466"/>
        </w:trPr>
        <w:tc>
          <w:tcPr>
            <w:tcW w:w="1443" w:type="dxa"/>
            <w:vMerge/>
          </w:tcPr>
          <w:p w14:paraId="18E61830" w14:textId="77777777" w:rsidR="00AE1E43" w:rsidRDefault="00AE1E43" w:rsidP="005D5285">
            <w:pPr>
              <w:spacing w:after="0"/>
              <w:rPr>
                <w:rFonts w:cs="Calibri"/>
                <w:color w:val="000000"/>
                <w:sz w:val="20"/>
                <w:szCs w:val="20"/>
              </w:rPr>
            </w:pPr>
          </w:p>
        </w:tc>
        <w:tc>
          <w:tcPr>
            <w:tcW w:w="2706" w:type="dxa"/>
          </w:tcPr>
          <w:p w14:paraId="4E3AB9FC" w14:textId="77777777" w:rsidR="00AE1E43" w:rsidRDefault="00AE1E43" w:rsidP="005D5285">
            <w:pPr>
              <w:spacing w:after="0"/>
              <w:rPr>
                <w:rFonts w:cs="Calibri"/>
                <w:color w:val="000000"/>
                <w:sz w:val="20"/>
                <w:szCs w:val="20"/>
              </w:rPr>
            </w:pPr>
            <w:r>
              <w:rPr>
                <w:rFonts w:cs="Calibri"/>
                <w:color w:val="000000"/>
                <w:sz w:val="20"/>
                <w:szCs w:val="20"/>
              </w:rPr>
              <w:t>Care Management Program Evaluation</w:t>
            </w:r>
          </w:p>
        </w:tc>
        <w:tc>
          <w:tcPr>
            <w:tcW w:w="6783" w:type="dxa"/>
          </w:tcPr>
          <w:p w14:paraId="3DFDDC80" w14:textId="77777777" w:rsidR="00AE1E43" w:rsidRDefault="00AE1E43" w:rsidP="00D12C42">
            <w:pPr>
              <w:pStyle w:val="ListBullet1"/>
              <w:ind w:left="360"/>
            </w:pPr>
            <w:r>
              <w:t xml:space="preserve">Biannual report of evaluation of Care Management Program </w:t>
            </w:r>
          </w:p>
        </w:tc>
      </w:tr>
      <w:tr w:rsidR="00D866A0" w:rsidRPr="00821C14" w14:paraId="781296E5" w14:textId="77777777" w:rsidTr="00127D1B">
        <w:trPr>
          <w:cantSplit/>
          <w:trHeight w:val="466"/>
        </w:trPr>
        <w:tc>
          <w:tcPr>
            <w:tcW w:w="1443" w:type="dxa"/>
            <w:vMerge w:val="restart"/>
          </w:tcPr>
          <w:p w14:paraId="7470AAD7" w14:textId="77777777" w:rsidR="00D866A0" w:rsidRPr="00821C14" w:rsidRDefault="009E6996" w:rsidP="005D5285">
            <w:pPr>
              <w:spacing w:after="0"/>
              <w:rPr>
                <w:rFonts w:cs="Calibri"/>
                <w:color w:val="000000"/>
                <w:sz w:val="20"/>
                <w:szCs w:val="20"/>
              </w:rPr>
            </w:pPr>
            <w:r>
              <w:rPr>
                <w:rFonts w:cs="Calibri"/>
                <w:color w:val="000000"/>
                <w:sz w:val="20"/>
                <w:szCs w:val="20"/>
              </w:rPr>
              <w:t>One Care</w:t>
            </w:r>
            <w:r w:rsidR="00D866A0">
              <w:rPr>
                <w:rFonts w:cs="Calibri"/>
                <w:color w:val="000000"/>
                <w:sz w:val="20"/>
                <w:szCs w:val="20"/>
              </w:rPr>
              <w:t xml:space="preserve"> Program</w:t>
            </w:r>
          </w:p>
        </w:tc>
        <w:tc>
          <w:tcPr>
            <w:tcW w:w="2706" w:type="dxa"/>
          </w:tcPr>
          <w:p w14:paraId="2156FAE9" w14:textId="77777777" w:rsidR="00D866A0" w:rsidRPr="00821C14" w:rsidRDefault="00D866A0" w:rsidP="005D5285">
            <w:pPr>
              <w:spacing w:after="0"/>
              <w:rPr>
                <w:rFonts w:cs="Calibri"/>
                <w:color w:val="000000"/>
                <w:sz w:val="20"/>
                <w:szCs w:val="20"/>
              </w:rPr>
            </w:pPr>
            <w:r>
              <w:rPr>
                <w:rFonts w:cs="Calibri"/>
                <w:color w:val="000000"/>
                <w:sz w:val="20"/>
                <w:szCs w:val="20"/>
              </w:rPr>
              <w:t>Organizational Chart</w:t>
            </w:r>
          </w:p>
        </w:tc>
        <w:tc>
          <w:tcPr>
            <w:tcW w:w="6783" w:type="dxa"/>
          </w:tcPr>
          <w:p w14:paraId="20E4796A" w14:textId="77777777" w:rsidR="00D866A0" w:rsidRPr="00821C14" w:rsidRDefault="00D866A0" w:rsidP="00D12C42">
            <w:pPr>
              <w:pStyle w:val="ListBullet1"/>
              <w:ind w:left="360"/>
            </w:pPr>
            <w:r>
              <w:t xml:space="preserve">Annual submission of organizational chart that includes senior and mid-level managers for the organization </w:t>
            </w:r>
          </w:p>
        </w:tc>
      </w:tr>
      <w:tr w:rsidR="00D866A0" w:rsidRPr="00821C14" w14:paraId="271237DE" w14:textId="77777777" w:rsidTr="00127D1B">
        <w:trPr>
          <w:cantSplit/>
          <w:trHeight w:val="466"/>
        </w:trPr>
        <w:tc>
          <w:tcPr>
            <w:tcW w:w="1443" w:type="dxa"/>
            <w:vMerge/>
          </w:tcPr>
          <w:p w14:paraId="7C33C2A7" w14:textId="77777777" w:rsidR="00D866A0" w:rsidRPr="00821C14" w:rsidRDefault="00D866A0" w:rsidP="005D5285">
            <w:pPr>
              <w:spacing w:after="0"/>
              <w:rPr>
                <w:rFonts w:cs="Calibri"/>
                <w:color w:val="000000"/>
                <w:sz w:val="20"/>
                <w:szCs w:val="20"/>
              </w:rPr>
            </w:pPr>
          </w:p>
        </w:tc>
        <w:tc>
          <w:tcPr>
            <w:tcW w:w="2706" w:type="dxa"/>
          </w:tcPr>
          <w:p w14:paraId="68BF7D6C" w14:textId="77777777" w:rsidR="00D866A0" w:rsidRPr="00821C14" w:rsidRDefault="00D866A0" w:rsidP="005D5285">
            <w:pPr>
              <w:spacing w:after="0"/>
              <w:rPr>
                <w:rFonts w:cs="Calibri"/>
                <w:color w:val="000000"/>
                <w:sz w:val="20"/>
                <w:szCs w:val="20"/>
              </w:rPr>
            </w:pPr>
            <w:r>
              <w:rPr>
                <w:rFonts w:cs="Calibri"/>
                <w:color w:val="000000"/>
                <w:sz w:val="20"/>
                <w:szCs w:val="20"/>
              </w:rPr>
              <w:t xml:space="preserve">No </w:t>
            </w:r>
            <w:r w:rsidR="00217B96">
              <w:rPr>
                <w:rFonts w:cs="Calibri"/>
                <w:color w:val="000000"/>
                <w:sz w:val="20"/>
                <w:szCs w:val="20"/>
              </w:rPr>
              <w:t>Utilization</w:t>
            </w:r>
          </w:p>
        </w:tc>
        <w:tc>
          <w:tcPr>
            <w:tcW w:w="6783" w:type="dxa"/>
          </w:tcPr>
          <w:p w14:paraId="153B82B6" w14:textId="77777777" w:rsidR="00D866A0" w:rsidRPr="00821C14" w:rsidRDefault="00D866A0" w:rsidP="00D12C42">
            <w:pPr>
              <w:pStyle w:val="ListBullet1"/>
              <w:ind w:left="360"/>
            </w:pPr>
            <w:r>
              <w:t xml:space="preserve">Annual report of enrollees who have been enrolled for one year or more with no utilization, including explanation of outreach activities to engage enrollees. </w:t>
            </w:r>
          </w:p>
        </w:tc>
      </w:tr>
      <w:tr w:rsidR="00A7001D" w:rsidRPr="00821C14" w14:paraId="51C29570" w14:textId="77777777" w:rsidTr="00127D1B">
        <w:trPr>
          <w:cantSplit/>
          <w:trHeight w:val="466"/>
        </w:trPr>
        <w:tc>
          <w:tcPr>
            <w:tcW w:w="1443" w:type="dxa"/>
          </w:tcPr>
          <w:p w14:paraId="00F5F886" w14:textId="789610B2" w:rsidR="00A7001D" w:rsidRPr="00821C14" w:rsidRDefault="00A7001D" w:rsidP="005D5285">
            <w:pPr>
              <w:spacing w:after="0"/>
              <w:rPr>
                <w:rFonts w:cs="Calibri"/>
                <w:b/>
                <w:bCs/>
                <w:color w:val="000000"/>
                <w:sz w:val="20"/>
                <w:szCs w:val="20"/>
              </w:rPr>
            </w:pPr>
            <w:r w:rsidRPr="00821C14">
              <w:rPr>
                <w:rFonts w:cs="Calibri"/>
                <w:color w:val="000000"/>
                <w:sz w:val="20"/>
                <w:szCs w:val="20"/>
              </w:rPr>
              <w:t>PCC P</w:t>
            </w:r>
            <w:r w:rsidR="00D546C8">
              <w:rPr>
                <w:rFonts w:cs="Calibri"/>
                <w:color w:val="000000"/>
                <w:sz w:val="20"/>
                <w:szCs w:val="20"/>
              </w:rPr>
              <w:t>lan ad Primary Care ACO</w:t>
            </w:r>
            <w:r w:rsidRPr="00821C14">
              <w:rPr>
                <w:rFonts w:cs="Calibri"/>
                <w:color w:val="000000"/>
                <w:sz w:val="20"/>
                <w:szCs w:val="20"/>
              </w:rPr>
              <w:t xml:space="preserve"> BH Program</w:t>
            </w:r>
          </w:p>
        </w:tc>
        <w:tc>
          <w:tcPr>
            <w:tcW w:w="2706" w:type="dxa"/>
          </w:tcPr>
          <w:p w14:paraId="774BDAFB" w14:textId="77777777" w:rsidR="00A7001D" w:rsidRPr="00821C14" w:rsidRDefault="00A7001D" w:rsidP="005D5285">
            <w:pPr>
              <w:spacing w:after="0"/>
              <w:rPr>
                <w:rFonts w:cs="Calibri"/>
                <w:color w:val="000000"/>
                <w:sz w:val="20"/>
                <w:szCs w:val="20"/>
              </w:rPr>
            </w:pPr>
            <w:r w:rsidRPr="00821C14">
              <w:rPr>
                <w:rFonts w:cs="Calibri"/>
                <w:color w:val="000000"/>
                <w:sz w:val="20"/>
                <w:szCs w:val="20"/>
              </w:rPr>
              <w:t>Service Access and Continuity of Care Measures Report</w:t>
            </w:r>
          </w:p>
        </w:tc>
        <w:tc>
          <w:tcPr>
            <w:tcW w:w="6783" w:type="dxa"/>
          </w:tcPr>
          <w:p w14:paraId="341CD921" w14:textId="77777777" w:rsidR="00A7001D" w:rsidRPr="00821C14" w:rsidRDefault="00A7001D" w:rsidP="00D12C42">
            <w:pPr>
              <w:pStyle w:val="ListBullet1"/>
              <w:ind w:left="360"/>
            </w:pPr>
            <w:r w:rsidRPr="00821C14">
              <w:t>Semi-Annual report, stratified by level of care and age with data on readmissions, inpatients diversions, follow-up after hospitalization and medication monitoring following discharge</w:t>
            </w:r>
          </w:p>
        </w:tc>
      </w:tr>
      <w:tr w:rsidR="00D546C8" w:rsidRPr="00821C14" w14:paraId="7BB2DFF3" w14:textId="77777777" w:rsidTr="00127D1B">
        <w:trPr>
          <w:cantSplit/>
          <w:trHeight w:val="466"/>
        </w:trPr>
        <w:tc>
          <w:tcPr>
            <w:tcW w:w="1443" w:type="dxa"/>
          </w:tcPr>
          <w:p w14:paraId="2CD37287" w14:textId="18467905" w:rsidR="00D546C8" w:rsidRPr="00821C14" w:rsidRDefault="00D546C8" w:rsidP="005D5285">
            <w:pPr>
              <w:spacing w:after="0"/>
              <w:rPr>
                <w:rFonts w:cs="Calibri"/>
                <w:color w:val="000000"/>
                <w:sz w:val="20"/>
                <w:szCs w:val="20"/>
              </w:rPr>
            </w:pPr>
            <w:r>
              <w:rPr>
                <w:rFonts w:cs="Calibri"/>
                <w:color w:val="000000"/>
                <w:sz w:val="20"/>
                <w:szCs w:val="20"/>
              </w:rPr>
              <w:t>PCC Plan BH Program</w:t>
            </w:r>
          </w:p>
        </w:tc>
        <w:tc>
          <w:tcPr>
            <w:tcW w:w="2706" w:type="dxa"/>
            <w:tcBorders>
              <w:top w:val="nil"/>
            </w:tcBorders>
          </w:tcPr>
          <w:p w14:paraId="47B4BAD6" w14:textId="77777777" w:rsidR="00D546C8" w:rsidRPr="00821C14" w:rsidRDefault="00D546C8" w:rsidP="00042BCE">
            <w:pPr>
              <w:spacing w:after="0"/>
              <w:rPr>
                <w:rFonts w:cs="Calibri"/>
                <w:color w:val="000000"/>
                <w:sz w:val="20"/>
                <w:szCs w:val="20"/>
              </w:rPr>
            </w:pPr>
            <w:r w:rsidRPr="00821C14">
              <w:rPr>
                <w:rFonts w:cs="Calibri"/>
                <w:color w:val="000000"/>
                <w:sz w:val="20"/>
                <w:szCs w:val="20"/>
              </w:rPr>
              <w:t>Care Management Referrals Report</w:t>
            </w:r>
          </w:p>
          <w:p w14:paraId="46DD742B" w14:textId="7B7083F2" w:rsidR="00D546C8" w:rsidRPr="00821C14" w:rsidDel="00D546C8" w:rsidRDefault="00D546C8" w:rsidP="005D5285">
            <w:pPr>
              <w:spacing w:after="0"/>
              <w:rPr>
                <w:rFonts w:cs="Calibri"/>
                <w:color w:val="000000"/>
                <w:sz w:val="20"/>
                <w:szCs w:val="20"/>
              </w:rPr>
            </w:pPr>
            <w:r w:rsidRPr="00821C14">
              <w:rPr>
                <w:rFonts w:cs="Calibri"/>
                <w:color w:val="000000"/>
                <w:sz w:val="20"/>
                <w:szCs w:val="20"/>
              </w:rPr>
              <w:t>Care Management Utilization and Cost Report</w:t>
            </w:r>
          </w:p>
        </w:tc>
        <w:tc>
          <w:tcPr>
            <w:tcW w:w="6783" w:type="dxa"/>
            <w:tcBorders>
              <w:top w:val="nil"/>
            </w:tcBorders>
          </w:tcPr>
          <w:p w14:paraId="38BE6845" w14:textId="2682E3CF" w:rsidR="00D546C8" w:rsidRPr="00821C14" w:rsidDel="00D546C8" w:rsidRDefault="00D546C8" w:rsidP="00D12C42">
            <w:pPr>
              <w:pStyle w:val="ListBullet1"/>
              <w:ind w:left="360"/>
            </w:pPr>
            <w:r w:rsidRPr="00821C14">
              <w:t>Semi-Annual reports of referrals to and utilization of care management</w:t>
            </w:r>
          </w:p>
        </w:tc>
      </w:tr>
      <w:tr w:rsidR="00B82093" w:rsidRPr="00821C14" w14:paraId="7108A208" w14:textId="77777777" w:rsidTr="00127D1B">
        <w:trPr>
          <w:cantSplit/>
          <w:trHeight w:val="466"/>
        </w:trPr>
        <w:tc>
          <w:tcPr>
            <w:tcW w:w="1443" w:type="dxa"/>
            <w:tcBorders>
              <w:top w:val="nil"/>
            </w:tcBorders>
          </w:tcPr>
          <w:p w14:paraId="678684BA" w14:textId="77777777" w:rsidR="00B82093" w:rsidRPr="00821C14" w:rsidRDefault="00B82093" w:rsidP="005D5285">
            <w:pPr>
              <w:spacing w:after="0"/>
              <w:rPr>
                <w:rFonts w:cs="Calibri"/>
                <w:color w:val="000000"/>
                <w:sz w:val="20"/>
                <w:szCs w:val="20"/>
              </w:rPr>
            </w:pPr>
            <w:r w:rsidRPr="00821C14">
              <w:rPr>
                <w:rFonts w:cs="Calibri"/>
                <w:color w:val="000000"/>
                <w:sz w:val="20"/>
                <w:szCs w:val="20"/>
              </w:rPr>
              <w:t>SCO Program</w:t>
            </w:r>
          </w:p>
        </w:tc>
        <w:tc>
          <w:tcPr>
            <w:tcW w:w="2706" w:type="dxa"/>
            <w:tcBorders>
              <w:top w:val="nil"/>
            </w:tcBorders>
          </w:tcPr>
          <w:p w14:paraId="2E9EAFA9" w14:textId="77777777" w:rsidR="00B82093" w:rsidRPr="00821C14" w:rsidRDefault="00B82093" w:rsidP="005D5285">
            <w:pPr>
              <w:spacing w:after="0"/>
              <w:rPr>
                <w:rFonts w:cs="Calibri"/>
                <w:color w:val="000000"/>
                <w:sz w:val="20"/>
                <w:szCs w:val="20"/>
              </w:rPr>
            </w:pPr>
            <w:r w:rsidRPr="00821C14">
              <w:rPr>
                <w:rFonts w:cs="Calibri"/>
                <w:color w:val="000000"/>
                <w:sz w:val="20"/>
                <w:szCs w:val="20"/>
              </w:rPr>
              <w:t>Health Outcome Survey</w:t>
            </w:r>
          </w:p>
        </w:tc>
        <w:tc>
          <w:tcPr>
            <w:tcW w:w="6783" w:type="dxa"/>
            <w:tcBorders>
              <w:top w:val="nil"/>
            </w:tcBorders>
          </w:tcPr>
          <w:p w14:paraId="18C5A2F0" w14:textId="77777777" w:rsidR="00B82093" w:rsidRPr="00821C14" w:rsidRDefault="00B82093" w:rsidP="00D12C42">
            <w:pPr>
              <w:pStyle w:val="ListBullet1"/>
              <w:ind w:left="360"/>
            </w:pPr>
            <w:r w:rsidRPr="00821C14">
              <w:t>Annual Health Outcomes Survey (HOS) per CMS requirements</w:t>
            </w:r>
          </w:p>
        </w:tc>
      </w:tr>
      <w:tr w:rsidR="00B82093" w:rsidRPr="00821C14" w14:paraId="32C27FC9" w14:textId="77777777" w:rsidTr="00127D1B">
        <w:trPr>
          <w:cantSplit/>
          <w:trHeight w:val="908"/>
        </w:trPr>
        <w:tc>
          <w:tcPr>
            <w:tcW w:w="10932" w:type="dxa"/>
            <w:gridSpan w:val="3"/>
            <w:shd w:val="clear" w:color="auto" w:fill="D9D9D9"/>
          </w:tcPr>
          <w:p w14:paraId="733D0CBB" w14:textId="77777777" w:rsidR="00B82093" w:rsidRPr="00821C14" w:rsidRDefault="00B82093" w:rsidP="00D12C42">
            <w:pPr>
              <w:spacing w:after="0"/>
              <w:ind w:left="360" w:hanging="360"/>
              <w:rPr>
                <w:rFonts w:cs="Calibri"/>
                <w:b/>
                <w:bCs/>
                <w:color w:val="000000"/>
                <w:sz w:val="20"/>
                <w:szCs w:val="20"/>
              </w:rPr>
            </w:pPr>
            <w:r w:rsidRPr="00821C14">
              <w:rPr>
                <w:rFonts w:cs="Calibri"/>
                <w:b/>
                <w:bCs/>
                <w:color w:val="000000"/>
                <w:sz w:val="20"/>
                <w:szCs w:val="20"/>
              </w:rPr>
              <w:t>Coverage and authorization of services</w:t>
            </w:r>
          </w:p>
          <w:p w14:paraId="081E5DA5" w14:textId="0B6DE54C" w:rsidR="00B82093" w:rsidRPr="00821C14" w:rsidRDefault="00D546C8" w:rsidP="00D12C42">
            <w:pPr>
              <w:spacing w:after="0"/>
              <w:ind w:left="360" w:hanging="360"/>
              <w:rPr>
                <w:rFonts w:cs="Calibri"/>
                <w:color w:val="000000"/>
                <w:sz w:val="20"/>
                <w:szCs w:val="20"/>
              </w:rPr>
            </w:pPr>
            <w:r>
              <w:rPr>
                <w:rFonts w:cs="Calibri"/>
                <w:color w:val="000000"/>
                <w:sz w:val="20"/>
                <w:szCs w:val="20"/>
              </w:rPr>
              <w:t>CFR</w:t>
            </w:r>
            <w:r w:rsidRPr="00821C14">
              <w:rPr>
                <w:rFonts w:cs="Calibri"/>
                <w:color w:val="000000"/>
                <w:sz w:val="20"/>
                <w:szCs w:val="20"/>
              </w:rPr>
              <w:t xml:space="preserve"> </w:t>
            </w:r>
            <w:r w:rsidR="00B82093" w:rsidRPr="00821C14">
              <w:rPr>
                <w:rFonts w:cs="Calibri"/>
                <w:color w:val="000000"/>
                <w:sz w:val="20"/>
                <w:szCs w:val="20"/>
              </w:rPr>
              <w:t>Section:</w:t>
            </w:r>
          </w:p>
          <w:p w14:paraId="0FFB3239" w14:textId="77777777" w:rsidR="00B82093" w:rsidRPr="00821C14" w:rsidRDefault="00B82093" w:rsidP="00D12C42">
            <w:pPr>
              <w:pStyle w:val="ListBullet2"/>
              <w:ind w:left="360"/>
              <w:rPr>
                <w:rFonts w:cs="Calibri"/>
                <w:u w:val="single"/>
              </w:rPr>
            </w:pPr>
            <w:r w:rsidRPr="00821C14">
              <w:rPr>
                <w:rFonts w:cs="Calibri"/>
              </w:rPr>
              <w:t>42 CFR 438.210 - Coverage and authorization of services</w:t>
            </w:r>
          </w:p>
        </w:tc>
      </w:tr>
      <w:tr w:rsidR="00184751" w:rsidRPr="00821C14" w14:paraId="763F474D" w14:textId="77777777" w:rsidTr="00127D1B">
        <w:trPr>
          <w:cantSplit/>
          <w:trHeight w:val="466"/>
        </w:trPr>
        <w:tc>
          <w:tcPr>
            <w:tcW w:w="1443" w:type="dxa"/>
            <w:vMerge w:val="restart"/>
          </w:tcPr>
          <w:p w14:paraId="6AAD1C02" w14:textId="1202589C" w:rsidR="00184751" w:rsidRPr="00821C14" w:rsidRDefault="00184751" w:rsidP="005D5285">
            <w:pPr>
              <w:spacing w:after="0"/>
              <w:rPr>
                <w:rFonts w:cs="Calibri"/>
                <w:color w:val="000000"/>
                <w:sz w:val="20"/>
                <w:szCs w:val="20"/>
              </w:rPr>
            </w:pPr>
            <w:r w:rsidRPr="00821C14">
              <w:rPr>
                <w:rFonts w:cs="Calibri"/>
                <w:color w:val="000000"/>
                <w:sz w:val="20"/>
                <w:szCs w:val="20"/>
              </w:rPr>
              <w:t>PCC P</w:t>
            </w:r>
            <w:r w:rsidR="00D546C8">
              <w:rPr>
                <w:rFonts w:cs="Calibri"/>
                <w:color w:val="000000"/>
                <w:sz w:val="20"/>
                <w:szCs w:val="20"/>
              </w:rPr>
              <w:t xml:space="preserve">lan and Primary Care </w:t>
            </w:r>
            <w:r w:rsidR="00D546C8">
              <w:rPr>
                <w:rFonts w:cs="Calibri"/>
                <w:color w:val="000000"/>
                <w:sz w:val="20"/>
                <w:szCs w:val="20"/>
              </w:rPr>
              <w:lastRenderedPageBreak/>
              <w:t>ACO</w:t>
            </w:r>
            <w:r w:rsidRPr="00821C14">
              <w:rPr>
                <w:rFonts w:cs="Calibri"/>
                <w:color w:val="000000"/>
                <w:sz w:val="20"/>
                <w:szCs w:val="20"/>
              </w:rPr>
              <w:t xml:space="preserve"> BH Program</w:t>
            </w:r>
          </w:p>
        </w:tc>
        <w:tc>
          <w:tcPr>
            <w:tcW w:w="2706" w:type="dxa"/>
          </w:tcPr>
          <w:p w14:paraId="0E185857" w14:textId="77777777" w:rsidR="00184751" w:rsidRPr="00821C14" w:rsidRDefault="00184751" w:rsidP="005D5285">
            <w:pPr>
              <w:spacing w:after="0"/>
              <w:rPr>
                <w:rFonts w:cs="Calibri"/>
                <w:color w:val="000000"/>
                <w:sz w:val="20"/>
                <w:szCs w:val="20"/>
              </w:rPr>
            </w:pPr>
            <w:r w:rsidRPr="00821C14">
              <w:rPr>
                <w:rFonts w:cs="Calibri"/>
                <w:color w:val="000000"/>
                <w:sz w:val="20"/>
                <w:szCs w:val="20"/>
              </w:rPr>
              <w:lastRenderedPageBreak/>
              <w:t>Service Authorization and Utilization Review Report</w:t>
            </w:r>
          </w:p>
        </w:tc>
        <w:tc>
          <w:tcPr>
            <w:tcW w:w="6783" w:type="dxa"/>
          </w:tcPr>
          <w:p w14:paraId="5701AC63" w14:textId="77777777" w:rsidR="00184751" w:rsidRPr="00821C14" w:rsidRDefault="009B1150" w:rsidP="00D12C42">
            <w:pPr>
              <w:pStyle w:val="ListBullet1"/>
              <w:ind w:left="360"/>
            </w:pPr>
            <w:r>
              <w:t>Quarterly</w:t>
            </w:r>
            <w:r w:rsidR="00184751" w:rsidRPr="00821C14">
              <w:t xml:space="preserve">  report regarding services authorized and denied</w:t>
            </w:r>
          </w:p>
        </w:tc>
      </w:tr>
      <w:tr w:rsidR="00184751" w:rsidRPr="00821C14" w14:paraId="3424FE10" w14:textId="77777777" w:rsidTr="00127D1B">
        <w:trPr>
          <w:cantSplit/>
          <w:trHeight w:val="466"/>
        </w:trPr>
        <w:tc>
          <w:tcPr>
            <w:tcW w:w="1443" w:type="dxa"/>
            <w:vMerge/>
          </w:tcPr>
          <w:p w14:paraId="749F400B" w14:textId="77777777" w:rsidR="00184751" w:rsidRPr="00821C14" w:rsidRDefault="00184751" w:rsidP="005D5285">
            <w:pPr>
              <w:spacing w:after="0"/>
              <w:rPr>
                <w:rFonts w:cs="Calibri"/>
                <w:color w:val="000000"/>
                <w:sz w:val="20"/>
                <w:szCs w:val="20"/>
              </w:rPr>
            </w:pPr>
          </w:p>
        </w:tc>
        <w:tc>
          <w:tcPr>
            <w:tcW w:w="2706" w:type="dxa"/>
          </w:tcPr>
          <w:p w14:paraId="1C68D591" w14:textId="77777777" w:rsidR="00184751" w:rsidRPr="00821C14" w:rsidRDefault="00184751" w:rsidP="00F81D67">
            <w:pPr>
              <w:spacing w:after="0"/>
              <w:rPr>
                <w:rFonts w:cs="Calibri"/>
                <w:color w:val="000000"/>
                <w:sz w:val="20"/>
                <w:szCs w:val="20"/>
              </w:rPr>
            </w:pPr>
            <w:r w:rsidRPr="00821C14">
              <w:rPr>
                <w:rFonts w:cs="Calibri"/>
                <w:color w:val="000000"/>
                <w:sz w:val="20"/>
                <w:szCs w:val="20"/>
              </w:rPr>
              <w:t>CBHI Authorizations</w:t>
            </w:r>
          </w:p>
        </w:tc>
        <w:tc>
          <w:tcPr>
            <w:tcW w:w="6783" w:type="dxa"/>
          </w:tcPr>
          <w:p w14:paraId="7CD5E0FB" w14:textId="77777777" w:rsidR="00184751" w:rsidRPr="00821C14" w:rsidRDefault="00184751" w:rsidP="00D12C42">
            <w:pPr>
              <w:pStyle w:val="ListBullet1"/>
              <w:ind w:left="360"/>
            </w:pPr>
            <w:r w:rsidRPr="00821C14">
              <w:t>Monthly report of CBHI service authorizations</w:t>
            </w:r>
          </w:p>
        </w:tc>
      </w:tr>
      <w:tr w:rsidR="00FA7DAC" w:rsidRPr="00821C14" w14:paraId="359477B0" w14:textId="77777777" w:rsidTr="00127D1B">
        <w:trPr>
          <w:cantSplit/>
          <w:trHeight w:val="466"/>
        </w:trPr>
        <w:tc>
          <w:tcPr>
            <w:tcW w:w="1443" w:type="dxa"/>
            <w:vMerge w:val="restart"/>
          </w:tcPr>
          <w:p w14:paraId="0A336F7A" w14:textId="77777777" w:rsidR="00721D9F" w:rsidRPr="00821C14" w:rsidRDefault="00721D9F" w:rsidP="00721D9F">
            <w:pPr>
              <w:tabs>
                <w:tab w:val="left" w:pos="750"/>
              </w:tabs>
              <w:spacing w:after="0"/>
              <w:rPr>
                <w:rFonts w:cs="Calibri"/>
                <w:color w:val="000000"/>
                <w:sz w:val="20"/>
                <w:szCs w:val="20"/>
              </w:rPr>
            </w:pPr>
            <w:r w:rsidRPr="00821C14">
              <w:rPr>
                <w:rFonts w:cs="Calibri"/>
                <w:color w:val="000000"/>
                <w:sz w:val="20"/>
                <w:szCs w:val="20"/>
              </w:rPr>
              <w:lastRenderedPageBreak/>
              <w:t>MCO</w:t>
            </w:r>
            <w:r>
              <w:rPr>
                <w:rFonts w:cs="Calibri"/>
                <w:color w:val="000000"/>
                <w:sz w:val="20"/>
                <w:szCs w:val="20"/>
              </w:rPr>
              <w:t xml:space="preserve"> and Accountable Care Partnership Plan </w:t>
            </w:r>
            <w:r w:rsidRPr="00821C14">
              <w:rPr>
                <w:rFonts w:cs="Calibri"/>
                <w:color w:val="000000"/>
                <w:sz w:val="20"/>
                <w:szCs w:val="20"/>
              </w:rPr>
              <w:t>Program</w:t>
            </w:r>
          </w:p>
          <w:p w14:paraId="72484F9E" w14:textId="77777777" w:rsidR="00FA7DAC" w:rsidRPr="00821C14" w:rsidRDefault="00FA7DAC" w:rsidP="002E7424">
            <w:pPr>
              <w:spacing w:after="0"/>
              <w:rPr>
                <w:rFonts w:cs="Calibri"/>
                <w:color w:val="000000"/>
                <w:sz w:val="20"/>
                <w:szCs w:val="20"/>
              </w:rPr>
            </w:pPr>
          </w:p>
        </w:tc>
        <w:tc>
          <w:tcPr>
            <w:tcW w:w="2706" w:type="dxa"/>
          </w:tcPr>
          <w:p w14:paraId="5B23585B" w14:textId="77777777" w:rsidR="00FA7DAC" w:rsidRPr="00821C14" w:rsidRDefault="00FA7DAC" w:rsidP="005D5285">
            <w:pPr>
              <w:spacing w:after="0"/>
              <w:rPr>
                <w:rFonts w:cs="Calibri"/>
                <w:color w:val="000000"/>
                <w:sz w:val="20"/>
                <w:szCs w:val="20"/>
              </w:rPr>
            </w:pPr>
            <w:r w:rsidRPr="00821C14">
              <w:rPr>
                <w:rFonts w:cs="Calibri"/>
                <w:color w:val="000000"/>
                <w:sz w:val="20"/>
                <w:szCs w:val="20"/>
              </w:rPr>
              <w:t>Accident/Trauma Report</w:t>
            </w:r>
          </w:p>
        </w:tc>
        <w:tc>
          <w:tcPr>
            <w:tcW w:w="6783" w:type="dxa"/>
          </w:tcPr>
          <w:p w14:paraId="760193EA" w14:textId="77777777" w:rsidR="00FA7DAC" w:rsidRPr="00821C14" w:rsidRDefault="00FA7DAC" w:rsidP="00D12C42">
            <w:pPr>
              <w:pStyle w:val="ListBullet1"/>
              <w:ind w:left="360"/>
            </w:pPr>
            <w:r w:rsidRPr="00821C14">
              <w:t>Semi-Annual report of members identified as having medical services as a result of an accident or other loss</w:t>
            </w:r>
          </w:p>
        </w:tc>
      </w:tr>
      <w:tr w:rsidR="00FA7DAC" w:rsidRPr="00821C14" w14:paraId="1E424934" w14:textId="77777777" w:rsidTr="00127D1B">
        <w:trPr>
          <w:cantSplit/>
          <w:trHeight w:val="466"/>
        </w:trPr>
        <w:tc>
          <w:tcPr>
            <w:tcW w:w="1443" w:type="dxa"/>
            <w:vMerge/>
          </w:tcPr>
          <w:p w14:paraId="1BC06232" w14:textId="77777777" w:rsidR="00FA7DAC" w:rsidRPr="00821C14" w:rsidRDefault="00FA7DAC" w:rsidP="005D5285">
            <w:pPr>
              <w:spacing w:after="0"/>
              <w:rPr>
                <w:rFonts w:cs="Calibri"/>
                <w:color w:val="000000"/>
                <w:sz w:val="20"/>
                <w:szCs w:val="20"/>
              </w:rPr>
            </w:pPr>
          </w:p>
        </w:tc>
        <w:tc>
          <w:tcPr>
            <w:tcW w:w="2706" w:type="dxa"/>
          </w:tcPr>
          <w:p w14:paraId="3E83E80A" w14:textId="77777777" w:rsidR="00FA7DAC" w:rsidRPr="00821C14" w:rsidRDefault="00FA7DAC" w:rsidP="005D5285">
            <w:pPr>
              <w:spacing w:after="0"/>
              <w:rPr>
                <w:rFonts w:cs="Calibri"/>
                <w:color w:val="000000"/>
                <w:sz w:val="20"/>
                <w:szCs w:val="20"/>
              </w:rPr>
            </w:pPr>
            <w:r w:rsidRPr="00821C14">
              <w:rPr>
                <w:rFonts w:cs="Calibri"/>
                <w:color w:val="000000"/>
                <w:sz w:val="20"/>
                <w:szCs w:val="20"/>
              </w:rPr>
              <w:t>TPL Form</w:t>
            </w:r>
          </w:p>
        </w:tc>
        <w:tc>
          <w:tcPr>
            <w:tcW w:w="6783" w:type="dxa"/>
          </w:tcPr>
          <w:p w14:paraId="6569933C" w14:textId="77777777" w:rsidR="00FA7DAC" w:rsidRPr="00821C14" w:rsidRDefault="00FA7DAC" w:rsidP="00D12C42">
            <w:pPr>
              <w:pStyle w:val="ListBullet1"/>
              <w:ind w:left="360"/>
            </w:pPr>
            <w:r w:rsidRPr="00821C14">
              <w:t>Same day notice of Enrollee receiving TPL</w:t>
            </w:r>
          </w:p>
        </w:tc>
      </w:tr>
      <w:tr w:rsidR="00FA7DAC" w:rsidRPr="00821C14" w14:paraId="1019658C" w14:textId="77777777" w:rsidTr="00127D1B">
        <w:trPr>
          <w:cantSplit/>
          <w:trHeight w:val="466"/>
        </w:trPr>
        <w:tc>
          <w:tcPr>
            <w:tcW w:w="1443" w:type="dxa"/>
            <w:vMerge/>
          </w:tcPr>
          <w:p w14:paraId="6FFF12A6" w14:textId="77777777" w:rsidR="00FA7DAC" w:rsidRPr="00821C14" w:rsidRDefault="00FA7DAC" w:rsidP="005D5285">
            <w:pPr>
              <w:spacing w:after="0"/>
              <w:rPr>
                <w:rFonts w:cs="Calibri"/>
                <w:color w:val="000000"/>
                <w:sz w:val="20"/>
                <w:szCs w:val="20"/>
              </w:rPr>
            </w:pPr>
          </w:p>
        </w:tc>
        <w:tc>
          <w:tcPr>
            <w:tcW w:w="2706" w:type="dxa"/>
          </w:tcPr>
          <w:p w14:paraId="277B6471" w14:textId="77777777" w:rsidR="00FA7DAC" w:rsidRPr="00821C14" w:rsidRDefault="00FA7DAC" w:rsidP="005D5285">
            <w:pPr>
              <w:spacing w:after="0"/>
              <w:rPr>
                <w:rFonts w:cs="Calibri"/>
                <w:color w:val="000000"/>
                <w:sz w:val="20"/>
                <w:szCs w:val="20"/>
              </w:rPr>
            </w:pPr>
            <w:r w:rsidRPr="00821C14">
              <w:rPr>
                <w:rFonts w:cs="Calibri"/>
                <w:color w:val="000000"/>
                <w:sz w:val="20"/>
                <w:szCs w:val="20"/>
              </w:rPr>
              <w:t>Benefit Coordination Plan</w:t>
            </w:r>
          </w:p>
        </w:tc>
        <w:tc>
          <w:tcPr>
            <w:tcW w:w="6783" w:type="dxa"/>
          </w:tcPr>
          <w:p w14:paraId="43C8F986" w14:textId="77777777" w:rsidR="00FA7DAC" w:rsidRPr="00821C14" w:rsidRDefault="00FA7DAC" w:rsidP="00D12C42">
            <w:pPr>
              <w:pStyle w:val="ListBullet1"/>
              <w:ind w:left="360"/>
            </w:pPr>
            <w:r w:rsidRPr="00821C14">
              <w:t>As relevant, benefit coordination plan and proposed changes submitted  for review and approval</w:t>
            </w:r>
          </w:p>
        </w:tc>
      </w:tr>
      <w:tr w:rsidR="00FA7DAC" w:rsidRPr="00821C14" w14:paraId="5A2FC83E" w14:textId="77777777" w:rsidTr="002E7424">
        <w:trPr>
          <w:cantSplit/>
          <w:trHeight w:val="971"/>
        </w:trPr>
        <w:tc>
          <w:tcPr>
            <w:tcW w:w="10932" w:type="dxa"/>
            <w:gridSpan w:val="3"/>
            <w:shd w:val="clear" w:color="auto" w:fill="D9D9D9"/>
          </w:tcPr>
          <w:p w14:paraId="3959537F" w14:textId="77777777" w:rsidR="00FA7DAC" w:rsidRPr="00821C14" w:rsidRDefault="00FA7DAC" w:rsidP="00D12C42">
            <w:pPr>
              <w:spacing w:after="0"/>
              <w:ind w:left="360" w:hanging="360"/>
              <w:rPr>
                <w:rFonts w:cs="Calibri"/>
                <w:b/>
                <w:bCs/>
                <w:color w:val="000000"/>
                <w:sz w:val="20"/>
                <w:szCs w:val="20"/>
              </w:rPr>
            </w:pPr>
            <w:r w:rsidRPr="00821C14">
              <w:rPr>
                <w:rFonts w:cs="Calibri"/>
                <w:b/>
                <w:bCs/>
                <w:color w:val="000000"/>
                <w:sz w:val="20"/>
                <w:szCs w:val="20"/>
              </w:rPr>
              <w:t>Enrollment and disenrollment</w:t>
            </w:r>
          </w:p>
          <w:p w14:paraId="32E50C59" w14:textId="7F0E1925" w:rsidR="00FA7DAC" w:rsidRPr="00821C14" w:rsidRDefault="00D546C8" w:rsidP="00D12C42">
            <w:pPr>
              <w:spacing w:after="0"/>
              <w:ind w:left="360" w:hanging="360"/>
              <w:rPr>
                <w:rFonts w:cs="Calibri"/>
                <w:color w:val="000000"/>
                <w:sz w:val="20"/>
                <w:szCs w:val="20"/>
              </w:rPr>
            </w:pPr>
            <w:r>
              <w:rPr>
                <w:rFonts w:cs="Calibri"/>
                <w:color w:val="000000"/>
                <w:sz w:val="20"/>
                <w:szCs w:val="20"/>
              </w:rPr>
              <w:t>CFR</w:t>
            </w:r>
            <w:r w:rsidRPr="00821C14">
              <w:rPr>
                <w:rFonts w:cs="Calibri"/>
                <w:color w:val="000000"/>
                <w:sz w:val="20"/>
                <w:szCs w:val="20"/>
              </w:rPr>
              <w:t xml:space="preserve"> </w:t>
            </w:r>
            <w:r w:rsidR="00FA7DAC" w:rsidRPr="00821C14">
              <w:rPr>
                <w:rFonts w:cs="Calibri"/>
                <w:color w:val="000000"/>
                <w:sz w:val="20"/>
                <w:szCs w:val="20"/>
              </w:rPr>
              <w:t xml:space="preserve">Section: </w:t>
            </w:r>
          </w:p>
          <w:p w14:paraId="18178AAD" w14:textId="77777777" w:rsidR="00FA7DAC" w:rsidRPr="00821C14" w:rsidRDefault="00FA7DAC" w:rsidP="00D12C42">
            <w:pPr>
              <w:pStyle w:val="ListBullet2"/>
              <w:ind w:left="360"/>
              <w:rPr>
                <w:rFonts w:cs="Calibri"/>
                <w:u w:val="single"/>
              </w:rPr>
            </w:pPr>
            <w:r w:rsidRPr="00821C14">
              <w:rPr>
                <w:rFonts w:cs="Calibri"/>
              </w:rPr>
              <w:t>42 CFR 438.226 - Enrollment and disenrollment</w:t>
            </w:r>
          </w:p>
        </w:tc>
      </w:tr>
      <w:tr w:rsidR="00FA7DAC" w:rsidRPr="00821C14" w14:paraId="5CEC7E4B" w14:textId="77777777" w:rsidTr="00127D1B">
        <w:trPr>
          <w:cantSplit/>
          <w:trHeight w:val="466"/>
        </w:trPr>
        <w:tc>
          <w:tcPr>
            <w:tcW w:w="1443" w:type="dxa"/>
          </w:tcPr>
          <w:p w14:paraId="7621D19B" w14:textId="77777777" w:rsidR="00FA7DAC" w:rsidRPr="00821C14" w:rsidRDefault="00721D9F" w:rsidP="00721D9F">
            <w:pPr>
              <w:tabs>
                <w:tab w:val="left" w:pos="750"/>
              </w:tabs>
              <w:spacing w:after="0"/>
              <w:rPr>
                <w:rFonts w:cs="Calibri"/>
                <w:color w:val="000000"/>
                <w:sz w:val="20"/>
                <w:szCs w:val="20"/>
              </w:rPr>
            </w:pPr>
            <w:r w:rsidRPr="00821C14">
              <w:rPr>
                <w:rFonts w:cs="Calibri"/>
                <w:color w:val="000000"/>
                <w:sz w:val="20"/>
                <w:szCs w:val="20"/>
              </w:rPr>
              <w:t>MCO</w:t>
            </w:r>
            <w:r>
              <w:rPr>
                <w:rFonts w:cs="Calibri"/>
                <w:color w:val="000000"/>
                <w:sz w:val="20"/>
                <w:szCs w:val="20"/>
              </w:rPr>
              <w:t xml:space="preserve"> and Accountable Care Partnership Plan Program</w:t>
            </w:r>
          </w:p>
        </w:tc>
        <w:tc>
          <w:tcPr>
            <w:tcW w:w="2706" w:type="dxa"/>
          </w:tcPr>
          <w:p w14:paraId="0A731468" w14:textId="77777777" w:rsidR="00FA7DAC" w:rsidRPr="00821C14" w:rsidRDefault="00FA7DAC" w:rsidP="005D5285">
            <w:pPr>
              <w:spacing w:after="0"/>
              <w:rPr>
                <w:rFonts w:cs="Calibri"/>
                <w:color w:val="000000"/>
                <w:sz w:val="20"/>
                <w:szCs w:val="20"/>
              </w:rPr>
            </w:pPr>
            <w:r w:rsidRPr="00821C14">
              <w:rPr>
                <w:rFonts w:cs="Calibri"/>
                <w:color w:val="000000"/>
                <w:sz w:val="20"/>
                <w:szCs w:val="20"/>
              </w:rPr>
              <w:t>Membership Discrepancy Report</w:t>
            </w:r>
          </w:p>
          <w:p w14:paraId="7BE29F3D" w14:textId="77777777" w:rsidR="00FA7DAC" w:rsidRPr="00821C14" w:rsidRDefault="00FA7DAC" w:rsidP="005D5285">
            <w:pPr>
              <w:spacing w:after="0"/>
              <w:rPr>
                <w:rFonts w:cs="Calibri"/>
                <w:color w:val="000000"/>
                <w:sz w:val="20"/>
                <w:szCs w:val="20"/>
              </w:rPr>
            </w:pPr>
            <w:r w:rsidRPr="00821C14">
              <w:rPr>
                <w:rFonts w:cs="Calibri"/>
                <w:color w:val="000000"/>
                <w:sz w:val="20"/>
                <w:szCs w:val="20"/>
              </w:rPr>
              <w:t xml:space="preserve">Unreachable Enrollees </w:t>
            </w:r>
          </w:p>
          <w:p w14:paraId="4003CF9C" w14:textId="77777777" w:rsidR="00FA7DAC" w:rsidRPr="00821C14" w:rsidRDefault="00FA7DAC" w:rsidP="005D5285">
            <w:pPr>
              <w:spacing w:after="0"/>
              <w:rPr>
                <w:rFonts w:cs="Calibri"/>
                <w:color w:val="000000"/>
                <w:sz w:val="20"/>
                <w:szCs w:val="20"/>
              </w:rPr>
            </w:pPr>
            <w:r w:rsidRPr="00821C14">
              <w:rPr>
                <w:rFonts w:cs="Calibri"/>
                <w:color w:val="000000"/>
                <w:sz w:val="20"/>
                <w:szCs w:val="20"/>
              </w:rPr>
              <w:t>PCP Assignment Report</w:t>
            </w:r>
          </w:p>
        </w:tc>
        <w:tc>
          <w:tcPr>
            <w:tcW w:w="6783" w:type="dxa"/>
          </w:tcPr>
          <w:p w14:paraId="6D40759A" w14:textId="77777777" w:rsidR="00FA7DAC" w:rsidRPr="00821C14" w:rsidRDefault="00FA7DAC" w:rsidP="009729DB">
            <w:pPr>
              <w:pStyle w:val="ListBullet1"/>
              <w:numPr>
                <w:ilvl w:val="0"/>
                <w:numId w:val="15"/>
              </w:numPr>
              <w:ind w:left="360"/>
            </w:pPr>
            <w:r w:rsidRPr="00821C14">
              <w:rPr>
                <w:u w:val="single"/>
              </w:rPr>
              <w:t>Monthly</w:t>
            </w:r>
            <w:r w:rsidRPr="00821C14">
              <w:t xml:space="preserve"> report of enrollees identified on EOHHS’s file but not enrolled in MCE’s plan, enrollees not identified on EOHHS’s file but enrolled in the MCE’s plan, and enrollee changes of address.</w:t>
            </w:r>
          </w:p>
        </w:tc>
      </w:tr>
      <w:tr w:rsidR="00FA7DAC" w:rsidRPr="00821C14" w14:paraId="4FB6BD3D" w14:textId="77777777" w:rsidTr="00127D1B">
        <w:trPr>
          <w:cantSplit/>
          <w:trHeight w:val="466"/>
        </w:trPr>
        <w:tc>
          <w:tcPr>
            <w:tcW w:w="1443" w:type="dxa"/>
          </w:tcPr>
          <w:p w14:paraId="77B5EC11" w14:textId="77777777" w:rsidR="00FA7DAC" w:rsidRPr="00821C14" w:rsidRDefault="00721D9F" w:rsidP="005D5285">
            <w:pPr>
              <w:spacing w:after="0"/>
              <w:rPr>
                <w:rFonts w:cs="Calibri"/>
                <w:color w:val="000000"/>
                <w:sz w:val="20"/>
                <w:szCs w:val="20"/>
              </w:rPr>
            </w:pPr>
            <w:r>
              <w:rPr>
                <w:rFonts w:cs="Calibri"/>
                <w:color w:val="000000"/>
                <w:sz w:val="20"/>
                <w:szCs w:val="20"/>
              </w:rPr>
              <w:t>SCO Program</w:t>
            </w:r>
          </w:p>
        </w:tc>
        <w:tc>
          <w:tcPr>
            <w:tcW w:w="2706" w:type="dxa"/>
          </w:tcPr>
          <w:p w14:paraId="192E4CCD" w14:textId="77777777" w:rsidR="00FA7DAC" w:rsidRPr="00821C14" w:rsidRDefault="00FA7DAC" w:rsidP="005D5285">
            <w:pPr>
              <w:spacing w:after="0"/>
              <w:rPr>
                <w:rFonts w:cs="Calibri"/>
                <w:color w:val="000000"/>
                <w:sz w:val="20"/>
                <w:szCs w:val="20"/>
              </w:rPr>
            </w:pPr>
            <w:r w:rsidRPr="00821C14">
              <w:rPr>
                <w:rFonts w:cs="Calibri"/>
                <w:color w:val="000000"/>
                <w:sz w:val="20"/>
                <w:szCs w:val="20"/>
              </w:rPr>
              <w:t>Disenrollment reasons</w:t>
            </w:r>
          </w:p>
        </w:tc>
        <w:tc>
          <w:tcPr>
            <w:tcW w:w="6783" w:type="dxa"/>
          </w:tcPr>
          <w:p w14:paraId="20451B6F" w14:textId="77777777" w:rsidR="00FA7DAC" w:rsidRPr="00821C14" w:rsidRDefault="00FA7DAC" w:rsidP="009729DB">
            <w:pPr>
              <w:pStyle w:val="ListBullet1"/>
              <w:numPr>
                <w:ilvl w:val="0"/>
                <w:numId w:val="15"/>
              </w:numPr>
              <w:ind w:left="360"/>
            </w:pPr>
            <w:r w:rsidRPr="00821C14">
              <w:rPr>
                <w:u w:val="single"/>
              </w:rPr>
              <w:t>Annual</w:t>
            </w:r>
            <w:r w:rsidRPr="00821C14">
              <w:t xml:space="preserve"> reports of </w:t>
            </w:r>
            <w:proofErr w:type="spellStart"/>
            <w:r w:rsidRPr="00821C14">
              <w:t>disenrollments</w:t>
            </w:r>
            <w:proofErr w:type="spellEnd"/>
            <w:r w:rsidRPr="00821C14">
              <w:t xml:space="preserve"> by reason</w:t>
            </w:r>
          </w:p>
          <w:p w14:paraId="163A2554" w14:textId="77777777" w:rsidR="00FA7DAC" w:rsidRPr="00821C14" w:rsidRDefault="00FA7DAC" w:rsidP="00B72852">
            <w:pPr>
              <w:pStyle w:val="ListBullet1"/>
              <w:numPr>
                <w:ilvl w:val="0"/>
                <w:numId w:val="0"/>
              </w:numPr>
            </w:pPr>
          </w:p>
        </w:tc>
      </w:tr>
      <w:tr w:rsidR="00FA7DAC" w:rsidRPr="00821C14" w14:paraId="2F586723" w14:textId="77777777" w:rsidTr="00127D1B">
        <w:trPr>
          <w:cantSplit/>
          <w:trHeight w:val="466"/>
        </w:trPr>
        <w:tc>
          <w:tcPr>
            <w:tcW w:w="10932" w:type="dxa"/>
            <w:gridSpan w:val="3"/>
            <w:shd w:val="clear" w:color="auto" w:fill="D9D9D9"/>
          </w:tcPr>
          <w:p w14:paraId="3086B011" w14:textId="77777777" w:rsidR="00FA7DAC" w:rsidRPr="00821C14" w:rsidRDefault="00FA7DAC" w:rsidP="00D12C42">
            <w:pPr>
              <w:spacing w:after="0"/>
              <w:ind w:left="360" w:hanging="360"/>
              <w:rPr>
                <w:rFonts w:cs="Calibri"/>
                <w:b/>
                <w:bCs/>
                <w:color w:val="000000"/>
                <w:sz w:val="20"/>
                <w:szCs w:val="20"/>
              </w:rPr>
            </w:pPr>
            <w:r w:rsidRPr="00821C14">
              <w:rPr>
                <w:rFonts w:cs="Calibri"/>
                <w:b/>
                <w:bCs/>
                <w:color w:val="000000"/>
                <w:sz w:val="20"/>
                <w:szCs w:val="20"/>
              </w:rPr>
              <w:t>Grievance systems</w:t>
            </w:r>
          </w:p>
          <w:p w14:paraId="3A1D4D06" w14:textId="5AE7990A" w:rsidR="00FA7DAC" w:rsidRPr="00821C14" w:rsidRDefault="00D546C8" w:rsidP="00D12C42">
            <w:pPr>
              <w:spacing w:after="0"/>
              <w:ind w:left="360" w:hanging="360"/>
              <w:rPr>
                <w:rFonts w:cs="Calibri"/>
                <w:color w:val="000000"/>
                <w:sz w:val="20"/>
                <w:szCs w:val="20"/>
              </w:rPr>
            </w:pPr>
            <w:r>
              <w:rPr>
                <w:rFonts w:cs="Calibri"/>
                <w:color w:val="000000"/>
                <w:sz w:val="20"/>
                <w:szCs w:val="20"/>
              </w:rPr>
              <w:t>CFR</w:t>
            </w:r>
            <w:r w:rsidRPr="00821C14">
              <w:rPr>
                <w:rFonts w:cs="Calibri"/>
                <w:color w:val="000000"/>
                <w:sz w:val="20"/>
                <w:szCs w:val="20"/>
              </w:rPr>
              <w:t xml:space="preserve"> </w:t>
            </w:r>
            <w:r w:rsidR="00FA7DAC" w:rsidRPr="00821C14">
              <w:rPr>
                <w:rFonts w:cs="Calibri"/>
                <w:color w:val="000000"/>
                <w:sz w:val="20"/>
                <w:szCs w:val="20"/>
              </w:rPr>
              <w:t xml:space="preserve">Section: </w:t>
            </w:r>
          </w:p>
          <w:p w14:paraId="1120B8A6" w14:textId="77777777" w:rsidR="00FA7DAC" w:rsidRPr="00821C14" w:rsidRDefault="00FA7DAC" w:rsidP="00D12C42">
            <w:pPr>
              <w:pStyle w:val="ListBullet2"/>
              <w:ind w:left="360"/>
              <w:rPr>
                <w:rFonts w:cs="Calibri"/>
                <w:u w:val="single"/>
              </w:rPr>
            </w:pPr>
            <w:r w:rsidRPr="00821C14">
              <w:rPr>
                <w:rFonts w:cs="Calibri"/>
              </w:rPr>
              <w:t>42 CFR 438.228 - Grievance systems</w:t>
            </w:r>
          </w:p>
        </w:tc>
      </w:tr>
      <w:tr w:rsidR="00FA7DAC" w:rsidRPr="00821C14" w14:paraId="3635D567" w14:textId="77777777" w:rsidTr="00127D1B">
        <w:trPr>
          <w:cantSplit/>
          <w:trHeight w:val="466"/>
        </w:trPr>
        <w:tc>
          <w:tcPr>
            <w:tcW w:w="1443" w:type="dxa"/>
            <w:vMerge w:val="restart"/>
          </w:tcPr>
          <w:p w14:paraId="6D797158" w14:textId="77777777" w:rsidR="00965F56" w:rsidRPr="00821C14" w:rsidRDefault="00965F56" w:rsidP="00965F56">
            <w:pPr>
              <w:tabs>
                <w:tab w:val="left" w:pos="750"/>
              </w:tabs>
              <w:spacing w:after="0"/>
              <w:rPr>
                <w:rFonts w:cs="Calibri"/>
                <w:color w:val="000000"/>
                <w:sz w:val="20"/>
                <w:szCs w:val="20"/>
              </w:rPr>
            </w:pPr>
            <w:r w:rsidRPr="00821C14">
              <w:rPr>
                <w:rFonts w:cs="Calibri"/>
                <w:color w:val="000000"/>
                <w:sz w:val="20"/>
                <w:szCs w:val="20"/>
              </w:rPr>
              <w:t>MCO</w:t>
            </w:r>
            <w:r>
              <w:rPr>
                <w:rFonts w:cs="Calibri"/>
                <w:color w:val="000000"/>
                <w:sz w:val="20"/>
                <w:szCs w:val="20"/>
              </w:rPr>
              <w:t xml:space="preserve"> and Accountable Care Partnership Plan </w:t>
            </w:r>
            <w:r w:rsidRPr="00821C14">
              <w:rPr>
                <w:rFonts w:cs="Calibri"/>
                <w:color w:val="000000"/>
                <w:sz w:val="20"/>
                <w:szCs w:val="20"/>
              </w:rPr>
              <w:t>Program</w:t>
            </w:r>
          </w:p>
          <w:p w14:paraId="66FE2FAF" w14:textId="77777777" w:rsidR="00FA7DAC" w:rsidRPr="00821C14" w:rsidRDefault="00FA7DAC" w:rsidP="005D5285">
            <w:pPr>
              <w:spacing w:after="0"/>
              <w:rPr>
                <w:rFonts w:cs="Calibri"/>
                <w:color w:val="000000"/>
                <w:sz w:val="20"/>
                <w:szCs w:val="20"/>
              </w:rPr>
            </w:pPr>
          </w:p>
        </w:tc>
        <w:tc>
          <w:tcPr>
            <w:tcW w:w="2706" w:type="dxa"/>
          </w:tcPr>
          <w:p w14:paraId="40782A03" w14:textId="77777777" w:rsidR="00FA7DAC" w:rsidRPr="00821C14" w:rsidRDefault="00FA7DAC" w:rsidP="005D5285">
            <w:pPr>
              <w:spacing w:after="0"/>
              <w:rPr>
                <w:rFonts w:cs="Calibri"/>
                <w:color w:val="000000"/>
                <w:sz w:val="20"/>
                <w:szCs w:val="20"/>
              </w:rPr>
            </w:pPr>
            <w:r w:rsidRPr="00821C14">
              <w:rPr>
                <w:rFonts w:cs="Calibri"/>
                <w:color w:val="000000"/>
                <w:sz w:val="20"/>
                <w:szCs w:val="20"/>
              </w:rPr>
              <w:t>Enrollee Inquiries</w:t>
            </w:r>
          </w:p>
          <w:p w14:paraId="5CF07BF8" w14:textId="77777777" w:rsidR="00FA7DAC" w:rsidRPr="00821C14" w:rsidRDefault="00FA7DAC" w:rsidP="005D5285">
            <w:pPr>
              <w:spacing w:after="0"/>
              <w:rPr>
                <w:rFonts w:cs="Calibri"/>
                <w:color w:val="000000"/>
                <w:sz w:val="20"/>
                <w:szCs w:val="20"/>
              </w:rPr>
            </w:pPr>
          </w:p>
        </w:tc>
        <w:tc>
          <w:tcPr>
            <w:tcW w:w="6783" w:type="dxa"/>
          </w:tcPr>
          <w:p w14:paraId="10D0D2DB" w14:textId="77777777" w:rsidR="00FA7DAC" w:rsidRPr="00821C14" w:rsidRDefault="00FA7DAC" w:rsidP="009729DB">
            <w:pPr>
              <w:pStyle w:val="ListBullet1"/>
              <w:numPr>
                <w:ilvl w:val="0"/>
                <w:numId w:val="14"/>
              </w:numPr>
              <w:ind w:left="360"/>
            </w:pPr>
            <w:r w:rsidRPr="00821C14">
              <w:rPr>
                <w:u w:val="single"/>
              </w:rPr>
              <w:t>Annual</w:t>
            </w:r>
            <w:r w:rsidRPr="00821C14">
              <w:t xml:space="preserve"> report  identifying the number and type of the top 10 inquiries received</w:t>
            </w:r>
          </w:p>
        </w:tc>
      </w:tr>
      <w:tr w:rsidR="00FA7DAC" w:rsidRPr="00821C14" w14:paraId="79967668" w14:textId="77777777" w:rsidTr="00127D1B">
        <w:trPr>
          <w:cantSplit/>
          <w:trHeight w:val="466"/>
        </w:trPr>
        <w:tc>
          <w:tcPr>
            <w:tcW w:w="1443" w:type="dxa"/>
            <w:vMerge/>
          </w:tcPr>
          <w:p w14:paraId="4A48B2F3" w14:textId="77777777" w:rsidR="00FA7DAC" w:rsidRPr="00821C14" w:rsidRDefault="00FA7DAC" w:rsidP="005D5285">
            <w:pPr>
              <w:spacing w:after="0"/>
              <w:rPr>
                <w:rFonts w:cs="Calibri"/>
                <w:color w:val="000000"/>
                <w:sz w:val="20"/>
                <w:szCs w:val="20"/>
              </w:rPr>
            </w:pPr>
          </w:p>
        </w:tc>
        <w:tc>
          <w:tcPr>
            <w:tcW w:w="2706" w:type="dxa"/>
          </w:tcPr>
          <w:p w14:paraId="6205E8A5" w14:textId="77777777" w:rsidR="00FA7DAC" w:rsidRPr="00821C14" w:rsidRDefault="00FA7DAC" w:rsidP="005D5285">
            <w:pPr>
              <w:spacing w:after="0"/>
              <w:rPr>
                <w:rFonts w:cs="Calibri"/>
                <w:color w:val="000000"/>
                <w:sz w:val="20"/>
                <w:szCs w:val="20"/>
              </w:rPr>
            </w:pPr>
            <w:r w:rsidRPr="00821C14">
              <w:rPr>
                <w:rFonts w:cs="Calibri"/>
                <w:color w:val="000000"/>
                <w:sz w:val="20"/>
                <w:szCs w:val="20"/>
              </w:rPr>
              <w:t>Enrollee Grievances</w:t>
            </w:r>
          </w:p>
        </w:tc>
        <w:tc>
          <w:tcPr>
            <w:tcW w:w="6783" w:type="dxa"/>
          </w:tcPr>
          <w:p w14:paraId="17BAF004" w14:textId="77777777" w:rsidR="00FA7DAC" w:rsidRPr="00821C14" w:rsidRDefault="00FA7DAC" w:rsidP="009729DB">
            <w:pPr>
              <w:pStyle w:val="ListBullet1"/>
              <w:numPr>
                <w:ilvl w:val="0"/>
                <w:numId w:val="14"/>
              </w:numPr>
              <w:ind w:left="360"/>
              <w:rPr>
                <w:u w:val="single"/>
              </w:rPr>
            </w:pPr>
            <w:r w:rsidRPr="00821C14">
              <w:rPr>
                <w:u w:val="single"/>
              </w:rPr>
              <w:t>Annual</w:t>
            </w:r>
            <w:r w:rsidRPr="00821C14">
              <w:t xml:space="preserve"> report  identifying the number and type of administrative grievances received from an enrollee or his/her appeal representative (quality of care, access, attitude/service, billing/finance) , the action taken for the grievances for which trends are observed, the average time frame for resolution of grievances in each category</w:t>
            </w:r>
          </w:p>
        </w:tc>
      </w:tr>
      <w:tr w:rsidR="00FA7DAC" w:rsidRPr="00821C14" w14:paraId="02D147CB" w14:textId="77777777" w:rsidTr="00127D1B">
        <w:trPr>
          <w:cantSplit/>
          <w:trHeight w:val="466"/>
        </w:trPr>
        <w:tc>
          <w:tcPr>
            <w:tcW w:w="1443" w:type="dxa"/>
            <w:vMerge/>
          </w:tcPr>
          <w:p w14:paraId="1C497363" w14:textId="77777777" w:rsidR="00FA7DAC" w:rsidRPr="00821C14" w:rsidRDefault="00FA7DAC" w:rsidP="005D5285">
            <w:pPr>
              <w:spacing w:after="0"/>
              <w:rPr>
                <w:rFonts w:cs="Calibri"/>
                <w:color w:val="000000"/>
                <w:sz w:val="20"/>
                <w:szCs w:val="20"/>
              </w:rPr>
            </w:pPr>
          </w:p>
        </w:tc>
        <w:tc>
          <w:tcPr>
            <w:tcW w:w="2706" w:type="dxa"/>
          </w:tcPr>
          <w:p w14:paraId="48DC5D54" w14:textId="77777777" w:rsidR="00FA7DAC" w:rsidRPr="00821C14" w:rsidRDefault="00FA7DAC" w:rsidP="005D5285">
            <w:pPr>
              <w:spacing w:after="0"/>
              <w:rPr>
                <w:rFonts w:cs="Calibri"/>
                <w:color w:val="000000"/>
                <w:sz w:val="20"/>
                <w:szCs w:val="20"/>
              </w:rPr>
            </w:pPr>
            <w:r w:rsidRPr="00821C14">
              <w:rPr>
                <w:rFonts w:cs="Calibri"/>
                <w:color w:val="000000"/>
                <w:sz w:val="20"/>
                <w:szCs w:val="20"/>
              </w:rPr>
              <w:t>Enrollee Appeals</w:t>
            </w:r>
          </w:p>
        </w:tc>
        <w:tc>
          <w:tcPr>
            <w:tcW w:w="6783" w:type="dxa"/>
          </w:tcPr>
          <w:p w14:paraId="48F53A7A" w14:textId="77777777" w:rsidR="00FA7DAC" w:rsidRPr="00821C14" w:rsidRDefault="00FA7DAC" w:rsidP="009729DB">
            <w:pPr>
              <w:pStyle w:val="ListBullet1"/>
              <w:numPr>
                <w:ilvl w:val="0"/>
                <w:numId w:val="14"/>
              </w:numPr>
              <w:ind w:left="360"/>
              <w:rPr>
                <w:u w:val="single"/>
              </w:rPr>
            </w:pPr>
            <w:r w:rsidRPr="00821C14">
              <w:rPr>
                <w:u w:val="single"/>
              </w:rPr>
              <w:t>Annual</w:t>
            </w:r>
            <w:r w:rsidRPr="00821C14">
              <w:t xml:space="preserve"> report  identifying the number and type of each internal appeal (level I and II) received from an Enrollee or his/her designee, the action taken for each such internal appeal, whether the internal appeal is expedited (in which case there is only one level), the time frame for resolution of each internal appeal. </w:t>
            </w:r>
          </w:p>
        </w:tc>
      </w:tr>
      <w:tr w:rsidR="00FA7DAC" w:rsidRPr="00821C14" w14:paraId="56CB4625" w14:textId="77777777" w:rsidTr="00127D1B">
        <w:trPr>
          <w:cantSplit/>
          <w:trHeight w:val="466"/>
        </w:trPr>
        <w:tc>
          <w:tcPr>
            <w:tcW w:w="1443" w:type="dxa"/>
            <w:vMerge/>
          </w:tcPr>
          <w:p w14:paraId="31BBF8AF" w14:textId="77777777" w:rsidR="00FA7DAC" w:rsidRPr="00821C14" w:rsidRDefault="00FA7DAC" w:rsidP="005D5285">
            <w:pPr>
              <w:spacing w:after="0"/>
              <w:rPr>
                <w:rFonts w:cs="Calibri"/>
                <w:color w:val="000000"/>
                <w:sz w:val="20"/>
                <w:szCs w:val="20"/>
              </w:rPr>
            </w:pPr>
          </w:p>
        </w:tc>
        <w:tc>
          <w:tcPr>
            <w:tcW w:w="2706" w:type="dxa"/>
          </w:tcPr>
          <w:p w14:paraId="1340256D" w14:textId="77777777" w:rsidR="00FA7DAC" w:rsidRPr="00821C14" w:rsidRDefault="00FA7DAC" w:rsidP="005D5285">
            <w:pPr>
              <w:spacing w:after="0"/>
              <w:rPr>
                <w:rFonts w:cs="Calibri"/>
                <w:color w:val="000000"/>
                <w:sz w:val="20"/>
                <w:szCs w:val="20"/>
              </w:rPr>
            </w:pPr>
            <w:r w:rsidRPr="00821C14">
              <w:rPr>
                <w:rFonts w:cs="Calibri"/>
                <w:color w:val="000000"/>
                <w:sz w:val="20"/>
                <w:szCs w:val="20"/>
              </w:rPr>
              <w:t>Notifications of Upheld Internal Appeals Decisions</w:t>
            </w:r>
          </w:p>
        </w:tc>
        <w:tc>
          <w:tcPr>
            <w:tcW w:w="6783" w:type="dxa"/>
          </w:tcPr>
          <w:p w14:paraId="1EE87488" w14:textId="77777777" w:rsidR="00FA7DAC" w:rsidRPr="00821C14" w:rsidRDefault="00FA7DAC" w:rsidP="003B2B56">
            <w:pPr>
              <w:pStyle w:val="ListBullet1"/>
              <w:numPr>
                <w:ilvl w:val="0"/>
                <w:numId w:val="5"/>
              </w:numPr>
              <w:tabs>
                <w:tab w:val="num" w:pos="360"/>
              </w:tabs>
              <w:ind w:left="360"/>
              <w:rPr>
                <w:u w:val="single"/>
              </w:rPr>
            </w:pPr>
            <w:r w:rsidRPr="00821C14">
              <w:t>Within 1 business day</w:t>
            </w:r>
            <w:r w:rsidRPr="00821C14">
              <w:rPr>
                <w:u w:val="single"/>
              </w:rPr>
              <w:t>,</w:t>
            </w:r>
            <w:r w:rsidRPr="00821C14">
              <w:t xml:space="preserve"> the case summaries of all final internal appeal decisions, including upheld second level appeals, upheld expedited appeals and those upheld during first level appeals, when MCO knows that enrollee will skip to second level appeal for BOH appeal</w:t>
            </w:r>
            <w:r w:rsidRPr="00821C14">
              <w:rPr>
                <w:u w:val="single"/>
              </w:rPr>
              <w:t xml:space="preserve"> </w:t>
            </w:r>
          </w:p>
        </w:tc>
      </w:tr>
      <w:tr w:rsidR="00FA7DAC" w:rsidRPr="00821C14" w14:paraId="12959585" w14:textId="77777777" w:rsidTr="00127D1B">
        <w:trPr>
          <w:cantSplit/>
          <w:trHeight w:val="466"/>
        </w:trPr>
        <w:tc>
          <w:tcPr>
            <w:tcW w:w="1443" w:type="dxa"/>
            <w:vMerge/>
          </w:tcPr>
          <w:p w14:paraId="4F4ED0E2" w14:textId="77777777" w:rsidR="00FA7DAC" w:rsidRPr="00821C14" w:rsidRDefault="00FA7DAC" w:rsidP="005D5285">
            <w:pPr>
              <w:spacing w:after="0"/>
              <w:rPr>
                <w:rFonts w:cs="Calibri"/>
                <w:color w:val="000000"/>
                <w:sz w:val="20"/>
                <w:szCs w:val="20"/>
              </w:rPr>
            </w:pPr>
          </w:p>
        </w:tc>
        <w:tc>
          <w:tcPr>
            <w:tcW w:w="2706" w:type="dxa"/>
          </w:tcPr>
          <w:p w14:paraId="1DB046F8" w14:textId="77777777" w:rsidR="00FA7DAC" w:rsidRPr="00821C14" w:rsidRDefault="00FA7DAC" w:rsidP="005D5285">
            <w:pPr>
              <w:spacing w:after="0"/>
              <w:rPr>
                <w:rFonts w:cs="Calibri"/>
                <w:color w:val="000000"/>
                <w:sz w:val="20"/>
                <w:szCs w:val="20"/>
              </w:rPr>
            </w:pPr>
            <w:r w:rsidRPr="00821C14">
              <w:rPr>
                <w:rFonts w:cs="Calibri"/>
                <w:color w:val="000000"/>
                <w:sz w:val="20"/>
                <w:szCs w:val="20"/>
              </w:rPr>
              <w:t>Grievance and Internal Appeals Policies and Procedures</w:t>
            </w:r>
          </w:p>
        </w:tc>
        <w:tc>
          <w:tcPr>
            <w:tcW w:w="6783" w:type="dxa"/>
          </w:tcPr>
          <w:p w14:paraId="0E9F5BE8" w14:textId="77777777" w:rsidR="00FA7DAC" w:rsidRPr="00821C14" w:rsidRDefault="001F0A8B" w:rsidP="009729DB">
            <w:pPr>
              <w:pStyle w:val="ListBullet1"/>
              <w:numPr>
                <w:ilvl w:val="0"/>
                <w:numId w:val="13"/>
              </w:numPr>
              <w:rPr>
                <w:u w:val="single"/>
              </w:rPr>
            </w:pPr>
            <w:r>
              <w:rPr>
                <w:u w:val="single"/>
              </w:rPr>
              <w:t>Upon request</w:t>
            </w:r>
            <w:r w:rsidR="00FA7DAC" w:rsidRPr="00821C14">
              <w:t>, copies of amendments to Grievance and Appeals policies and procedures</w:t>
            </w:r>
          </w:p>
        </w:tc>
      </w:tr>
      <w:tr w:rsidR="00FA7DAC" w:rsidRPr="00821C14" w14:paraId="78A51CC6" w14:textId="77777777" w:rsidTr="00127D1B">
        <w:trPr>
          <w:cantSplit/>
          <w:trHeight w:val="466"/>
        </w:trPr>
        <w:tc>
          <w:tcPr>
            <w:tcW w:w="1443" w:type="dxa"/>
            <w:vMerge/>
          </w:tcPr>
          <w:p w14:paraId="0F95D8AD" w14:textId="77777777" w:rsidR="00FA7DAC" w:rsidRPr="00821C14" w:rsidRDefault="00FA7DAC" w:rsidP="005D5285">
            <w:pPr>
              <w:spacing w:after="0"/>
              <w:rPr>
                <w:rFonts w:cs="Calibri"/>
                <w:color w:val="000000"/>
                <w:sz w:val="20"/>
                <w:szCs w:val="20"/>
              </w:rPr>
            </w:pPr>
          </w:p>
        </w:tc>
        <w:tc>
          <w:tcPr>
            <w:tcW w:w="2706" w:type="dxa"/>
          </w:tcPr>
          <w:p w14:paraId="02A611A9" w14:textId="77777777" w:rsidR="00FA7DAC" w:rsidRPr="00821C14" w:rsidRDefault="00FA7DAC" w:rsidP="005D5285">
            <w:pPr>
              <w:spacing w:after="0"/>
              <w:rPr>
                <w:rFonts w:cs="Calibri"/>
                <w:color w:val="000000"/>
                <w:sz w:val="20"/>
                <w:szCs w:val="20"/>
              </w:rPr>
            </w:pPr>
            <w:r w:rsidRPr="00821C14">
              <w:rPr>
                <w:rFonts w:cs="Calibri"/>
                <w:color w:val="000000"/>
                <w:sz w:val="20"/>
                <w:szCs w:val="20"/>
              </w:rPr>
              <w:t>Implementation of BOH Decision</w:t>
            </w:r>
          </w:p>
        </w:tc>
        <w:tc>
          <w:tcPr>
            <w:tcW w:w="6783" w:type="dxa"/>
          </w:tcPr>
          <w:p w14:paraId="38002556" w14:textId="77777777" w:rsidR="00FA7DAC" w:rsidRPr="00821C14" w:rsidRDefault="00FA7DAC" w:rsidP="009729DB">
            <w:pPr>
              <w:pStyle w:val="ListBullet1"/>
              <w:numPr>
                <w:ilvl w:val="0"/>
                <w:numId w:val="13"/>
              </w:numPr>
            </w:pPr>
            <w:r w:rsidRPr="00821C14">
              <w:rPr>
                <w:u w:val="single"/>
              </w:rPr>
              <w:t xml:space="preserve">Within 30 calendar days, </w:t>
            </w:r>
            <w:r w:rsidRPr="00821C14">
              <w:t xml:space="preserve">report that MCO acted upon BOH decision including list of actions. </w:t>
            </w:r>
          </w:p>
        </w:tc>
      </w:tr>
      <w:tr w:rsidR="00D15E16" w:rsidRPr="00821C14" w14:paraId="2FCAEC82" w14:textId="77777777" w:rsidTr="00127D1B">
        <w:trPr>
          <w:cantSplit/>
          <w:trHeight w:val="466"/>
        </w:trPr>
        <w:tc>
          <w:tcPr>
            <w:tcW w:w="1443" w:type="dxa"/>
          </w:tcPr>
          <w:p w14:paraId="714DC22D" w14:textId="77777777" w:rsidR="00D15E16" w:rsidRPr="00821C14" w:rsidRDefault="00D15E16" w:rsidP="005D5285">
            <w:pPr>
              <w:spacing w:after="0"/>
              <w:rPr>
                <w:rFonts w:cs="Calibri"/>
                <w:color w:val="000000"/>
                <w:sz w:val="20"/>
                <w:szCs w:val="20"/>
              </w:rPr>
            </w:pPr>
            <w:r>
              <w:rPr>
                <w:rFonts w:cs="Calibri"/>
                <w:color w:val="000000"/>
                <w:sz w:val="20"/>
                <w:szCs w:val="20"/>
              </w:rPr>
              <w:t xml:space="preserve">Primary Care ACO </w:t>
            </w:r>
          </w:p>
        </w:tc>
        <w:tc>
          <w:tcPr>
            <w:tcW w:w="2706" w:type="dxa"/>
          </w:tcPr>
          <w:p w14:paraId="4F1F2811" w14:textId="77777777" w:rsidR="00D15E16" w:rsidRPr="00821C14" w:rsidRDefault="00D15E16" w:rsidP="005D5285">
            <w:pPr>
              <w:spacing w:after="0"/>
              <w:rPr>
                <w:rFonts w:cs="Calibri"/>
                <w:color w:val="000000"/>
                <w:sz w:val="20"/>
                <w:szCs w:val="20"/>
              </w:rPr>
            </w:pPr>
            <w:r w:rsidRPr="00821C14">
              <w:rPr>
                <w:rFonts w:cs="Calibri"/>
                <w:color w:val="000000"/>
                <w:sz w:val="20"/>
                <w:szCs w:val="20"/>
              </w:rPr>
              <w:t>Grievance and Internal Appeals Policies and Procedures</w:t>
            </w:r>
          </w:p>
        </w:tc>
        <w:tc>
          <w:tcPr>
            <w:tcW w:w="6783" w:type="dxa"/>
          </w:tcPr>
          <w:p w14:paraId="7950E76B" w14:textId="77777777" w:rsidR="00D15E16" w:rsidRPr="00821C14" w:rsidRDefault="00D15E16" w:rsidP="009729DB">
            <w:pPr>
              <w:pStyle w:val="ListBullet1"/>
              <w:numPr>
                <w:ilvl w:val="0"/>
                <w:numId w:val="13"/>
              </w:numPr>
              <w:rPr>
                <w:u w:val="single"/>
              </w:rPr>
            </w:pPr>
            <w:r>
              <w:rPr>
                <w:u w:val="single"/>
              </w:rPr>
              <w:t>Upon request</w:t>
            </w:r>
            <w:r w:rsidRPr="00821C14">
              <w:t>, copies of amendments to Grievance and Appeals policies and procedures</w:t>
            </w:r>
          </w:p>
        </w:tc>
      </w:tr>
      <w:tr w:rsidR="003261BA" w:rsidRPr="00821C14" w14:paraId="0A3CDF5A" w14:textId="77777777" w:rsidTr="00127D1B">
        <w:trPr>
          <w:cantSplit/>
          <w:trHeight w:val="466"/>
        </w:trPr>
        <w:tc>
          <w:tcPr>
            <w:tcW w:w="1443" w:type="dxa"/>
          </w:tcPr>
          <w:p w14:paraId="16DFFBCA" w14:textId="77777777" w:rsidR="003261BA" w:rsidRPr="00821C14" w:rsidRDefault="009E6996" w:rsidP="005D5285">
            <w:pPr>
              <w:spacing w:after="0"/>
              <w:rPr>
                <w:rFonts w:cs="Calibri"/>
                <w:color w:val="000000"/>
                <w:sz w:val="20"/>
                <w:szCs w:val="20"/>
              </w:rPr>
            </w:pPr>
            <w:r>
              <w:rPr>
                <w:rFonts w:cs="Calibri"/>
                <w:color w:val="000000"/>
                <w:sz w:val="20"/>
                <w:szCs w:val="20"/>
              </w:rPr>
              <w:t>One Care</w:t>
            </w:r>
            <w:r w:rsidR="003261BA">
              <w:rPr>
                <w:rFonts w:cs="Calibri"/>
                <w:color w:val="000000"/>
                <w:sz w:val="20"/>
                <w:szCs w:val="20"/>
              </w:rPr>
              <w:t xml:space="preserve"> Program</w:t>
            </w:r>
          </w:p>
        </w:tc>
        <w:tc>
          <w:tcPr>
            <w:tcW w:w="2706" w:type="dxa"/>
          </w:tcPr>
          <w:p w14:paraId="29CB2F94" w14:textId="77777777" w:rsidR="003261BA" w:rsidRPr="00821C14" w:rsidRDefault="003261BA" w:rsidP="005D5285">
            <w:pPr>
              <w:spacing w:after="0"/>
              <w:rPr>
                <w:rFonts w:cs="Calibri"/>
                <w:color w:val="000000"/>
                <w:sz w:val="20"/>
                <w:szCs w:val="20"/>
              </w:rPr>
            </w:pPr>
            <w:r>
              <w:rPr>
                <w:rFonts w:cs="Calibri"/>
                <w:color w:val="000000"/>
                <w:sz w:val="20"/>
                <w:szCs w:val="20"/>
              </w:rPr>
              <w:t>Enrollee grievances</w:t>
            </w:r>
          </w:p>
        </w:tc>
        <w:tc>
          <w:tcPr>
            <w:tcW w:w="6783" w:type="dxa"/>
          </w:tcPr>
          <w:p w14:paraId="72ED0745" w14:textId="77777777" w:rsidR="003261BA" w:rsidRPr="00821C14" w:rsidRDefault="00A43B13" w:rsidP="009729DB">
            <w:pPr>
              <w:pStyle w:val="ListBullet1"/>
              <w:numPr>
                <w:ilvl w:val="0"/>
                <w:numId w:val="13"/>
              </w:numPr>
              <w:rPr>
                <w:u w:val="single"/>
              </w:rPr>
            </w:pPr>
            <w:r>
              <w:rPr>
                <w:u w:val="single"/>
              </w:rPr>
              <w:t>Monthly</w:t>
            </w:r>
            <w:r w:rsidR="003261BA">
              <w:rPr>
                <w:u w:val="single"/>
              </w:rPr>
              <w:t xml:space="preserve"> report of all internal grievances demonstrating timely acknowledgement, review and response to all grievances</w:t>
            </w:r>
          </w:p>
        </w:tc>
      </w:tr>
      <w:tr w:rsidR="00FA7DAC" w:rsidRPr="00821C14" w14:paraId="5BB1FCA3" w14:textId="77777777" w:rsidTr="00127D1B">
        <w:trPr>
          <w:cantSplit/>
          <w:trHeight w:val="466"/>
        </w:trPr>
        <w:tc>
          <w:tcPr>
            <w:tcW w:w="1443" w:type="dxa"/>
          </w:tcPr>
          <w:p w14:paraId="5C5127C8" w14:textId="77777777" w:rsidR="00FA7DAC" w:rsidRPr="00821C14" w:rsidRDefault="00FA7DAC" w:rsidP="005D5285">
            <w:pPr>
              <w:spacing w:after="0"/>
              <w:rPr>
                <w:rFonts w:cs="Calibri"/>
                <w:color w:val="000000"/>
                <w:sz w:val="20"/>
                <w:szCs w:val="20"/>
              </w:rPr>
            </w:pPr>
            <w:r w:rsidRPr="00821C14">
              <w:rPr>
                <w:rFonts w:cs="Calibri"/>
                <w:color w:val="000000"/>
                <w:sz w:val="20"/>
                <w:szCs w:val="20"/>
              </w:rPr>
              <w:lastRenderedPageBreak/>
              <w:t>SCO Program</w:t>
            </w:r>
          </w:p>
        </w:tc>
        <w:tc>
          <w:tcPr>
            <w:tcW w:w="2706" w:type="dxa"/>
          </w:tcPr>
          <w:p w14:paraId="30700451" w14:textId="77777777" w:rsidR="00FA7DAC" w:rsidRPr="00821C14" w:rsidRDefault="00FA7DAC" w:rsidP="005D5285">
            <w:pPr>
              <w:spacing w:after="0"/>
              <w:rPr>
                <w:rFonts w:cs="Calibri"/>
                <w:color w:val="000000"/>
                <w:sz w:val="20"/>
                <w:szCs w:val="20"/>
              </w:rPr>
            </w:pPr>
            <w:r w:rsidRPr="00821C14">
              <w:rPr>
                <w:rFonts w:cs="Calibri"/>
                <w:color w:val="000000"/>
                <w:sz w:val="20"/>
                <w:szCs w:val="20"/>
              </w:rPr>
              <w:t>Report of number and types of complaints and appeals filed by enrollees</w:t>
            </w:r>
          </w:p>
        </w:tc>
        <w:tc>
          <w:tcPr>
            <w:tcW w:w="6783" w:type="dxa"/>
          </w:tcPr>
          <w:p w14:paraId="5462570A" w14:textId="77777777" w:rsidR="00FA7DAC" w:rsidRPr="00821C14" w:rsidRDefault="00FA7DAC" w:rsidP="009729DB">
            <w:pPr>
              <w:pStyle w:val="ListBullet1"/>
              <w:numPr>
                <w:ilvl w:val="0"/>
                <w:numId w:val="13"/>
              </w:numPr>
            </w:pPr>
            <w:r w:rsidRPr="00821C14">
              <w:rPr>
                <w:u w:val="single"/>
              </w:rPr>
              <w:t>Monthly</w:t>
            </w:r>
            <w:r w:rsidRPr="00821C14">
              <w:t xml:space="preserve"> report of complaints, and appeals, including reporting on how and in what time frame the complaints were resolved</w:t>
            </w:r>
          </w:p>
        </w:tc>
      </w:tr>
      <w:tr w:rsidR="00FA7DAC" w:rsidRPr="00821C14" w14:paraId="276F81B3" w14:textId="77777777" w:rsidTr="00127D1B">
        <w:trPr>
          <w:cantSplit/>
          <w:trHeight w:val="466"/>
        </w:trPr>
        <w:tc>
          <w:tcPr>
            <w:tcW w:w="1443" w:type="dxa"/>
            <w:vMerge w:val="restart"/>
          </w:tcPr>
          <w:p w14:paraId="5635E988" w14:textId="127CF376" w:rsidR="00FA7DAC" w:rsidRPr="00821C14" w:rsidRDefault="00FA7DAC" w:rsidP="005D5285">
            <w:pPr>
              <w:spacing w:after="0"/>
              <w:rPr>
                <w:rFonts w:cs="Calibri"/>
                <w:color w:val="000000"/>
                <w:sz w:val="20"/>
                <w:szCs w:val="20"/>
              </w:rPr>
            </w:pPr>
            <w:r w:rsidRPr="00821C14">
              <w:rPr>
                <w:rFonts w:cs="Calibri"/>
                <w:color w:val="000000"/>
                <w:sz w:val="20"/>
                <w:szCs w:val="20"/>
              </w:rPr>
              <w:t>PCC P</w:t>
            </w:r>
            <w:r w:rsidR="00FE6674">
              <w:rPr>
                <w:rFonts w:cs="Calibri"/>
                <w:color w:val="000000"/>
                <w:sz w:val="20"/>
                <w:szCs w:val="20"/>
              </w:rPr>
              <w:t>lan and Primary Care ACO</w:t>
            </w:r>
            <w:r w:rsidRPr="00821C14">
              <w:rPr>
                <w:rFonts w:cs="Calibri"/>
                <w:color w:val="000000"/>
                <w:sz w:val="20"/>
                <w:szCs w:val="20"/>
              </w:rPr>
              <w:t>BH Program</w:t>
            </w:r>
          </w:p>
          <w:p w14:paraId="6D4CEAF5" w14:textId="77777777" w:rsidR="00FA7DAC" w:rsidRPr="00821C14" w:rsidRDefault="00FA7DAC" w:rsidP="005D5285">
            <w:pPr>
              <w:spacing w:after="0"/>
              <w:rPr>
                <w:rFonts w:cs="Calibri"/>
                <w:color w:val="000000"/>
                <w:sz w:val="20"/>
                <w:szCs w:val="20"/>
              </w:rPr>
            </w:pPr>
          </w:p>
        </w:tc>
        <w:tc>
          <w:tcPr>
            <w:tcW w:w="2706" w:type="dxa"/>
          </w:tcPr>
          <w:p w14:paraId="3ADEB011" w14:textId="77777777" w:rsidR="00FA7DAC" w:rsidRPr="00821C14" w:rsidRDefault="00FA7DAC" w:rsidP="005D5285">
            <w:pPr>
              <w:spacing w:after="0"/>
              <w:rPr>
                <w:rFonts w:cs="Calibri"/>
                <w:color w:val="000000"/>
                <w:sz w:val="20"/>
                <w:szCs w:val="20"/>
              </w:rPr>
            </w:pPr>
            <w:r w:rsidRPr="00821C14">
              <w:rPr>
                <w:rFonts w:cs="Calibri"/>
                <w:color w:val="000000"/>
                <w:sz w:val="20"/>
                <w:szCs w:val="20"/>
              </w:rPr>
              <w:t>Appeals report</w:t>
            </w:r>
          </w:p>
        </w:tc>
        <w:tc>
          <w:tcPr>
            <w:tcW w:w="6783" w:type="dxa"/>
          </w:tcPr>
          <w:p w14:paraId="0C1547C8" w14:textId="77777777" w:rsidR="00FA7DAC" w:rsidRPr="00821C14" w:rsidRDefault="009B1150" w:rsidP="009729DB">
            <w:pPr>
              <w:pStyle w:val="ListBullet1"/>
              <w:numPr>
                <w:ilvl w:val="0"/>
                <w:numId w:val="13"/>
              </w:numPr>
            </w:pPr>
            <w:r>
              <w:rPr>
                <w:u w:val="single"/>
              </w:rPr>
              <w:t>Semi-</w:t>
            </w:r>
            <w:r w:rsidR="00FA7DAC" w:rsidRPr="00821C14">
              <w:rPr>
                <w:u w:val="single"/>
              </w:rPr>
              <w:t xml:space="preserve">Annual </w:t>
            </w:r>
            <w:r w:rsidR="00FA7DAC" w:rsidRPr="00821C14">
              <w:t xml:space="preserve"> report of clinical and administrative appeals</w:t>
            </w:r>
          </w:p>
        </w:tc>
      </w:tr>
      <w:tr w:rsidR="00FA7DAC" w:rsidRPr="00821C14" w14:paraId="771F9E39" w14:textId="77777777" w:rsidTr="00127D1B">
        <w:trPr>
          <w:cantSplit/>
          <w:trHeight w:val="806"/>
        </w:trPr>
        <w:tc>
          <w:tcPr>
            <w:tcW w:w="1443" w:type="dxa"/>
            <w:vMerge/>
          </w:tcPr>
          <w:p w14:paraId="7BCF72C9" w14:textId="77777777" w:rsidR="00FA7DAC" w:rsidRPr="00821C14" w:rsidRDefault="00FA7DAC" w:rsidP="005D5285">
            <w:pPr>
              <w:spacing w:after="0"/>
              <w:rPr>
                <w:rFonts w:cs="Calibri"/>
                <w:color w:val="000000"/>
                <w:sz w:val="20"/>
                <w:szCs w:val="20"/>
              </w:rPr>
            </w:pPr>
          </w:p>
        </w:tc>
        <w:tc>
          <w:tcPr>
            <w:tcW w:w="2706" w:type="dxa"/>
          </w:tcPr>
          <w:p w14:paraId="60738327" w14:textId="77777777" w:rsidR="00FA7DAC" w:rsidRPr="00821C14" w:rsidRDefault="00FA7DAC" w:rsidP="005D5285">
            <w:pPr>
              <w:spacing w:after="0"/>
              <w:rPr>
                <w:rFonts w:cs="Calibri"/>
                <w:color w:val="000000"/>
                <w:sz w:val="20"/>
                <w:szCs w:val="20"/>
              </w:rPr>
            </w:pPr>
            <w:r w:rsidRPr="00821C14">
              <w:rPr>
                <w:rFonts w:cs="Calibri"/>
                <w:color w:val="000000"/>
                <w:sz w:val="20"/>
                <w:szCs w:val="20"/>
              </w:rPr>
              <w:t>Adverse Reportable Incidents</w:t>
            </w:r>
          </w:p>
        </w:tc>
        <w:tc>
          <w:tcPr>
            <w:tcW w:w="6783" w:type="dxa"/>
          </w:tcPr>
          <w:p w14:paraId="4A7B4C01" w14:textId="77777777" w:rsidR="00FA7DAC" w:rsidRPr="00821C14" w:rsidRDefault="00FA7DAC" w:rsidP="009729DB">
            <w:pPr>
              <w:pStyle w:val="ListBullet1"/>
              <w:numPr>
                <w:ilvl w:val="0"/>
                <w:numId w:val="13"/>
              </w:numPr>
              <w:rPr>
                <w:u w:val="single"/>
              </w:rPr>
            </w:pPr>
            <w:r w:rsidRPr="00821C14">
              <w:rPr>
                <w:u w:val="single"/>
              </w:rPr>
              <w:t>Same day and annual  reports</w:t>
            </w:r>
          </w:p>
        </w:tc>
      </w:tr>
      <w:tr w:rsidR="00FA7DAC" w:rsidRPr="00821C14" w14:paraId="3AB8E201" w14:textId="77777777" w:rsidTr="00127D1B">
        <w:trPr>
          <w:trHeight w:val="466"/>
        </w:trPr>
        <w:tc>
          <w:tcPr>
            <w:tcW w:w="1443" w:type="dxa"/>
            <w:vMerge/>
          </w:tcPr>
          <w:p w14:paraId="1305E513" w14:textId="77777777" w:rsidR="00FA7DAC" w:rsidRPr="00821C14" w:rsidRDefault="00FA7DAC" w:rsidP="005D5285">
            <w:pPr>
              <w:spacing w:after="0"/>
              <w:rPr>
                <w:rFonts w:cs="Calibri"/>
                <w:color w:val="000000"/>
                <w:sz w:val="20"/>
                <w:szCs w:val="20"/>
              </w:rPr>
            </w:pPr>
          </w:p>
        </w:tc>
        <w:tc>
          <w:tcPr>
            <w:tcW w:w="2706" w:type="dxa"/>
          </w:tcPr>
          <w:p w14:paraId="6431C0D3" w14:textId="77777777" w:rsidR="00FA7DAC" w:rsidRPr="00821C14" w:rsidRDefault="00FA7DAC" w:rsidP="00F11128">
            <w:pPr>
              <w:spacing w:after="0"/>
              <w:rPr>
                <w:rFonts w:cs="Calibri"/>
                <w:color w:val="000000"/>
                <w:sz w:val="20"/>
                <w:szCs w:val="20"/>
              </w:rPr>
            </w:pPr>
            <w:r w:rsidRPr="00821C14">
              <w:rPr>
                <w:rFonts w:cs="Calibri"/>
                <w:color w:val="000000"/>
                <w:sz w:val="20"/>
                <w:szCs w:val="20"/>
              </w:rPr>
              <w:t>Grievance and Appeals Report</w:t>
            </w:r>
          </w:p>
        </w:tc>
        <w:tc>
          <w:tcPr>
            <w:tcW w:w="6783" w:type="dxa"/>
          </w:tcPr>
          <w:p w14:paraId="63BF3DF6" w14:textId="77777777" w:rsidR="00FA7DAC" w:rsidRPr="00821C14" w:rsidRDefault="00FA7DAC" w:rsidP="009729DB">
            <w:pPr>
              <w:pStyle w:val="ListBullet1"/>
              <w:numPr>
                <w:ilvl w:val="0"/>
                <w:numId w:val="13"/>
              </w:numPr>
            </w:pPr>
            <w:r w:rsidRPr="00821C14">
              <w:rPr>
                <w:u w:val="single"/>
              </w:rPr>
              <w:t xml:space="preserve">Semi-Annual </w:t>
            </w:r>
            <w:r w:rsidRPr="00821C14">
              <w:t xml:space="preserve"> report of grievances and internal appeals including the type of grievance or internal appeal, type of resolution, and timeframes for resolution </w:t>
            </w:r>
          </w:p>
        </w:tc>
      </w:tr>
      <w:tr w:rsidR="00FA7DAC" w:rsidRPr="00821C14" w14:paraId="2BACDDD3" w14:textId="77777777" w:rsidTr="00127D1B">
        <w:trPr>
          <w:trHeight w:val="611"/>
        </w:trPr>
        <w:tc>
          <w:tcPr>
            <w:tcW w:w="10932" w:type="dxa"/>
            <w:gridSpan w:val="3"/>
            <w:shd w:val="clear" w:color="auto" w:fill="D9D9D9"/>
          </w:tcPr>
          <w:p w14:paraId="61C31FD2" w14:textId="77777777" w:rsidR="00FA7DAC" w:rsidRPr="00821C14" w:rsidRDefault="00FA7DAC" w:rsidP="00AF3367">
            <w:pPr>
              <w:spacing w:after="0"/>
              <w:rPr>
                <w:rFonts w:cs="Calibri"/>
                <w:b/>
                <w:bCs/>
                <w:color w:val="000000"/>
                <w:sz w:val="20"/>
                <w:szCs w:val="20"/>
              </w:rPr>
            </w:pPr>
            <w:proofErr w:type="spellStart"/>
            <w:r w:rsidRPr="00821C14">
              <w:rPr>
                <w:rFonts w:cs="Calibri"/>
                <w:b/>
                <w:bCs/>
                <w:color w:val="000000"/>
                <w:sz w:val="20"/>
                <w:szCs w:val="20"/>
              </w:rPr>
              <w:t>Subcontractual</w:t>
            </w:r>
            <w:proofErr w:type="spellEnd"/>
            <w:r w:rsidRPr="00821C14">
              <w:rPr>
                <w:rFonts w:cs="Calibri"/>
                <w:b/>
                <w:bCs/>
                <w:color w:val="000000"/>
                <w:sz w:val="20"/>
                <w:szCs w:val="20"/>
              </w:rPr>
              <w:t xml:space="preserve"> relationships and delegation</w:t>
            </w:r>
          </w:p>
          <w:p w14:paraId="15A8A4DE" w14:textId="5E94AF30" w:rsidR="00FA7DAC" w:rsidRPr="00821C14" w:rsidRDefault="00FE6674" w:rsidP="00AF3367">
            <w:pPr>
              <w:spacing w:after="0"/>
              <w:rPr>
                <w:rFonts w:cs="Calibri"/>
                <w:color w:val="000000"/>
                <w:sz w:val="20"/>
                <w:szCs w:val="20"/>
              </w:rPr>
            </w:pPr>
            <w:r>
              <w:rPr>
                <w:rFonts w:cs="Calibri"/>
                <w:color w:val="000000"/>
                <w:sz w:val="20"/>
                <w:szCs w:val="20"/>
              </w:rPr>
              <w:t>CFR</w:t>
            </w:r>
            <w:r w:rsidR="00FA7DAC" w:rsidRPr="00821C14">
              <w:rPr>
                <w:rFonts w:cs="Calibri"/>
                <w:color w:val="000000"/>
                <w:sz w:val="20"/>
                <w:szCs w:val="20"/>
              </w:rPr>
              <w:t xml:space="preserve"> Section:  </w:t>
            </w:r>
          </w:p>
          <w:p w14:paraId="01C98981" w14:textId="77777777" w:rsidR="00FA7DAC" w:rsidRPr="00821C14" w:rsidRDefault="00FA7DAC" w:rsidP="006707EF">
            <w:pPr>
              <w:pStyle w:val="ListBullet2"/>
              <w:rPr>
                <w:rFonts w:cs="Calibri"/>
                <w:u w:val="single"/>
              </w:rPr>
            </w:pPr>
            <w:r w:rsidRPr="00821C14">
              <w:rPr>
                <w:rFonts w:cs="Calibri"/>
              </w:rPr>
              <w:t xml:space="preserve">42 CFR 438.230 - </w:t>
            </w:r>
            <w:proofErr w:type="spellStart"/>
            <w:r w:rsidRPr="00821C14">
              <w:rPr>
                <w:rFonts w:cs="Calibri"/>
              </w:rPr>
              <w:t>Subcontractual</w:t>
            </w:r>
            <w:proofErr w:type="spellEnd"/>
            <w:r w:rsidRPr="00821C14">
              <w:rPr>
                <w:rFonts w:cs="Calibri"/>
              </w:rPr>
              <w:t xml:space="preserve"> relationships and delegation</w:t>
            </w:r>
          </w:p>
        </w:tc>
      </w:tr>
      <w:tr w:rsidR="00FA7DAC" w:rsidRPr="00821C14" w14:paraId="07A9A038" w14:textId="77777777" w:rsidTr="00127D1B">
        <w:trPr>
          <w:trHeight w:val="1174"/>
        </w:trPr>
        <w:tc>
          <w:tcPr>
            <w:tcW w:w="1443" w:type="dxa"/>
            <w:vMerge w:val="restart"/>
          </w:tcPr>
          <w:p w14:paraId="21C6B7D5" w14:textId="77777777" w:rsidR="00965F56" w:rsidRPr="00821C14" w:rsidRDefault="00965F56" w:rsidP="00965F56">
            <w:pPr>
              <w:tabs>
                <w:tab w:val="left" w:pos="750"/>
              </w:tabs>
              <w:spacing w:after="0"/>
              <w:rPr>
                <w:rFonts w:cs="Calibri"/>
                <w:color w:val="000000"/>
                <w:sz w:val="20"/>
                <w:szCs w:val="20"/>
              </w:rPr>
            </w:pPr>
            <w:r w:rsidRPr="00821C14">
              <w:rPr>
                <w:rFonts w:cs="Calibri"/>
                <w:color w:val="000000"/>
                <w:sz w:val="20"/>
                <w:szCs w:val="20"/>
              </w:rPr>
              <w:t>MCO</w:t>
            </w:r>
            <w:r>
              <w:rPr>
                <w:rFonts w:cs="Calibri"/>
                <w:color w:val="000000"/>
                <w:sz w:val="20"/>
                <w:szCs w:val="20"/>
              </w:rPr>
              <w:t xml:space="preserve"> and Accountable Care Partnership Plan </w:t>
            </w:r>
            <w:r w:rsidRPr="00821C14">
              <w:rPr>
                <w:rFonts w:cs="Calibri"/>
                <w:color w:val="000000"/>
                <w:sz w:val="20"/>
                <w:szCs w:val="20"/>
              </w:rPr>
              <w:t>Program</w:t>
            </w:r>
          </w:p>
          <w:p w14:paraId="5F871821" w14:textId="77777777" w:rsidR="00FA7DAC" w:rsidRPr="00821C14" w:rsidRDefault="00FA7DAC" w:rsidP="005D5285">
            <w:pPr>
              <w:spacing w:after="0"/>
              <w:rPr>
                <w:rFonts w:cs="Calibri"/>
                <w:color w:val="000000"/>
                <w:sz w:val="20"/>
                <w:szCs w:val="20"/>
              </w:rPr>
            </w:pPr>
          </w:p>
        </w:tc>
        <w:tc>
          <w:tcPr>
            <w:tcW w:w="2706" w:type="dxa"/>
          </w:tcPr>
          <w:p w14:paraId="5CB59B34" w14:textId="77777777" w:rsidR="00FA7DAC" w:rsidRPr="00821C14" w:rsidRDefault="00FA7DAC" w:rsidP="005D5285">
            <w:pPr>
              <w:spacing w:after="0"/>
              <w:rPr>
                <w:rFonts w:cs="Calibri"/>
                <w:color w:val="000000"/>
                <w:sz w:val="20"/>
                <w:szCs w:val="20"/>
              </w:rPr>
            </w:pPr>
            <w:r w:rsidRPr="00821C14">
              <w:rPr>
                <w:rFonts w:cs="Calibri"/>
                <w:color w:val="000000"/>
                <w:sz w:val="20"/>
                <w:szCs w:val="20"/>
              </w:rPr>
              <w:t>Notification of Termination</w:t>
            </w:r>
          </w:p>
        </w:tc>
        <w:tc>
          <w:tcPr>
            <w:tcW w:w="6783" w:type="dxa"/>
          </w:tcPr>
          <w:p w14:paraId="3E100557" w14:textId="77777777" w:rsidR="00FA7DAC" w:rsidRPr="00821C14" w:rsidRDefault="00FA7DAC" w:rsidP="009729DB">
            <w:pPr>
              <w:pStyle w:val="ListBullet1"/>
              <w:numPr>
                <w:ilvl w:val="0"/>
                <w:numId w:val="13"/>
              </w:numPr>
            </w:pPr>
            <w:r w:rsidRPr="00821C14">
              <w:rPr>
                <w:u w:val="single"/>
              </w:rPr>
              <w:t xml:space="preserve">Within three business days, </w:t>
            </w:r>
            <w:r w:rsidRPr="00821C14">
              <w:t xml:space="preserve"> notice of MC</w:t>
            </w:r>
            <w:r w:rsidR="003E24DB">
              <w:t>E</w:t>
            </w:r>
            <w:r w:rsidRPr="00821C14">
              <w:t>’s termination of any material subcontractor, or notice by any material subcontractor of intention to terminate a contract</w:t>
            </w:r>
          </w:p>
        </w:tc>
      </w:tr>
      <w:tr w:rsidR="00FA7DAC" w:rsidRPr="00821C14" w14:paraId="23175824" w14:textId="77777777" w:rsidTr="00127D1B">
        <w:trPr>
          <w:trHeight w:val="466"/>
        </w:trPr>
        <w:tc>
          <w:tcPr>
            <w:tcW w:w="1443" w:type="dxa"/>
            <w:vMerge/>
          </w:tcPr>
          <w:p w14:paraId="11742E02" w14:textId="77777777" w:rsidR="00FA7DAC" w:rsidRPr="00821C14" w:rsidRDefault="00FA7DAC" w:rsidP="005D5285">
            <w:pPr>
              <w:spacing w:after="0"/>
              <w:rPr>
                <w:rFonts w:cs="Calibri"/>
                <w:color w:val="000000"/>
                <w:sz w:val="20"/>
                <w:szCs w:val="20"/>
              </w:rPr>
            </w:pPr>
          </w:p>
        </w:tc>
        <w:tc>
          <w:tcPr>
            <w:tcW w:w="2706" w:type="dxa"/>
          </w:tcPr>
          <w:p w14:paraId="3115B5E7" w14:textId="77777777" w:rsidR="00FA7DAC" w:rsidRPr="00821C14" w:rsidRDefault="00FA7DAC" w:rsidP="005D5285">
            <w:pPr>
              <w:spacing w:after="0"/>
              <w:rPr>
                <w:rFonts w:cs="Calibri"/>
                <w:color w:val="000000"/>
                <w:sz w:val="20"/>
                <w:szCs w:val="20"/>
              </w:rPr>
            </w:pPr>
            <w:r w:rsidRPr="00821C14">
              <w:rPr>
                <w:rFonts w:cs="Calibri"/>
                <w:color w:val="000000"/>
                <w:sz w:val="20"/>
                <w:szCs w:val="20"/>
              </w:rPr>
              <w:t>Procurement and re-procurement of Service from Material Subcontractor</w:t>
            </w:r>
          </w:p>
        </w:tc>
        <w:tc>
          <w:tcPr>
            <w:tcW w:w="6783" w:type="dxa"/>
          </w:tcPr>
          <w:p w14:paraId="28F03B15" w14:textId="77777777" w:rsidR="00FA7DAC" w:rsidRPr="00821C14" w:rsidRDefault="00FA7DAC" w:rsidP="009729DB">
            <w:pPr>
              <w:pStyle w:val="ListBullet1"/>
              <w:numPr>
                <w:ilvl w:val="0"/>
                <w:numId w:val="13"/>
              </w:numPr>
              <w:rPr>
                <w:u w:val="single"/>
              </w:rPr>
            </w:pPr>
            <w:r w:rsidRPr="00821C14">
              <w:rPr>
                <w:u w:val="single"/>
              </w:rPr>
              <w:t>At least 60 days prior</w:t>
            </w:r>
            <w:r w:rsidR="00A43B13">
              <w:t xml:space="preserve">, notice of </w:t>
            </w:r>
            <w:r w:rsidRPr="00821C14">
              <w:t xml:space="preserve">procurement or </w:t>
            </w:r>
            <w:proofErr w:type="spellStart"/>
            <w:r w:rsidRPr="00821C14">
              <w:t>reprocurement</w:t>
            </w:r>
            <w:proofErr w:type="spellEnd"/>
            <w:r w:rsidRPr="00821C14">
              <w:t xml:space="preserve"> of material subcontractor. </w:t>
            </w:r>
          </w:p>
        </w:tc>
      </w:tr>
      <w:tr w:rsidR="003E24DB" w:rsidRPr="00821C14" w14:paraId="47AD12B5" w14:textId="77777777" w:rsidTr="00127D1B">
        <w:trPr>
          <w:trHeight w:val="545"/>
        </w:trPr>
        <w:tc>
          <w:tcPr>
            <w:tcW w:w="1443" w:type="dxa"/>
            <w:vMerge w:val="restart"/>
          </w:tcPr>
          <w:p w14:paraId="519D29CE" w14:textId="77777777" w:rsidR="003E24DB" w:rsidRPr="00821C14" w:rsidRDefault="003E24DB" w:rsidP="00965F56">
            <w:pPr>
              <w:spacing w:after="0"/>
              <w:rPr>
                <w:rFonts w:cs="Calibri"/>
                <w:color w:val="000000"/>
                <w:sz w:val="20"/>
                <w:szCs w:val="20"/>
              </w:rPr>
            </w:pPr>
            <w:r>
              <w:rPr>
                <w:rFonts w:cs="Calibri"/>
                <w:color w:val="000000"/>
                <w:sz w:val="20"/>
                <w:szCs w:val="20"/>
              </w:rPr>
              <w:t>Primary Care ACO</w:t>
            </w:r>
          </w:p>
        </w:tc>
        <w:tc>
          <w:tcPr>
            <w:tcW w:w="2706" w:type="dxa"/>
          </w:tcPr>
          <w:p w14:paraId="15599DAE" w14:textId="77777777" w:rsidR="003E24DB" w:rsidRPr="00821C14" w:rsidRDefault="003E24DB" w:rsidP="005D5285">
            <w:pPr>
              <w:spacing w:after="0"/>
              <w:rPr>
                <w:rFonts w:cs="Calibri"/>
                <w:color w:val="000000"/>
                <w:sz w:val="20"/>
                <w:szCs w:val="20"/>
              </w:rPr>
            </w:pPr>
            <w:r>
              <w:rPr>
                <w:rFonts w:cs="Calibri"/>
                <w:color w:val="000000"/>
                <w:sz w:val="20"/>
                <w:szCs w:val="20"/>
              </w:rPr>
              <w:t>Material Subcontractor List</w:t>
            </w:r>
          </w:p>
        </w:tc>
        <w:tc>
          <w:tcPr>
            <w:tcW w:w="6783" w:type="dxa"/>
          </w:tcPr>
          <w:p w14:paraId="2A02C785" w14:textId="77777777" w:rsidR="003E24DB" w:rsidRPr="00FE6674" w:rsidRDefault="003E24DB" w:rsidP="009729DB">
            <w:pPr>
              <w:pStyle w:val="ListBullet1"/>
              <w:numPr>
                <w:ilvl w:val="0"/>
                <w:numId w:val="13"/>
              </w:numPr>
            </w:pPr>
            <w:r w:rsidRPr="00FE6674">
              <w:t>Annual submission of material subcontractor list</w:t>
            </w:r>
          </w:p>
        </w:tc>
      </w:tr>
      <w:tr w:rsidR="003E24DB" w:rsidRPr="00821C14" w14:paraId="5890FE24" w14:textId="77777777" w:rsidTr="00127D1B">
        <w:trPr>
          <w:trHeight w:val="652"/>
        </w:trPr>
        <w:tc>
          <w:tcPr>
            <w:tcW w:w="1443" w:type="dxa"/>
            <w:vMerge/>
          </w:tcPr>
          <w:p w14:paraId="55B377FA" w14:textId="77777777" w:rsidR="003E24DB" w:rsidRPr="00821C14" w:rsidRDefault="003E24DB" w:rsidP="005D5285">
            <w:pPr>
              <w:spacing w:after="0"/>
              <w:rPr>
                <w:rFonts w:cs="Calibri"/>
                <w:color w:val="000000"/>
                <w:sz w:val="20"/>
                <w:szCs w:val="20"/>
              </w:rPr>
            </w:pPr>
          </w:p>
        </w:tc>
        <w:tc>
          <w:tcPr>
            <w:tcW w:w="2706" w:type="dxa"/>
          </w:tcPr>
          <w:p w14:paraId="610EA3EF" w14:textId="77777777" w:rsidR="003E24DB" w:rsidRPr="00821C14" w:rsidRDefault="003E24DB" w:rsidP="005D5285">
            <w:pPr>
              <w:spacing w:after="0"/>
              <w:rPr>
                <w:rFonts w:cs="Calibri"/>
                <w:color w:val="000000"/>
                <w:sz w:val="20"/>
                <w:szCs w:val="20"/>
              </w:rPr>
            </w:pPr>
            <w:r>
              <w:rPr>
                <w:rFonts w:cs="Calibri"/>
                <w:color w:val="000000"/>
                <w:sz w:val="20"/>
                <w:szCs w:val="20"/>
              </w:rPr>
              <w:t xml:space="preserve">Notification of termination </w:t>
            </w:r>
          </w:p>
        </w:tc>
        <w:tc>
          <w:tcPr>
            <w:tcW w:w="6783" w:type="dxa"/>
          </w:tcPr>
          <w:p w14:paraId="09B3FA2B" w14:textId="77777777" w:rsidR="003E24DB" w:rsidRPr="00821C14" w:rsidRDefault="003E24DB" w:rsidP="009729DB">
            <w:pPr>
              <w:pStyle w:val="ListBullet1"/>
              <w:numPr>
                <w:ilvl w:val="0"/>
                <w:numId w:val="13"/>
              </w:numPr>
              <w:rPr>
                <w:u w:val="single"/>
              </w:rPr>
            </w:pPr>
            <w:r>
              <w:rPr>
                <w:u w:val="single"/>
              </w:rPr>
              <w:t xml:space="preserve">On the same-day of </w:t>
            </w:r>
            <w:r w:rsidRPr="00FE6674">
              <w:t>contractor notification, notice of MCE’s termination of any material subcontractor</w:t>
            </w:r>
            <w:r>
              <w:rPr>
                <w:u w:val="single"/>
              </w:rPr>
              <w:t xml:space="preserve">  </w:t>
            </w:r>
          </w:p>
        </w:tc>
      </w:tr>
      <w:tr w:rsidR="00FA7DAC" w:rsidRPr="00821C14" w14:paraId="78C82DCA" w14:textId="77777777" w:rsidTr="00127D1B">
        <w:trPr>
          <w:cantSplit/>
          <w:trHeight w:val="226"/>
        </w:trPr>
        <w:tc>
          <w:tcPr>
            <w:tcW w:w="10932" w:type="dxa"/>
            <w:gridSpan w:val="3"/>
            <w:shd w:val="clear" w:color="auto" w:fill="D9D9D9"/>
          </w:tcPr>
          <w:p w14:paraId="4D727F99" w14:textId="77777777" w:rsidR="00FA7DAC" w:rsidRPr="00821C14" w:rsidRDefault="00A43B13" w:rsidP="00AF3367">
            <w:pPr>
              <w:keepNext/>
              <w:spacing w:after="0"/>
              <w:rPr>
                <w:rFonts w:cs="Calibri"/>
                <w:b/>
                <w:bCs/>
                <w:color w:val="000000"/>
                <w:sz w:val="20"/>
                <w:szCs w:val="20"/>
              </w:rPr>
            </w:pPr>
            <w:r>
              <w:rPr>
                <w:rFonts w:cs="Calibri"/>
                <w:b/>
                <w:bCs/>
                <w:color w:val="000000"/>
                <w:sz w:val="20"/>
                <w:szCs w:val="20"/>
              </w:rPr>
              <w:t>Q</w:t>
            </w:r>
            <w:r w:rsidR="00FA7DAC" w:rsidRPr="00821C14">
              <w:rPr>
                <w:rFonts w:cs="Calibri"/>
                <w:b/>
                <w:bCs/>
                <w:color w:val="000000"/>
                <w:sz w:val="20"/>
                <w:szCs w:val="20"/>
              </w:rPr>
              <w:t xml:space="preserve">uality assessment </w:t>
            </w:r>
          </w:p>
          <w:p w14:paraId="3C95E63A" w14:textId="0911B38F" w:rsidR="00FA7DAC" w:rsidRPr="00821C14" w:rsidRDefault="00FE6674" w:rsidP="00AF3367">
            <w:pPr>
              <w:keepNext/>
              <w:spacing w:after="0"/>
              <w:rPr>
                <w:rFonts w:cs="Calibri"/>
                <w:color w:val="000000"/>
                <w:sz w:val="20"/>
                <w:szCs w:val="20"/>
              </w:rPr>
            </w:pPr>
            <w:r>
              <w:rPr>
                <w:rFonts w:cs="Calibri"/>
                <w:color w:val="000000"/>
                <w:sz w:val="20"/>
                <w:szCs w:val="20"/>
              </w:rPr>
              <w:t>CFR</w:t>
            </w:r>
            <w:r w:rsidRPr="00821C14">
              <w:rPr>
                <w:rFonts w:cs="Calibri"/>
                <w:color w:val="000000"/>
                <w:sz w:val="20"/>
                <w:szCs w:val="20"/>
              </w:rPr>
              <w:t xml:space="preserve"> </w:t>
            </w:r>
            <w:r w:rsidR="00FA7DAC" w:rsidRPr="00821C14">
              <w:rPr>
                <w:rFonts w:cs="Calibri"/>
                <w:color w:val="000000"/>
                <w:sz w:val="20"/>
                <w:szCs w:val="20"/>
              </w:rPr>
              <w:t xml:space="preserve">Section: </w:t>
            </w:r>
          </w:p>
          <w:p w14:paraId="5DAE0A26" w14:textId="77777777" w:rsidR="00FA7DAC" w:rsidRPr="00821C14" w:rsidRDefault="00FA7DAC" w:rsidP="006707EF">
            <w:pPr>
              <w:pStyle w:val="ListBullet2"/>
              <w:rPr>
                <w:rFonts w:cs="Calibri"/>
                <w:u w:val="single"/>
              </w:rPr>
            </w:pPr>
            <w:r w:rsidRPr="00821C14">
              <w:rPr>
                <w:rFonts w:cs="Calibri"/>
              </w:rPr>
              <w:t>42 CFR 438.240 -- Quality assessment and performance improvement program</w:t>
            </w:r>
          </w:p>
        </w:tc>
      </w:tr>
      <w:tr w:rsidR="001F0A8B" w:rsidRPr="00821C14" w14:paraId="2C25E8A6" w14:textId="77777777" w:rsidTr="00127D1B">
        <w:trPr>
          <w:cantSplit/>
          <w:trHeight w:val="466"/>
        </w:trPr>
        <w:tc>
          <w:tcPr>
            <w:tcW w:w="1443" w:type="dxa"/>
            <w:vMerge w:val="restart"/>
          </w:tcPr>
          <w:p w14:paraId="3291A45B" w14:textId="77777777" w:rsidR="00965F56" w:rsidRPr="00821C14" w:rsidRDefault="00965F56" w:rsidP="00965F56">
            <w:pPr>
              <w:tabs>
                <w:tab w:val="left" w:pos="750"/>
              </w:tabs>
              <w:spacing w:after="0"/>
              <w:rPr>
                <w:rFonts w:cs="Calibri"/>
                <w:color w:val="000000"/>
                <w:sz w:val="20"/>
                <w:szCs w:val="20"/>
              </w:rPr>
            </w:pPr>
            <w:r w:rsidRPr="00821C14">
              <w:rPr>
                <w:rFonts w:cs="Calibri"/>
                <w:color w:val="000000"/>
                <w:sz w:val="20"/>
                <w:szCs w:val="20"/>
              </w:rPr>
              <w:t>MCO</w:t>
            </w:r>
            <w:r>
              <w:rPr>
                <w:rFonts w:cs="Calibri"/>
                <w:color w:val="000000"/>
                <w:sz w:val="20"/>
                <w:szCs w:val="20"/>
              </w:rPr>
              <w:t xml:space="preserve"> and Accountable Care Partnership Plan </w:t>
            </w:r>
            <w:r w:rsidRPr="00821C14">
              <w:rPr>
                <w:rFonts w:cs="Calibri"/>
                <w:color w:val="000000"/>
                <w:sz w:val="20"/>
                <w:szCs w:val="20"/>
              </w:rPr>
              <w:t>Program</w:t>
            </w:r>
          </w:p>
          <w:p w14:paraId="185B0835" w14:textId="77777777" w:rsidR="001F0A8B" w:rsidRPr="00821C14" w:rsidRDefault="001F0A8B" w:rsidP="00660AF3">
            <w:pPr>
              <w:keepNext/>
              <w:spacing w:after="0"/>
              <w:rPr>
                <w:rFonts w:cs="Calibri"/>
                <w:color w:val="000000"/>
                <w:sz w:val="20"/>
                <w:szCs w:val="20"/>
              </w:rPr>
            </w:pPr>
          </w:p>
        </w:tc>
        <w:tc>
          <w:tcPr>
            <w:tcW w:w="2706" w:type="dxa"/>
          </w:tcPr>
          <w:p w14:paraId="7756A83A" w14:textId="77777777" w:rsidR="001F0A8B" w:rsidRPr="00821C14" w:rsidRDefault="001F0A8B" w:rsidP="005D5285">
            <w:pPr>
              <w:keepNext/>
              <w:spacing w:after="0"/>
              <w:rPr>
                <w:rFonts w:cs="Calibri"/>
                <w:color w:val="000000"/>
                <w:sz w:val="20"/>
                <w:szCs w:val="20"/>
              </w:rPr>
            </w:pPr>
            <w:r w:rsidRPr="00821C14">
              <w:rPr>
                <w:rFonts w:cs="Calibri"/>
                <w:color w:val="000000"/>
                <w:sz w:val="20"/>
                <w:szCs w:val="20"/>
              </w:rPr>
              <w:t>HEDIS</w:t>
            </w:r>
            <w:r w:rsidR="00BC680B">
              <w:rPr>
                <w:rFonts w:cs="Calibri"/>
                <w:color w:val="000000"/>
                <w:sz w:val="20"/>
                <w:szCs w:val="20"/>
              </w:rPr>
              <w:t xml:space="preserve"> and other Quality Measures</w:t>
            </w:r>
          </w:p>
        </w:tc>
        <w:tc>
          <w:tcPr>
            <w:tcW w:w="6783" w:type="dxa"/>
          </w:tcPr>
          <w:p w14:paraId="5280A424" w14:textId="77777777" w:rsidR="001F0A8B" w:rsidRPr="00821C14" w:rsidRDefault="001F0A8B" w:rsidP="009729DB">
            <w:pPr>
              <w:pStyle w:val="ListBullet1"/>
              <w:numPr>
                <w:ilvl w:val="0"/>
                <w:numId w:val="13"/>
              </w:numPr>
            </w:pPr>
            <w:r w:rsidRPr="00821C14">
              <w:rPr>
                <w:u w:val="single"/>
              </w:rPr>
              <w:t>Annual</w:t>
            </w:r>
            <w:r w:rsidRPr="00821C14">
              <w:t xml:space="preserve"> report, prepared by an external contractor of performance measurement</w:t>
            </w:r>
          </w:p>
        </w:tc>
      </w:tr>
      <w:tr w:rsidR="001F0A8B" w:rsidRPr="00821C14" w14:paraId="40260690" w14:textId="77777777" w:rsidTr="00127D1B">
        <w:trPr>
          <w:cantSplit/>
          <w:trHeight w:val="466"/>
        </w:trPr>
        <w:tc>
          <w:tcPr>
            <w:tcW w:w="1443" w:type="dxa"/>
            <w:vMerge/>
          </w:tcPr>
          <w:p w14:paraId="455AED8A" w14:textId="77777777" w:rsidR="001F0A8B" w:rsidRPr="00821C14" w:rsidRDefault="001F0A8B" w:rsidP="005D5285">
            <w:pPr>
              <w:keepNext/>
              <w:spacing w:after="0"/>
              <w:rPr>
                <w:rFonts w:cs="Calibri"/>
                <w:color w:val="000000"/>
                <w:sz w:val="20"/>
                <w:szCs w:val="20"/>
              </w:rPr>
            </w:pPr>
          </w:p>
        </w:tc>
        <w:tc>
          <w:tcPr>
            <w:tcW w:w="2706" w:type="dxa"/>
          </w:tcPr>
          <w:p w14:paraId="4C579AAD" w14:textId="77777777" w:rsidR="001F0A8B" w:rsidRPr="00821C14" w:rsidRDefault="001F0A8B" w:rsidP="005D5285">
            <w:pPr>
              <w:keepNext/>
              <w:spacing w:after="0"/>
              <w:rPr>
                <w:rFonts w:cs="Calibri"/>
                <w:color w:val="000000"/>
                <w:sz w:val="20"/>
                <w:szCs w:val="20"/>
              </w:rPr>
            </w:pPr>
            <w:r>
              <w:rPr>
                <w:rFonts w:cs="Calibri"/>
                <w:color w:val="000000"/>
                <w:sz w:val="20"/>
                <w:szCs w:val="20"/>
              </w:rPr>
              <w:t>Enrollee and Provider Incentives Notification</w:t>
            </w:r>
          </w:p>
        </w:tc>
        <w:tc>
          <w:tcPr>
            <w:tcW w:w="6783" w:type="dxa"/>
          </w:tcPr>
          <w:p w14:paraId="57D5CCFE" w14:textId="77777777" w:rsidR="001F0A8B" w:rsidRPr="00821C14" w:rsidRDefault="001F0A8B" w:rsidP="009729DB">
            <w:pPr>
              <w:pStyle w:val="ListBullet1"/>
              <w:numPr>
                <w:ilvl w:val="0"/>
                <w:numId w:val="13"/>
              </w:numPr>
              <w:rPr>
                <w:u w:val="single"/>
              </w:rPr>
            </w:pPr>
            <w:r>
              <w:t>Ad-</w:t>
            </w:r>
            <w:r w:rsidRPr="00450176">
              <w:t>hoc report information relating to planned and implemented Provider Performance Incentives</w:t>
            </w:r>
            <w:r>
              <w:t xml:space="preserve">. </w:t>
            </w:r>
          </w:p>
        </w:tc>
      </w:tr>
      <w:tr w:rsidR="001F0A8B" w:rsidRPr="00821C14" w14:paraId="7DBA03BC" w14:textId="77777777" w:rsidTr="00127D1B">
        <w:trPr>
          <w:trHeight w:val="466"/>
        </w:trPr>
        <w:tc>
          <w:tcPr>
            <w:tcW w:w="1443" w:type="dxa"/>
            <w:vMerge/>
          </w:tcPr>
          <w:p w14:paraId="0DD6976F" w14:textId="77777777" w:rsidR="001F0A8B" w:rsidRPr="00821C14" w:rsidRDefault="001F0A8B" w:rsidP="005D5285">
            <w:pPr>
              <w:keepNext/>
              <w:spacing w:after="0"/>
              <w:rPr>
                <w:rFonts w:cs="Calibri"/>
                <w:color w:val="000000"/>
                <w:sz w:val="20"/>
                <w:szCs w:val="20"/>
              </w:rPr>
            </w:pPr>
          </w:p>
        </w:tc>
        <w:tc>
          <w:tcPr>
            <w:tcW w:w="2706" w:type="dxa"/>
          </w:tcPr>
          <w:p w14:paraId="7C7C3DFC" w14:textId="77777777" w:rsidR="001F0A8B" w:rsidRPr="00821C14" w:rsidRDefault="001F0A8B" w:rsidP="005D5285">
            <w:pPr>
              <w:keepNext/>
              <w:spacing w:after="0"/>
              <w:rPr>
                <w:rFonts w:cs="Calibri"/>
                <w:color w:val="000000"/>
                <w:sz w:val="20"/>
                <w:szCs w:val="20"/>
              </w:rPr>
            </w:pPr>
            <w:r>
              <w:rPr>
                <w:rFonts w:cs="Calibri"/>
                <w:color w:val="000000"/>
                <w:sz w:val="20"/>
                <w:szCs w:val="20"/>
              </w:rPr>
              <w:t>CAHPS Report</w:t>
            </w:r>
          </w:p>
        </w:tc>
        <w:tc>
          <w:tcPr>
            <w:tcW w:w="6783" w:type="dxa"/>
          </w:tcPr>
          <w:p w14:paraId="4562E362" w14:textId="77777777" w:rsidR="001F0A8B" w:rsidRPr="001F0A8B" w:rsidRDefault="001F0A8B" w:rsidP="009729DB">
            <w:pPr>
              <w:pStyle w:val="ListBullet1"/>
              <w:numPr>
                <w:ilvl w:val="0"/>
                <w:numId w:val="13"/>
              </w:numPr>
            </w:pPr>
            <w:r w:rsidRPr="001F0A8B">
              <w:t>Annual submission of results from the Consumer Assessment of Healthcare Providers and Systems (CAHPS</w:t>
            </w:r>
            <w:r>
              <w:t xml:space="preserve">). </w:t>
            </w:r>
          </w:p>
        </w:tc>
      </w:tr>
      <w:tr w:rsidR="00BC680B" w:rsidRPr="00821C14" w14:paraId="7A2DF9F7" w14:textId="77777777" w:rsidTr="00127D1B">
        <w:trPr>
          <w:cantSplit/>
          <w:trHeight w:val="466"/>
        </w:trPr>
        <w:tc>
          <w:tcPr>
            <w:tcW w:w="1443" w:type="dxa"/>
          </w:tcPr>
          <w:p w14:paraId="642E3B08" w14:textId="77777777" w:rsidR="00BC680B" w:rsidRPr="00821C14" w:rsidRDefault="00BC680B" w:rsidP="005D5285">
            <w:pPr>
              <w:keepNext/>
              <w:spacing w:after="0"/>
              <w:rPr>
                <w:rFonts w:cs="Calibri"/>
                <w:color w:val="000000"/>
                <w:sz w:val="20"/>
                <w:szCs w:val="20"/>
              </w:rPr>
            </w:pPr>
            <w:r>
              <w:rPr>
                <w:rFonts w:cs="Calibri"/>
                <w:color w:val="000000"/>
                <w:sz w:val="20"/>
                <w:szCs w:val="20"/>
              </w:rPr>
              <w:t xml:space="preserve">Primary Care ACOs </w:t>
            </w:r>
          </w:p>
        </w:tc>
        <w:tc>
          <w:tcPr>
            <w:tcW w:w="2706" w:type="dxa"/>
          </w:tcPr>
          <w:p w14:paraId="5C9B85EF" w14:textId="77777777" w:rsidR="00BC680B" w:rsidRDefault="00BC680B" w:rsidP="005D5285">
            <w:pPr>
              <w:keepNext/>
              <w:spacing w:after="0"/>
              <w:rPr>
                <w:rFonts w:cs="Calibri"/>
                <w:color w:val="000000"/>
                <w:sz w:val="20"/>
                <w:szCs w:val="20"/>
              </w:rPr>
            </w:pPr>
            <w:r w:rsidRPr="00821C14">
              <w:rPr>
                <w:rFonts w:cs="Calibri"/>
                <w:color w:val="000000"/>
                <w:sz w:val="20"/>
                <w:szCs w:val="20"/>
              </w:rPr>
              <w:t>HEDIS</w:t>
            </w:r>
            <w:r>
              <w:rPr>
                <w:rFonts w:cs="Calibri"/>
                <w:color w:val="000000"/>
                <w:sz w:val="20"/>
                <w:szCs w:val="20"/>
              </w:rPr>
              <w:t xml:space="preserve"> and other Quality Measures</w:t>
            </w:r>
          </w:p>
        </w:tc>
        <w:tc>
          <w:tcPr>
            <w:tcW w:w="6783" w:type="dxa"/>
          </w:tcPr>
          <w:p w14:paraId="556E0E78" w14:textId="77777777" w:rsidR="00BC680B" w:rsidRPr="001F0A8B" w:rsidRDefault="00BC680B" w:rsidP="009729DB">
            <w:pPr>
              <w:pStyle w:val="ListBullet1"/>
              <w:numPr>
                <w:ilvl w:val="0"/>
                <w:numId w:val="13"/>
              </w:numPr>
            </w:pPr>
            <w:r w:rsidRPr="00821C14">
              <w:rPr>
                <w:u w:val="single"/>
              </w:rPr>
              <w:t>Annual</w:t>
            </w:r>
            <w:r w:rsidRPr="00821C14">
              <w:t xml:space="preserve"> report, prepared by an external contractor of performance measurement</w:t>
            </w:r>
          </w:p>
        </w:tc>
      </w:tr>
      <w:tr w:rsidR="00D866A0" w:rsidRPr="00821C14" w14:paraId="6CCE62E7" w14:textId="77777777" w:rsidTr="00127D1B">
        <w:trPr>
          <w:cantSplit/>
          <w:trHeight w:val="466"/>
        </w:trPr>
        <w:tc>
          <w:tcPr>
            <w:tcW w:w="1443" w:type="dxa"/>
          </w:tcPr>
          <w:p w14:paraId="50DB79E8" w14:textId="77777777" w:rsidR="00D866A0" w:rsidRPr="00821C14" w:rsidRDefault="009E6996" w:rsidP="005D5285">
            <w:pPr>
              <w:keepNext/>
              <w:spacing w:after="0"/>
              <w:rPr>
                <w:rFonts w:cs="Calibri"/>
                <w:color w:val="000000"/>
                <w:sz w:val="20"/>
                <w:szCs w:val="20"/>
              </w:rPr>
            </w:pPr>
            <w:r>
              <w:rPr>
                <w:rFonts w:cs="Calibri"/>
                <w:color w:val="000000"/>
                <w:sz w:val="20"/>
                <w:szCs w:val="20"/>
              </w:rPr>
              <w:t>One Care</w:t>
            </w:r>
            <w:r w:rsidR="00D866A0">
              <w:rPr>
                <w:rFonts w:cs="Calibri"/>
                <w:color w:val="000000"/>
                <w:sz w:val="20"/>
                <w:szCs w:val="20"/>
              </w:rPr>
              <w:t xml:space="preserve"> Program</w:t>
            </w:r>
          </w:p>
        </w:tc>
        <w:tc>
          <w:tcPr>
            <w:tcW w:w="2706" w:type="dxa"/>
          </w:tcPr>
          <w:p w14:paraId="0EE098D1" w14:textId="77777777" w:rsidR="00D866A0" w:rsidRPr="00821C14" w:rsidRDefault="00D866A0" w:rsidP="005D5285">
            <w:pPr>
              <w:keepNext/>
              <w:spacing w:after="0"/>
              <w:rPr>
                <w:rFonts w:cs="Calibri"/>
                <w:color w:val="000000"/>
                <w:sz w:val="20"/>
                <w:szCs w:val="20"/>
              </w:rPr>
            </w:pPr>
            <w:r>
              <w:rPr>
                <w:rFonts w:cs="Calibri"/>
                <w:color w:val="000000"/>
                <w:sz w:val="20"/>
                <w:szCs w:val="20"/>
              </w:rPr>
              <w:t>HEDIS</w:t>
            </w:r>
          </w:p>
        </w:tc>
        <w:tc>
          <w:tcPr>
            <w:tcW w:w="6783" w:type="dxa"/>
          </w:tcPr>
          <w:p w14:paraId="5953541B" w14:textId="77777777" w:rsidR="00D866A0" w:rsidRPr="00821C14" w:rsidRDefault="00D866A0" w:rsidP="009729DB">
            <w:pPr>
              <w:pStyle w:val="ListBullet1"/>
              <w:numPr>
                <w:ilvl w:val="0"/>
                <w:numId w:val="13"/>
              </w:numPr>
              <w:rPr>
                <w:u w:val="single"/>
              </w:rPr>
            </w:pPr>
            <w:r>
              <w:rPr>
                <w:u w:val="single"/>
              </w:rPr>
              <w:t>Annual report of measurement consistent with Medicare requirements f</w:t>
            </w:r>
            <w:r w:rsidR="00A30E95">
              <w:rPr>
                <w:u w:val="single"/>
              </w:rPr>
              <w:t xml:space="preserve">or HEDIS and additional measures </w:t>
            </w:r>
            <w:r>
              <w:rPr>
                <w:u w:val="single"/>
              </w:rPr>
              <w:t xml:space="preserve">required by EOHHS or Part D. </w:t>
            </w:r>
          </w:p>
        </w:tc>
      </w:tr>
      <w:tr w:rsidR="00E40086" w:rsidRPr="00821C14" w14:paraId="2EEFE5EC" w14:textId="77777777" w:rsidTr="00127D1B">
        <w:trPr>
          <w:cantSplit/>
          <w:trHeight w:val="466"/>
        </w:trPr>
        <w:tc>
          <w:tcPr>
            <w:tcW w:w="1443" w:type="dxa"/>
            <w:vMerge w:val="restart"/>
          </w:tcPr>
          <w:p w14:paraId="44B5229E" w14:textId="77777777" w:rsidR="00E40086" w:rsidRPr="00821C14" w:rsidRDefault="00E40086" w:rsidP="005D5285">
            <w:pPr>
              <w:keepNext/>
              <w:spacing w:after="0"/>
              <w:rPr>
                <w:rFonts w:cs="Calibri"/>
                <w:color w:val="000000"/>
                <w:sz w:val="20"/>
                <w:szCs w:val="20"/>
              </w:rPr>
            </w:pPr>
            <w:r w:rsidRPr="00821C14">
              <w:rPr>
                <w:rFonts w:cs="Calibri"/>
                <w:color w:val="000000"/>
                <w:sz w:val="20"/>
                <w:szCs w:val="20"/>
              </w:rPr>
              <w:t>SCO Program</w:t>
            </w:r>
          </w:p>
        </w:tc>
        <w:tc>
          <w:tcPr>
            <w:tcW w:w="2706" w:type="dxa"/>
          </w:tcPr>
          <w:p w14:paraId="73FDD40C" w14:textId="77777777" w:rsidR="00E40086" w:rsidRPr="00821C14" w:rsidRDefault="00E40086" w:rsidP="005D5285">
            <w:pPr>
              <w:keepNext/>
              <w:spacing w:after="0"/>
              <w:rPr>
                <w:rFonts w:cs="Calibri"/>
                <w:color w:val="000000"/>
                <w:sz w:val="20"/>
                <w:szCs w:val="20"/>
              </w:rPr>
            </w:pPr>
            <w:r w:rsidRPr="00821C14">
              <w:rPr>
                <w:rFonts w:cs="Calibri"/>
                <w:color w:val="000000"/>
                <w:sz w:val="20"/>
                <w:szCs w:val="20"/>
              </w:rPr>
              <w:t>HEDIS and other clinical indicators</w:t>
            </w:r>
          </w:p>
          <w:p w14:paraId="6BBCC997" w14:textId="77777777" w:rsidR="00E40086" w:rsidRPr="00821C14" w:rsidRDefault="00E40086" w:rsidP="005D5285">
            <w:pPr>
              <w:keepNext/>
              <w:spacing w:after="0"/>
              <w:rPr>
                <w:rFonts w:cs="Calibri"/>
                <w:color w:val="000000"/>
                <w:sz w:val="20"/>
                <w:szCs w:val="20"/>
              </w:rPr>
            </w:pPr>
          </w:p>
        </w:tc>
        <w:tc>
          <w:tcPr>
            <w:tcW w:w="6783" w:type="dxa"/>
          </w:tcPr>
          <w:p w14:paraId="448EA229" w14:textId="77777777" w:rsidR="00E40086" w:rsidRPr="00821C14" w:rsidRDefault="00E40086" w:rsidP="009729DB">
            <w:pPr>
              <w:pStyle w:val="ListBullet1"/>
              <w:numPr>
                <w:ilvl w:val="0"/>
                <w:numId w:val="13"/>
              </w:numPr>
            </w:pPr>
            <w:r w:rsidRPr="00821C14">
              <w:rPr>
                <w:u w:val="single"/>
              </w:rPr>
              <w:t>Annual</w:t>
            </w:r>
            <w:r w:rsidRPr="00821C14">
              <w:t xml:space="preserve"> report of performance measurement</w:t>
            </w:r>
          </w:p>
        </w:tc>
      </w:tr>
      <w:tr w:rsidR="00E40086" w:rsidRPr="00821C14" w14:paraId="166BF521" w14:textId="77777777" w:rsidTr="00127D1B">
        <w:trPr>
          <w:cantSplit/>
          <w:trHeight w:val="466"/>
        </w:trPr>
        <w:tc>
          <w:tcPr>
            <w:tcW w:w="1443" w:type="dxa"/>
            <w:vMerge/>
          </w:tcPr>
          <w:p w14:paraId="44545F35" w14:textId="77777777" w:rsidR="00E40086" w:rsidRPr="00821C14" w:rsidRDefault="00E40086" w:rsidP="005D5285">
            <w:pPr>
              <w:keepNext/>
              <w:spacing w:after="0"/>
              <w:rPr>
                <w:rFonts w:cs="Calibri"/>
                <w:color w:val="000000"/>
                <w:sz w:val="20"/>
                <w:szCs w:val="20"/>
              </w:rPr>
            </w:pPr>
          </w:p>
        </w:tc>
        <w:tc>
          <w:tcPr>
            <w:tcW w:w="2706" w:type="dxa"/>
          </w:tcPr>
          <w:p w14:paraId="73D5513D" w14:textId="77777777" w:rsidR="00E40086" w:rsidRPr="00821C14" w:rsidRDefault="00E40086" w:rsidP="00E40086">
            <w:pPr>
              <w:keepNext/>
              <w:spacing w:after="0"/>
              <w:rPr>
                <w:rFonts w:cs="Calibri"/>
                <w:color w:val="000000"/>
                <w:sz w:val="20"/>
                <w:szCs w:val="20"/>
              </w:rPr>
            </w:pPr>
            <w:r>
              <w:rPr>
                <w:rFonts w:cs="Calibri"/>
                <w:color w:val="000000"/>
                <w:sz w:val="20"/>
                <w:szCs w:val="20"/>
              </w:rPr>
              <w:t>CAHPS Report</w:t>
            </w:r>
          </w:p>
        </w:tc>
        <w:tc>
          <w:tcPr>
            <w:tcW w:w="6783" w:type="dxa"/>
          </w:tcPr>
          <w:p w14:paraId="599A7AF5" w14:textId="77777777" w:rsidR="00E40086" w:rsidRPr="001F0A8B" w:rsidRDefault="00E40086" w:rsidP="009729DB">
            <w:pPr>
              <w:pStyle w:val="ListBullet1"/>
              <w:numPr>
                <w:ilvl w:val="0"/>
                <w:numId w:val="13"/>
              </w:numPr>
            </w:pPr>
            <w:r w:rsidRPr="001F0A8B">
              <w:t>Annual submission of results from the Consumer Assessment of Healthcare Providers and Systems (CAHPS</w:t>
            </w:r>
            <w:r>
              <w:t xml:space="preserve">). </w:t>
            </w:r>
          </w:p>
        </w:tc>
      </w:tr>
      <w:tr w:rsidR="00E40086" w:rsidRPr="00821C14" w14:paraId="4EAAD507" w14:textId="77777777" w:rsidTr="00127D1B">
        <w:trPr>
          <w:cantSplit/>
          <w:trHeight w:val="466"/>
        </w:trPr>
        <w:tc>
          <w:tcPr>
            <w:tcW w:w="1443" w:type="dxa"/>
            <w:vMerge w:val="restart"/>
          </w:tcPr>
          <w:p w14:paraId="46A7AA96" w14:textId="072236BD" w:rsidR="00E40086" w:rsidRPr="00821C14" w:rsidRDefault="00E40086" w:rsidP="005D5285">
            <w:pPr>
              <w:keepNext/>
              <w:spacing w:after="0"/>
              <w:rPr>
                <w:rFonts w:cs="Calibri"/>
                <w:color w:val="000000"/>
                <w:sz w:val="20"/>
                <w:szCs w:val="20"/>
              </w:rPr>
            </w:pPr>
            <w:r w:rsidRPr="00821C14">
              <w:rPr>
                <w:rFonts w:cs="Calibri"/>
                <w:color w:val="000000"/>
                <w:sz w:val="20"/>
                <w:szCs w:val="20"/>
              </w:rPr>
              <w:t>PCC P</w:t>
            </w:r>
            <w:r w:rsidR="00FE6674">
              <w:rPr>
                <w:rFonts w:cs="Calibri"/>
                <w:color w:val="000000"/>
                <w:sz w:val="20"/>
                <w:szCs w:val="20"/>
              </w:rPr>
              <w:t xml:space="preserve">lan and Primary Care </w:t>
            </w:r>
            <w:r w:rsidRPr="00821C14">
              <w:rPr>
                <w:rFonts w:cs="Calibri"/>
                <w:color w:val="000000"/>
                <w:sz w:val="20"/>
                <w:szCs w:val="20"/>
              </w:rPr>
              <w:t xml:space="preserve"> BH Program</w:t>
            </w:r>
          </w:p>
        </w:tc>
        <w:tc>
          <w:tcPr>
            <w:tcW w:w="2706" w:type="dxa"/>
          </w:tcPr>
          <w:p w14:paraId="29480DCB" w14:textId="77777777" w:rsidR="00E40086" w:rsidRPr="00821C14" w:rsidRDefault="00E40086" w:rsidP="005D5285">
            <w:pPr>
              <w:keepNext/>
              <w:spacing w:after="0"/>
              <w:rPr>
                <w:rFonts w:cs="Calibri"/>
                <w:color w:val="000000"/>
                <w:sz w:val="20"/>
                <w:szCs w:val="20"/>
              </w:rPr>
            </w:pPr>
            <w:r w:rsidRPr="00821C14">
              <w:rPr>
                <w:rFonts w:cs="Calibri"/>
                <w:color w:val="000000"/>
                <w:sz w:val="20"/>
                <w:szCs w:val="20"/>
              </w:rPr>
              <w:t xml:space="preserve">HEDIS </w:t>
            </w:r>
          </w:p>
          <w:p w14:paraId="2EFAAF14" w14:textId="77777777" w:rsidR="00E40086" w:rsidRPr="00821C14" w:rsidRDefault="00E40086" w:rsidP="00FE6674">
            <w:pPr>
              <w:keepNext/>
              <w:spacing w:after="0"/>
              <w:rPr>
                <w:rFonts w:cs="Calibri"/>
                <w:color w:val="000000"/>
              </w:rPr>
            </w:pPr>
          </w:p>
        </w:tc>
        <w:tc>
          <w:tcPr>
            <w:tcW w:w="6783" w:type="dxa"/>
          </w:tcPr>
          <w:p w14:paraId="621B5C25" w14:textId="77777777" w:rsidR="00E40086" w:rsidRPr="00821C14" w:rsidRDefault="00E40086" w:rsidP="009729DB">
            <w:pPr>
              <w:pStyle w:val="ListBullet1"/>
              <w:numPr>
                <w:ilvl w:val="0"/>
                <w:numId w:val="13"/>
              </w:numPr>
            </w:pPr>
            <w:r w:rsidRPr="00821C14">
              <w:rPr>
                <w:u w:val="single"/>
              </w:rPr>
              <w:t xml:space="preserve">Annual </w:t>
            </w:r>
            <w:r w:rsidRPr="00821C14">
              <w:t xml:space="preserve"> reports, prepared by external contractors of performance measurement</w:t>
            </w:r>
          </w:p>
        </w:tc>
      </w:tr>
      <w:tr w:rsidR="00E40086" w:rsidRPr="00821C14" w14:paraId="6C6732ED" w14:textId="77777777" w:rsidTr="00127D1B">
        <w:trPr>
          <w:cantSplit/>
          <w:trHeight w:val="466"/>
        </w:trPr>
        <w:tc>
          <w:tcPr>
            <w:tcW w:w="1443" w:type="dxa"/>
            <w:vMerge/>
          </w:tcPr>
          <w:p w14:paraId="0ABB425E" w14:textId="77777777" w:rsidR="00E40086" w:rsidRPr="00821C14" w:rsidRDefault="00E40086" w:rsidP="005D5285">
            <w:pPr>
              <w:keepNext/>
              <w:spacing w:after="0"/>
              <w:rPr>
                <w:rFonts w:cs="Calibri"/>
                <w:color w:val="000000"/>
                <w:sz w:val="20"/>
                <w:szCs w:val="20"/>
              </w:rPr>
            </w:pPr>
          </w:p>
        </w:tc>
        <w:tc>
          <w:tcPr>
            <w:tcW w:w="2706" w:type="dxa"/>
          </w:tcPr>
          <w:p w14:paraId="4CEDB4F0" w14:textId="77777777" w:rsidR="00E40086" w:rsidRPr="00821C14" w:rsidRDefault="00E40086" w:rsidP="005D5285">
            <w:pPr>
              <w:keepNext/>
              <w:spacing w:after="0"/>
              <w:rPr>
                <w:rFonts w:cs="Calibri"/>
                <w:color w:val="000000"/>
                <w:sz w:val="20"/>
                <w:szCs w:val="20"/>
              </w:rPr>
            </w:pPr>
            <w:r w:rsidRPr="00821C14">
              <w:rPr>
                <w:rFonts w:cs="Calibri"/>
                <w:color w:val="000000"/>
                <w:sz w:val="20"/>
                <w:szCs w:val="20"/>
              </w:rPr>
              <w:t>BH Screening and well-child visits</w:t>
            </w:r>
          </w:p>
        </w:tc>
        <w:tc>
          <w:tcPr>
            <w:tcW w:w="6783" w:type="dxa"/>
          </w:tcPr>
          <w:p w14:paraId="56433C25" w14:textId="77777777" w:rsidR="00E40086" w:rsidRPr="00821C14" w:rsidRDefault="00E40086" w:rsidP="009729DB">
            <w:pPr>
              <w:pStyle w:val="ListBullet1"/>
              <w:numPr>
                <w:ilvl w:val="0"/>
                <w:numId w:val="13"/>
              </w:numPr>
              <w:rPr>
                <w:u w:val="single"/>
              </w:rPr>
            </w:pPr>
            <w:r w:rsidRPr="00821C14">
              <w:rPr>
                <w:u w:val="single"/>
              </w:rPr>
              <w:t xml:space="preserve">Quarterly </w:t>
            </w:r>
            <w:r w:rsidRPr="00821C14">
              <w:t xml:space="preserve">report of the number of behavioral health screenings and well child visits. </w:t>
            </w:r>
          </w:p>
        </w:tc>
      </w:tr>
      <w:tr w:rsidR="00E40086" w:rsidRPr="00821C14" w14:paraId="443A0499" w14:textId="77777777" w:rsidTr="00127D1B">
        <w:trPr>
          <w:cantSplit/>
          <w:trHeight w:val="466"/>
        </w:trPr>
        <w:tc>
          <w:tcPr>
            <w:tcW w:w="1443" w:type="dxa"/>
            <w:vMerge/>
          </w:tcPr>
          <w:p w14:paraId="4E19A5FB" w14:textId="77777777" w:rsidR="00E40086" w:rsidRPr="00821C14" w:rsidRDefault="00E40086" w:rsidP="005D5285">
            <w:pPr>
              <w:keepNext/>
              <w:spacing w:after="0"/>
              <w:rPr>
                <w:rFonts w:cs="Calibri"/>
                <w:color w:val="000000"/>
                <w:sz w:val="20"/>
                <w:szCs w:val="20"/>
              </w:rPr>
            </w:pPr>
          </w:p>
        </w:tc>
        <w:tc>
          <w:tcPr>
            <w:tcW w:w="2706" w:type="dxa"/>
          </w:tcPr>
          <w:p w14:paraId="49018000" w14:textId="77777777" w:rsidR="00E40086" w:rsidRPr="00821C14" w:rsidRDefault="00E40086" w:rsidP="005D5285">
            <w:pPr>
              <w:keepNext/>
              <w:spacing w:after="0"/>
              <w:rPr>
                <w:rFonts w:cs="Calibri"/>
                <w:color w:val="000000"/>
                <w:sz w:val="20"/>
                <w:szCs w:val="20"/>
              </w:rPr>
            </w:pPr>
            <w:r w:rsidRPr="00821C14">
              <w:rPr>
                <w:rFonts w:cs="Calibri"/>
                <w:color w:val="000000"/>
                <w:sz w:val="20"/>
                <w:szCs w:val="20"/>
              </w:rPr>
              <w:t>CBHI Cost and Utilization</w:t>
            </w:r>
          </w:p>
        </w:tc>
        <w:tc>
          <w:tcPr>
            <w:tcW w:w="6783" w:type="dxa"/>
          </w:tcPr>
          <w:p w14:paraId="59985677" w14:textId="77777777" w:rsidR="00E40086" w:rsidRPr="00821C14" w:rsidRDefault="00E40086" w:rsidP="009729DB">
            <w:pPr>
              <w:pStyle w:val="ListBullet1"/>
              <w:numPr>
                <w:ilvl w:val="0"/>
                <w:numId w:val="13"/>
              </w:numPr>
              <w:rPr>
                <w:u w:val="single"/>
              </w:rPr>
            </w:pPr>
            <w:r w:rsidRPr="00821C14">
              <w:rPr>
                <w:u w:val="single"/>
              </w:rPr>
              <w:t>Monthly</w:t>
            </w:r>
            <w:r w:rsidRPr="00821C14">
              <w:t xml:space="preserve"> report on the cost and utilization of CBHI related services</w:t>
            </w:r>
          </w:p>
        </w:tc>
      </w:tr>
      <w:tr w:rsidR="00E40086" w:rsidRPr="00821C14" w14:paraId="1E894DC3" w14:textId="77777777" w:rsidTr="00127D1B">
        <w:trPr>
          <w:cantSplit/>
          <w:trHeight w:val="983"/>
        </w:trPr>
        <w:tc>
          <w:tcPr>
            <w:tcW w:w="1443" w:type="dxa"/>
            <w:vMerge/>
          </w:tcPr>
          <w:p w14:paraId="00CF349B" w14:textId="77777777" w:rsidR="00E40086" w:rsidRPr="00821C14" w:rsidRDefault="00E40086" w:rsidP="005D5285">
            <w:pPr>
              <w:keepNext/>
              <w:spacing w:after="0"/>
              <w:rPr>
                <w:rFonts w:cs="Calibri"/>
                <w:color w:val="000000"/>
                <w:sz w:val="20"/>
                <w:szCs w:val="20"/>
              </w:rPr>
            </w:pPr>
          </w:p>
        </w:tc>
        <w:tc>
          <w:tcPr>
            <w:tcW w:w="2706" w:type="dxa"/>
          </w:tcPr>
          <w:p w14:paraId="2821DBAD" w14:textId="77777777" w:rsidR="00E40086" w:rsidRPr="00821C14" w:rsidRDefault="00E40086" w:rsidP="005D5285">
            <w:pPr>
              <w:keepNext/>
              <w:spacing w:after="0"/>
              <w:rPr>
                <w:rFonts w:cs="Calibri"/>
                <w:color w:val="000000"/>
                <w:sz w:val="20"/>
                <w:szCs w:val="20"/>
              </w:rPr>
            </w:pPr>
            <w:r w:rsidRPr="00821C14">
              <w:rPr>
                <w:rFonts w:cs="Calibri"/>
                <w:color w:val="000000"/>
                <w:sz w:val="20"/>
                <w:szCs w:val="20"/>
              </w:rPr>
              <w:t>BH Cost and Utilization</w:t>
            </w:r>
          </w:p>
        </w:tc>
        <w:tc>
          <w:tcPr>
            <w:tcW w:w="6783" w:type="dxa"/>
          </w:tcPr>
          <w:p w14:paraId="35F54C9F" w14:textId="77777777" w:rsidR="00E40086" w:rsidRPr="00821C14" w:rsidRDefault="00E40086" w:rsidP="009729DB">
            <w:pPr>
              <w:pStyle w:val="ListBullet1"/>
              <w:numPr>
                <w:ilvl w:val="0"/>
                <w:numId w:val="13"/>
              </w:numPr>
              <w:rPr>
                <w:u w:val="single"/>
              </w:rPr>
            </w:pPr>
            <w:r w:rsidRPr="00821C14">
              <w:rPr>
                <w:u w:val="single"/>
              </w:rPr>
              <w:t>Quarterly</w:t>
            </w:r>
            <w:r w:rsidRPr="00821C14">
              <w:t xml:space="preserve"> report of overall cost and utilization of behavioral health services</w:t>
            </w:r>
          </w:p>
        </w:tc>
      </w:tr>
      <w:tr w:rsidR="00E40086" w:rsidRPr="00821C14" w14:paraId="6CCB34A7" w14:textId="77777777" w:rsidTr="00127D1B">
        <w:trPr>
          <w:cantSplit/>
          <w:trHeight w:val="466"/>
        </w:trPr>
        <w:tc>
          <w:tcPr>
            <w:tcW w:w="10932" w:type="dxa"/>
            <w:gridSpan w:val="3"/>
            <w:shd w:val="clear" w:color="auto" w:fill="D9D9D9"/>
          </w:tcPr>
          <w:p w14:paraId="1478F37B" w14:textId="77777777" w:rsidR="00E40086" w:rsidRPr="00821C14" w:rsidRDefault="00E40086" w:rsidP="00AF3367">
            <w:pPr>
              <w:keepNext/>
              <w:spacing w:after="0"/>
              <w:rPr>
                <w:rFonts w:cs="Calibri"/>
                <w:b/>
                <w:bCs/>
                <w:color w:val="000000"/>
                <w:sz w:val="20"/>
                <w:szCs w:val="20"/>
              </w:rPr>
            </w:pPr>
            <w:r w:rsidRPr="00821C14">
              <w:rPr>
                <w:rFonts w:cs="Calibri"/>
                <w:b/>
                <w:bCs/>
                <w:color w:val="000000"/>
                <w:sz w:val="20"/>
                <w:szCs w:val="20"/>
              </w:rPr>
              <w:t xml:space="preserve">Performance improvement </w:t>
            </w:r>
          </w:p>
          <w:p w14:paraId="7F216DA7" w14:textId="469AB691" w:rsidR="00E40086" w:rsidRPr="00821C14" w:rsidRDefault="00FE6674" w:rsidP="00AF3367">
            <w:pPr>
              <w:keepNext/>
              <w:spacing w:after="0"/>
              <w:rPr>
                <w:rFonts w:cs="Calibri"/>
                <w:color w:val="000000"/>
                <w:sz w:val="20"/>
                <w:szCs w:val="20"/>
              </w:rPr>
            </w:pPr>
            <w:r>
              <w:rPr>
                <w:rFonts w:cs="Calibri"/>
                <w:color w:val="000000"/>
                <w:sz w:val="20"/>
                <w:szCs w:val="20"/>
              </w:rPr>
              <w:t xml:space="preserve">CFR </w:t>
            </w:r>
            <w:r w:rsidR="00E40086" w:rsidRPr="00821C14">
              <w:rPr>
                <w:rFonts w:cs="Calibri"/>
                <w:color w:val="000000"/>
                <w:sz w:val="20"/>
                <w:szCs w:val="20"/>
              </w:rPr>
              <w:t>Section:</w:t>
            </w:r>
          </w:p>
          <w:p w14:paraId="407893CF" w14:textId="77777777" w:rsidR="00E40086" w:rsidRPr="00821C14" w:rsidRDefault="00E40086" w:rsidP="006707EF">
            <w:pPr>
              <w:pStyle w:val="ListBullet2"/>
              <w:rPr>
                <w:rFonts w:cs="Calibri"/>
                <w:u w:val="single"/>
              </w:rPr>
            </w:pPr>
            <w:r w:rsidRPr="00821C14">
              <w:rPr>
                <w:rFonts w:cs="Calibri"/>
              </w:rPr>
              <w:t>42 CFR 438.240 -- Quality assessment and performance improvement program</w:t>
            </w:r>
          </w:p>
        </w:tc>
      </w:tr>
      <w:tr w:rsidR="00E40086" w:rsidRPr="00821C14" w14:paraId="4C802909" w14:textId="77777777" w:rsidTr="00127D1B">
        <w:trPr>
          <w:cantSplit/>
          <w:trHeight w:val="466"/>
        </w:trPr>
        <w:tc>
          <w:tcPr>
            <w:tcW w:w="1443" w:type="dxa"/>
          </w:tcPr>
          <w:p w14:paraId="4AAFDD4F" w14:textId="77777777" w:rsidR="00E40086" w:rsidRPr="00821C14" w:rsidRDefault="00965F56" w:rsidP="00965F56">
            <w:pPr>
              <w:tabs>
                <w:tab w:val="left" w:pos="750"/>
              </w:tabs>
              <w:spacing w:after="0"/>
              <w:rPr>
                <w:rFonts w:cs="Calibri"/>
                <w:color w:val="000000"/>
                <w:sz w:val="20"/>
                <w:szCs w:val="20"/>
              </w:rPr>
            </w:pPr>
            <w:r w:rsidRPr="00821C14">
              <w:rPr>
                <w:rFonts w:cs="Calibri"/>
                <w:color w:val="000000"/>
                <w:sz w:val="20"/>
                <w:szCs w:val="20"/>
              </w:rPr>
              <w:t>MCO</w:t>
            </w:r>
            <w:r>
              <w:rPr>
                <w:rFonts w:cs="Calibri"/>
                <w:color w:val="000000"/>
                <w:sz w:val="20"/>
                <w:szCs w:val="20"/>
              </w:rPr>
              <w:t xml:space="preserve"> and Accountable Care Partnership Plan Program</w:t>
            </w:r>
          </w:p>
        </w:tc>
        <w:tc>
          <w:tcPr>
            <w:tcW w:w="2706" w:type="dxa"/>
          </w:tcPr>
          <w:p w14:paraId="57C9F63E" w14:textId="77777777" w:rsidR="00E40086" w:rsidRPr="00821C14" w:rsidRDefault="00E40086" w:rsidP="005D5285">
            <w:pPr>
              <w:pStyle w:val="FootnoteText"/>
              <w:keepNext/>
              <w:rPr>
                <w:rFonts w:cs="Calibri"/>
                <w:color w:val="000000"/>
              </w:rPr>
            </w:pPr>
            <w:r w:rsidRPr="00821C14">
              <w:rPr>
                <w:rFonts w:cs="Calibri"/>
                <w:color w:val="000000"/>
              </w:rPr>
              <w:t>Quality improvement goal reports</w:t>
            </w:r>
          </w:p>
        </w:tc>
        <w:tc>
          <w:tcPr>
            <w:tcW w:w="6783" w:type="dxa"/>
          </w:tcPr>
          <w:p w14:paraId="79F87A7E" w14:textId="77777777" w:rsidR="00E40086" w:rsidRPr="00821C14" w:rsidRDefault="00E40086" w:rsidP="00D12C42">
            <w:pPr>
              <w:pStyle w:val="ListBullet1"/>
              <w:ind w:left="360"/>
            </w:pPr>
            <w:r w:rsidRPr="00821C14">
              <w:t>Semi-Annual reports of progress toward QI goals.</w:t>
            </w:r>
          </w:p>
        </w:tc>
      </w:tr>
      <w:tr w:rsidR="00E40086" w:rsidRPr="00821C14" w14:paraId="51B9D021" w14:textId="77777777" w:rsidTr="00127D1B">
        <w:trPr>
          <w:cantSplit/>
          <w:trHeight w:val="466"/>
        </w:trPr>
        <w:tc>
          <w:tcPr>
            <w:tcW w:w="1443" w:type="dxa"/>
          </w:tcPr>
          <w:p w14:paraId="6BB32272" w14:textId="77777777" w:rsidR="00E40086" w:rsidRPr="00821C14" w:rsidRDefault="009E6996" w:rsidP="005D5285">
            <w:pPr>
              <w:keepNext/>
              <w:spacing w:after="0"/>
              <w:rPr>
                <w:rFonts w:cs="Calibri"/>
                <w:color w:val="000000"/>
                <w:sz w:val="20"/>
                <w:szCs w:val="20"/>
              </w:rPr>
            </w:pPr>
            <w:r>
              <w:rPr>
                <w:rFonts w:cs="Calibri"/>
                <w:color w:val="000000"/>
                <w:sz w:val="20"/>
                <w:szCs w:val="20"/>
              </w:rPr>
              <w:t>One Care</w:t>
            </w:r>
            <w:r w:rsidR="00E40086">
              <w:rPr>
                <w:rFonts w:cs="Calibri"/>
                <w:color w:val="000000"/>
                <w:sz w:val="20"/>
                <w:szCs w:val="20"/>
              </w:rPr>
              <w:t xml:space="preserve"> Program</w:t>
            </w:r>
          </w:p>
        </w:tc>
        <w:tc>
          <w:tcPr>
            <w:tcW w:w="2706" w:type="dxa"/>
          </w:tcPr>
          <w:p w14:paraId="523D69FF" w14:textId="77777777" w:rsidR="00E40086" w:rsidRPr="00821C14" w:rsidRDefault="00E40086" w:rsidP="005D5285">
            <w:pPr>
              <w:pStyle w:val="FootnoteText"/>
              <w:keepNext/>
              <w:rPr>
                <w:rFonts w:cs="Calibri"/>
                <w:color w:val="000000"/>
              </w:rPr>
            </w:pPr>
            <w:r>
              <w:rPr>
                <w:rFonts w:cs="Calibri"/>
                <w:color w:val="000000"/>
              </w:rPr>
              <w:t>Quality Improvement Report</w:t>
            </w:r>
          </w:p>
        </w:tc>
        <w:tc>
          <w:tcPr>
            <w:tcW w:w="6783" w:type="dxa"/>
          </w:tcPr>
          <w:p w14:paraId="19183BC6" w14:textId="77777777" w:rsidR="00E40086" w:rsidRPr="00821C14" w:rsidRDefault="00965F56" w:rsidP="00D12C42">
            <w:pPr>
              <w:pStyle w:val="ListBullet1"/>
              <w:ind w:left="360"/>
            </w:pPr>
            <w:r w:rsidRPr="00821C14">
              <w:t xml:space="preserve">Semi-Annual </w:t>
            </w:r>
            <w:r>
              <w:t xml:space="preserve"> </w:t>
            </w:r>
            <w:r w:rsidR="00E40086">
              <w:t xml:space="preserve">report of QI initiatives and results of evaluation </w:t>
            </w:r>
          </w:p>
        </w:tc>
      </w:tr>
      <w:tr w:rsidR="00E40086" w:rsidRPr="00821C14" w14:paraId="74850317" w14:textId="77777777" w:rsidTr="00127D1B">
        <w:trPr>
          <w:cantSplit/>
          <w:trHeight w:val="466"/>
        </w:trPr>
        <w:tc>
          <w:tcPr>
            <w:tcW w:w="1443" w:type="dxa"/>
          </w:tcPr>
          <w:p w14:paraId="60725A7A" w14:textId="77777777" w:rsidR="00E40086" w:rsidRPr="00821C14" w:rsidRDefault="00E40086" w:rsidP="005D5285">
            <w:pPr>
              <w:keepNext/>
              <w:spacing w:after="0"/>
              <w:rPr>
                <w:rFonts w:cs="Calibri"/>
                <w:color w:val="000000"/>
                <w:sz w:val="20"/>
                <w:szCs w:val="20"/>
              </w:rPr>
            </w:pPr>
            <w:r w:rsidRPr="00821C14">
              <w:rPr>
                <w:rFonts w:cs="Calibri"/>
                <w:color w:val="000000"/>
                <w:sz w:val="20"/>
                <w:szCs w:val="20"/>
              </w:rPr>
              <w:t>SCO Program</w:t>
            </w:r>
          </w:p>
        </w:tc>
        <w:tc>
          <w:tcPr>
            <w:tcW w:w="2706" w:type="dxa"/>
          </w:tcPr>
          <w:p w14:paraId="1E05E805" w14:textId="77777777" w:rsidR="00E40086" w:rsidRPr="00821C14" w:rsidRDefault="00E40086" w:rsidP="005D5285">
            <w:pPr>
              <w:keepNext/>
              <w:spacing w:after="0"/>
              <w:rPr>
                <w:rFonts w:cs="Calibri"/>
                <w:color w:val="000000"/>
                <w:sz w:val="20"/>
                <w:szCs w:val="20"/>
              </w:rPr>
            </w:pPr>
            <w:r w:rsidRPr="00821C14">
              <w:rPr>
                <w:rFonts w:cs="Calibri"/>
                <w:color w:val="000000"/>
                <w:sz w:val="20"/>
                <w:szCs w:val="20"/>
              </w:rPr>
              <w:t>Quality management goal reports</w:t>
            </w:r>
          </w:p>
        </w:tc>
        <w:tc>
          <w:tcPr>
            <w:tcW w:w="6783" w:type="dxa"/>
          </w:tcPr>
          <w:p w14:paraId="63A2B84B" w14:textId="77777777" w:rsidR="00E40086" w:rsidRPr="00821C14" w:rsidRDefault="00965F56" w:rsidP="00D12C42">
            <w:pPr>
              <w:pStyle w:val="ListBullet1"/>
              <w:ind w:left="360"/>
            </w:pPr>
            <w:r w:rsidRPr="00821C14">
              <w:t>Semi-Annual reports of progress toward QI goals.</w:t>
            </w:r>
          </w:p>
        </w:tc>
      </w:tr>
      <w:tr w:rsidR="00E40086" w:rsidRPr="00821C14" w14:paraId="12D46313" w14:textId="77777777" w:rsidTr="00127D1B">
        <w:trPr>
          <w:cantSplit/>
          <w:trHeight w:val="466"/>
        </w:trPr>
        <w:tc>
          <w:tcPr>
            <w:tcW w:w="1443" w:type="dxa"/>
            <w:vMerge w:val="restart"/>
          </w:tcPr>
          <w:p w14:paraId="2DD46E23" w14:textId="385AC493" w:rsidR="00E40086" w:rsidRPr="00821C14" w:rsidRDefault="00E40086" w:rsidP="005D5285">
            <w:pPr>
              <w:keepNext/>
              <w:spacing w:after="0"/>
              <w:rPr>
                <w:rFonts w:cs="Calibri"/>
                <w:color w:val="000000"/>
                <w:sz w:val="20"/>
                <w:szCs w:val="20"/>
              </w:rPr>
            </w:pPr>
            <w:r w:rsidRPr="00821C14">
              <w:rPr>
                <w:rFonts w:cs="Calibri"/>
                <w:color w:val="000000"/>
                <w:sz w:val="20"/>
                <w:szCs w:val="20"/>
              </w:rPr>
              <w:t>PCC P</w:t>
            </w:r>
            <w:r w:rsidR="00FE6674">
              <w:rPr>
                <w:rFonts w:cs="Calibri"/>
                <w:color w:val="000000"/>
                <w:sz w:val="20"/>
                <w:szCs w:val="20"/>
              </w:rPr>
              <w:t>lan and Primary Care ACO</w:t>
            </w:r>
            <w:r w:rsidRPr="00821C14">
              <w:rPr>
                <w:rFonts w:cs="Calibri"/>
                <w:color w:val="000000"/>
                <w:sz w:val="20"/>
                <w:szCs w:val="20"/>
              </w:rPr>
              <w:t xml:space="preserve"> BH Program</w:t>
            </w:r>
          </w:p>
        </w:tc>
        <w:tc>
          <w:tcPr>
            <w:tcW w:w="2706" w:type="dxa"/>
          </w:tcPr>
          <w:p w14:paraId="4991F407" w14:textId="77777777" w:rsidR="00E40086" w:rsidRPr="00821C14" w:rsidRDefault="00E40086" w:rsidP="005D5285">
            <w:pPr>
              <w:keepNext/>
              <w:spacing w:after="0"/>
              <w:rPr>
                <w:rFonts w:cs="Calibri"/>
                <w:color w:val="000000"/>
                <w:sz w:val="20"/>
                <w:szCs w:val="20"/>
              </w:rPr>
            </w:pPr>
            <w:r w:rsidRPr="00821C14">
              <w:rPr>
                <w:rFonts w:cs="Calibri"/>
                <w:color w:val="000000"/>
                <w:sz w:val="20"/>
                <w:szCs w:val="20"/>
              </w:rPr>
              <w:t>QM Activities Report</w:t>
            </w:r>
          </w:p>
        </w:tc>
        <w:tc>
          <w:tcPr>
            <w:tcW w:w="6783" w:type="dxa"/>
          </w:tcPr>
          <w:p w14:paraId="7F4B9D09" w14:textId="77777777" w:rsidR="00E40086" w:rsidRPr="00821C14" w:rsidRDefault="00E40086" w:rsidP="00D12C42">
            <w:pPr>
              <w:pStyle w:val="ListBullet1"/>
              <w:ind w:left="360"/>
            </w:pPr>
            <w:r w:rsidRPr="00821C14">
              <w:t>Annual summary of MCE’s quality management activities for the year</w:t>
            </w:r>
          </w:p>
        </w:tc>
      </w:tr>
      <w:tr w:rsidR="00E40086" w:rsidRPr="00821C14" w14:paraId="0F502D62" w14:textId="77777777" w:rsidTr="00127D1B">
        <w:trPr>
          <w:cantSplit/>
          <w:trHeight w:val="466"/>
        </w:trPr>
        <w:tc>
          <w:tcPr>
            <w:tcW w:w="1443" w:type="dxa"/>
            <w:vMerge/>
          </w:tcPr>
          <w:p w14:paraId="78E98CAB" w14:textId="77777777" w:rsidR="00E40086" w:rsidRPr="00821C14" w:rsidRDefault="00E40086" w:rsidP="005D5285">
            <w:pPr>
              <w:keepNext/>
              <w:spacing w:after="0"/>
              <w:rPr>
                <w:rFonts w:cs="Calibri"/>
                <w:color w:val="000000"/>
                <w:sz w:val="20"/>
                <w:szCs w:val="20"/>
              </w:rPr>
            </w:pPr>
          </w:p>
        </w:tc>
        <w:tc>
          <w:tcPr>
            <w:tcW w:w="2706" w:type="dxa"/>
          </w:tcPr>
          <w:p w14:paraId="32C661E0" w14:textId="77777777" w:rsidR="00E40086" w:rsidRPr="00821C14" w:rsidRDefault="00E40086" w:rsidP="002E278A">
            <w:pPr>
              <w:keepNext/>
              <w:spacing w:after="0"/>
              <w:rPr>
                <w:rFonts w:cs="Calibri"/>
                <w:color w:val="000000"/>
                <w:sz w:val="20"/>
                <w:szCs w:val="20"/>
              </w:rPr>
            </w:pPr>
            <w:r w:rsidRPr="00821C14">
              <w:rPr>
                <w:rFonts w:cs="Calibri"/>
                <w:color w:val="000000"/>
                <w:sz w:val="20"/>
                <w:szCs w:val="20"/>
              </w:rPr>
              <w:t>Performance specifications and clinical criteria</w:t>
            </w:r>
          </w:p>
        </w:tc>
        <w:tc>
          <w:tcPr>
            <w:tcW w:w="6783" w:type="dxa"/>
          </w:tcPr>
          <w:p w14:paraId="7FA59B9F" w14:textId="77777777" w:rsidR="00E40086" w:rsidRPr="00821C14" w:rsidRDefault="00E40086" w:rsidP="00D12C42">
            <w:pPr>
              <w:pStyle w:val="ListBullet1"/>
              <w:ind w:left="360"/>
            </w:pPr>
            <w:r w:rsidRPr="00821C14">
              <w:t>Annual submission of clinical criteria and performance specifications.</w:t>
            </w:r>
          </w:p>
        </w:tc>
      </w:tr>
      <w:tr w:rsidR="00E40086" w:rsidRPr="00821C14" w14:paraId="011FCC0D" w14:textId="77777777" w:rsidTr="00127D1B">
        <w:trPr>
          <w:cantSplit/>
          <w:trHeight w:val="466"/>
        </w:trPr>
        <w:tc>
          <w:tcPr>
            <w:tcW w:w="1443" w:type="dxa"/>
            <w:vMerge/>
          </w:tcPr>
          <w:p w14:paraId="11E9BD94" w14:textId="77777777" w:rsidR="00E40086" w:rsidRPr="00821C14" w:rsidRDefault="00E40086" w:rsidP="005D5285">
            <w:pPr>
              <w:keepNext/>
              <w:spacing w:after="0"/>
              <w:rPr>
                <w:rFonts w:cs="Calibri"/>
                <w:color w:val="000000"/>
                <w:sz w:val="20"/>
                <w:szCs w:val="20"/>
              </w:rPr>
            </w:pPr>
          </w:p>
        </w:tc>
        <w:tc>
          <w:tcPr>
            <w:tcW w:w="2706" w:type="dxa"/>
          </w:tcPr>
          <w:p w14:paraId="4F1A9A5A" w14:textId="77777777" w:rsidR="00E40086" w:rsidRPr="00821C14" w:rsidRDefault="00E40086" w:rsidP="002E278A">
            <w:pPr>
              <w:keepNext/>
              <w:spacing w:after="0"/>
              <w:rPr>
                <w:rFonts w:cs="Calibri"/>
                <w:color w:val="000000"/>
                <w:sz w:val="20"/>
                <w:szCs w:val="20"/>
              </w:rPr>
            </w:pPr>
            <w:r w:rsidRPr="00821C14">
              <w:rPr>
                <w:rFonts w:cs="Calibri"/>
                <w:color w:val="000000"/>
                <w:sz w:val="20"/>
                <w:szCs w:val="20"/>
              </w:rPr>
              <w:t>Medical record review</w:t>
            </w:r>
          </w:p>
        </w:tc>
        <w:tc>
          <w:tcPr>
            <w:tcW w:w="6783" w:type="dxa"/>
          </w:tcPr>
          <w:p w14:paraId="4AA04264" w14:textId="77777777" w:rsidR="00E40086" w:rsidRPr="00821C14" w:rsidRDefault="00E40086" w:rsidP="00D12C42">
            <w:pPr>
              <w:pStyle w:val="ListBullet1"/>
              <w:ind w:left="360"/>
            </w:pPr>
            <w:r w:rsidRPr="00821C14">
              <w:t>Annual review of medical records</w:t>
            </w:r>
          </w:p>
        </w:tc>
      </w:tr>
      <w:tr w:rsidR="00E40086" w:rsidRPr="00821C14" w14:paraId="101815BA" w14:textId="77777777" w:rsidTr="00127D1B">
        <w:trPr>
          <w:cantSplit/>
          <w:trHeight w:val="466"/>
        </w:trPr>
        <w:tc>
          <w:tcPr>
            <w:tcW w:w="10932" w:type="dxa"/>
            <w:gridSpan w:val="3"/>
            <w:shd w:val="clear" w:color="auto" w:fill="D9D9D9"/>
          </w:tcPr>
          <w:p w14:paraId="3BE3BA68" w14:textId="77777777" w:rsidR="00E40086" w:rsidRPr="00821C14" w:rsidRDefault="00E40086" w:rsidP="00AF3367">
            <w:pPr>
              <w:spacing w:after="0"/>
              <w:rPr>
                <w:rFonts w:cs="Calibri"/>
                <w:b/>
                <w:bCs/>
                <w:color w:val="000000"/>
                <w:sz w:val="20"/>
                <w:szCs w:val="20"/>
              </w:rPr>
            </w:pPr>
            <w:r w:rsidRPr="00821C14">
              <w:rPr>
                <w:rFonts w:cs="Calibri"/>
                <w:b/>
                <w:bCs/>
                <w:color w:val="000000"/>
                <w:sz w:val="20"/>
                <w:szCs w:val="20"/>
              </w:rPr>
              <w:t>Information systems</w:t>
            </w:r>
          </w:p>
          <w:p w14:paraId="2A72FDA7" w14:textId="0D340476" w:rsidR="00E40086" w:rsidRPr="00821C14" w:rsidRDefault="00FE6674" w:rsidP="00AF3367">
            <w:pPr>
              <w:spacing w:after="0"/>
              <w:rPr>
                <w:rFonts w:cs="Calibri"/>
                <w:color w:val="000000"/>
                <w:sz w:val="20"/>
                <w:szCs w:val="20"/>
              </w:rPr>
            </w:pPr>
            <w:r>
              <w:rPr>
                <w:rFonts w:cs="Calibri"/>
                <w:color w:val="000000"/>
                <w:sz w:val="20"/>
                <w:szCs w:val="20"/>
              </w:rPr>
              <w:t>CFR</w:t>
            </w:r>
            <w:r w:rsidRPr="00821C14">
              <w:rPr>
                <w:rFonts w:cs="Calibri"/>
                <w:color w:val="000000"/>
                <w:sz w:val="20"/>
                <w:szCs w:val="20"/>
              </w:rPr>
              <w:t xml:space="preserve"> </w:t>
            </w:r>
            <w:r w:rsidR="00E40086" w:rsidRPr="00821C14">
              <w:rPr>
                <w:rFonts w:cs="Calibri"/>
                <w:color w:val="000000"/>
                <w:sz w:val="20"/>
                <w:szCs w:val="20"/>
              </w:rPr>
              <w:t xml:space="preserve">Section: </w:t>
            </w:r>
          </w:p>
          <w:p w14:paraId="1879B4C1" w14:textId="77777777" w:rsidR="00E40086" w:rsidRPr="00821C14" w:rsidRDefault="00E40086" w:rsidP="006707EF">
            <w:pPr>
              <w:pStyle w:val="ListBullet2"/>
              <w:rPr>
                <w:rFonts w:cs="Calibri"/>
                <w:u w:val="single"/>
              </w:rPr>
            </w:pPr>
            <w:r w:rsidRPr="00821C14">
              <w:rPr>
                <w:rFonts w:cs="Calibri"/>
              </w:rPr>
              <w:t>42 CFR 438.242 - Health information systems</w:t>
            </w:r>
          </w:p>
        </w:tc>
      </w:tr>
      <w:tr w:rsidR="00E40086" w:rsidRPr="00821C14" w14:paraId="17CC9546" w14:textId="77777777" w:rsidTr="00127D1B">
        <w:trPr>
          <w:cantSplit/>
          <w:trHeight w:val="466"/>
        </w:trPr>
        <w:tc>
          <w:tcPr>
            <w:tcW w:w="1443" w:type="dxa"/>
          </w:tcPr>
          <w:p w14:paraId="07062A3C" w14:textId="77777777" w:rsidR="00E40086" w:rsidRPr="00821C14" w:rsidRDefault="00965F56" w:rsidP="005D5285">
            <w:pPr>
              <w:spacing w:after="0"/>
              <w:rPr>
                <w:rFonts w:cs="Calibri"/>
                <w:color w:val="000000"/>
                <w:sz w:val="20"/>
                <w:szCs w:val="20"/>
              </w:rPr>
            </w:pPr>
            <w:r w:rsidRPr="00821C14">
              <w:rPr>
                <w:rFonts w:cs="Calibri"/>
                <w:color w:val="000000"/>
                <w:sz w:val="20"/>
                <w:szCs w:val="20"/>
              </w:rPr>
              <w:t>MCO</w:t>
            </w:r>
            <w:r>
              <w:rPr>
                <w:rFonts w:cs="Calibri"/>
                <w:color w:val="000000"/>
                <w:sz w:val="20"/>
                <w:szCs w:val="20"/>
              </w:rPr>
              <w:t xml:space="preserve"> and Accountable Care Partnership Plan Program</w:t>
            </w:r>
          </w:p>
        </w:tc>
        <w:tc>
          <w:tcPr>
            <w:tcW w:w="2706" w:type="dxa"/>
          </w:tcPr>
          <w:p w14:paraId="128EF2FA" w14:textId="77777777" w:rsidR="00E40086" w:rsidRPr="00821C14" w:rsidRDefault="00E40086" w:rsidP="005D5285">
            <w:pPr>
              <w:spacing w:after="0"/>
              <w:rPr>
                <w:rFonts w:cs="Calibri"/>
                <w:color w:val="000000"/>
                <w:sz w:val="20"/>
                <w:szCs w:val="20"/>
              </w:rPr>
            </w:pPr>
            <w:r w:rsidRPr="00821C14">
              <w:rPr>
                <w:rFonts w:cs="Calibri"/>
                <w:color w:val="000000"/>
                <w:sz w:val="20"/>
                <w:szCs w:val="20"/>
              </w:rPr>
              <w:t>Encounter data</w:t>
            </w:r>
          </w:p>
        </w:tc>
        <w:tc>
          <w:tcPr>
            <w:tcW w:w="6783" w:type="dxa"/>
          </w:tcPr>
          <w:p w14:paraId="110C169F" w14:textId="77777777" w:rsidR="00E40086" w:rsidRPr="00821C14" w:rsidRDefault="00E40086" w:rsidP="00D12C42">
            <w:pPr>
              <w:pStyle w:val="ListBullet1"/>
              <w:ind w:left="360"/>
            </w:pPr>
            <w:r w:rsidRPr="00821C14">
              <w:t>Monthly submission of encounter data</w:t>
            </w:r>
          </w:p>
        </w:tc>
      </w:tr>
      <w:tr w:rsidR="00E40086" w:rsidRPr="00821C14" w14:paraId="607CA976" w14:textId="77777777" w:rsidTr="00127D1B">
        <w:trPr>
          <w:cantSplit/>
          <w:trHeight w:val="466"/>
        </w:trPr>
        <w:tc>
          <w:tcPr>
            <w:tcW w:w="1443" w:type="dxa"/>
          </w:tcPr>
          <w:p w14:paraId="1E876B29" w14:textId="77777777" w:rsidR="00E40086" w:rsidRPr="00821C14" w:rsidRDefault="009E6996" w:rsidP="005D5285">
            <w:pPr>
              <w:spacing w:after="0"/>
              <w:rPr>
                <w:rFonts w:cs="Calibri"/>
                <w:color w:val="000000"/>
                <w:sz w:val="20"/>
                <w:szCs w:val="20"/>
              </w:rPr>
            </w:pPr>
            <w:r>
              <w:rPr>
                <w:rFonts w:cs="Calibri"/>
                <w:color w:val="000000"/>
                <w:sz w:val="20"/>
                <w:szCs w:val="20"/>
              </w:rPr>
              <w:lastRenderedPageBreak/>
              <w:t>One Care</w:t>
            </w:r>
            <w:r w:rsidR="00E40086">
              <w:rPr>
                <w:rFonts w:cs="Calibri"/>
                <w:color w:val="000000"/>
                <w:sz w:val="20"/>
                <w:szCs w:val="20"/>
              </w:rPr>
              <w:t xml:space="preserve"> Program</w:t>
            </w:r>
          </w:p>
        </w:tc>
        <w:tc>
          <w:tcPr>
            <w:tcW w:w="2706" w:type="dxa"/>
          </w:tcPr>
          <w:p w14:paraId="4C26B75F" w14:textId="77777777" w:rsidR="00E40086" w:rsidRPr="00821C14" w:rsidRDefault="00E40086" w:rsidP="005D5285">
            <w:pPr>
              <w:spacing w:after="0"/>
              <w:rPr>
                <w:rFonts w:cs="Calibri"/>
                <w:color w:val="000000"/>
                <w:sz w:val="20"/>
                <w:szCs w:val="20"/>
              </w:rPr>
            </w:pPr>
            <w:r>
              <w:rPr>
                <w:rFonts w:cs="Calibri"/>
                <w:color w:val="000000"/>
                <w:sz w:val="20"/>
                <w:szCs w:val="20"/>
              </w:rPr>
              <w:t>Encounter data</w:t>
            </w:r>
          </w:p>
        </w:tc>
        <w:tc>
          <w:tcPr>
            <w:tcW w:w="6783" w:type="dxa"/>
          </w:tcPr>
          <w:p w14:paraId="04558930" w14:textId="77777777" w:rsidR="00E40086" w:rsidRPr="00821C14" w:rsidRDefault="00E40086" w:rsidP="00D12C42">
            <w:pPr>
              <w:pStyle w:val="ListBullet1"/>
              <w:ind w:left="360"/>
            </w:pPr>
            <w:r>
              <w:t>Monthly submission of provider encounter data to CM and EOHHS and a monthly basis per CMS and EOHHS specifications</w:t>
            </w:r>
          </w:p>
        </w:tc>
      </w:tr>
      <w:tr w:rsidR="00E40086" w:rsidRPr="00821C14" w14:paraId="08F32087" w14:textId="77777777" w:rsidTr="00127D1B">
        <w:trPr>
          <w:cantSplit/>
          <w:trHeight w:val="466"/>
        </w:trPr>
        <w:tc>
          <w:tcPr>
            <w:tcW w:w="1443" w:type="dxa"/>
          </w:tcPr>
          <w:p w14:paraId="297E0875" w14:textId="77777777" w:rsidR="00E40086" w:rsidRPr="00821C14" w:rsidRDefault="00E40086" w:rsidP="005D5285">
            <w:pPr>
              <w:spacing w:after="0"/>
              <w:rPr>
                <w:rFonts w:cs="Calibri"/>
                <w:color w:val="000000"/>
                <w:sz w:val="20"/>
                <w:szCs w:val="20"/>
              </w:rPr>
            </w:pPr>
            <w:r w:rsidRPr="00821C14">
              <w:rPr>
                <w:rFonts w:cs="Calibri"/>
                <w:color w:val="000000"/>
                <w:sz w:val="20"/>
                <w:szCs w:val="20"/>
              </w:rPr>
              <w:t>SCO Program</w:t>
            </w:r>
          </w:p>
        </w:tc>
        <w:tc>
          <w:tcPr>
            <w:tcW w:w="2706" w:type="dxa"/>
          </w:tcPr>
          <w:p w14:paraId="63173C41" w14:textId="77777777" w:rsidR="00E40086" w:rsidRPr="00821C14" w:rsidRDefault="00E40086" w:rsidP="005D5285">
            <w:pPr>
              <w:spacing w:after="0"/>
              <w:rPr>
                <w:rFonts w:cs="Calibri"/>
                <w:color w:val="000000"/>
                <w:sz w:val="20"/>
                <w:szCs w:val="20"/>
              </w:rPr>
            </w:pPr>
            <w:r w:rsidRPr="00821C14">
              <w:rPr>
                <w:rFonts w:cs="Calibri"/>
                <w:color w:val="000000"/>
                <w:sz w:val="20"/>
                <w:szCs w:val="20"/>
              </w:rPr>
              <w:t>Utilization reports</w:t>
            </w:r>
          </w:p>
        </w:tc>
        <w:tc>
          <w:tcPr>
            <w:tcW w:w="6783" w:type="dxa"/>
          </w:tcPr>
          <w:p w14:paraId="0D6F7BF5" w14:textId="77777777" w:rsidR="00E40086" w:rsidRPr="00821C14" w:rsidRDefault="00E40086" w:rsidP="00D12C42">
            <w:pPr>
              <w:pStyle w:val="ListBullet1"/>
              <w:ind w:left="360"/>
            </w:pPr>
            <w:r w:rsidRPr="00821C14">
              <w:t>Annual reports in key areas of hospital, nursing facility, and community service</w:t>
            </w:r>
          </w:p>
        </w:tc>
      </w:tr>
      <w:tr w:rsidR="00E40086" w:rsidRPr="00821C14" w14:paraId="21FE8DAD" w14:textId="77777777" w:rsidTr="00127D1B">
        <w:trPr>
          <w:cantSplit/>
          <w:trHeight w:val="466"/>
        </w:trPr>
        <w:tc>
          <w:tcPr>
            <w:tcW w:w="1443" w:type="dxa"/>
          </w:tcPr>
          <w:p w14:paraId="72338932" w14:textId="1F9BDA2B" w:rsidR="00E40086" w:rsidRPr="00821C14" w:rsidRDefault="00E40086" w:rsidP="005D5285">
            <w:pPr>
              <w:spacing w:after="0"/>
              <w:rPr>
                <w:rFonts w:cs="Calibri"/>
                <w:color w:val="000000"/>
                <w:sz w:val="20"/>
                <w:szCs w:val="20"/>
              </w:rPr>
            </w:pPr>
            <w:r w:rsidRPr="00821C14">
              <w:rPr>
                <w:rFonts w:cs="Calibri"/>
                <w:color w:val="000000"/>
                <w:sz w:val="20"/>
                <w:szCs w:val="20"/>
              </w:rPr>
              <w:t>PCC P</w:t>
            </w:r>
            <w:r w:rsidR="00FE6674">
              <w:rPr>
                <w:rFonts w:cs="Calibri"/>
                <w:color w:val="000000"/>
                <w:sz w:val="20"/>
                <w:szCs w:val="20"/>
              </w:rPr>
              <w:t>lan and Primary Care ACO</w:t>
            </w:r>
            <w:r w:rsidRPr="00821C14">
              <w:rPr>
                <w:rFonts w:cs="Calibri"/>
                <w:color w:val="000000"/>
                <w:sz w:val="20"/>
                <w:szCs w:val="20"/>
              </w:rPr>
              <w:t xml:space="preserve"> BH Program</w:t>
            </w:r>
          </w:p>
        </w:tc>
        <w:tc>
          <w:tcPr>
            <w:tcW w:w="2706" w:type="dxa"/>
          </w:tcPr>
          <w:p w14:paraId="3E233F2C" w14:textId="77777777" w:rsidR="00E40086" w:rsidRPr="00821C14" w:rsidRDefault="00E40086" w:rsidP="005D5285">
            <w:pPr>
              <w:spacing w:after="0"/>
              <w:rPr>
                <w:rFonts w:cs="Calibri"/>
                <w:color w:val="000000"/>
                <w:sz w:val="20"/>
                <w:szCs w:val="20"/>
              </w:rPr>
            </w:pPr>
            <w:r w:rsidRPr="00821C14">
              <w:rPr>
                <w:rFonts w:cs="Calibri"/>
                <w:color w:val="000000"/>
                <w:sz w:val="20"/>
                <w:szCs w:val="20"/>
              </w:rPr>
              <w:t>Encounter data</w:t>
            </w:r>
          </w:p>
        </w:tc>
        <w:tc>
          <w:tcPr>
            <w:tcW w:w="6783" w:type="dxa"/>
          </w:tcPr>
          <w:p w14:paraId="693B4623" w14:textId="77777777" w:rsidR="00E40086" w:rsidRPr="00821C14" w:rsidRDefault="00E40086" w:rsidP="00D12C42">
            <w:pPr>
              <w:pStyle w:val="ListBullet1"/>
              <w:ind w:left="360"/>
            </w:pPr>
            <w:r w:rsidRPr="00821C14">
              <w:t>Quarterly submission of encounter data</w:t>
            </w:r>
          </w:p>
        </w:tc>
      </w:tr>
      <w:tr w:rsidR="00E40086" w:rsidRPr="00821C14" w14:paraId="27B336AF" w14:textId="77777777" w:rsidTr="00127D1B">
        <w:trPr>
          <w:trHeight w:val="466"/>
        </w:trPr>
        <w:tc>
          <w:tcPr>
            <w:tcW w:w="10932" w:type="dxa"/>
            <w:gridSpan w:val="3"/>
            <w:tcBorders>
              <w:bottom w:val="single" w:sz="4" w:space="0" w:color="auto"/>
            </w:tcBorders>
            <w:shd w:val="clear" w:color="auto" w:fill="D9D9D9"/>
          </w:tcPr>
          <w:p w14:paraId="3D8DDAF9" w14:textId="77777777" w:rsidR="00E40086" w:rsidRPr="00821C14" w:rsidRDefault="00E40086" w:rsidP="00B82093">
            <w:pPr>
              <w:spacing w:after="0"/>
              <w:rPr>
                <w:rFonts w:cs="Calibri"/>
                <w:b/>
                <w:bCs/>
                <w:color w:val="000000"/>
                <w:sz w:val="20"/>
                <w:szCs w:val="20"/>
              </w:rPr>
            </w:pPr>
            <w:r w:rsidRPr="00821C14">
              <w:rPr>
                <w:rFonts w:cs="Calibri"/>
                <w:b/>
                <w:bCs/>
                <w:color w:val="000000"/>
                <w:sz w:val="20"/>
                <w:szCs w:val="20"/>
              </w:rPr>
              <w:t>EQRO activities</w:t>
            </w:r>
          </w:p>
          <w:p w14:paraId="061653FC" w14:textId="390D590C" w:rsidR="00E40086" w:rsidRPr="00821C14" w:rsidRDefault="00FE6674" w:rsidP="00B82093">
            <w:pPr>
              <w:spacing w:after="0"/>
              <w:rPr>
                <w:rFonts w:cs="Calibri"/>
                <w:color w:val="000000"/>
                <w:sz w:val="20"/>
                <w:szCs w:val="20"/>
              </w:rPr>
            </w:pPr>
            <w:r>
              <w:rPr>
                <w:rFonts w:cs="Calibri"/>
                <w:color w:val="000000"/>
                <w:sz w:val="20"/>
                <w:szCs w:val="20"/>
              </w:rPr>
              <w:t>CFR</w:t>
            </w:r>
            <w:r w:rsidRPr="00821C14">
              <w:rPr>
                <w:rFonts w:cs="Calibri"/>
                <w:color w:val="000000"/>
                <w:sz w:val="20"/>
                <w:szCs w:val="20"/>
              </w:rPr>
              <w:t xml:space="preserve"> </w:t>
            </w:r>
            <w:r w:rsidR="00E40086" w:rsidRPr="00821C14">
              <w:rPr>
                <w:rFonts w:cs="Calibri"/>
                <w:color w:val="000000"/>
                <w:sz w:val="20"/>
                <w:szCs w:val="20"/>
              </w:rPr>
              <w:t xml:space="preserve">Section: </w:t>
            </w:r>
          </w:p>
          <w:p w14:paraId="21A08FA3" w14:textId="77777777" w:rsidR="00E40086" w:rsidRPr="00821C14" w:rsidRDefault="00E40086" w:rsidP="006707EF">
            <w:pPr>
              <w:pStyle w:val="ListBullet2"/>
              <w:rPr>
                <w:rFonts w:cs="Calibri"/>
              </w:rPr>
            </w:pPr>
            <w:r w:rsidRPr="00821C14">
              <w:rPr>
                <w:rFonts w:cs="Calibri"/>
              </w:rPr>
              <w:t>External oversight – 42 CFR 438.310 – 438.370</w:t>
            </w:r>
          </w:p>
        </w:tc>
      </w:tr>
      <w:tr w:rsidR="00E40086" w:rsidRPr="00821C14" w14:paraId="5A1F4CA9" w14:textId="77777777" w:rsidTr="00127D1B">
        <w:trPr>
          <w:trHeight w:val="466"/>
        </w:trPr>
        <w:tc>
          <w:tcPr>
            <w:tcW w:w="1443" w:type="dxa"/>
          </w:tcPr>
          <w:p w14:paraId="2145A294" w14:textId="77777777" w:rsidR="00E40086" w:rsidRPr="00821C14" w:rsidRDefault="00E40086" w:rsidP="005D5285">
            <w:pPr>
              <w:spacing w:after="0"/>
              <w:rPr>
                <w:rFonts w:cs="Calibri"/>
                <w:color w:val="000000"/>
                <w:sz w:val="20"/>
                <w:szCs w:val="20"/>
              </w:rPr>
            </w:pPr>
            <w:r w:rsidRPr="00821C14">
              <w:rPr>
                <w:rFonts w:cs="Calibri"/>
                <w:color w:val="000000"/>
                <w:sz w:val="20"/>
                <w:szCs w:val="20"/>
              </w:rPr>
              <w:t xml:space="preserve">MCO, </w:t>
            </w:r>
            <w:r w:rsidR="00965F56">
              <w:rPr>
                <w:rFonts w:cs="Calibri"/>
                <w:color w:val="000000"/>
                <w:sz w:val="20"/>
                <w:szCs w:val="20"/>
              </w:rPr>
              <w:t>Accountable Care Partnership Plan</w:t>
            </w:r>
            <w:r>
              <w:rPr>
                <w:rFonts w:cs="Calibri"/>
                <w:color w:val="000000"/>
                <w:sz w:val="20"/>
                <w:szCs w:val="20"/>
              </w:rPr>
              <w:t xml:space="preserve">, </w:t>
            </w:r>
            <w:r w:rsidRPr="00821C14">
              <w:rPr>
                <w:rFonts w:cs="Calibri"/>
                <w:color w:val="000000"/>
                <w:sz w:val="20"/>
                <w:szCs w:val="20"/>
              </w:rPr>
              <w:t xml:space="preserve">PCC PLAN BH, </w:t>
            </w:r>
            <w:r w:rsidR="009E6996">
              <w:rPr>
                <w:rFonts w:cs="Calibri"/>
                <w:color w:val="000000"/>
                <w:sz w:val="20"/>
                <w:szCs w:val="20"/>
              </w:rPr>
              <w:t>One Care</w:t>
            </w:r>
            <w:r>
              <w:rPr>
                <w:rFonts w:cs="Calibri"/>
                <w:color w:val="000000"/>
                <w:sz w:val="20"/>
                <w:szCs w:val="20"/>
              </w:rPr>
              <w:t xml:space="preserve"> </w:t>
            </w:r>
            <w:r w:rsidRPr="00821C14">
              <w:rPr>
                <w:rFonts w:cs="Calibri"/>
                <w:color w:val="000000"/>
                <w:sz w:val="20"/>
                <w:szCs w:val="20"/>
              </w:rPr>
              <w:t>and SCO Programs</w:t>
            </w:r>
          </w:p>
        </w:tc>
        <w:tc>
          <w:tcPr>
            <w:tcW w:w="2706" w:type="dxa"/>
          </w:tcPr>
          <w:p w14:paraId="077ADACA" w14:textId="77777777" w:rsidR="00E40086" w:rsidRPr="00821C14" w:rsidRDefault="00E40086" w:rsidP="005D5285">
            <w:pPr>
              <w:spacing w:after="0"/>
              <w:rPr>
                <w:rFonts w:cs="Calibri"/>
                <w:color w:val="000000"/>
                <w:sz w:val="20"/>
                <w:szCs w:val="20"/>
              </w:rPr>
            </w:pPr>
            <w:r w:rsidRPr="00821C14">
              <w:rPr>
                <w:rFonts w:cs="Calibri"/>
                <w:color w:val="000000"/>
                <w:sz w:val="20"/>
                <w:szCs w:val="20"/>
              </w:rPr>
              <w:t xml:space="preserve">Technical Report of mandatory EQR activities </w:t>
            </w:r>
          </w:p>
        </w:tc>
        <w:tc>
          <w:tcPr>
            <w:tcW w:w="6783" w:type="dxa"/>
          </w:tcPr>
          <w:p w14:paraId="0F2834C1" w14:textId="77777777" w:rsidR="00E40086" w:rsidRPr="00821C14" w:rsidRDefault="00E40086" w:rsidP="00D12C42">
            <w:pPr>
              <w:pStyle w:val="ListBullet1"/>
              <w:ind w:left="360"/>
            </w:pPr>
            <w:r w:rsidRPr="00821C14">
              <w:t>Validation of performance improvement projects</w:t>
            </w:r>
          </w:p>
          <w:p w14:paraId="147C7A87" w14:textId="77777777" w:rsidR="00E40086" w:rsidRPr="00821C14" w:rsidRDefault="00E40086" w:rsidP="00D12C42">
            <w:pPr>
              <w:pStyle w:val="ListBullet1"/>
              <w:ind w:left="360"/>
            </w:pPr>
            <w:r w:rsidRPr="00821C14">
              <w:t>Validation of performance measures</w:t>
            </w:r>
          </w:p>
          <w:p w14:paraId="0675392E" w14:textId="77777777" w:rsidR="00E40086" w:rsidRPr="00821C14" w:rsidRDefault="00E40086" w:rsidP="006A6609">
            <w:pPr>
              <w:pStyle w:val="ListBullet1"/>
              <w:ind w:left="360"/>
            </w:pPr>
            <w:r w:rsidRPr="00821C14">
              <w:t>Compliance with strategy standards</w:t>
            </w:r>
          </w:p>
        </w:tc>
      </w:tr>
      <w:tr w:rsidR="00022952" w:rsidRPr="00821C14" w14:paraId="5166A9E1" w14:textId="77777777" w:rsidTr="00127D1B">
        <w:trPr>
          <w:trHeight w:val="466"/>
        </w:trPr>
        <w:tc>
          <w:tcPr>
            <w:tcW w:w="1443" w:type="dxa"/>
            <w:tcBorders>
              <w:bottom w:val="single" w:sz="4" w:space="0" w:color="auto"/>
            </w:tcBorders>
          </w:tcPr>
          <w:p w14:paraId="7DCCDD03" w14:textId="77777777" w:rsidR="00022952" w:rsidRPr="00821C14" w:rsidRDefault="00022952" w:rsidP="005D5285">
            <w:pPr>
              <w:spacing w:after="0"/>
              <w:rPr>
                <w:rFonts w:cs="Calibri"/>
                <w:color w:val="000000"/>
                <w:sz w:val="20"/>
                <w:szCs w:val="20"/>
              </w:rPr>
            </w:pPr>
            <w:r>
              <w:rPr>
                <w:rFonts w:cs="Calibri"/>
                <w:color w:val="000000"/>
                <w:sz w:val="20"/>
                <w:szCs w:val="20"/>
              </w:rPr>
              <w:t>Primary Care ACO</w:t>
            </w:r>
          </w:p>
        </w:tc>
        <w:tc>
          <w:tcPr>
            <w:tcW w:w="2706" w:type="dxa"/>
            <w:tcBorders>
              <w:bottom w:val="single" w:sz="4" w:space="0" w:color="auto"/>
            </w:tcBorders>
          </w:tcPr>
          <w:p w14:paraId="3747B254" w14:textId="77777777" w:rsidR="00022952" w:rsidRPr="00821C14" w:rsidRDefault="00022952" w:rsidP="005D5285">
            <w:pPr>
              <w:spacing w:after="0"/>
              <w:rPr>
                <w:rFonts w:cs="Calibri"/>
                <w:color w:val="000000"/>
                <w:sz w:val="20"/>
                <w:szCs w:val="20"/>
              </w:rPr>
            </w:pPr>
            <w:r w:rsidRPr="00821C14">
              <w:rPr>
                <w:rFonts w:cs="Calibri"/>
                <w:color w:val="000000"/>
                <w:sz w:val="20"/>
                <w:szCs w:val="20"/>
              </w:rPr>
              <w:t>Technical Report of mandatory EQR activities</w:t>
            </w:r>
          </w:p>
        </w:tc>
        <w:tc>
          <w:tcPr>
            <w:tcW w:w="6783" w:type="dxa"/>
            <w:tcBorders>
              <w:bottom w:val="single" w:sz="4" w:space="0" w:color="auto"/>
            </w:tcBorders>
          </w:tcPr>
          <w:p w14:paraId="54910C44" w14:textId="77777777" w:rsidR="00022952" w:rsidRPr="00821C14" w:rsidRDefault="00022952" w:rsidP="00022952">
            <w:pPr>
              <w:pStyle w:val="ListBullet1"/>
              <w:ind w:left="360"/>
            </w:pPr>
            <w:r w:rsidRPr="00821C14">
              <w:t>Validation of performance measures</w:t>
            </w:r>
          </w:p>
          <w:p w14:paraId="5B907F0B" w14:textId="77777777" w:rsidR="00022952" w:rsidRPr="00821C14" w:rsidRDefault="00022952" w:rsidP="00022952">
            <w:pPr>
              <w:pStyle w:val="ListBullet1"/>
              <w:ind w:left="360"/>
            </w:pPr>
            <w:r w:rsidRPr="00821C14">
              <w:t>Compliance with strategy standards</w:t>
            </w:r>
          </w:p>
        </w:tc>
      </w:tr>
    </w:tbl>
    <w:p w14:paraId="6A8FF141" w14:textId="77777777" w:rsidR="001E50CF" w:rsidRPr="00821C14" w:rsidRDefault="001E50CF" w:rsidP="00F91CB8">
      <w:pPr>
        <w:rPr>
          <w:rFonts w:cs="Calibri"/>
        </w:rPr>
      </w:pPr>
    </w:p>
    <w:p w14:paraId="2F27469F" w14:textId="77777777" w:rsidR="00085DBB" w:rsidRPr="002E22D0" w:rsidRDefault="001D0D8B" w:rsidP="00085DBB">
      <w:pPr>
        <w:pStyle w:val="Title"/>
      </w:pPr>
      <w:r w:rsidRPr="00821C14">
        <w:br w:type="page"/>
      </w:r>
      <w:r w:rsidR="00085DBB" w:rsidRPr="002E22D0">
        <w:lastRenderedPageBreak/>
        <w:t xml:space="preserve">Appendix 2 Performance Measures  </w:t>
      </w:r>
    </w:p>
    <w:p w14:paraId="10CD0CD8" w14:textId="77777777" w:rsidR="00085DBB" w:rsidRPr="00030C60" w:rsidRDefault="00085DBB" w:rsidP="00085DBB">
      <w:pPr>
        <w:spacing w:line="276" w:lineRule="auto"/>
        <w:rPr>
          <w:rFonts w:asciiTheme="minorHAnsi" w:eastAsiaTheme="minorHAnsi" w:hAnsiTheme="minorHAnsi" w:cstheme="minorBidi"/>
        </w:rPr>
      </w:pPr>
      <w:r w:rsidRPr="00030C60">
        <w:rPr>
          <w:rFonts w:asciiTheme="minorHAnsi" w:eastAsiaTheme="minorHAnsi" w:hAnsiTheme="minorHAnsi" w:cstheme="minorBidi"/>
        </w:rPr>
        <w:t xml:space="preserve">The following table summarizes performance measures collected across programs. </w:t>
      </w:r>
      <w:r>
        <w:rPr>
          <w:rFonts w:asciiTheme="minorHAnsi" w:eastAsiaTheme="minorHAnsi" w:hAnsiTheme="minorHAnsi" w:cstheme="minorBidi"/>
        </w:rPr>
        <w:t>Additional</w:t>
      </w:r>
      <w:r w:rsidRPr="00030C60">
        <w:rPr>
          <w:rFonts w:asciiTheme="minorHAnsi" w:eastAsiaTheme="minorHAnsi" w:hAnsiTheme="minorHAnsi" w:cstheme="minorBidi"/>
        </w:rPr>
        <w:t xml:space="preserve"> measures </w:t>
      </w:r>
      <w:r>
        <w:rPr>
          <w:rFonts w:asciiTheme="minorHAnsi" w:eastAsiaTheme="minorHAnsi" w:hAnsiTheme="minorHAnsi" w:cstheme="minorBidi"/>
        </w:rPr>
        <w:t xml:space="preserve">are also </w:t>
      </w:r>
      <w:r w:rsidRPr="00030C60">
        <w:rPr>
          <w:rFonts w:asciiTheme="minorHAnsi" w:eastAsiaTheme="minorHAnsi" w:hAnsiTheme="minorHAnsi" w:cstheme="minorBidi"/>
        </w:rPr>
        <w:t xml:space="preserve">collected for ongoing monitoring and quality assurance purposes. </w:t>
      </w:r>
    </w:p>
    <w:p w14:paraId="25726E19" w14:textId="77777777" w:rsidR="00085DBB" w:rsidRPr="00AB38CD" w:rsidRDefault="00085DBB" w:rsidP="00085DBB">
      <w:pPr>
        <w:pStyle w:val="Caption"/>
        <w:keepNext/>
      </w:pPr>
      <w:r>
        <w:t xml:space="preserve">Table </w:t>
      </w:r>
      <w:r w:rsidR="00CB5E77">
        <w:rPr>
          <w:noProof/>
        </w:rPr>
        <w:fldChar w:fldCharType="begin"/>
      </w:r>
      <w:r w:rsidR="00CB5E77">
        <w:rPr>
          <w:noProof/>
        </w:rPr>
        <w:instrText xml:space="preserve"> SEQ Table \* ARABIC </w:instrText>
      </w:r>
      <w:r w:rsidR="00CB5E77">
        <w:rPr>
          <w:noProof/>
        </w:rPr>
        <w:fldChar w:fldCharType="separate"/>
      </w:r>
      <w:r w:rsidR="00207DB8">
        <w:rPr>
          <w:noProof/>
        </w:rPr>
        <w:t>4</w:t>
      </w:r>
      <w:r w:rsidR="00CB5E77">
        <w:rPr>
          <w:noProof/>
        </w:rPr>
        <w:fldChar w:fldCharType="end"/>
      </w:r>
      <w:r>
        <w:t xml:space="preserve">: Performance Measures by MassHealth Priority and Program </w:t>
      </w:r>
    </w:p>
    <w:tbl>
      <w:tblPr>
        <w:tblStyle w:val="TableGrid1"/>
        <w:tblW w:w="9198" w:type="dxa"/>
        <w:tblLayout w:type="fixed"/>
        <w:tblLook w:val="04A0" w:firstRow="1" w:lastRow="0" w:firstColumn="1" w:lastColumn="0" w:noHBand="0" w:noVBand="1"/>
      </w:tblPr>
      <w:tblGrid>
        <w:gridCol w:w="3071"/>
        <w:gridCol w:w="1177"/>
        <w:gridCol w:w="16"/>
        <w:gridCol w:w="794"/>
        <w:gridCol w:w="630"/>
        <w:gridCol w:w="674"/>
        <w:gridCol w:w="678"/>
        <w:gridCol w:w="628"/>
        <w:gridCol w:w="90"/>
        <w:gridCol w:w="720"/>
        <w:gridCol w:w="720"/>
      </w:tblGrid>
      <w:tr w:rsidR="00085DBB" w:rsidRPr="00030C60" w14:paraId="3371CDC1" w14:textId="77777777" w:rsidTr="00085DBB">
        <w:trPr>
          <w:tblHeader/>
        </w:trPr>
        <w:tc>
          <w:tcPr>
            <w:tcW w:w="3071" w:type="dxa"/>
          </w:tcPr>
          <w:p w14:paraId="31F66E54" w14:textId="77777777" w:rsidR="00085DBB" w:rsidRPr="00030C60" w:rsidRDefault="00085DBB" w:rsidP="00085DBB">
            <w:pPr>
              <w:spacing w:after="0"/>
              <w:jc w:val="center"/>
              <w:rPr>
                <w:b/>
              </w:rPr>
            </w:pPr>
            <w:r w:rsidRPr="00030C60">
              <w:rPr>
                <w:b/>
              </w:rPr>
              <w:t>Measure</w:t>
            </w:r>
          </w:p>
        </w:tc>
        <w:tc>
          <w:tcPr>
            <w:tcW w:w="1193" w:type="dxa"/>
            <w:gridSpan w:val="2"/>
          </w:tcPr>
          <w:p w14:paraId="55F35DA9" w14:textId="77777777" w:rsidR="00085DBB" w:rsidRPr="00030C60" w:rsidRDefault="00085DBB" w:rsidP="00085DBB">
            <w:pPr>
              <w:spacing w:after="0"/>
              <w:jc w:val="center"/>
              <w:rPr>
                <w:b/>
              </w:rPr>
            </w:pPr>
            <w:r w:rsidRPr="00030C60">
              <w:rPr>
                <w:b/>
              </w:rPr>
              <w:t>Steward</w:t>
            </w:r>
          </w:p>
        </w:tc>
        <w:tc>
          <w:tcPr>
            <w:tcW w:w="794" w:type="dxa"/>
          </w:tcPr>
          <w:p w14:paraId="745D11BB" w14:textId="77777777" w:rsidR="00085DBB" w:rsidRPr="00030C60" w:rsidRDefault="00085DBB" w:rsidP="00085DBB">
            <w:pPr>
              <w:spacing w:after="0"/>
              <w:jc w:val="center"/>
              <w:rPr>
                <w:b/>
                <w:sz w:val="20"/>
              </w:rPr>
            </w:pPr>
            <w:r w:rsidRPr="00030C60">
              <w:rPr>
                <w:b/>
                <w:sz w:val="20"/>
              </w:rPr>
              <w:t>NQF #</w:t>
            </w:r>
          </w:p>
        </w:tc>
        <w:tc>
          <w:tcPr>
            <w:tcW w:w="630" w:type="dxa"/>
          </w:tcPr>
          <w:p w14:paraId="317E1E02" w14:textId="77777777" w:rsidR="00085DBB" w:rsidRPr="00030C60" w:rsidRDefault="00085DBB" w:rsidP="00085DBB">
            <w:pPr>
              <w:spacing w:after="0"/>
              <w:jc w:val="center"/>
              <w:rPr>
                <w:b/>
                <w:sz w:val="20"/>
              </w:rPr>
            </w:pPr>
            <w:r w:rsidRPr="00030C60">
              <w:rPr>
                <w:b/>
                <w:sz w:val="20"/>
              </w:rPr>
              <w:t>ACO</w:t>
            </w:r>
          </w:p>
        </w:tc>
        <w:tc>
          <w:tcPr>
            <w:tcW w:w="674" w:type="dxa"/>
          </w:tcPr>
          <w:p w14:paraId="4E51FBEE" w14:textId="77777777" w:rsidR="00085DBB" w:rsidRPr="00030C60" w:rsidRDefault="00085DBB" w:rsidP="00085DBB">
            <w:pPr>
              <w:spacing w:after="0"/>
              <w:jc w:val="center"/>
              <w:rPr>
                <w:b/>
                <w:sz w:val="20"/>
              </w:rPr>
            </w:pPr>
            <w:r w:rsidRPr="00030C60">
              <w:rPr>
                <w:b/>
                <w:sz w:val="20"/>
              </w:rPr>
              <w:t>MCO</w:t>
            </w:r>
          </w:p>
        </w:tc>
        <w:tc>
          <w:tcPr>
            <w:tcW w:w="678" w:type="dxa"/>
          </w:tcPr>
          <w:p w14:paraId="3A3AC50F" w14:textId="77777777" w:rsidR="00085DBB" w:rsidRPr="00030C60" w:rsidRDefault="00085DBB" w:rsidP="00085DBB">
            <w:pPr>
              <w:spacing w:after="0"/>
              <w:jc w:val="center"/>
              <w:rPr>
                <w:b/>
                <w:sz w:val="20"/>
              </w:rPr>
            </w:pPr>
            <w:r w:rsidRPr="00030C60">
              <w:rPr>
                <w:b/>
                <w:sz w:val="20"/>
              </w:rPr>
              <w:t>PCCP</w:t>
            </w:r>
          </w:p>
        </w:tc>
        <w:tc>
          <w:tcPr>
            <w:tcW w:w="628" w:type="dxa"/>
          </w:tcPr>
          <w:p w14:paraId="7BA6A3FE" w14:textId="77777777" w:rsidR="00085DBB" w:rsidRPr="00030C60" w:rsidRDefault="00085DBB" w:rsidP="00085DBB">
            <w:pPr>
              <w:spacing w:after="0"/>
              <w:jc w:val="center"/>
              <w:rPr>
                <w:b/>
                <w:sz w:val="20"/>
              </w:rPr>
            </w:pPr>
            <w:r w:rsidRPr="00030C60">
              <w:rPr>
                <w:b/>
                <w:sz w:val="20"/>
              </w:rPr>
              <w:t>SCO</w:t>
            </w:r>
          </w:p>
        </w:tc>
        <w:tc>
          <w:tcPr>
            <w:tcW w:w="810" w:type="dxa"/>
            <w:gridSpan w:val="2"/>
          </w:tcPr>
          <w:p w14:paraId="42EE356B" w14:textId="77777777" w:rsidR="00085DBB" w:rsidRPr="00030C60" w:rsidRDefault="00085DBB" w:rsidP="00085DBB">
            <w:pPr>
              <w:spacing w:after="0"/>
              <w:jc w:val="center"/>
              <w:rPr>
                <w:b/>
                <w:sz w:val="20"/>
              </w:rPr>
            </w:pPr>
            <w:r>
              <w:rPr>
                <w:b/>
                <w:sz w:val="20"/>
              </w:rPr>
              <w:t>One Care</w:t>
            </w:r>
          </w:p>
        </w:tc>
        <w:tc>
          <w:tcPr>
            <w:tcW w:w="720" w:type="dxa"/>
          </w:tcPr>
          <w:p w14:paraId="4784244F" w14:textId="77777777" w:rsidR="00085DBB" w:rsidRPr="00030C60" w:rsidRDefault="00085DBB" w:rsidP="00085DBB">
            <w:pPr>
              <w:spacing w:after="0"/>
              <w:jc w:val="center"/>
              <w:rPr>
                <w:b/>
                <w:sz w:val="20"/>
              </w:rPr>
            </w:pPr>
            <w:r w:rsidRPr="00030C60">
              <w:rPr>
                <w:b/>
                <w:sz w:val="20"/>
              </w:rPr>
              <w:t>BH PIHP</w:t>
            </w:r>
          </w:p>
        </w:tc>
      </w:tr>
      <w:tr w:rsidR="00085DBB" w:rsidRPr="00030C60" w14:paraId="090C9FC8" w14:textId="77777777" w:rsidTr="00085DBB">
        <w:tc>
          <w:tcPr>
            <w:tcW w:w="9198" w:type="dxa"/>
            <w:gridSpan w:val="11"/>
            <w:shd w:val="clear" w:color="auto" w:fill="8DB3E2" w:themeFill="text2" w:themeFillTint="66"/>
          </w:tcPr>
          <w:p w14:paraId="2FEF43E6" w14:textId="77777777" w:rsidR="00085DBB" w:rsidRPr="00030C60" w:rsidRDefault="00085DBB" w:rsidP="003B3DAA">
            <w:pPr>
              <w:spacing w:after="0"/>
              <w:jc w:val="center"/>
            </w:pPr>
            <w:r w:rsidRPr="00030C60">
              <w:t>Domain 1: Maternal, Childhood and Family Health Promotion</w:t>
            </w:r>
          </w:p>
        </w:tc>
      </w:tr>
      <w:tr w:rsidR="00085DBB" w:rsidRPr="00030C60" w14:paraId="29933F8F" w14:textId="77777777" w:rsidTr="00085DBB">
        <w:tc>
          <w:tcPr>
            <w:tcW w:w="3071" w:type="dxa"/>
          </w:tcPr>
          <w:p w14:paraId="445A6B3C" w14:textId="77777777" w:rsidR="00085DBB" w:rsidRPr="00843720" w:rsidRDefault="00085DBB" w:rsidP="003B3DAA">
            <w:pPr>
              <w:spacing w:after="0"/>
            </w:pPr>
            <w:r w:rsidRPr="00843720">
              <w:t>Childhood Immunization Status</w:t>
            </w:r>
          </w:p>
        </w:tc>
        <w:tc>
          <w:tcPr>
            <w:tcW w:w="1193" w:type="dxa"/>
            <w:gridSpan w:val="2"/>
          </w:tcPr>
          <w:p w14:paraId="5BD0C3BF" w14:textId="77777777" w:rsidR="00085DBB" w:rsidRPr="00843720" w:rsidRDefault="00085DBB" w:rsidP="003B3DAA">
            <w:pPr>
              <w:spacing w:after="0"/>
            </w:pPr>
            <w:r w:rsidRPr="00843720">
              <w:t xml:space="preserve">NCQA </w:t>
            </w:r>
          </w:p>
        </w:tc>
        <w:tc>
          <w:tcPr>
            <w:tcW w:w="794" w:type="dxa"/>
          </w:tcPr>
          <w:p w14:paraId="72F26640" w14:textId="77777777" w:rsidR="00085DBB" w:rsidRPr="00843720" w:rsidRDefault="00085DBB" w:rsidP="003B3DAA">
            <w:pPr>
              <w:spacing w:after="0"/>
            </w:pPr>
            <w:r w:rsidRPr="00843720">
              <w:t>0038</w:t>
            </w:r>
          </w:p>
        </w:tc>
        <w:tc>
          <w:tcPr>
            <w:tcW w:w="630" w:type="dxa"/>
            <w:vAlign w:val="center"/>
          </w:tcPr>
          <w:p w14:paraId="5849ACB8" w14:textId="77777777" w:rsidR="00085DBB" w:rsidRPr="00843720" w:rsidRDefault="00085DBB" w:rsidP="003B3DAA">
            <w:pPr>
              <w:spacing w:after="0"/>
              <w:jc w:val="center"/>
            </w:pPr>
            <w:r w:rsidRPr="00843720">
              <w:t>X</w:t>
            </w:r>
          </w:p>
        </w:tc>
        <w:tc>
          <w:tcPr>
            <w:tcW w:w="674" w:type="dxa"/>
            <w:vAlign w:val="center"/>
          </w:tcPr>
          <w:p w14:paraId="1D73F845" w14:textId="77777777" w:rsidR="00085DBB" w:rsidRPr="00843720" w:rsidRDefault="00085DBB" w:rsidP="003B3DAA">
            <w:pPr>
              <w:spacing w:after="0"/>
              <w:jc w:val="center"/>
            </w:pPr>
            <w:r w:rsidRPr="00843720">
              <w:t>X</w:t>
            </w:r>
          </w:p>
        </w:tc>
        <w:tc>
          <w:tcPr>
            <w:tcW w:w="678" w:type="dxa"/>
            <w:vAlign w:val="center"/>
          </w:tcPr>
          <w:p w14:paraId="0508385A" w14:textId="77777777" w:rsidR="00085DBB" w:rsidRPr="00843720" w:rsidRDefault="00085DBB" w:rsidP="003B3DAA">
            <w:pPr>
              <w:spacing w:after="0"/>
              <w:jc w:val="center"/>
            </w:pPr>
            <w:r w:rsidRPr="00843720">
              <w:t>X</w:t>
            </w:r>
          </w:p>
        </w:tc>
        <w:tc>
          <w:tcPr>
            <w:tcW w:w="628" w:type="dxa"/>
            <w:vAlign w:val="center"/>
          </w:tcPr>
          <w:p w14:paraId="27667A89" w14:textId="77777777" w:rsidR="00085DBB" w:rsidRPr="00843720" w:rsidRDefault="00085DBB" w:rsidP="003B3DAA">
            <w:pPr>
              <w:spacing w:after="0"/>
              <w:jc w:val="center"/>
            </w:pPr>
          </w:p>
        </w:tc>
        <w:tc>
          <w:tcPr>
            <w:tcW w:w="810" w:type="dxa"/>
            <w:gridSpan w:val="2"/>
            <w:vAlign w:val="center"/>
          </w:tcPr>
          <w:p w14:paraId="2177A932" w14:textId="77777777" w:rsidR="00085DBB" w:rsidRPr="00843720" w:rsidRDefault="00085DBB" w:rsidP="003B3DAA">
            <w:pPr>
              <w:spacing w:after="0"/>
              <w:jc w:val="center"/>
            </w:pPr>
          </w:p>
        </w:tc>
        <w:tc>
          <w:tcPr>
            <w:tcW w:w="720" w:type="dxa"/>
            <w:vAlign w:val="center"/>
          </w:tcPr>
          <w:p w14:paraId="06A2AB53" w14:textId="77777777" w:rsidR="00085DBB" w:rsidRPr="00843720" w:rsidRDefault="00085DBB" w:rsidP="003B3DAA">
            <w:pPr>
              <w:spacing w:after="0"/>
              <w:jc w:val="center"/>
            </w:pPr>
          </w:p>
        </w:tc>
      </w:tr>
      <w:tr w:rsidR="00085DBB" w:rsidRPr="00030C60" w14:paraId="184807FE" w14:textId="77777777" w:rsidTr="00085DBB">
        <w:tc>
          <w:tcPr>
            <w:tcW w:w="3071" w:type="dxa"/>
          </w:tcPr>
          <w:p w14:paraId="10FA1177" w14:textId="77777777" w:rsidR="00085DBB" w:rsidRPr="00843720" w:rsidRDefault="00085DBB" w:rsidP="003B3DAA">
            <w:pPr>
              <w:spacing w:after="0"/>
            </w:pPr>
            <w:r w:rsidRPr="00843720">
              <w:t>Timeliness of Prenatal Care</w:t>
            </w:r>
          </w:p>
        </w:tc>
        <w:tc>
          <w:tcPr>
            <w:tcW w:w="1193" w:type="dxa"/>
            <w:gridSpan w:val="2"/>
          </w:tcPr>
          <w:p w14:paraId="647CC4C4" w14:textId="77777777" w:rsidR="00085DBB" w:rsidRPr="00843720" w:rsidRDefault="00085DBB" w:rsidP="003B3DAA">
            <w:pPr>
              <w:spacing w:after="0"/>
            </w:pPr>
            <w:r w:rsidRPr="00843720">
              <w:t xml:space="preserve">NCQA </w:t>
            </w:r>
          </w:p>
        </w:tc>
        <w:tc>
          <w:tcPr>
            <w:tcW w:w="794" w:type="dxa"/>
          </w:tcPr>
          <w:p w14:paraId="2195786F" w14:textId="77777777" w:rsidR="00085DBB" w:rsidRPr="00843720" w:rsidRDefault="00085DBB" w:rsidP="003B3DAA">
            <w:pPr>
              <w:spacing w:after="0"/>
            </w:pPr>
            <w:r w:rsidRPr="00843720">
              <w:t>1517</w:t>
            </w:r>
          </w:p>
        </w:tc>
        <w:tc>
          <w:tcPr>
            <w:tcW w:w="630" w:type="dxa"/>
            <w:vAlign w:val="center"/>
          </w:tcPr>
          <w:p w14:paraId="7E39FD02" w14:textId="77777777" w:rsidR="00085DBB" w:rsidRPr="00843720" w:rsidRDefault="00085DBB" w:rsidP="003B3DAA">
            <w:pPr>
              <w:spacing w:after="0"/>
              <w:jc w:val="center"/>
            </w:pPr>
            <w:r w:rsidRPr="00843720">
              <w:t>X</w:t>
            </w:r>
          </w:p>
        </w:tc>
        <w:tc>
          <w:tcPr>
            <w:tcW w:w="674" w:type="dxa"/>
            <w:shd w:val="clear" w:color="auto" w:fill="auto"/>
            <w:vAlign w:val="center"/>
          </w:tcPr>
          <w:p w14:paraId="11AC28E5" w14:textId="77777777" w:rsidR="00085DBB" w:rsidRPr="00843720" w:rsidRDefault="00085DBB" w:rsidP="003B3DAA">
            <w:pPr>
              <w:spacing w:after="0"/>
              <w:jc w:val="center"/>
            </w:pPr>
            <w:r w:rsidRPr="00843720">
              <w:t>X</w:t>
            </w:r>
          </w:p>
        </w:tc>
        <w:tc>
          <w:tcPr>
            <w:tcW w:w="678" w:type="dxa"/>
            <w:vAlign w:val="center"/>
          </w:tcPr>
          <w:p w14:paraId="14A993B7" w14:textId="77777777" w:rsidR="00085DBB" w:rsidRPr="00843720" w:rsidRDefault="00085DBB" w:rsidP="003B3DAA">
            <w:pPr>
              <w:spacing w:after="0"/>
              <w:jc w:val="center"/>
            </w:pPr>
            <w:r w:rsidRPr="00843720">
              <w:t>X</w:t>
            </w:r>
          </w:p>
        </w:tc>
        <w:tc>
          <w:tcPr>
            <w:tcW w:w="628" w:type="dxa"/>
            <w:vAlign w:val="center"/>
          </w:tcPr>
          <w:p w14:paraId="489481A3" w14:textId="77777777" w:rsidR="00085DBB" w:rsidRPr="00843720" w:rsidRDefault="00085DBB" w:rsidP="003B3DAA">
            <w:pPr>
              <w:spacing w:after="0"/>
              <w:jc w:val="center"/>
            </w:pPr>
          </w:p>
        </w:tc>
        <w:tc>
          <w:tcPr>
            <w:tcW w:w="810" w:type="dxa"/>
            <w:gridSpan w:val="2"/>
            <w:vAlign w:val="center"/>
          </w:tcPr>
          <w:p w14:paraId="043E1FDD" w14:textId="77777777" w:rsidR="00085DBB" w:rsidRPr="00843720" w:rsidRDefault="00085DBB" w:rsidP="003B3DAA">
            <w:pPr>
              <w:spacing w:after="0"/>
              <w:jc w:val="center"/>
            </w:pPr>
            <w:r w:rsidRPr="00843720">
              <w:t>X</w:t>
            </w:r>
          </w:p>
        </w:tc>
        <w:tc>
          <w:tcPr>
            <w:tcW w:w="720" w:type="dxa"/>
            <w:vAlign w:val="center"/>
          </w:tcPr>
          <w:p w14:paraId="5E590600" w14:textId="77777777" w:rsidR="00085DBB" w:rsidRPr="00843720" w:rsidRDefault="00085DBB" w:rsidP="003B3DAA">
            <w:pPr>
              <w:spacing w:after="0"/>
              <w:jc w:val="center"/>
            </w:pPr>
          </w:p>
        </w:tc>
      </w:tr>
      <w:tr w:rsidR="00085DBB" w:rsidRPr="00030C60" w14:paraId="4ED7C97E" w14:textId="77777777" w:rsidTr="00085DBB">
        <w:tc>
          <w:tcPr>
            <w:tcW w:w="3071" w:type="dxa"/>
          </w:tcPr>
          <w:p w14:paraId="1E675485" w14:textId="77777777" w:rsidR="00085DBB" w:rsidRPr="00843720" w:rsidRDefault="00085DBB" w:rsidP="003B3DAA">
            <w:pPr>
              <w:spacing w:after="0"/>
            </w:pPr>
            <w:r w:rsidRPr="00843720">
              <w:t xml:space="preserve">Immunization for Adolescents </w:t>
            </w:r>
          </w:p>
        </w:tc>
        <w:tc>
          <w:tcPr>
            <w:tcW w:w="1193" w:type="dxa"/>
            <w:gridSpan w:val="2"/>
          </w:tcPr>
          <w:p w14:paraId="7D224376" w14:textId="77777777" w:rsidR="00085DBB" w:rsidRPr="00843720" w:rsidRDefault="00085DBB" w:rsidP="003B3DAA">
            <w:pPr>
              <w:spacing w:after="0"/>
            </w:pPr>
            <w:r w:rsidRPr="00843720">
              <w:t xml:space="preserve">NCQA </w:t>
            </w:r>
          </w:p>
        </w:tc>
        <w:tc>
          <w:tcPr>
            <w:tcW w:w="794" w:type="dxa"/>
          </w:tcPr>
          <w:p w14:paraId="2682FB35" w14:textId="77777777" w:rsidR="00085DBB" w:rsidRPr="00843720" w:rsidRDefault="00085DBB" w:rsidP="003B3DAA">
            <w:pPr>
              <w:spacing w:after="0"/>
            </w:pPr>
            <w:r w:rsidRPr="00843720">
              <w:t>1407</w:t>
            </w:r>
          </w:p>
        </w:tc>
        <w:tc>
          <w:tcPr>
            <w:tcW w:w="630" w:type="dxa"/>
            <w:vAlign w:val="center"/>
          </w:tcPr>
          <w:p w14:paraId="09EBE51E" w14:textId="77777777" w:rsidR="00085DBB" w:rsidRPr="00843720" w:rsidRDefault="00085DBB" w:rsidP="003B3DAA">
            <w:pPr>
              <w:spacing w:after="0"/>
              <w:jc w:val="center"/>
            </w:pPr>
            <w:r w:rsidRPr="00843720">
              <w:t>X</w:t>
            </w:r>
          </w:p>
        </w:tc>
        <w:tc>
          <w:tcPr>
            <w:tcW w:w="674" w:type="dxa"/>
            <w:vAlign w:val="center"/>
          </w:tcPr>
          <w:p w14:paraId="39C1609A" w14:textId="77777777" w:rsidR="00085DBB" w:rsidRPr="00843720" w:rsidRDefault="00085DBB" w:rsidP="003B3DAA">
            <w:pPr>
              <w:spacing w:after="0"/>
              <w:jc w:val="center"/>
            </w:pPr>
            <w:r w:rsidRPr="00843720">
              <w:t>X</w:t>
            </w:r>
          </w:p>
        </w:tc>
        <w:tc>
          <w:tcPr>
            <w:tcW w:w="678" w:type="dxa"/>
            <w:vAlign w:val="center"/>
          </w:tcPr>
          <w:p w14:paraId="4AA3D055" w14:textId="77777777" w:rsidR="00085DBB" w:rsidRPr="00843720" w:rsidRDefault="00085DBB" w:rsidP="003B3DAA">
            <w:pPr>
              <w:spacing w:after="0"/>
              <w:jc w:val="center"/>
            </w:pPr>
            <w:r w:rsidRPr="00843720">
              <w:t>X</w:t>
            </w:r>
          </w:p>
        </w:tc>
        <w:tc>
          <w:tcPr>
            <w:tcW w:w="628" w:type="dxa"/>
            <w:vAlign w:val="center"/>
          </w:tcPr>
          <w:p w14:paraId="097C254C" w14:textId="77777777" w:rsidR="00085DBB" w:rsidRPr="00843720" w:rsidRDefault="00085DBB" w:rsidP="003B3DAA">
            <w:pPr>
              <w:spacing w:after="0"/>
              <w:jc w:val="center"/>
            </w:pPr>
          </w:p>
        </w:tc>
        <w:tc>
          <w:tcPr>
            <w:tcW w:w="810" w:type="dxa"/>
            <w:gridSpan w:val="2"/>
            <w:vAlign w:val="center"/>
          </w:tcPr>
          <w:p w14:paraId="7AAF94F8" w14:textId="77777777" w:rsidR="00085DBB" w:rsidRPr="00843720" w:rsidRDefault="00085DBB" w:rsidP="003B3DAA">
            <w:pPr>
              <w:spacing w:after="0"/>
              <w:jc w:val="center"/>
            </w:pPr>
          </w:p>
        </w:tc>
        <w:tc>
          <w:tcPr>
            <w:tcW w:w="720" w:type="dxa"/>
            <w:vAlign w:val="center"/>
          </w:tcPr>
          <w:p w14:paraId="3CF2EF6C" w14:textId="77777777" w:rsidR="00085DBB" w:rsidRPr="00843720" w:rsidRDefault="00085DBB" w:rsidP="003B3DAA">
            <w:pPr>
              <w:spacing w:after="0"/>
              <w:jc w:val="center"/>
            </w:pPr>
          </w:p>
        </w:tc>
      </w:tr>
      <w:tr w:rsidR="00085DBB" w:rsidRPr="00030C60" w14:paraId="5F9C5E1B" w14:textId="77777777" w:rsidTr="00085DBB">
        <w:tc>
          <w:tcPr>
            <w:tcW w:w="3071" w:type="dxa"/>
          </w:tcPr>
          <w:p w14:paraId="4759B6A6" w14:textId="77777777" w:rsidR="00085DBB" w:rsidRPr="00843720" w:rsidRDefault="00085DBB" w:rsidP="003B3DAA">
            <w:pPr>
              <w:spacing w:after="0"/>
            </w:pPr>
            <w:r w:rsidRPr="00843720">
              <w:t xml:space="preserve">Oral Health Evaluation </w:t>
            </w:r>
          </w:p>
        </w:tc>
        <w:tc>
          <w:tcPr>
            <w:tcW w:w="1193" w:type="dxa"/>
            <w:gridSpan w:val="2"/>
          </w:tcPr>
          <w:p w14:paraId="57C0C9E8" w14:textId="77777777" w:rsidR="00085DBB" w:rsidRPr="00843720" w:rsidRDefault="00085DBB" w:rsidP="003B3DAA">
            <w:pPr>
              <w:spacing w:after="0"/>
            </w:pPr>
            <w:r w:rsidRPr="00843720">
              <w:t xml:space="preserve">ADA </w:t>
            </w:r>
          </w:p>
        </w:tc>
        <w:tc>
          <w:tcPr>
            <w:tcW w:w="794" w:type="dxa"/>
          </w:tcPr>
          <w:p w14:paraId="1A0EADB0" w14:textId="77777777" w:rsidR="00085DBB" w:rsidRPr="00843720" w:rsidRDefault="00085DBB" w:rsidP="003B3DAA">
            <w:pPr>
              <w:spacing w:after="0"/>
            </w:pPr>
            <w:r w:rsidRPr="00843720">
              <w:t>2517</w:t>
            </w:r>
          </w:p>
        </w:tc>
        <w:tc>
          <w:tcPr>
            <w:tcW w:w="630" w:type="dxa"/>
            <w:vAlign w:val="center"/>
          </w:tcPr>
          <w:p w14:paraId="4029FBB3" w14:textId="77777777" w:rsidR="00085DBB" w:rsidRPr="00843720" w:rsidRDefault="00085DBB" w:rsidP="003B3DAA">
            <w:pPr>
              <w:spacing w:after="0"/>
              <w:jc w:val="center"/>
            </w:pPr>
            <w:r w:rsidRPr="00843720">
              <w:t>X</w:t>
            </w:r>
          </w:p>
        </w:tc>
        <w:tc>
          <w:tcPr>
            <w:tcW w:w="674" w:type="dxa"/>
            <w:vAlign w:val="center"/>
          </w:tcPr>
          <w:p w14:paraId="25A9D5CD" w14:textId="77777777" w:rsidR="00085DBB" w:rsidRPr="00843720" w:rsidRDefault="00085DBB" w:rsidP="003B3DAA">
            <w:pPr>
              <w:spacing w:after="0"/>
              <w:jc w:val="center"/>
            </w:pPr>
            <w:r w:rsidRPr="00843720">
              <w:t>X</w:t>
            </w:r>
          </w:p>
        </w:tc>
        <w:tc>
          <w:tcPr>
            <w:tcW w:w="678" w:type="dxa"/>
            <w:vAlign w:val="center"/>
          </w:tcPr>
          <w:p w14:paraId="7F7BCFCB" w14:textId="77777777" w:rsidR="00085DBB" w:rsidRPr="00843720" w:rsidRDefault="00085DBB" w:rsidP="003B3DAA">
            <w:pPr>
              <w:spacing w:after="0"/>
              <w:jc w:val="center"/>
            </w:pPr>
          </w:p>
        </w:tc>
        <w:tc>
          <w:tcPr>
            <w:tcW w:w="628" w:type="dxa"/>
            <w:vAlign w:val="center"/>
          </w:tcPr>
          <w:p w14:paraId="4BDF9309" w14:textId="77777777" w:rsidR="00085DBB" w:rsidRPr="00843720" w:rsidRDefault="00085DBB" w:rsidP="003B3DAA">
            <w:pPr>
              <w:spacing w:after="0"/>
              <w:jc w:val="center"/>
            </w:pPr>
          </w:p>
        </w:tc>
        <w:tc>
          <w:tcPr>
            <w:tcW w:w="810" w:type="dxa"/>
            <w:gridSpan w:val="2"/>
            <w:vAlign w:val="center"/>
          </w:tcPr>
          <w:p w14:paraId="5B189683" w14:textId="77777777" w:rsidR="00085DBB" w:rsidRPr="00843720" w:rsidRDefault="00085DBB" w:rsidP="003B3DAA">
            <w:pPr>
              <w:spacing w:after="0"/>
              <w:jc w:val="center"/>
            </w:pPr>
          </w:p>
        </w:tc>
        <w:tc>
          <w:tcPr>
            <w:tcW w:w="720" w:type="dxa"/>
            <w:vAlign w:val="center"/>
          </w:tcPr>
          <w:p w14:paraId="5952FC0D" w14:textId="77777777" w:rsidR="00085DBB" w:rsidRPr="00843720" w:rsidRDefault="00085DBB" w:rsidP="003B3DAA">
            <w:pPr>
              <w:spacing w:after="0"/>
              <w:jc w:val="center"/>
            </w:pPr>
          </w:p>
        </w:tc>
      </w:tr>
      <w:tr w:rsidR="00085DBB" w:rsidRPr="00030C60" w14:paraId="562EE839" w14:textId="77777777" w:rsidTr="00085DBB">
        <w:tc>
          <w:tcPr>
            <w:tcW w:w="3071" w:type="dxa"/>
          </w:tcPr>
          <w:p w14:paraId="0CD3146B" w14:textId="77777777" w:rsidR="00085DBB" w:rsidRPr="00843720" w:rsidRDefault="00085DBB" w:rsidP="003B3DAA">
            <w:pPr>
              <w:spacing w:after="0"/>
            </w:pPr>
            <w:r w:rsidRPr="00843720">
              <w:t xml:space="preserve">Health-Related Social Needs Screening </w:t>
            </w:r>
          </w:p>
        </w:tc>
        <w:tc>
          <w:tcPr>
            <w:tcW w:w="1193" w:type="dxa"/>
            <w:gridSpan w:val="2"/>
          </w:tcPr>
          <w:p w14:paraId="18C301D9" w14:textId="77777777" w:rsidR="00085DBB" w:rsidRPr="00843720" w:rsidRDefault="00085DBB" w:rsidP="003B3DAA">
            <w:pPr>
              <w:spacing w:after="0"/>
            </w:pPr>
            <w:r w:rsidRPr="00843720">
              <w:t xml:space="preserve">EOHHS </w:t>
            </w:r>
          </w:p>
        </w:tc>
        <w:tc>
          <w:tcPr>
            <w:tcW w:w="794" w:type="dxa"/>
          </w:tcPr>
          <w:p w14:paraId="0C2AA56C" w14:textId="77777777" w:rsidR="00085DBB" w:rsidRPr="00843720" w:rsidRDefault="00085DBB" w:rsidP="003B3DAA">
            <w:pPr>
              <w:spacing w:after="0"/>
            </w:pPr>
            <w:r w:rsidRPr="00843720">
              <w:t>N/A</w:t>
            </w:r>
          </w:p>
        </w:tc>
        <w:tc>
          <w:tcPr>
            <w:tcW w:w="630" w:type="dxa"/>
            <w:vAlign w:val="center"/>
          </w:tcPr>
          <w:p w14:paraId="5B18CD91" w14:textId="77777777" w:rsidR="00085DBB" w:rsidRPr="00843720" w:rsidRDefault="00085DBB" w:rsidP="003B3DAA">
            <w:pPr>
              <w:spacing w:after="0"/>
              <w:jc w:val="center"/>
            </w:pPr>
            <w:r w:rsidRPr="00843720">
              <w:t>X</w:t>
            </w:r>
          </w:p>
        </w:tc>
        <w:tc>
          <w:tcPr>
            <w:tcW w:w="674" w:type="dxa"/>
            <w:vAlign w:val="center"/>
          </w:tcPr>
          <w:p w14:paraId="61930964" w14:textId="77777777" w:rsidR="00085DBB" w:rsidRPr="00843720" w:rsidRDefault="00085DBB" w:rsidP="003B3DAA">
            <w:pPr>
              <w:spacing w:after="0"/>
              <w:jc w:val="center"/>
            </w:pPr>
          </w:p>
        </w:tc>
        <w:tc>
          <w:tcPr>
            <w:tcW w:w="678" w:type="dxa"/>
            <w:vAlign w:val="center"/>
          </w:tcPr>
          <w:p w14:paraId="60DC39BC" w14:textId="77777777" w:rsidR="00085DBB" w:rsidRPr="00843720" w:rsidRDefault="00085DBB" w:rsidP="003B3DAA">
            <w:pPr>
              <w:spacing w:after="0"/>
              <w:jc w:val="center"/>
            </w:pPr>
          </w:p>
        </w:tc>
        <w:tc>
          <w:tcPr>
            <w:tcW w:w="628" w:type="dxa"/>
            <w:vAlign w:val="center"/>
          </w:tcPr>
          <w:p w14:paraId="7B9FDD86" w14:textId="77777777" w:rsidR="00085DBB" w:rsidRPr="00843720" w:rsidRDefault="00085DBB" w:rsidP="003B3DAA">
            <w:pPr>
              <w:spacing w:after="0"/>
              <w:jc w:val="center"/>
            </w:pPr>
          </w:p>
        </w:tc>
        <w:tc>
          <w:tcPr>
            <w:tcW w:w="810" w:type="dxa"/>
            <w:gridSpan w:val="2"/>
            <w:vAlign w:val="center"/>
          </w:tcPr>
          <w:p w14:paraId="3F026407" w14:textId="77777777" w:rsidR="00085DBB" w:rsidRPr="00843720" w:rsidRDefault="00085DBB" w:rsidP="003B3DAA">
            <w:pPr>
              <w:spacing w:after="0"/>
              <w:jc w:val="center"/>
            </w:pPr>
          </w:p>
        </w:tc>
        <w:tc>
          <w:tcPr>
            <w:tcW w:w="720" w:type="dxa"/>
            <w:vAlign w:val="center"/>
          </w:tcPr>
          <w:p w14:paraId="59C42E3E" w14:textId="77777777" w:rsidR="00085DBB" w:rsidRPr="00843720" w:rsidRDefault="00085DBB" w:rsidP="003B3DAA">
            <w:pPr>
              <w:spacing w:after="0"/>
              <w:jc w:val="center"/>
            </w:pPr>
          </w:p>
        </w:tc>
      </w:tr>
      <w:tr w:rsidR="00085DBB" w:rsidRPr="00030C60" w14:paraId="051A2EAC" w14:textId="77777777" w:rsidTr="00085DBB">
        <w:tc>
          <w:tcPr>
            <w:tcW w:w="9198" w:type="dxa"/>
            <w:gridSpan w:val="11"/>
            <w:shd w:val="clear" w:color="auto" w:fill="8DB3E2" w:themeFill="text2" w:themeFillTint="66"/>
          </w:tcPr>
          <w:p w14:paraId="608FBB88" w14:textId="77777777" w:rsidR="00085DBB" w:rsidRPr="00EF4905" w:rsidRDefault="00085DBB" w:rsidP="003B3DAA">
            <w:pPr>
              <w:spacing w:after="0"/>
              <w:jc w:val="center"/>
            </w:pPr>
            <w:r w:rsidRPr="00EF4905">
              <w:t>Domain 2: Healthy living, Chronic Disease Prevention and Control</w:t>
            </w:r>
          </w:p>
        </w:tc>
      </w:tr>
      <w:tr w:rsidR="00085DBB" w:rsidRPr="00030C60" w14:paraId="5FFC58EE" w14:textId="77777777" w:rsidTr="00085DBB">
        <w:tc>
          <w:tcPr>
            <w:tcW w:w="3071" w:type="dxa"/>
          </w:tcPr>
          <w:p w14:paraId="587D1CED" w14:textId="77777777" w:rsidR="00085DBB" w:rsidRPr="00843720" w:rsidRDefault="00085DBB" w:rsidP="003B3DAA">
            <w:pPr>
              <w:spacing w:after="0"/>
            </w:pPr>
            <w:r w:rsidRPr="00843720">
              <w:t xml:space="preserve">Controlling High Blood Pressure </w:t>
            </w:r>
          </w:p>
        </w:tc>
        <w:tc>
          <w:tcPr>
            <w:tcW w:w="1177" w:type="dxa"/>
          </w:tcPr>
          <w:p w14:paraId="52CBA2E3" w14:textId="77777777" w:rsidR="00085DBB" w:rsidRPr="00843720" w:rsidRDefault="00085DBB" w:rsidP="003B3DAA">
            <w:pPr>
              <w:spacing w:after="0"/>
            </w:pPr>
            <w:r w:rsidRPr="00843720">
              <w:t xml:space="preserve">NCQA </w:t>
            </w:r>
          </w:p>
        </w:tc>
        <w:tc>
          <w:tcPr>
            <w:tcW w:w="810" w:type="dxa"/>
            <w:gridSpan w:val="2"/>
          </w:tcPr>
          <w:p w14:paraId="6934C2CB" w14:textId="77777777" w:rsidR="00085DBB" w:rsidRPr="00843720" w:rsidRDefault="00085DBB" w:rsidP="003B3DAA">
            <w:pPr>
              <w:spacing w:after="0"/>
            </w:pPr>
            <w:r w:rsidRPr="00843720">
              <w:t>0018</w:t>
            </w:r>
          </w:p>
        </w:tc>
        <w:tc>
          <w:tcPr>
            <w:tcW w:w="630" w:type="dxa"/>
            <w:vAlign w:val="center"/>
          </w:tcPr>
          <w:p w14:paraId="2821C7E7" w14:textId="77777777" w:rsidR="00085DBB" w:rsidRPr="00843720" w:rsidRDefault="00085DBB" w:rsidP="003B3DAA">
            <w:pPr>
              <w:spacing w:after="0"/>
              <w:jc w:val="center"/>
            </w:pPr>
            <w:r w:rsidRPr="00843720">
              <w:t>X</w:t>
            </w:r>
          </w:p>
        </w:tc>
        <w:tc>
          <w:tcPr>
            <w:tcW w:w="674" w:type="dxa"/>
            <w:vAlign w:val="center"/>
          </w:tcPr>
          <w:p w14:paraId="32FEC0CF" w14:textId="77777777" w:rsidR="00085DBB" w:rsidRPr="00843720" w:rsidRDefault="00085DBB" w:rsidP="003B3DAA">
            <w:pPr>
              <w:spacing w:after="0"/>
              <w:jc w:val="center"/>
            </w:pPr>
            <w:r w:rsidRPr="00843720">
              <w:t>X</w:t>
            </w:r>
          </w:p>
        </w:tc>
        <w:tc>
          <w:tcPr>
            <w:tcW w:w="678" w:type="dxa"/>
            <w:vAlign w:val="center"/>
          </w:tcPr>
          <w:p w14:paraId="7237A182" w14:textId="77777777" w:rsidR="00085DBB" w:rsidRPr="00843720" w:rsidRDefault="00085DBB" w:rsidP="003B3DAA">
            <w:pPr>
              <w:spacing w:after="0"/>
              <w:jc w:val="center"/>
            </w:pPr>
            <w:r w:rsidRPr="00843720">
              <w:t>X</w:t>
            </w:r>
          </w:p>
        </w:tc>
        <w:tc>
          <w:tcPr>
            <w:tcW w:w="628" w:type="dxa"/>
            <w:vAlign w:val="center"/>
          </w:tcPr>
          <w:p w14:paraId="5B3BF009" w14:textId="77777777" w:rsidR="00085DBB" w:rsidRPr="00843720" w:rsidRDefault="00085DBB" w:rsidP="003B3DAA">
            <w:pPr>
              <w:spacing w:after="0"/>
              <w:jc w:val="center"/>
            </w:pPr>
            <w:r w:rsidRPr="00843720">
              <w:t>X</w:t>
            </w:r>
          </w:p>
        </w:tc>
        <w:tc>
          <w:tcPr>
            <w:tcW w:w="810" w:type="dxa"/>
            <w:gridSpan w:val="2"/>
            <w:vAlign w:val="center"/>
          </w:tcPr>
          <w:p w14:paraId="25747432" w14:textId="77777777" w:rsidR="00085DBB" w:rsidRPr="00843720" w:rsidRDefault="00085DBB" w:rsidP="003B3DAA">
            <w:pPr>
              <w:spacing w:after="0"/>
              <w:jc w:val="center"/>
            </w:pPr>
            <w:r w:rsidRPr="00843720">
              <w:t>X</w:t>
            </w:r>
          </w:p>
        </w:tc>
        <w:tc>
          <w:tcPr>
            <w:tcW w:w="720" w:type="dxa"/>
            <w:vAlign w:val="center"/>
          </w:tcPr>
          <w:p w14:paraId="7F9A5D5B" w14:textId="77777777" w:rsidR="00085DBB" w:rsidRPr="00843720" w:rsidRDefault="00085DBB" w:rsidP="003B3DAA">
            <w:pPr>
              <w:spacing w:after="0"/>
              <w:jc w:val="center"/>
            </w:pPr>
          </w:p>
        </w:tc>
      </w:tr>
      <w:tr w:rsidR="00085DBB" w:rsidRPr="00030C60" w14:paraId="69F160E4" w14:textId="77777777" w:rsidTr="00085DBB">
        <w:tc>
          <w:tcPr>
            <w:tcW w:w="3071" w:type="dxa"/>
          </w:tcPr>
          <w:p w14:paraId="6EEC7973" w14:textId="77777777" w:rsidR="00085DBB" w:rsidRPr="00843720" w:rsidRDefault="00085DBB" w:rsidP="003B3DAA">
            <w:pPr>
              <w:spacing w:after="0"/>
            </w:pPr>
            <w:r w:rsidRPr="00843720">
              <w:t xml:space="preserve">Asthma Medication Ratio </w:t>
            </w:r>
          </w:p>
        </w:tc>
        <w:tc>
          <w:tcPr>
            <w:tcW w:w="1177" w:type="dxa"/>
          </w:tcPr>
          <w:p w14:paraId="00FC2C90" w14:textId="77777777" w:rsidR="00085DBB" w:rsidRPr="00843720" w:rsidRDefault="00085DBB" w:rsidP="003B3DAA">
            <w:pPr>
              <w:spacing w:after="0"/>
            </w:pPr>
            <w:r w:rsidRPr="00843720">
              <w:t xml:space="preserve">NCQA </w:t>
            </w:r>
          </w:p>
        </w:tc>
        <w:tc>
          <w:tcPr>
            <w:tcW w:w="810" w:type="dxa"/>
            <w:gridSpan w:val="2"/>
          </w:tcPr>
          <w:p w14:paraId="6546467C" w14:textId="77777777" w:rsidR="00085DBB" w:rsidRPr="00843720" w:rsidRDefault="00085DBB" w:rsidP="003B3DAA">
            <w:pPr>
              <w:spacing w:after="0"/>
            </w:pPr>
            <w:r w:rsidRPr="00843720">
              <w:t>1800</w:t>
            </w:r>
          </w:p>
        </w:tc>
        <w:tc>
          <w:tcPr>
            <w:tcW w:w="630" w:type="dxa"/>
            <w:vAlign w:val="center"/>
          </w:tcPr>
          <w:p w14:paraId="540AE966" w14:textId="77777777" w:rsidR="00085DBB" w:rsidRPr="00843720" w:rsidRDefault="00085DBB" w:rsidP="003B3DAA">
            <w:pPr>
              <w:spacing w:after="0"/>
              <w:jc w:val="center"/>
            </w:pPr>
            <w:r w:rsidRPr="00843720">
              <w:t>X</w:t>
            </w:r>
          </w:p>
        </w:tc>
        <w:tc>
          <w:tcPr>
            <w:tcW w:w="674" w:type="dxa"/>
            <w:vAlign w:val="center"/>
          </w:tcPr>
          <w:p w14:paraId="41A8D801" w14:textId="77777777" w:rsidR="00085DBB" w:rsidRPr="00843720" w:rsidRDefault="00085DBB" w:rsidP="003B3DAA">
            <w:pPr>
              <w:spacing w:after="0"/>
              <w:jc w:val="center"/>
            </w:pPr>
            <w:r w:rsidRPr="00843720">
              <w:t>X</w:t>
            </w:r>
          </w:p>
        </w:tc>
        <w:tc>
          <w:tcPr>
            <w:tcW w:w="678" w:type="dxa"/>
            <w:vAlign w:val="center"/>
          </w:tcPr>
          <w:p w14:paraId="05737210" w14:textId="77777777" w:rsidR="00085DBB" w:rsidRPr="00843720" w:rsidRDefault="00085DBB" w:rsidP="003B3DAA">
            <w:pPr>
              <w:spacing w:after="0"/>
              <w:jc w:val="center"/>
            </w:pPr>
            <w:r w:rsidRPr="00843720">
              <w:t>X</w:t>
            </w:r>
          </w:p>
        </w:tc>
        <w:tc>
          <w:tcPr>
            <w:tcW w:w="628" w:type="dxa"/>
            <w:vAlign w:val="center"/>
          </w:tcPr>
          <w:p w14:paraId="38EB7F2B" w14:textId="77777777" w:rsidR="00085DBB" w:rsidRPr="00843720" w:rsidRDefault="00085DBB" w:rsidP="003B3DAA">
            <w:pPr>
              <w:spacing w:after="0"/>
              <w:jc w:val="center"/>
            </w:pPr>
          </w:p>
        </w:tc>
        <w:tc>
          <w:tcPr>
            <w:tcW w:w="810" w:type="dxa"/>
            <w:gridSpan w:val="2"/>
            <w:vAlign w:val="center"/>
          </w:tcPr>
          <w:p w14:paraId="3D7A66AB" w14:textId="77777777" w:rsidR="00085DBB" w:rsidRPr="00843720" w:rsidRDefault="00085DBB" w:rsidP="003B3DAA">
            <w:pPr>
              <w:spacing w:after="0"/>
              <w:jc w:val="center"/>
            </w:pPr>
          </w:p>
        </w:tc>
        <w:tc>
          <w:tcPr>
            <w:tcW w:w="720" w:type="dxa"/>
            <w:vAlign w:val="center"/>
          </w:tcPr>
          <w:p w14:paraId="1BC183FE" w14:textId="77777777" w:rsidR="00085DBB" w:rsidRPr="00843720" w:rsidRDefault="00085DBB" w:rsidP="003B3DAA">
            <w:pPr>
              <w:spacing w:after="0"/>
              <w:jc w:val="center"/>
            </w:pPr>
          </w:p>
        </w:tc>
      </w:tr>
      <w:tr w:rsidR="00085DBB" w:rsidRPr="00030C60" w14:paraId="605CB32B" w14:textId="77777777" w:rsidTr="00085DBB">
        <w:tc>
          <w:tcPr>
            <w:tcW w:w="3071" w:type="dxa"/>
          </w:tcPr>
          <w:p w14:paraId="6C1EFED1" w14:textId="77777777" w:rsidR="00085DBB" w:rsidRPr="00843720" w:rsidRDefault="00085DBB" w:rsidP="003B3DAA">
            <w:pPr>
              <w:spacing w:after="0"/>
            </w:pPr>
            <w:r w:rsidRPr="00843720">
              <w:t>Use of Appropriate Medications for Asthma</w:t>
            </w:r>
          </w:p>
        </w:tc>
        <w:tc>
          <w:tcPr>
            <w:tcW w:w="1177" w:type="dxa"/>
          </w:tcPr>
          <w:p w14:paraId="7C2278A8" w14:textId="77777777" w:rsidR="00085DBB" w:rsidRPr="00843720" w:rsidRDefault="00085DBB" w:rsidP="003B3DAA">
            <w:pPr>
              <w:spacing w:after="0"/>
            </w:pPr>
            <w:r w:rsidRPr="00843720">
              <w:t xml:space="preserve">NCQA </w:t>
            </w:r>
          </w:p>
        </w:tc>
        <w:tc>
          <w:tcPr>
            <w:tcW w:w="810" w:type="dxa"/>
            <w:gridSpan w:val="2"/>
          </w:tcPr>
          <w:p w14:paraId="517BB20D" w14:textId="77777777" w:rsidR="00085DBB" w:rsidRPr="00843720" w:rsidRDefault="00085DBB" w:rsidP="003B3DAA">
            <w:pPr>
              <w:spacing w:after="0"/>
            </w:pPr>
            <w:r w:rsidRPr="00843720">
              <w:t>0036</w:t>
            </w:r>
          </w:p>
        </w:tc>
        <w:tc>
          <w:tcPr>
            <w:tcW w:w="630" w:type="dxa"/>
            <w:vAlign w:val="center"/>
          </w:tcPr>
          <w:p w14:paraId="116A81A7" w14:textId="77777777" w:rsidR="00085DBB" w:rsidRPr="00843720" w:rsidRDefault="00085DBB" w:rsidP="003B3DAA">
            <w:pPr>
              <w:spacing w:after="0"/>
              <w:jc w:val="center"/>
            </w:pPr>
          </w:p>
        </w:tc>
        <w:tc>
          <w:tcPr>
            <w:tcW w:w="674" w:type="dxa"/>
            <w:vAlign w:val="center"/>
          </w:tcPr>
          <w:p w14:paraId="3DFCB0D8" w14:textId="77777777" w:rsidR="00085DBB" w:rsidRPr="00843720" w:rsidRDefault="00085DBB" w:rsidP="003B3DAA">
            <w:pPr>
              <w:spacing w:after="0"/>
              <w:jc w:val="center"/>
            </w:pPr>
          </w:p>
        </w:tc>
        <w:tc>
          <w:tcPr>
            <w:tcW w:w="678" w:type="dxa"/>
            <w:vAlign w:val="center"/>
          </w:tcPr>
          <w:p w14:paraId="22192BC2" w14:textId="77777777" w:rsidR="00085DBB" w:rsidRPr="00843720" w:rsidRDefault="00085DBB" w:rsidP="003B3DAA">
            <w:pPr>
              <w:spacing w:after="0"/>
              <w:jc w:val="center"/>
            </w:pPr>
          </w:p>
        </w:tc>
        <w:tc>
          <w:tcPr>
            <w:tcW w:w="628" w:type="dxa"/>
            <w:vAlign w:val="center"/>
          </w:tcPr>
          <w:p w14:paraId="3AB06A6C" w14:textId="77777777" w:rsidR="00085DBB" w:rsidRPr="00843720" w:rsidRDefault="00085DBB" w:rsidP="003B3DAA">
            <w:pPr>
              <w:spacing w:after="0"/>
              <w:jc w:val="center"/>
            </w:pPr>
          </w:p>
        </w:tc>
        <w:tc>
          <w:tcPr>
            <w:tcW w:w="810" w:type="dxa"/>
            <w:gridSpan w:val="2"/>
            <w:vAlign w:val="center"/>
          </w:tcPr>
          <w:p w14:paraId="1CEF8CE0" w14:textId="77777777" w:rsidR="00085DBB" w:rsidRPr="00843720" w:rsidRDefault="00085DBB" w:rsidP="003B3DAA">
            <w:pPr>
              <w:spacing w:after="0"/>
              <w:jc w:val="center"/>
            </w:pPr>
            <w:r w:rsidRPr="00843720">
              <w:t>X</w:t>
            </w:r>
          </w:p>
        </w:tc>
        <w:tc>
          <w:tcPr>
            <w:tcW w:w="720" w:type="dxa"/>
            <w:vAlign w:val="center"/>
          </w:tcPr>
          <w:p w14:paraId="2CFC2679" w14:textId="77777777" w:rsidR="00085DBB" w:rsidRPr="00843720" w:rsidRDefault="00085DBB" w:rsidP="003B3DAA">
            <w:pPr>
              <w:spacing w:after="0"/>
              <w:jc w:val="center"/>
            </w:pPr>
          </w:p>
        </w:tc>
      </w:tr>
      <w:tr w:rsidR="00085DBB" w:rsidRPr="00030C60" w14:paraId="52F813E8" w14:textId="77777777" w:rsidTr="00085DBB">
        <w:tc>
          <w:tcPr>
            <w:tcW w:w="3071" w:type="dxa"/>
          </w:tcPr>
          <w:p w14:paraId="5F524FD6" w14:textId="77777777" w:rsidR="00085DBB" w:rsidRPr="00843720" w:rsidRDefault="00085DBB" w:rsidP="003B3DAA">
            <w:pPr>
              <w:spacing w:after="0"/>
            </w:pPr>
            <w:r w:rsidRPr="00843720">
              <w:t>Comprehensive Diabetes Care: Poor Control</w:t>
            </w:r>
          </w:p>
        </w:tc>
        <w:tc>
          <w:tcPr>
            <w:tcW w:w="1177" w:type="dxa"/>
          </w:tcPr>
          <w:p w14:paraId="73CDAF10" w14:textId="77777777" w:rsidR="00085DBB" w:rsidRPr="00843720" w:rsidRDefault="00085DBB" w:rsidP="003B3DAA">
            <w:pPr>
              <w:spacing w:after="0"/>
            </w:pPr>
            <w:r w:rsidRPr="00843720">
              <w:t xml:space="preserve">NCQA </w:t>
            </w:r>
          </w:p>
        </w:tc>
        <w:tc>
          <w:tcPr>
            <w:tcW w:w="810" w:type="dxa"/>
            <w:gridSpan w:val="2"/>
          </w:tcPr>
          <w:p w14:paraId="34C1EF5A" w14:textId="77777777" w:rsidR="00085DBB" w:rsidRPr="00843720" w:rsidRDefault="00085DBB" w:rsidP="003B3DAA">
            <w:pPr>
              <w:spacing w:after="0"/>
            </w:pPr>
            <w:r w:rsidRPr="00843720">
              <w:t>0059</w:t>
            </w:r>
          </w:p>
        </w:tc>
        <w:tc>
          <w:tcPr>
            <w:tcW w:w="630" w:type="dxa"/>
            <w:vAlign w:val="center"/>
          </w:tcPr>
          <w:p w14:paraId="0F0810F6" w14:textId="77777777" w:rsidR="00085DBB" w:rsidRPr="00843720" w:rsidRDefault="00085DBB" w:rsidP="003B3DAA">
            <w:pPr>
              <w:spacing w:after="0"/>
              <w:jc w:val="center"/>
            </w:pPr>
            <w:r w:rsidRPr="00843720">
              <w:t>X</w:t>
            </w:r>
          </w:p>
        </w:tc>
        <w:tc>
          <w:tcPr>
            <w:tcW w:w="674" w:type="dxa"/>
            <w:vAlign w:val="center"/>
          </w:tcPr>
          <w:p w14:paraId="437F68DC" w14:textId="77777777" w:rsidR="00085DBB" w:rsidRPr="00843720" w:rsidRDefault="00085DBB" w:rsidP="003B3DAA">
            <w:pPr>
              <w:spacing w:after="0"/>
              <w:jc w:val="center"/>
            </w:pPr>
            <w:r w:rsidRPr="00843720">
              <w:t>X</w:t>
            </w:r>
          </w:p>
        </w:tc>
        <w:tc>
          <w:tcPr>
            <w:tcW w:w="678" w:type="dxa"/>
            <w:vAlign w:val="center"/>
          </w:tcPr>
          <w:p w14:paraId="09E6A24E" w14:textId="77777777" w:rsidR="00085DBB" w:rsidRPr="00843720" w:rsidRDefault="00085DBB" w:rsidP="003B3DAA">
            <w:pPr>
              <w:spacing w:after="0"/>
              <w:jc w:val="center"/>
            </w:pPr>
            <w:r w:rsidRPr="00843720">
              <w:t>X</w:t>
            </w:r>
          </w:p>
        </w:tc>
        <w:tc>
          <w:tcPr>
            <w:tcW w:w="628" w:type="dxa"/>
            <w:vAlign w:val="center"/>
          </w:tcPr>
          <w:p w14:paraId="6FED50C4" w14:textId="77777777" w:rsidR="00085DBB" w:rsidRPr="00843720" w:rsidRDefault="00085DBB" w:rsidP="003B3DAA">
            <w:pPr>
              <w:spacing w:after="0"/>
              <w:jc w:val="center"/>
            </w:pPr>
          </w:p>
        </w:tc>
        <w:tc>
          <w:tcPr>
            <w:tcW w:w="810" w:type="dxa"/>
            <w:gridSpan w:val="2"/>
            <w:vAlign w:val="center"/>
          </w:tcPr>
          <w:p w14:paraId="7E406583" w14:textId="77777777" w:rsidR="00085DBB" w:rsidRPr="00843720" w:rsidRDefault="00085DBB" w:rsidP="003B3DAA">
            <w:pPr>
              <w:spacing w:after="0"/>
              <w:jc w:val="center"/>
            </w:pPr>
            <w:r w:rsidRPr="00843720">
              <w:t>X</w:t>
            </w:r>
          </w:p>
        </w:tc>
        <w:tc>
          <w:tcPr>
            <w:tcW w:w="720" w:type="dxa"/>
            <w:vAlign w:val="center"/>
          </w:tcPr>
          <w:p w14:paraId="07834B9A" w14:textId="77777777" w:rsidR="00085DBB" w:rsidRPr="00843720" w:rsidRDefault="00085DBB" w:rsidP="003B3DAA">
            <w:pPr>
              <w:spacing w:after="0"/>
              <w:jc w:val="center"/>
            </w:pPr>
          </w:p>
        </w:tc>
      </w:tr>
      <w:tr w:rsidR="00085DBB" w:rsidRPr="00030C60" w14:paraId="3599E622" w14:textId="77777777" w:rsidTr="00085DBB">
        <w:tc>
          <w:tcPr>
            <w:tcW w:w="3071" w:type="dxa"/>
          </w:tcPr>
          <w:p w14:paraId="122097A1" w14:textId="77777777" w:rsidR="00085DBB" w:rsidRPr="00843720" w:rsidRDefault="00085DBB" w:rsidP="003B3DAA">
            <w:pPr>
              <w:spacing w:after="0"/>
            </w:pPr>
            <w:r w:rsidRPr="00843720">
              <w:t xml:space="preserve">Follow-up Care for Children Prescribed ADHD Medication </w:t>
            </w:r>
          </w:p>
          <w:p w14:paraId="0765C7FE" w14:textId="77777777" w:rsidR="00085DBB" w:rsidRPr="00843720" w:rsidRDefault="00085DBB" w:rsidP="003B3DAA">
            <w:pPr>
              <w:spacing w:after="0"/>
            </w:pPr>
          </w:p>
        </w:tc>
        <w:tc>
          <w:tcPr>
            <w:tcW w:w="1177" w:type="dxa"/>
          </w:tcPr>
          <w:p w14:paraId="66B62035" w14:textId="77777777" w:rsidR="00085DBB" w:rsidRPr="00843720" w:rsidRDefault="00085DBB" w:rsidP="003B3DAA">
            <w:pPr>
              <w:spacing w:after="0"/>
            </w:pPr>
            <w:r w:rsidRPr="00843720">
              <w:t xml:space="preserve">NCQA </w:t>
            </w:r>
          </w:p>
        </w:tc>
        <w:tc>
          <w:tcPr>
            <w:tcW w:w="810" w:type="dxa"/>
            <w:gridSpan w:val="2"/>
          </w:tcPr>
          <w:p w14:paraId="73FE6F49" w14:textId="77777777" w:rsidR="00085DBB" w:rsidRPr="00843720" w:rsidRDefault="00085DBB" w:rsidP="003B3DAA">
            <w:pPr>
              <w:spacing w:after="0"/>
            </w:pPr>
            <w:r w:rsidRPr="00843720">
              <w:t>0108</w:t>
            </w:r>
          </w:p>
        </w:tc>
        <w:tc>
          <w:tcPr>
            <w:tcW w:w="630" w:type="dxa"/>
            <w:vAlign w:val="center"/>
          </w:tcPr>
          <w:p w14:paraId="03004227" w14:textId="77777777" w:rsidR="00085DBB" w:rsidRPr="00843720" w:rsidRDefault="00085DBB" w:rsidP="003B3DAA">
            <w:pPr>
              <w:spacing w:after="0"/>
              <w:jc w:val="center"/>
            </w:pPr>
          </w:p>
        </w:tc>
        <w:tc>
          <w:tcPr>
            <w:tcW w:w="674" w:type="dxa"/>
            <w:vAlign w:val="center"/>
          </w:tcPr>
          <w:p w14:paraId="3BF684BF" w14:textId="77777777" w:rsidR="00085DBB" w:rsidRPr="00843720" w:rsidRDefault="00085DBB" w:rsidP="003B3DAA">
            <w:pPr>
              <w:spacing w:after="0"/>
              <w:jc w:val="center"/>
            </w:pPr>
          </w:p>
        </w:tc>
        <w:tc>
          <w:tcPr>
            <w:tcW w:w="678" w:type="dxa"/>
            <w:vAlign w:val="center"/>
          </w:tcPr>
          <w:p w14:paraId="7B4F5E2A" w14:textId="77777777" w:rsidR="00085DBB" w:rsidRPr="00843720" w:rsidRDefault="00085DBB" w:rsidP="003B3DAA">
            <w:pPr>
              <w:spacing w:after="0"/>
              <w:jc w:val="center"/>
            </w:pPr>
          </w:p>
        </w:tc>
        <w:tc>
          <w:tcPr>
            <w:tcW w:w="628" w:type="dxa"/>
            <w:vAlign w:val="center"/>
          </w:tcPr>
          <w:p w14:paraId="2EDC6CBE" w14:textId="77777777" w:rsidR="00085DBB" w:rsidRPr="00843720" w:rsidRDefault="00085DBB" w:rsidP="003B3DAA">
            <w:pPr>
              <w:spacing w:after="0"/>
              <w:jc w:val="center"/>
            </w:pPr>
          </w:p>
        </w:tc>
        <w:tc>
          <w:tcPr>
            <w:tcW w:w="810" w:type="dxa"/>
            <w:gridSpan w:val="2"/>
            <w:vAlign w:val="center"/>
          </w:tcPr>
          <w:p w14:paraId="594475AF" w14:textId="77777777" w:rsidR="00085DBB" w:rsidRPr="00843720" w:rsidRDefault="00085DBB" w:rsidP="003B3DAA">
            <w:pPr>
              <w:spacing w:after="0"/>
              <w:jc w:val="center"/>
            </w:pPr>
          </w:p>
        </w:tc>
        <w:tc>
          <w:tcPr>
            <w:tcW w:w="720" w:type="dxa"/>
            <w:vAlign w:val="center"/>
          </w:tcPr>
          <w:p w14:paraId="3263B169" w14:textId="77777777" w:rsidR="00085DBB" w:rsidRPr="00843720" w:rsidRDefault="00085DBB" w:rsidP="003B3DAA">
            <w:pPr>
              <w:spacing w:after="0"/>
              <w:jc w:val="center"/>
            </w:pPr>
            <w:r w:rsidRPr="00843720">
              <w:t>X</w:t>
            </w:r>
          </w:p>
        </w:tc>
      </w:tr>
      <w:tr w:rsidR="00085DBB" w:rsidRPr="00030C60" w14:paraId="0E589F1F" w14:textId="77777777" w:rsidTr="00085DBB">
        <w:tc>
          <w:tcPr>
            <w:tcW w:w="3071" w:type="dxa"/>
          </w:tcPr>
          <w:p w14:paraId="6C1E69C9" w14:textId="77777777" w:rsidR="00085DBB" w:rsidRPr="00843720" w:rsidRDefault="00085DBB" w:rsidP="003B3DAA">
            <w:pPr>
              <w:spacing w:after="0"/>
            </w:pPr>
            <w:r w:rsidRPr="00843720">
              <w:t xml:space="preserve">Colorectal Cancer Screening </w:t>
            </w:r>
          </w:p>
        </w:tc>
        <w:tc>
          <w:tcPr>
            <w:tcW w:w="1177" w:type="dxa"/>
          </w:tcPr>
          <w:p w14:paraId="65CD3024" w14:textId="77777777" w:rsidR="00085DBB" w:rsidRPr="00843720" w:rsidRDefault="00085DBB" w:rsidP="003B3DAA">
            <w:pPr>
              <w:spacing w:after="0"/>
            </w:pPr>
            <w:r w:rsidRPr="00843720">
              <w:t xml:space="preserve">NCQA </w:t>
            </w:r>
          </w:p>
        </w:tc>
        <w:tc>
          <w:tcPr>
            <w:tcW w:w="810" w:type="dxa"/>
            <w:gridSpan w:val="2"/>
          </w:tcPr>
          <w:p w14:paraId="0BBCB31E" w14:textId="77777777" w:rsidR="00085DBB" w:rsidRPr="00843720" w:rsidRDefault="00085DBB" w:rsidP="003B3DAA">
            <w:pPr>
              <w:spacing w:after="0"/>
            </w:pPr>
            <w:r w:rsidRPr="00843720">
              <w:t>0034</w:t>
            </w:r>
          </w:p>
        </w:tc>
        <w:tc>
          <w:tcPr>
            <w:tcW w:w="630" w:type="dxa"/>
            <w:vAlign w:val="center"/>
          </w:tcPr>
          <w:p w14:paraId="613037CD" w14:textId="77777777" w:rsidR="00085DBB" w:rsidRPr="00843720" w:rsidRDefault="00085DBB" w:rsidP="003B3DAA">
            <w:pPr>
              <w:spacing w:after="0"/>
              <w:jc w:val="center"/>
            </w:pPr>
          </w:p>
        </w:tc>
        <w:tc>
          <w:tcPr>
            <w:tcW w:w="674" w:type="dxa"/>
            <w:vAlign w:val="center"/>
          </w:tcPr>
          <w:p w14:paraId="11D98C44" w14:textId="77777777" w:rsidR="00085DBB" w:rsidRPr="00843720" w:rsidRDefault="00085DBB" w:rsidP="003B3DAA">
            <w:pPr>
              <w:spacing w:after="0"/>
              <w:jc w:val="center"/>
            </w:pPr>
          </w:p>
        </w:tc>
        <w:tc>
          <w:tcPr>
            <w:tcW w:w="678" w:type="dxa"/>
            <w:vAlign w:val="center"/>
          </w:tcPr>
          <w:p w14:paraId="61E6C98B" w14:textId="77777777" w:rsidR="00085DBB" w:rsidRPr="00843720" w:rsidRDefault="00085DBB" w:rsidP="003B3DAA">
            <w:pPr>
              <w:spacing w:after="0"/>
              <w:jc w:val="center"/>
            </w:pPr>
          </w:p>
        </w:tc>
        <w:tc>
          <w:tcPr>
            <w:tcW w:w="628" w:type="dxa"/>
            <w:vAlign w:val="center"/>
          </w:tcPr>
          <w:p w14:paraId="6DCEC637" w14:textId="77777777" w:rsidR="00085DBB" w:rsidRPr="00843720" w:rsidRDefault="00085DBB" w:rsidP="003B3DAA">
            <w:pPr>
              <w:spacing w:after="0"/>
              <w:jc w:val="center"/>
            </w:pPr>
            <w:r w:rsidRPr="00843720">
              <w:t>X</w:t>
            </w:r>
          </w:p>
        </w:tc>
        <w:tc>
          <w:tcPr>
            <w:tcW w:w="810" w:type="dxa"/>
            <w:gridSpan w:val="2"/>
            <w:vAlign w:val="center"/>
          </w:tcPr>
          <w:p w14:paraId="30971B53" w14:textId="77777777" w:rsidR="00085DBB" w:rsidRPr="00843720" w:rsidRDefault="00085DBB" w:rsidP="003B3DAA">
            <w:pPr>
              <w:spacing w:after="0"/>
              <w:jc w:val="center"/>
            </w:pPr>
            <w:r w:rsidRPr="00843720">
              <w:t>X</w:t>
            </w:r>
          </w:p>
        </w:tc>
        <w:tc>
          <w:tcPr>
            <w:tcW w:w="720" w:type="dxa"/>
            <w:vAlign w:val="center"/>
          </w:tcPr>
          <w:p w14:paraId="300015FF" w14:textId="77777777" w:rsidR="00085DBB" w:rsidRPr="00843720" w:rsidRDefault="00085DBB" w:rsidP="003B3DAA">
            <w:pPr>
              <w:spacing w:after="0"/>
              <w:jc w:val="center"/>
            </w:pPr>
          </w:p>
        </w:tc>
      </w:tr>
      <w:tr w:rsidR="00085DBB" w:rsidRPr="00030C60" w14:paraId="01C6B573" w14:textId="77777777" w:rsidTr="00085DBB">
        <w:tc>
          <w:tcPr>
            <w:tcW w:w="3071" w:type="dxa"/>
          </w:tcPr>
          <w:p w14:paraId="78DD26AD" w14:textId="77777777" w:rsidR="00085DBB" w:rsidRPr="00843720" w:rsidRDefault="00085DBB" w:rsidP="003B3DAA">
            <w:pPr>
              <w:spacing w:after="0"/>
            </w:pPr>
            <w:r w:rsidRPr="00843720">
              <w:t>Persistence of Beta Blocker Treatment After Heart Attack</w:t>
            </w:r>
          </w:p>
        </w:tc>
        <w:tc>
          <w:tcPr>
            <w:tcW w:w="1177" w:type="dxa"/>
          </w:tcPr>
          <w:p w14:paraId="5721A073" w14:textId="77777777" w:rsidR="00085DBB" w:rsidRPr="00843720" w:rsidRDefault="00085DBB" w:rsidP="003B3DAA">
            <w:pPr>
              <w:spacing w:after="0"/>
            </w:pPr>
            <w:r w:rsidRPr="00843720">
              <w:t xml:space="preserve">NCQA </w:t>
            </w:r>
          </w:p>
        </w:tc>
        <w:tc>
          <w:tcPr>
            <w:tcW w:w="810" w:type="dxa"/>
            <w:gridSpan w:val="2"/>
          </w:tcPr>
          <w:p w14:paraId="4015414E" w14:textId="77777777" w:rsidR="00085DBB" w:rsidRPr="00843720" w:rsidRDefault="00085DBB" w:rsidP="003B3DAA">
            <w:pPr>
              <w:spacing w:after="0"/>
            </w:pPr>
            <w:r w:rsidRPr="00843720">
              <w:t>0074</w:t>
            </w:r>
          </w:p>
        </w:tc>
        <w:tc>
          <w:tcPr>
            <w:tcW w:w="630" w:type="dxa"/>
            <w:vAlign w:val="center"/>
          </w:tcPr>
          <w:p w14:paraId="0A772BE6" w14:textId="77777777" w:rsidR="00085DBB" w:rsidRPr="00843720" w:rsidRDefault="00085DBB" w:rsidP="003B3DAA">
            <w:pPr>
              <w:spacing w:after="0"/>
              <w:jc w:val="center"/>
            </w:pPr>
          </w:p>
        </w:tc>
        <w:tc>
          <w:tcPr>
            <w:tcW w:w="674" w:type="dxa"/>
            <w:vAlign w:val="center"/>
          </w:tcPr>
          <w:p w14:paraId="18DBD2E0" w14:textId="77777777" w:rsidR="00085DBB" w:rsidRPr="00843720" w:rsidRDefault="00085DBB" w:rsidP="003B3DAA">
            <w:pPr>
              <w:spacing w:after="0"/>
              <w:jc w:val="center"/>
            </w:pPr>
          </w:p>
        </w:tc>
        <w:tc>
          <w:tcPr>
            <w:tcW w:w="678" w:type="dxa"/>
            <w:vAlign w:val="center"/>
          </w:tcPr>
          <w:p w14:paraId="44359751" w14:textId="77777777" w:rsidR="00085DBB" w:rsidRPr="00843720" w:rsidRDefault="00085DBB" w:rsidP="003B3DAA">
            <w:pPr>
              <w:spacing w:after="0"/>
              <w:jc w:val="center"/>
            </w:pPr>
          </w:p>
        </w:tc>
        <w:tc>
          <w:tcPr>
            <w:tcW w:w="628" w:type="dxa"/>
            <w:vAlign w:val="center"/>
          </w:tcPr>
          <w:p w14:paraId="56FAE441" w14:textId="77777777" w:rsidR="00085DBB" w:rsidRPr="00843720" w:rsidRDefault="00085DBB" w:rsidP="003B3DAA">
            <w:pPr>
              <w:spacing w:after="0"/>
              <w:jc w:val="center"/>
            </w:pPr>
            <w:r w:rsidRPr="00843720">
              <w:t>X</w:t>
            </w:r>
          </w:p>
        </w:tc>
        <w:tc>
          <w:tcPr>
            <w:tcW w:w="810" w:type="dxa"/>
            <w:gridSpan w:val="2"/>
            <w:vAlign w:val="center"/>
          </w:tcPr>
          <w:p w14:paraId="721365AE" w14:textId="77777777" w:rsidR="00085DBB" w:rsidRPr="00843720" w:rsidRDefault="00085DBB" w:rsidP="003B3DAA">
            <w:pPr>
              <w:spacing w:after="0"/>
              <w:jc w:val="center"/>
            </w:pPr>
            <w:r w:rsidRPr="00843720">
              <w:t>X</w:t>
            </w:r>
          </w:p>
        </w:tc>
        <w:tc>
          <w:tcPr>
            <w:tcW w:w="720" w:type="dxa"/>
            <w:vAlign w:val="center"/>
          </w:tcPr>
          <w:p w14:paraId="6D30BCC5" w14:textId="77777777" w:rsidR="00085DBB" w:rsidRPr="00843720" w:rsidRDefault="00085DBB" w:rsidP="003B3DAA">
            <w:pPr>
              <w:spacing w:after="0"/>
              <w:jc w:val="center"/>
            </w:pPr>
          </w:p>
        </w:tc>
      </w:tr>
      <w:tr w:rsidR="00085DBB" w:rsidRPr="00030C60" w14:paraId="79686362" w14:textId="77777777" w:rsidTr="00085DBB">
        <w:tc>
          <w:tcPr>
            <w:tcW w:w="3071" w:type="dxa"/>
          </w:tcPr>
          <w:p w14:paraId="3F2BB533" w14:textId="77777777" w:rsidR="00085DBB" w:rsidRPr="00843720" w:rsidRDefault="00085DBB" w:rsidP="003B3DAA">
            <w:pPr>
              <w:spacing w:after="0"/>
            </w:pPr>
            <w:r w:rsidRPr="00843720">
              <w:t>Pharmacotherapy Management of COPD Exacerbation</w:t>
            </w:r>
          </w:p>
        </w:tc>
        <w:tc>
          <w:tcPr>
            <w:tcW w:w="1177" w:type="dxa"/>
          </w:tcPr>
          <w:p w14:paraId="0AD336C1" w14:textId="77777777" w:rsidR="00085DBB" w:rsidRPr="00843720" w:rsidRDefault="00085DBB" w:rsidP="003B3DAA">
            <w:pPr>
              <w:spacing w:after="0"/>
            </w:pPr>
            <w:r w:rsidRPr="00843720">
              <w:t>NCQA</w:t>
            </w:r>
          </w:p>
        </w:tc>
        <w:tc>
          <w:tcPr>
            <w:tcW w:w="810" w:type="dxa"/>
            <w:gridSpan w:val="2"/>
          </w:tcPr>
          <w:p w14:paraId="63E850B2" w14:textId="77777777" w:rsidR="00085DBB" w:rsidRPr="00843720" w:rsidRDefault="00085DBB" w:rsidP="003B3DAA">
            <w:pPr>
              <w:spacing w:after="0"/>
            </w:pPr>
            <w:r w:rsidRPr="00843720">
              <w:t>0549</w:t>
            </w:r>
          </w:p>
        </w:tc>
        <w:tc>
          <w:tcPr>
            <w:tcW w:w="630" w:type="dxa"/>
            <w:vAlign w:val="center"/>
          </w:tcPr>
          <w:p w14:paraId="626C9A8C" w14:textId="77777777" w:rsidR="00085DBB" w:rsidRPr="00843720" w:rsidRDefault="00085DBB" w:rsidP="003B3DAA">
            <w:pPr>
              <w:spacing w:after="0"/>
              <w:jc w:val="center"/>
            </w:pPr>
          </w:p>
        </w:tc>
        <w:tc>
          <w:tcPr>
            <w:tcW w:w="674" w:type="dxa"/>
            <w:vAlign w:val="center"/>
          </w:tcPr>
          <w:p w14:paraId="7B71DD8C" w14:textId="77777777" w:rsidR="00085DBB" w:rsidRPr="00843720" w:rsidRDefault="00085DBB" w:rsidP="003B3DAA">
            <w:pPr>
              <w:spacing w:after="0"/>
              <w:jc w:val="center"/>
            </w:pPr>
          </w:p>
        </w:tc>
        <w:tc>
          <w:tcPr>
            <w:tcW w:w="678" w:type="dxa"/>
            <w:vAlign w:val="center"/>
          </w:tcPr>
          <w:p w14:paraId="5A4D4B41" w14:textId="77777777" w:rsidR="00085DBB" w:rsidRPr="00843720" w:rsidRDefault="00085DBB" w:rsidP="003B3DAA">
            <w:pPr>
              <w:spacing w:after="0"/>
              <w:jc w:val="center"/>
            </w:pPr>
          </w:p>
        </w:tc>
        <w:tc>
          <w:tcPr>
            <w:tcW w:w="628" w:type="dxa"/>
            <w:vAlign w:val="center"/>
          </w:tcPr>
          <w:p w14:paraId="624CDF24" w14:textId="77777777" w:rsidR="00085DBB" w:rsidRPr="00843720" w:rsidRDefault="00085DBB" w:rsidP="003B3DAA">
            <w:pPr>
              <w:spacing w:after="0"/>
              <w:jc w:val="center"/>
            </w:pPr>
            <w:r w:rsidRPr="00843720">
              <w:t>X</w:t>
            </w:r>
          </w:p>
        </w:tc>
        <w:tc>
          <w:tcPr>
            <w:tcW w:w="810" w:type="dxa"/>
            <w:gridSpan w:val="2"/>
            <w:vAlign w:val="center"/>
          </w:tcPr>
          <w:p w14:paraId="3A1962D0" w14:textId="77777777" w:rsidR="00085DBB" w:rsidRPr="00843720" w:rsidRDefault="00085DBB" w:rsidP="003B3DAA">
            <w:pPr>
              <w:spacing w:after="0"/>
              <w:jc w:val="center"/>
            </w:pPr>
          </w:p>
        </w:tc>
        <w:tc>
          <w:tcPr>
            <w:tcW w:w="720" w:type="dxa"/>
            <w:vAlign w:val="center"/>
          </w:tcPr>
          <w:p w14:paraId="7AF08D44" w14:textId="77777777" w:rsidR="00085DBB" w:rsidRPr="00843720" w:rsidRDefault="00085DBB" w:rsidP="003B3DAA">
            <w:pPr>
              <w:spacing w:after="0"/>
              <w:jc w:val="center"/>
            </w:pPr>
          </w:p>
        </w:tc>
      </w:tr>
      <w:tr w:rsidR="00085DBB" w:rsidRPr="00030C60" w14:paraId="21346D31" w14:textId="77777777" w:rsidTr="00085DBB">
        <w:tc>
          <w:tcPr>
            <w:tcW w:w="3071" w:type="dxa"/>
          </w:tcPr>
          <w:p w14:paraId="34B9A635" w14:textId="77777777" w:rsidR="00085DBB" w:rsidRPr="00843720" w:rsidRDefault="00085DBB" w:rsidP="003B3DAA">
            <w:pPr>
              <w:spacing w:after="0"/>
            </w:pPr>
            <w:r w:rsidRPr="00843720">
              <w:t>Use of Spirometry Testing in the Assessment and Diagnosis of COPD</w:t>
            </w:r>
          </w:p>
        </w:tc>
        <w:tc>
          <w:tcPr>
            <w:tcW w:w="1177" w:type="dxa"/>
          </w:tcPr>
          <w:p w14:paraId="5129FF9E" w14:textId="77777777" w:rsidR="00085DBB" w:rsidRPr="00843720" w:rsidRDefault="00085DBB" w:rsidP="003B3DAA">
            <w:pPr>
              <w:spacing w:after="0"/>
            </w:pPr>
            <w:r w:rsidRPr="00843720">
              <w:t>NCQA</w:t>
            </w:r>
          </w:p>
        </w:tc>
        <w:tc>
          <w:tcPr>
            <w:tcW w:w="810" w:type="dxa"/>
            <w:gridSpan w:val="2"/>
          </w:tcPr>
          <w:p w14:paraId="53402B5C" w14:textId="77777777" w:rsidR="00085DBB" w:rsidRPr="00843720" w:rsidRDefault="00085DBB" w:rsidP="003B3DAA">
            <w:pPr>
              <w:spacing w:after="0"/>
            </w:pPr>
            <w:r w:rsidRPr="00843720">
              <w:t>0577</w:t>
            </w:r>
          </w:p>
        </w:tc>
        <w:tc>
          <w:tcPr>
            <w:tcW w:w="630" w:type="dxa"/>
            <w:vAlign w:val="center"/>
          </w:tcPr>
          <w:p w14:paraId="5FCC55E4" w14:textId="77777777" w:rsidR="00085DBB" w:rsidRPr="00843720" w:rsidRDefault="00085DBB" w:rsidP="003B3DAA">
            <w:pPr>
              <w:spacing w:after="0"/>
              <w:jc w:val="center"/>
            </w:pPr>
          </w:p>
        </w:tc>
        <w:tc>
          <w:tcPr>
            <w:tcW w:w="674" w:type="dxa"/>
            <w:vAlign w:val="center"/>
          </w:tcPr>
          <w:p w14:paraId="3D07F421" w14:textId="77777777" w:rsidR="00085DBB" w:rsidRPr="00843720" w:rsidRDefault="00085DBB" w:rsidP="003B3DAA">
            <w:pPr>
              <w:spacing w:after="0"/>
              <w:jc w:val="center"/>
            </w:pPr>
          </w:p>
        </w:tc>
        <w:tc>
          <w:tcPr>
            <w:tcW w:w="678" w:type="dxa"/>
            <w:vAlign w:val="center"/>
          </w:tcPr>
          <w:p w14:paraId="752D69D5" w14:textId="77777777" w:rsidR="00085DBB" w:rsidRPr="00843720" w:rsidRDefault="00085DBB" w:rsidP="003B3DAA">
            <w:pPr>
              <w:spacing w:after="0"/>
              <w:jc w:val="center"/>
            </w:pPr>
          </w:p>
        </w:tc>
        <w:tc>
          <w:tcPr>
            <w:tcW w:w="628" w:type="dxa"/>
            <w:vAlign w:val="center"/>
          </w:tcPr>
          <w:p w14:paraId="6A41F408" w14:textId="77777777" w:rsidR="00085DBB" w:rsidRPr="00843720" w:rsidRDefault="00085DBB" w:rsidP="003B3DAA">
            <w:pPr>
              <w:spacing w:after="0"/>
              <w:jc w:val="center"/>
            </w:pPr>
            <w:r w:rsidRPr="00843720">
              <w:t>X</w:t>
            </w:r>
          </w:p>
        </w:tc>
        <w:tc>
          <w:tcPr>
            <w:tcW w:w="810" w:type="dxa"/>
            <w:gridSpan w:val="2"/>
            <w:vAlign w:val="center"/>
          </w:tcPr>
          <w:p w14:paraId="7F3BC738" w14:textId="77777777" w:rsidR="00085DBB" w:rsidRPr="00843720" w:rsidRDefault="00085DBB" w:rsidP="003B3DAA">
            <w:pPr>
              <w:spacing w:after="0"/>
              <w:jc w:val="center"/>
            </w:pPr>
            <w:r w:rsidRPr="00843720">
              <w:t>X</w:t>
            </w:r>
          </w:p>
        </w:tc>
        <w:tc>
          <w:tcPr>
            <w:tcW w:w="720" w:type="dxa"/>
            <w:vAlign w:val="center"/>
          </w:tcPr>
          <w:p w14:paraId="3356BA43" w14:textId="77777777" w:rsidR="00085DBB" w:rsidRPr="00843720" w:rsidRDefault="00085DBB" w:rsidP="003B3DAA">
            <w:pPr>
              <w:spacing w:after="0"/>
              <w:jc w:val="center"/>
            </w:pPr>
          </w:p>
        </w:tc>
      </w:tr>
      <w:tr w:rsidR="00085DBB" w:rsidRPr="00030C60" w14:paraId="3FA361E4" w14:textId="77777777" w:rsidTr="00085DBB">
        <w:tc>
          <w:tcPr>
            <w:tcW w:w="3071" w:type="dxa"/>
          </w:tcPr>
          <w:p w14:paraId="734DA3E6" w14:textId="77777777" w:rsidR="00085DBB" w:rsidRPr="00843720" w:rsidRDefault="00085DBB" w:rsidP="003B3DAA">
            <w:pPr>
              <w:spacing w:after="0"/>
            </w:pPr>
            <w:r w:rsidRPr="00843720">
              <w:t>Medication Reconciliation Post Discharge</w:t>
            </w:r>
          </w:p>
        </w:tc>
        <w:tc>
          <w:tcPr>
            <w:tcW w:w="1177" w:type="dxa"/>
          </w:tcPr>
          <w:p w14:paraId="0495AA1E" w14:textId="77777777" w:rsidR="00085DBB" w:rsidRPr="00843720" w:rsidRDefault="00085DBB" w:rsidP="003B3DAA">
            <w:pPr>
              <w:spacing w:after="0"/>
            </w:pPr>
            <w:r w:rsidRPr="00843720">
              <w:t>NCQA</w:t>
            </w:r>
          </w:p>
        </w:tc>
        <w:tc>
          <w:tcPr>
            <w:tcW w:w="810" w:type="dxa"/>
            <w:gridSpan w:val="2"/>
          </w:tcPr>
          <w:p w14:paraId="7CABE23D" w14:textId="77777777" w:rsidR="00085DBB" w:rsidRPr="00843720" w:rsidRDefault="00085DBB" w:rsidP="003B3DAA">
            <w:pPr>
              <w:spacing w:after="0"/>
            </w:pPr>
            <w:r w:rsidRPr="00843720">
              <w:t>0097</w:t>
            </w:r>
          </w:p>
        </w:tc>
        <w:tc>
          <w:tcPr>
            <w:tcW w:w="630" w:type="dxa"/>
            <w:vAlign w:val="center"/>
          </w:tcPr>
          <w:p w14:paraId="691337D7" w14:textId="77777777" w:rsidR="00085DBB" w:rsidRPr="00843720" w:rsidRDefault="00085DBB" w:rsidP="003B3DAA">
            <w:pPr>
              <w:spacing w:after="0"/>
              <w:jc w:val="center"/>
            </w:pPr>
          </w:p>
        </w:tc>
        <w:tc>
          <w:tcPr>
            <w:tcW w:w="674" w:type="dxa"/>
            <w:vAlign w:val="center"/>
          </w:tcPr>
          <w:p w14:paraId="215232B6" w14:textId="77777777" w:rsidR="00085DBB" w:rsidRPr="00843720" w:rsidRDefault="00085DBB" w:rsidP="003B3DAA">
            <w:pPr>
              <w:spacing w:after="0"/>
              <w:jc w:val="center"/>
            </w:pPr>
          </w:p>
        </w:tc>
        <w:tc>
          <w:tcPr>
            <w:tcW w:w="678" w:type="dxa"/>
            <w:vAlign w:val="center"/>
          </w:tcPr>
          <w:p w14:paraId="69703067" w14:textId="77777777" w:rsidR="00085DBB" w:rsidRPr="00843720" w:rsidRDefault="00085DBB" w:rsidP="003B3DAA">
            <w:pPr>
              <w:spacing w:after="0"/>
              <w:jc w:val="center"/>
            </w:pPr>
          </w:p>
        </w:tc>
        <w:tc>
          <w:tcPr>
            <w:tcW w:w="628" w:type="dxa"/>
            <w:vAlign w:val="center"/>
          </w:tcPr>
          <w:p w14:paraId="0FFDD9C7" w14:textId="77777777" w:rsidR="00085DBB" w:rsidRPr="00843720" w:rsidRDefault="00085DBB" w:rsidP="003B3DAA">
            <w:pPr>
              <w:spacing w:after="0"/>
              <w:jc w:val="center"/>
            </w:pPr>
            <w:r w:rsidRPr="00843720">
              <w:t>X</w:t>
            </w:r>
          </w:p>
        </w:tc>
        <w:tc>
          <w:tcPr>
            <w:tcW w:w="810" w:type="dxa"/>
            <w:gridSpan w:val="2"/>
            <w:vAlign w:val="center"/>
          </w:tcPr>
          <w:p w14:paraId="18987286" w14:textId="77777777" w:rsidR="00085DBB" w:rsidRPr="00843720" w:rsidRDefault="00085DBB" w:rsidP="003B3DAA">
            <w:pPr>
              <w:spacing w:after="0"/>
              <w:jc w:val="center"/>
            </w:pPr>
            <w:r w:rsidRPr="00843720">
              <w:t>X</w:t>
            </w:r>
          </w:p>
        </w:tc>
        <w:tc>
          <w:tcPr>
            <w:tcW w:w="720" w:type="dxa"/>
            <w:vAlign w:val="center"/>
          </w:tcPr>
          <w:p w14:paraId="2B6E403E" w14:textId="77777777" w:rsidR="00085DBB" w:rsidRPr="00843720" w:rsidRDefault="00085DBB" w:rsidP="003B3DAA">
            <w:pPr>
              <w:spacing w:after="0"/>
              <w:jc w:val="center"/>
            </w:pPr>
          </w:p>
        </w:tc>
      </w:tr>
      <w:tr w:rsidR="00085DBB" w:rsidRPr="00030C60" w14:paraId="138542C8" w14:textId="77777777" w:rsidTr="00085DBB">
        <w:tc>
          <w:tcPr>
            <w:tcW w:w="3071" w:type="dxa"/>
          </w:tcPr>
          <w:p w14:paraId="79EF39B9" w14:textId="77777777" w:rsidR="00085DBB" w:rsidRPr="00843720" w:rsidRDefault="00085DBB" w:rsidP="003B3DAA">
            <w:pPr>
              <w:spacing w:after="0"/>
            </w:pPr>
            <w:r w:rsidRPr="00843720">
              <w:t xml:space="preserve">Osteoporosis Management in Women Who Had a Fracture </w:t>
            </w:r>
          </w:p>
        </w:tc>
        <w:tc>
          <w:tcPr>
            <w:tcW w:w="1177" w:type="dxa"/>
          </w:tcPr>
          <w:p w14:paraId="69865C80" w14:textId="77777777" w:rsidR="00085DBB" w:rsidRPr="00843720" w:rsidRDefault="00085DBB" w:rsidP="003B3DAA">
            <w:pPr>
              <w:spacing w:after="0"/>
            </w:pPr>
            <w:r w:rsidRPr="00843720">
              <w:t xml:space="preserve">NCQA </w:t>
            </w:r>
          </w:p>
        </w:tc>
        <w:tc>
          <w:tcPr>
            <w:tcW w:w="810" w:type="dxa"/>
            <w:gridSpan w:val="2"/>
          </w:tcPr>
          <w:p w14:paraId="629782B9" w14:textId="77777777" w:rsidR="00085DBB" w:rsidRPr="00843720" w:rsidRDefault="00085DBB" w:rsidP="003B3DAA">
            <w:pPr>
              <w:spacing w:after="0"/>
            </w:pPr>
            <w:r w:rsidRPr="00843720">
              <w:t>0053</w:t>
            </w:r>
          </w:p>
        </w:tc>
        <w:tc>
          <w:tcPr>
            <w:tcW w:w="630" w:type="dxa"/>
            <w:vAlign w:val="center"/>
          </w:tcPr>
          <w:p w14:paraId="697EE672" w14:textId="77777777" w:rsidR="00085DBB" w:rsidRPr="00843720" w:rsidRDefault="00085DBB" w:rsidP="003B3DAA">
            <w:pPr>
              <w:spacing w:after="0"/>
              <w:jc w:val="center"/>
            </w:pPr>
          </w:p>
        </w:tc>
        <w:tc>
          <w:tcPr>
            <w:tcW w:w="674" w:type="dxa"/>
            <w:vAlign w:val="center"/>
          </w:tcPr>
          <w:p w14:paraId="445B8B31" w14:textId="77777777" w:rsidR="00085DBB" w:rsidRPr="00843720" w:rsidRDefault="00085DBB" w:rsidP="003B3DAA">
            <w:pPr>
              <w:spacing w:after="0"/>
              <w:jc w:val="center"/>
            </w:pPr>
          </w:p>
        </w:tc>
        <w:tc>
          <w:tcPr>
            <w:tcW w:w="678" w:type="dxa"/>
            <w:vAlign w:val="center"/>
          </w:tcPr>
          <w:p w14:paraId="06F7A03C" w14:textId="77777777" w:rsidR="00085DBB" w:rsidRPr="00843720" w:rsidRDefault="00085DBB" w:rsidP="003B3DAA">
            <w:pPr>
              <w:spacing w:after="0"/>
              <w:jc w:val="center"/>
            </w:pPr>
          </w:p>
        </w:tc>
        <w:tc>
          <w:tcPr>
            <w:tcW w:w="628" w:type="dxa"/>
            <w:vAlign w:val="center"/>
          </w:tcPr>
          <w:p w14:paraId="64CAD192" w14:textId="77777777" w:rsidR="00085DBB" w:rsidRPr="00843720" w:rsidRDefault="00085DBB" w:rsidP="003B3DAA">
            <w:pPr>
              <w:spacing w:after="0"/>
              <w:jc w:val="center"/>
            </w:pPr>
            <w:r w:rsidRPr="00843720">
              <w:t>X</w:t>
            </w:r>
          </w:p>
        </w:tc>
        <w:tc>
          <w:tcPr>
            <w:tcW w:w="810" w:type="dxa"/>
            <w:gridSpan w:val="2"/>
            <w:vAlign w:val="center"/>
          </w:tcPr>
          <w:p w14:paraId="53D6BB95" w14:textId="77777777" w:rsidR="00085DBB" w:rsidRPr="00843720" w:rsidRDefault="00085DBB" w:rsidP="003B3DAA">
            <w:pPr>
              <w:spacing w:after="0"/>
              <w:jc w:val="center"/>
            </w:pPr>
            <w:r w:rsidRPr="00843720">
              <w:t>X</w:t>
            </w:r>
          </w:p>
        </w:tc>
        <w:tc>
          <w:tcPr>
            <w:tcW w:w="720" w:type="dxa"/>
            <w:vAlign w:val="center"/>
          </w:tcPr>
          <w:p w14:paraId="6FE73265" w14:textId="77777777" w:rsidR="00085DBB" w:rsidRPr="00843720" w:rsidRDefault="00085DBB" w:rsidP="003B3DAA">
            <w:pPr>
              <w:spacing w:after="0"/>
              <w:jc w:val="center"/>
            </w:pPr>
          </w:p>
        </w:tc>
      </w:tr>
      <w:tr w:rsidR="00085DBB" w:rsidRPr="00030C60" w14:paraId="199707AC" w14:textId="77777777" w:rsidTr="00085DBB">
        <w:tc>
          <w:tcPr>
            <w:tcW w:w="3071" w:type="dxa"/>
          </w:tcPr>
          <w:p w14:paraId="7A5FB052" w14:textId="77777777" w:rsidR="00085DBB" w:rsidRPr="00843720" w:rsidRDefault="00085DBB" w:rsidP="003B3DAA">
            <w:pPr>
              <w:spacing w:after="0"/>
            </w:pPr>
            <w:r w:rsidRPr="00843720">
              <w:t xml:space="preserve">Influenza Immunization </w:t>
            </w:r>
          </w:p>
        </w:tc>
        <w:tc>
          <w:tcPr>
            <w:tcW w:w="1177" w:type="dxa"/>
          </w:tcPr>
          <w:p w14:paraId="43FC266F" w14:textId="77777777" w:rsidR="00085DBB" w:rsidRPr="00843720" w:rsidRDefault="00085DBB" w:rsidP="003B3DAA">
            <w:pPr>
              <w:spacing w:after="0"/>
            </w:pPr>
            <w:r w:rsidRPr="00843720">
              <w:t xml:space="preserve">NCQA </w:t>
            </w:r>
          </w:p>
        </w:tc>
        <w:tc>
          <w:tcPr>
            <w:tcW w:w="810" w:type="dxa"/>
            <w:gridSpan w:val="2"/>
          </w:tcPr>
          <w:p w14:paraId="3B5B58DA" w14:textId="77777777" w:rsidR="00085DBB" w:rsidRPr="00843720" w:rsidRDefault="00085DBB" w:rsidP="003B3DAA">
            <w:pPr>
              <w:spacing w:after="0"/>
            </w:pPr>
            <w:r w:rsidRPr="00843720">
              <w:t>0041</w:t>
            </w:r>
          </w:p>
        </w:tc>
        <w:tc>
          <w:tcPr>
            <w:tcW w:w="630" w:type="dxa"/>
            <w:vAlign w:val="center"/>
          </w:tcPr>
          <w:p w14:paraId="3A6C6595" w14:textId="77777777" w:rsidR="00085DBB" w:rsidRPr="00843720" w:rsidRDefault="00085DBB" w:rsidP="003B3DAA">
            <w:pPr>
              <w:spacing w:after="0"/>
              <w:jc w:val="center"/>
            </w:pPr>
          </w:p>
        </w:tc>
        <w:tc>
          <w:tcPr>
            <w:tcW w:w="674" w:type="dxa"/>
            <w:vAlign w:val="center"/>
          </w:tcPr>
          <w:p w14:paraId="6B81DC6B" w14:textId="77777777" w:rsidR="00085DBB" w:rsidRPr="00843720" w:rsidRDefault="00085DBB" w:rsidP="003B3DAA">
            <w:pPr>
              <w:spacing w:after="0"/>
              <w:jc w:val="center"/>
            </w:pPr>
          </w:p>
        </w:tc>
        <w:tc>
          <w:tcPr>
            <w:tcW w:w="678" w:type="dxa"/>
            <w:vAlign w:val="center"/>
          </w:tcPr>
          <w:p w14:paraId="6FF1E629" w14:textId="77777777" w:rsidR="00085DBB" w:rsidRPr="00843720" w:rsidRDefault="00085DBB" w:rsidP="003B3DAA">
            <w:pPr>
              <w:spacing w:after="0"/>
              <w:jc w:val="center"/>
            </w:pPr>
          </w:p>
        </w:tc>
        <w:tc>
          <w:tcPr>
            <w:tcW w:w="628" w:type="dxa"/>
            <w:vAlign w:val="center"/>
          </w:tcPr>
          <w:p w14:paraId="2E17A550" w14:textId="77777777" w:rsidR="00085DBB" w:rsidRPr="00843720" w:rsidRDefault="00085DBB" w:rsidP="003B3DAA">
            <w:pPr>
              <w:spacing w:after="0"/>
              <w:jc w:val="center"/>
            </w:pPr>
            <w:r w:rsidRPr="00843720">
              <w:t>X</w:t>
            </w:r>
          </w:p>
        </w:tc>
        <w:tc>
          <w:tcPr>
            <w:tcW w:w="810" w:type="dxa"/>
            <w:gridSpan w:val="2"/>
            <w:vAlign w:val="center"/>
          </w:tcPr>
          <w:p w14:paraId="5C2DAFA0" w14:textId="77777777" w:rsidR="00085DBB" w:rsidRPr="00843720" w:rsidRDefault="00085DBB" w:rsidP="003B3DAA">
            <w:pPr>
              <w:spacing w:after="0"/>
              <w:jc w:val="center"/>
            </w:pPr>
          </w:p>
        </w:tc>
        <w:tc>
          <w:tcPr>
            <w:tcW w:w="720" w:type="dxa"/>
            <w:vAlign w:val="center"/>
          </w:tcPr>
          <w:p w14:paraId="5FB7647D" w14:textId="77777777" w:rsidR="00085DBB" w:rsidRPr="00843720" w:rsidRDefault="00085DBB" w:rsidP="003B3DAA">
            <w:pPr>
              <w:spacing w:after="0"/>
              <w:jc w:val="center"/>
            </w:pPr>
          </w:p>
        </w:tc>
      </w:tr>
      <w:tr w:rsidR="00085DBB" w:rsidRPr="00030C60" w14:paraId="5D9ABB43" w14:textId="77777777" w:rsidTr="00085DBB">
        <w:tc>
          <w:tcPr>
            <w:tcW w:w="3071" w:type="dxa"/>
          </w:tcPr>
          <w:p w14:paraId="520E196A" w14:textId="77777777" w:rsidR="00085DBB" w:rsidRPr="00843720" w:rsidRDefault="00085DBB" w:rsidP="003B3DAA">
            <w:pPr>
              <w:spacing w:after="0"/>
            </w:pPr>
            <w:r w:rsidRPr="00843720">
              <w:t xml:space="preserve">Pneumococcal Immunization </w:t>
            </w:r>
          </w:p>
        </w:tc>
        <w:tc>
          <w:tcPr>
            <w:tcW w:w="1177" w:type="dxa"/>
          </w:tcPr>
          <w:p w14:paraId="01F1DFBD" w14:textId="77777777" w:rsidR="00085DBB" w:rsidRPr="00843720" w:rsidRDefault="00085DBB" w:rsidP="003B3DAA">
            <w:pPr>
              <w:spacing w:after="0"/>
            </w:pPr>
            <w:r>
              <w:t>CMS</w:t>
            </w:r>
          </w:p>
        </w:tc>
        <w:tc>
          <w:tcPr>
            <w:tcW w:w="810" w:type="dxa"/>
            <w:gridSpan w:val="2"/>
          </w:tcPr>
          <w:p w14:paraId="3720FC2D" w14:textId="77777777" w:rsidR="00085DBB" w:rsidRPr="00843720" w:rsidRDefault="00085DBB" w:rsidP="003B3DAA">
            <w:pPr>
              <w:spacing w:after="0"/>
            </w:pPr>
            <w:r w:rsidRPr="00843720">
              <w:t>1653</w:t>
            </w:r>
          </w:p>
        </w:tc>
        <w:tc>
          <w:tcPr>
            <w:tcW w:w="630" w:type="dxa"/>
            <w:vAlign w:val="center"/>
          </w:tcPr>
          <w:p w14:paraId="07770BC4" w14:textId="77777777" w:rsidR="00085DBB" w:rsidRPr="00843720" w:rsidRDefault="00085DBB" w:rsidP="003B3DAA">
            <w:pPr>
              <w:spacing w:after="0"/>
              <w:jc w:val="center"/>
            </w:pPr>
          </w:p>
        </w:tc>
        <w:tc>
          <w:tcPr>
            <w:tcW w:w="674" w:type="dxa"/>
            <w:vAlign w:val="center"/>
          </w:tcPr>
          <w:p w14:paraId="7D0B1845" w14:textId="77777777" w:rsidR="00085DBB" w:rsidRPr="00843720" w:rsidRDefault="00085DBB" w:rsidP="003B3DAA">
            <w:pPr>
              <w:spacing w:after="0"/>
              <w:jc w:val="center"/>
            </w:pPr>
          </w:p>
        </w:tc>
        <w:tc>
          <w:tcPr>
            <w:tcW w:w="678" w:type="dxa"/>
            <w:vAlign w:val="center"/>
          </w:tcPr>
          <w:p w14:paraId="2DAF0681" w14:textId="77777777" w:rsidR="00085DBB" w:rsidRPr="00843720" w:rsidRDefault="00085DBB" w:rsidP="003B3DAA">
            <w:pPr>
              <w:spacing w:after="0"/>
              <w:jc w:val="center"/>
            </w:pPr>
          </w:p>
        </w:tc>
        <w:tc>
          <w:tcPr>
            <w:tcW w:w="628" w:type="dxa"/>
            <w:vAlign w:val="center"/>
          </w:tcPr>
          <w:p w14:paraId="2E994B05" w14:textId="77777777" w:rsidR="00085DBB" w:rsidRPr="00843720" w:rsidRDefault="00085DBB" w:rsidP="003B3DAA">
            <w:pPr>
              <w:spacing w:after="0"/>
              <w:jc w:val="center"/>
            </w:pPr>
            <w:r w:rsidRPr="00843720">
              <w:t>X</w:t>
            </w:r>
          </w:p>
        </w:tc>
        <w:tc>
          <w:tcPr>
            <w:tcW w:w="810" w:type="dxa"/>
            <w:gridSpan w:val="2"/>
            <w:vAlign w:val="center"/>
          </w:tcPr>
          <w:p w14:paraId="49DFD595" w14:textId="77777777" w:rsidR="00085DBB" w:rsidRPr="00843720" w:rsidRDefault="00085DBB" w:rsidP="003B3DAA">
            <w:pPr>
              <w:spacing w:after="0"/>
              <w:jc w:val="center"/>
            </w:pPr>
          </w:p>
        </w:tc>
        <w:tc>
          <w:tcPr>
            <w:tcW w:w="720" w:type="dxa"/>
            <w:vAlign w:val="center"/>
          </w:tcPr>
          <w:p w14:paraId="2B119C02" w14:textId="77777777" w:rsidR="00085DBB" w:rsidRPr="00843720" w:rsidRDefault="00085DBB" w:rsidP="003B3DAA">
            <w:pPr>
              <w:spacing w:after="0"/>
              <w:jc w:val="center"/>
            </w:pPr>
          </w:p>
        </w:tc>
      </w:tr>
      <w:tr w:rsidR="00085DBB" w:rsidRPr="00030C60" w14:paraId="4B5B01C5" w14:textId="77777777" w:rsidTr="00085DBB">
        <w:tc>
          <w:tcPr>
            <w:tcW w:w="3071" w:type="dxa"/>
          </w:tcPr>
          <w:p w14:paraId="140EDE92" w14:textId="77777777" w:rsidR="00085DBB" w:rsidRPr="00843720" w:rsidRDefault="00085DBB" w:rsidP="003B3DAA">
            <w:pPr>
              <w:spacing w:after="0"/>
            </w:pPr>
            <w:r w:rsidRPr="00843720">
              <w:t>Potentially Harmful Drug Disease Interactions in the Elderly</w:t>
            </w:r>
          </w:p>
        </w:tc>
        <w:tc>
          <w:tcPr>
            <w:tcW w:w="1177" w:type="dxa"/>
          </w:tcPr>
          <w:p w14:paraId="197D49BA" w14:textId="77777777" w:rsidR="00085DBB" w:rsidRPr="00843720" w:rsidRDefault="00085DBB" w:rsidP="003B3DAA">
            <w:pPr>
              <w:spacing w:after="0"/>
            </w:pPr>
            <w:r w:rsidRPr="00843720">
              <w:t xml:space="preserve">NCQA </w:t>
            </w:r>
          </w:p>
        </w:tc>
        <w:tc>
          <w:tcPr>
            <w:tcW w:w="810" w:type="dxa"/>
            <w:gridSpan w:val="2"/>
          </w:tcPr>
          <w:p w14:paraId="7682315E" w14:textId="77777777" w:rsidR="00085DBB" w:rsidRPr="00843720" w:rsidRDefault="00085DBB" w:rsidP="003B3DAA">
            <w:pPr>
              <w:spacing w:after="0"/>
            </w:pPr>
            <w:r w:rsidRPr="00843720">
              <w:t>2993</w:t>
            </w:r>
          </w:p>
        </w:tc>
        <w:tc>
          <w:tcPr>
            <w:tcW w:w="630" w:type="dxa"/>
            <w:vAlign w:val="center"/>
          </w:tcPr>
          <w:p w14:paraId="7BACEA51" w14:textId="77777777" w:rsidR="00085DBB" w:rsidRPr="00843720" w:rsidRDefault="00085DBB" w:rsidP="003B3DAA">
            <w:pPr>
              <w:spacing w:after="0"/>
              <w:jc w:val="center"/>
            </w:pPr>
          </w:p>
        </w:tc>
        <w:tc>
          <w:tcPr>
            <w:tcW w:w="674" w:type="dxa"/>
            <w:vAlign w:val="center"/>
          </w:tcPr>
          <w:p w14:paraId="33A61957" w14:textId="77777777" w:rsidR="00085DBB" w:rsidRPr="00843720" w:rsidRDefault="00085DBB" w:rsidP="003B3DAA">
            <w:pPr>
              <w:spacing w:after="0"/>
              <w:jc w:val="center"/>
            </w:pPr>
          </w:p>
        </w:tc>
        <w:tc>
          <w:tcPr>
            <w:tcW w:w="678" w:type="dxa"/>
            <w:vAlign w:val="center"/>
          </w:tcPr>
          <w:p w14:paraId="0626F873" w14:textId="77777777" w:rsidR="00085DBB" w:rsidRPr="00843720" w:rsidRDefault="00085DBB" w:rsidP="003B3DAA">
            <w:pPr>
              <w:spacing w:after="0"/>
              <w:jc w:val="center"/>
            </w:pPr>
          </w:p>
        </w:tc>
        <w:tc>
          <w:tcPr>
            <w:tcW w:w="628" w:type="dxa"/>
            <w:vAlign w:val="center"/>
          </w:tcPr>
          <w:p w14:paraId="2015FF17" w14:textId="77777777" w:rsidR="00085DBB" w:rsidRPr="00843720" w:rsidRDefault="00085DBB" w:rsidP="003B3DAA">
            <w:pPr>
              <w:spacing w:after="0"/>
              <w:jc w:val="center"/>
            </w:pPr>
            <w:r w:rsidRPr="00843720">
              <w:t>X</w:t>
            </w:r>
          </w:p>
        </w:tc>
        <w:tc>
          <w:tcPr>
            <w:tcW w:w="810" w:type="dxa"/>
            <w:gridSpan w:val="2"/>
            <w:vAlign w:val="center"/>
          </w:tcPr>
          <w:p w14:paraId="06E7C863" w14:textId="77777777" w:rsidR="00085DBB" w:rsidRPr="00843720" w:rsidRDefault="00085DBB" w:rsidP="003B3DAA">
            <w:pPr>
              <w:spacing w:after="0"/>
              <w:jc w:val="center"/>
            </w:pPr>
          </w:p>
        </w:tc>
        <w:tc>
          <w:tcPr>
            <w:tcW w:w="720" w:type="dxa"/>
            <w:vAlign w:val="center"/>
          </w:tcPr>
          <w:p w14:paraId="04FF25D5" w14:textId="77777777" w:rsidR="00085DBB" w:rsidRPr="00843720" w:rsidRDefault="00085DBB" w:rsidP="003B3DAA">
            <w:pPr>
              <w:spacing w:after="0"/>
              <w:jc w:val="center"/>
            </w:pPr>
          </w:p>
        </w:tc>
      </w:tr>
      <w:tr w:rsidR="00085DBB" w:rsidRPr="00030C60" w14:paraId="2D6BFC6E" w14:textId="77777777" w:rsidTr="00085DBB">
        <w:tc>
          <w:tcPr>
            <w:tcW w:w="3071" w:type="dxa"/>
          </w:tcPr>
          <w:p w14:paraId="7D5FAE8A" w14:textId="77777777" w:rsidR="00085DBB" w:rsidRPr="00843720" w:rsidRDefault="00085DBB" w:rsidP="003B3DAA">
            <w:pPr>
              <w:spacing w:after="0"/>
              <w:rPr>
                <w:bCs/>
                <w:color w:val="000000"/>
              </w:rPr>
            </w:pPr>
            <w:r w:rsidRPr="00843720">
              <w:rPr>
                <w:bCs/>
                <w:color w:val="000000"/>
              </w:rPr>
              <w:t xml:space="preserve">Screening for alcohol abuse: percentage of Enrollees reporting alcohol utilization in the CAGE risk areas, and </w:t>
            </w:r>
            <w:r w:rsidRPr="00843720">
              <w:rPr>
                <w:bCs/>
                <w:color w:val="000000"/>
              </w:rPr>
              <w:lastRenderedPageBreak/>
              <w:t>percentage of those referred for counseling.</w:t>
            </w:r>
          </w:p>
        </w:tc>
        <w:tc>
          <w:tcPr>
            <w:tcW w:w="1177" w:type="dxa"/>
          </w:tcPr>
          <w:p w14:paraId="5AB7EB61" w14:textId="77777777" w:rsidR="00085DBB" w:rsidRPr="00843720" w:rsidRDefault="00085DBB" w:rsidP="003B3DAA">
            <w:pPr>
              <w:spacing w:after="0"/>
            </w:pPr>
          </w:p>
        </w:tc>
        <w:tc>
          <w:tcPr>
            <w:tcW w:w="810" w:type="dxa"/>
            <w:gridSpan w:val="2"/>
          </w:tcPr>
          <w:p w14:paraId="5CCDBCD5" w14:textId="77777777" w:rsidR="00085DBB" w:rsidRPr="00843720" w:rsidRDefault="00085DBB" w:rsidP="003B3DAA">
            <w:pPr>
              <w:spacing w:after="0"/>
            </w:pPr>
          </w:p>
        </w:tc>
        <w:tc>
          <w:tcPr>
            <w:tcW w:w="630" w:type="dxa"/>
            <w:vAlign w:val="center"/>
          </w:tcPr>
          <w:p w14:paraId="5BD213FD" w14:textId="77777777" w:rsidR="00085DBB" w:rsidRPr="00843720" w:rsidRDefault="00085DBB" w:rsidP="003B3DAA">
            <w:pPr>
              <w:spacing w:after="0"/>
              <w:jc w:val="center"/>
            </w:pPr>
          </w:p>
        </w:tc>
        <w:tc>
          <w:tcPr>
            <w:tcW w:w="674" w:type="dxa"/>
            <w:vAlign w:val="center"/>
          </w:tcPr>
          <w:p w14:paraId="2555BE3C" w14:textId="77777777" w:rsidR="00085DBB" w:rsidRPr="00843720" w:rsidRDefault="00085DBB" w:rsidP="003B3DAA">
            <w:pPr>
              <w:spacing w:after="0"/>
              <w:jc w:val="center"/>
            </w:pPr>
          </w:p>
        </w:tc>
        <w:tc>
          <w:tcPr>
            <w:tcW w:w="678" w:type="dxa"/>
            <w:vAlign w:val="center"/>
          </w:tcPr>
          <w:p w14:paraId="656FB7CC" w14:textId="77777777" w:rsidR="00085DBB" w:rsidRPr="00843720" w:rsidRDefault="00085DBB" w:rsidP="003B3DAA">
            <w:pPr>
              <w:spacing w:after="0"/>
              <w:jc w:val="center"/>
            </w:pPr>
          </w:p>
        </w:tc>
        <w:tc>
          <w:tcPr>
            <w:tcW w:w="628" w:type="dxa"/>
            <w:vAlign w:val="center"/>
          </w:tcPr>
          <w:p w14:paraId="09EAE933" w14:textId="77777777" w:rsidR="00085DBB" w:rsidRPr="00843720" w:rsidRDefault="00085DBB" w:rsidP="003B3DAA">
            <w:pPr>
              <w:spacing w:after="0"/>
              <w:jc w:val="center"/>
            </w:pPr>
            <w:r w:rsidRPr="00843720">
              <w:t>X</w:t>
            </w:r>
          </w:p>
        </w:tc>
        <w:tc>
          <w:tcPr>
            <w:tcW w:w="810" w:type="dxa"/>
            <w:gridSpan w:val="2"/>
            <w:vAlign w:val="center"/>
          </w:tcPr>
          <w:p w14:paraId="14010613" w14:textId="77777777" w:rsidR="00085DBB" w:rsidRPr="00843720" w:rsidRDefault="00085DBB" w:rsidP="003B3DAA">
            <w:pPr>
              <w:spacing w:after="0"/>
              <w:jc w:val="center"/>
            </w:pPr>
          </w:p>
        </w:tc>
        <w:tc>
          <w:tcPr>
            <w:tcW w:w="720" w:type="dxa"/>
            <w:vAlign w:val="center"/>
          </w:tcPr>
          <w:p w14:paraId="0652B164" w14:textId="77777777" w:rsidR="00085DBB" w:rsidRPr="00843720" w:rsidRDefault="00085DBB" w:rsidP="003B3DAA">
            <w:pPr>
              <w:spacing w:after="0"/>
              <w:jc w:val="center"/>
            </w:pPr>
          </w:p>
        </w:tc>
      </w:tr>
      <w:tr w:rsidR="00085DBB" w:rsidRPr="00030C60" w14:paraId="057B3258" w14:textId="77777777" w:rsidTr="00085DBB">
        <w:tc>
          <w:tcPr>
            <w:tcW w:w="3071" w:type="dxa"/>
          </w:tcPr>
          <w:p w14:paraId="22BFDD28" w14:textId="77777777" w:rsidR="00085DBB" w:rsidRPr="00843720" w:rsidRDefault="00085DBB" w:rsidP="003B3DAA">
            <w:pPr>
              <w:spacing w:after="0"/>
            </w:pPr>
            <w:r w:rsidRPr="00843720">
              <w:lastRenderedPageBreak/>
              <w:t>Use of High-Risk Medications in the Elderly</w:t>
            </w:r>
          </w:p>
        </w:tc>
        <w:tc>
          <w:tcPr>
            <w:tcW w:w="1177" w:type="dxa"/>
          </w:tcPr>
          <w:p w14:paraId="35940F2A" w14:textId="77777777" w:rsidR="00085DBB" w:rsidRPr="00843720" w:rsidRDefault="00085DBB" w:rsidP="003B3DAA">
            <w:pPr>
              <w:spacing w:after="0"/>
            </w:pPr>
            <w:r w:rsidRPr="00843720">
              <w:t xml:space="preserve">NCQA </w:t>
            </w:r>
          </w:p>
        </w:tc>
        <w:tc>
          <w:tcPr>
            <w:tcW w:w="810" w:type="dxa"/>
            <w:gridSpan w:val="2"/>
          </w:tcPr>
          <w:p w14:paraId="0C168A9D" w14:textId="77777777" w:rsidR="00085DBB" w:rsidRPr="00843720" w:rsidRDefault="00085DBB" w:rsidP="003B3DAA">
            <w:pPr>
              <w:spacing w:after="0"/>
            </w:pPr>
            <w:r w:rsidRPr="00843720">
              <w:t>0022</w:t>
            </w:r>
          </w:p>
        </w:tc>
        <w:tc>
          <w:tcPr>
            <w:tcW w:w="630" w:type="dxa"/>
            <w:vAlign w:val="center"/>
          </w:tcPr>
          <w:p w14:paraId="57D06008" w14:textId="77777777" w:rsidR="00085DBB" w:rsidRPr="00843720" w:rsidRDefault="00085DBB" w:rsidP="003B3DAA">
            <w:pPr>
              <w:spacing w:after="0"/>
              <w:jc w:val="center"/>
            </w:pPr>
          </w:p>
        </w:tc>
        <w:tc>
          <w:tcPr>
            <w:tcW w:w="674" w:type="dxa"/>
            <w:vAlign w:val="center"/>
          </w:tcPr>
          <w:p w14:paraId="7000F92E" w14:textId="77777777" w:rsidR="00085DBB" w:rsidRPr="00843720" w:rsidRDefault="00085DBB" w:rsidP="003B3DAA">
            <w:pPr>
              <w:spacing w:after="0"/>
              <w:jc w:val="center"/>
            </w:pPr>
          </w:p>
        </w:tc>
        <w:tc>
          <w:tcPr>
            <w:tcW w:w="678" w:type="dxa"/>
            <w:vAlign w:val="center"/>
          </w:tcPr>
          <w:p w14:paraId="70645796" w14:textId="77777777" w:rsidR="00085DBB" w:rsidRPr="00843720" w:rsidRDefault="00085DBB" w:rsidP="003B3DAA">
            <w:pPr>
              <w:spacing w:after="0"/>
              <w:jc w:val="center"/>
            </w:pPr>
          </w:p>
        </w:tc>
        <w:tc>
          <w:tcPr>
            <w:tcW w:w="628" w:type="dxa"/>
            <w:vAlign w:val="center"/>
          </w:tcPr>
          <w:p w14:paraId="54811BB0" w14:textId="77777777" w:rsidR="00085DBB" w:rsidRPr="00843720" w:rsidRDefault="00085DBB" w:rsidP="003B3DAA">
            <w:pPr>
              <w:spacing w:after="0"/>
              <w:jc w:val="center"/>
            </w:pPr>
            <w:r w:rsidRPr="00843720">
              <w:t>X</w:t>
            </w:r>
          </w:p>
        </w:tc>
        <w:tc>
          <w:tcPr>
            <w:tcW w:w="810" w:type="dxa"/>
            <w:gridSpan w:val="2"/>
            <w:vAlign w:val="center"/>
          </w:tcPr>
          <w:p w14:paraId="78101510" w14:textId="77777777" w:rsidR="00085DBB" w:rsidRPr="00843720" w:rsidRDefault="00085DBB" w:rsidP="003B3DAA">
            <w:pPr>
              <w:spacing w:after="0"/>
              <w:jc w:val="center"/>
            </w:pPr>
          </w:p>
        </w:tc>
        <w:tc>
          <w:tcPr>
            <w:tcW w:w="720" w:type="dxa"/>
            <w:vAlign w:val="center"/>
          </w:tcPr>
          <w:p w14:paraId="1C04F6C2" w14:textId="77777777" w:rsidR="00085DBB" w:rsidRPr="00843720" w:rsidRDefault="00085DBB" w:rsidP="003B3DAA">
            <w:pPr>
              <w:spacing w:after="0"/>
              <w:jc w:val="center"/>
            </w:pPr>
          </w:p>
        </w:tc>
      </w:tr>
      <w:tr w:rsidR="00085DBB" w:rsidRPr="00030C60" w14:paraId="2A546459" w14:textId="77777777" w:rsidTr="00085DBB">
        <w:tc>
          <w:tcPr>
            <w:tcW w:w="3071" w:type="dxa"/>
          </w:tcPr>
          <w:p w14:paraId="6247007B" w14:textId="77777777" w:rsidR="00085DBB" w:rsidRPr="00843720" w:rsidRDefault="00085DBB" w:rsidP="003B3DAA">
            <w:pPr>
              <w:spacing w:after="0"/>
            </w:pPr>
            <w:r w:rsidRPr="00843720">
              <w:t>Eye examination every two years: percentage of Enrollees who received vision screening in the past two years</w:t>
            </w:r>
          </w:p>
        </w:tc>
        <w:tc>
          <w:tcPr>
            <w:tcW w:w="1177" w:type="dxa"/>
          </w:tcPr>
          <w:p w14:paraId="58EA5675" w14:textId="77777777" w:rsidR="005A34B8" w:rsidRPr="005A34B8" w:rsidRDefault="00085DBB" w:rsidP="003B3DAA">
            <w:pPr>
              <w:spacing w:after="0"/>
              <w:rPr>
                <w:sz w:val="18"/>
              </w:rPr>
            </w:pPr>
            <w:r w:rsidRPr="005A34B8">
              <w:rPr>
                <w:sz w:val="18"/>
              </w:rPr>
              <w:t>CMS/</w:t>
            </w:r>
          </w:p>
          <w:p w14:paraId="3103B64C" w14:textId="77777777" w:rsidR="00085DBB" w:rsidRPr="005A34B8" w:rsidRDefault="00085DBB" w:rsidP="003B3DAA">
            <w:pPr>
              <w:spacing w:after="0"/>
              <w:rPr>
                <w:sz w:val="18"/>
              </w:rPr>
            </w:pPr>
            <w:r w:rsidRPr="005A34B8">
              <w:rPr>
                <w:sz w:val="18"/>
              </w:rPr>
              <w:t>EOHHS requirement</w:t>
            </w:r>
          </w:p>
        </w:tc>
        <w:tc>
          <w:tcPr>
            <w:tcW w:w="810" w:type="dxa"/>
            <w:gridSpan w:val="2"/>
          </w:tcPr>
          <w:p w14:paraId="76755BBF" w14:textId="77777777" w:rsidR="00085DBB" w:rsidRPr="00843720" w:rsidRDefault="00085DBB" w:rsidP="003B3DAA">
            <w:pPr>
              <w:spacing w:after="0"/>
            </w:pPr>
          </w:p>
        </w:tc>
        <w:tc>
          <w:tcPr>
            <w:tcW w:w="630" w:type="dxa"/>
            <w:vAlign w:val="center"/>
          </w:tcPr>
          <w:p w14:paraId="0F4D9BEF" w14:textId="77777777" w:rsidR="00085DBB" w:rsidRPr="00843720" w:rsidRDefault="00085DBB" w:rsidP="003B3DAA">
            <w:pPr>
              <w:spacing w:after="0"/>
              <w:jc w:val="center"/>
            </w:pPr>
          </w:p>
        </w:tc>
        <w:tc>
          <w:tcPr>
            <w:tcW w:w="674" w:type="dxa"/>
            <w:vAlign w:val="center"/>
          </w:tcPr>
          <w:p w14:paraId="2F63E8E1" w14:textId="77777777" w:rsidR="00085DBB" w:rsidRPr="00843720" w:rsidRDefault="00085DBB" w:rsidP="003B3DAA">
            <w:pPr>
              <w:spacing w:after="0"/>
              <w:jc w:val="center"/>
            </w:pPr>
          </w:p>
        </w:tc>
        <w:tc>
          <w:tcPr>
            <w:tcW w:w="678" w:type="dxa"/>
            <w:vAlign w:val="center"/>
          </w:tcPr>
          <w:p w14:paraId="26E9DD67" w14:textId="77777777" w:rsidR="00085DBB" w:rsidRPr="00843720" w:rsidRDefault="00085DBB" w:rsidP="003B3DAA">
            <w:pPr>
              <w:spacing w:after="0"/>
              <w:jc w:val="center"/>
            </w:pPr>
          </w:p>
        </w:tc>
        <w:tc>
          <w:tcPr>
            <w:tcW w:w="628" w:type="dxa"/>
            <w:vAlign w:val="center"/>
          </w:tcPr>
          <w:p w14:paraId="74DF6DD7" w14:textId="77777777" w:rsidR="00085DBB" w:rsidRPr="00843720" w:rsidRDefault="00085DBB" w:rsidP="003B3DAA">
            <w:pPr>
              <w:spacing w:after="0"/>
              <w:jc w:val="center"/>
            </w:pPr>
            <w:r w:rsidRPr="00843720">
              <w:t>X</w:t>
            </w:r>
          </w:p>
        </w:tc>
        <w:tc>
          <w:tcPr>
            <w:tcW w:w="810" w:type="dxa"/>
            <w:gridSpan w:val="2"/>
            <w:vAlign w:val="center"/>
          </w:tcPr>
          <w:p w14:paraId="3A85BE80" w14:textId="77777777" w:rsidR="00085DBB" w:rsidRPr="00843720" w:rsidRDefault="00085DBB" w:rsidP="003B3DAA">
            <w:pPr>
              <w:spacing w:after="0"/>
              <w:jc w:val="center"/>
            </w:pPr>
          </w:p>
        </w:tc>
        <w:tc>
          <w:tcPr>
            <w:tcW w:w="720" w:type="dxa"/>
            <w:vAlign w:val="center"/>
          </w:tcPr>
          <w:p w14:paraId="37EA15D5" w14:textId="77777777" w:rsidR="00085DBB" w:rsidRPr="00843720" w:rsidRDefault="00085DBB" w:rsidP="003B3DAA">
            <w:pPr>
              <w:spacing w:after="0"/>
              <w:jc w:val="center"/>
            </w:pPr>
          </w:p>
        </w:tc>
      </w:tr>
      <w:tr w:rsidR="00085DBB" w:rsidRPr="00030C60" w14:paraId="6FF96FE7" w14:textId="77777777" w:rsidTr="00085DBB">
        <w:trPr>
          <w:trHeight w:val="1160"/>
        </w:trPr>
        <w:tc>
          <w:tcPr>
            <w:tcW w:w="3071" w:type="dxa"/>
          </w:tcPr>
          <w:p w14:paraId="029A6741" w14:textId="77777777" w:rsidR="00085DBB" w:rsidRPr="00843720" w:rsidRDefault="00085DBB" w:rsidP="003B3DAA">
            <w:pPr>
              <w:spacing w:after="0"/>
              <w:rPr>
                <w:bCs/>
                <w:color w:val="000000"/>
              </w:rPr>
            </w:pPr>
            <w:r w:rsidRPr="00843720">
              <w:rPr>
                <w:bCs/>
                <w:color w:val="000000"/>
              </w:rPr>
              <w:t>Hearing examination every two years: percentage of Enrollees who received a hearing screening in the past two years.</w:t>
            </w:r>
          </w:p>
        </w:tc>
        <w:tc>
          <w:tcPr>
            <w:tcW w:w="1177" w:type="dxa"/>
          </w:tcPr>
          <w:p w14:paraId="7877CF93" w14:textId="77777777" w:rsidR="005A34B8" w:rsidRPr="005A34B8" w:rsidRDefault="00085DBB" w:rsidP="003B3DAA">
            <w:pPr>
              <w:spacing w:after="0"/>
              <w:rPr>
                <w:sz w:val="18"/>
              </w:rPr>
            </w:pPr>
            <w:r w:rsidRPr="005A34B8">
              <w:rPr>
                <w:sz w:val="18"/>
              </w:rPr>
              <w:t>CMS/</w:t>
            </w:r>
          </w:p>
          <w:p w14:paraId="276325A1" w14:textId="77777777" w:rsidR="00085DBB" w:rsidRPr="005A34B8" w:rsidRDefault="00085DBB" w:rsidP="003B3DAA">
            <w:pPr>
              <w:spacing w:after="0"/>
              <w:rPr>
                <w:sz w:val="18"/>
              </w:rPr>
            </w:pPr>
            <w:r w:rsidRPr="005A34B8">
              <w:rPr>
                <w:sz w:val="18"/>
              </w:rPr>
              <w:t>EOHHS requirement</w:t>
            </w:r>
          </w:p>
        </w:tc>
        <w:tc>
          <w:tcPr>
            <w:tcW w:w="810" w:type="dxa"/>
            <w:gridSpan w:val="2"/>
          </w:tcPr>
          <w:p w14:paraId="21A75932" w14:textId="77777777" w:rsidR="00085DBB" w:rsidRPr="00843720" w:rsidRDefault="00085DBB" w:rsidP="003B3DAA">
            <w:pPr>
              <w:spacing w:after="0"/>
            </w:pPr>
          </w:p>
        </w:tc>
        <w:tc>
          <w:tcPr>
            <w:tcW w:w="630" w:type="dxa"/>
            <w:vAlign w:val="center"/>
          </w:tcPr>
          <w:p w14:paraId="2C15A67C" w14:textId="77777777" w:rsidR="00085DBB" w:rsidRPr="00843720" w:rsidRDefault="00085DBB" w:rsidP="003B3DAA">
            <w:pPr>
              <w:spacing w:after="0"/>
              <w:jc w:val="center"/>
            </w:pPr>
          </w:p>
        </w:tc>
        <w:tc>
          <w:tcPr>
            <w:tcW w:w="674" w:type="dxa"/>
            <w:vAlign w:val="center"/>
          </w:tcPr>
          <w:p w14:paraId="55A0BC49" w14:textId="77777777" w:rsidR="00085DBB" w:rsidRPr="00843720" w:rsidRDefault="00085DBB" w:rsidP="003B3DAA">
            <w:pPr>
              <w:spacing w:after="0"/>
              <w:jc w:val="center"/>
            </w:pPr>
          </w:p>
        </w:tc>
        <w:tc>
          <w:tcPr>
            <w:tcW w:w="678" w:type="dxa"/>
            <w:vAlign w:val="center"/>
          </w:tcPr>
          <w:p w14:paraId="1264232D" w14:textId="77777777" w:rsidR="00085DBB" w:rsidRPr="00843720" w:rsidRDefault="00085DBB" w:rsidP="003B3DAA">
            <w:pPr>
              <w:spacing w:after="0"/>
              <w:jc w:val="center"/>
            </w:pPr>
          </w:p>
        </w:tc>
        <w:tc>
          <w:tcPr>
            <w:tcW w:w="628" w:type="dxa"/>
            <w:vAlign w:val="center"/>
          </w:tcPr>
          <w:p w14:paraId="26A622FB" w14:textId="77777777" w:rsidR="00085DBB" w:rsidRPr="00843720" w:rsidRDefault="00085DBB" w:rsidP="003B3DAA">
            <w:pPr>
              <w:spacing w:after="0"/>
              <w:jc w:val="center"/>
            </w:pPr>
            <w:r w:rsidRPr="00843720">
              <w:t>X</w:t>
            </w:r>
          </w:p>
        </w:tc>
        <w:tc>
          <w:tcPr>
            <w:tcW w:w="810" w:type="dxa"/>
            <w:gridSpan w:val="2"/>
            <w:vAlign w:val="center"/>
          </w:tcPr>
          <w:p w14:paraId="4E98C269" w14:textId="77777777" w:rsidR="00085DBB" w:rsidRPr="00843720" w:rsidRDefault="00085DBB" w:rsidP="003B3DAA">
            <w:pPr>
              <w:spacing w:after="0"/>
              <w:jc w:val="center"/>
            </w:pPr>
          </w:p>
        </w:tc>
        <w:tc>
          <w:tcPr>
            <w:tcW w:w="720" w:type="dxa"/>
            <w:vAlign w:val="center"/>
          </w:tcPr>
          <w:p w14:paraId="55671E12" w14:textId="77777777" w:rsidR="00085DBB" w:rsidRPr="00843720" w:rsidRDefault="00085DBB" w:rsidP="003B3DAA">
            <w:pPr>
              <w:spacing w:after="0"/>
              <w:jc w:val="center"/>
            </w:pPr>
          </w:p>
        </w:tc>
      </w:tr>
      <w:tr w:rsidR="00085DBB" w:rsidRPr="00030C60" w14:paraId="5CDBB437" w14:textId="77777777" w:rsidTr="00085DBB">
        <w:tc>
          <w:tcPr>
            <w:tcW w:w="3071" w:type="dxa"/>
          </w:tcPr>
          <w:p w14:paraId="4F46E92D" w14:textId="77777777" w:rsidR="00085DBB" w:rsidRPr="00843720" w:rsidRDefault="00085DBB" w:rsidP="003B3DAA">
            <w:pPr>
              <w:spacing w:after="0"/>
            </w:pPr>
            <w:r w:rsidRPr="00843720">
              <w:t xml:space="preserve">Annual Monitoring for Patients on Persistent Medication </w:t>
            </w:r>
          </w:p>
        </w:tc>
        <w:tc>
          <w:tcPr>
            <w:tcW w:w="1177" w:type="dxa"/>
          </w:tcPr>
          <w:p w14:paraId="6E6C51B7" w14:textId="77777777" w:rsidR="00085DBB" w:rsidRPr="00843720" w:rsidRDefault="00085DBB" w:rsidP="003B3DAA">
            <w:pPr>
              <w:spacing w:after="0"/>
            </w:pPr>
            <w:r w:rsidRPr="00843720">
              <w:t xml:space="preserve">NCQA </w:t>
            </w:r>
          </w:p>
        </w:tc>
        <w:tc>
          <w:tcPr>
            <w:tcW w:w="810" w:type="dxa"/>
            <w:gridSpan w:val="2"/>
          </w:tcPr>
          <w:p w14:paraId="4C87C8AC" w14:textId="77777777" w:rsidR="00085DBB" w:rsidRPr="00843720" w:rsidRDefault="00085DBB" w:rsidP="003B3DAA">
            <w:pPr>
              <w:spacing w:after="0"/>
            </w:pPr>
            <w:r w:rsidRPr="00843720">
              <w:t>2371</w:t>
            </w:r>
          </w:p>
        </w:tc>
        <w:tc>
          <w:tcPr>
            <w:tcW w:w="630" w:type="dxa"/>
            <w:vAlign w:val="center"/>
          </w:tcPr>
          <w:p w14:paraId="102A5D9B" w14:textId="77777777" w:rsidR="00085DBB" w:rsidRPr="00843720" w:rsidRDefault="00085DBB" w:rsidP="003B3DAA">
            <w:pPr>
              <w:spacing w:after="0"/>
              <w:jc w:val="center"/>
            </w:pPr>
          </w:p>
        </w:tc>
        <w:tc>
          <w:tcPr>
            <w:tcW w:w="674" w:type="dxa"/>
            <w:vAlign w:val="center"/>
          </w:tcPr>
          <w:p w14:paraId="4455C518" w14:textId="77777777" w:rsidR="00085DBB" w:rsidRPr="00843720" w:rsidRDefault="00085DBB" w:rsidP="003B3DAA">
            <w:pPr>
              <w:spacing w:after="0"/>
              <w:jc w:val="center"/>
            </w:pPr>
          </w:p>
        </w:tc>
        <w:tc>
          <w:tcPr>
            <w:tcW w:w="678" w:type="dxa"/>
            <w:vAlign w:val="center"/>
          </w:tcPr>
          <w:p w14:paraId="297715FE" w14:textId="77777777" w:rsidR="00085DBB" w:rsidRPr="00843720" w:rsidRDefault="00085DBB" w:rsidP="003B3DAA">
            <w:pPr>
              <w:spacing w:after="0"/>
              <w:jc w:val="center"/>
            </w:pPr>
          </w:p>
        </w:tc>
        <w:tc>
          <w:tcPr>
            <w:tcW w:w="628" w:type="dxa"/>
            <w:vAlign w:val="center"/>
          </w:tcPr>
          <w:p w14:paraId="589376CE" w14:textId="77777777" w:rsidR="00085DBB" w:rsidRPr="00843720" w:rsidRDefault="00085DBB" w:rsidP="003B3DAA">
            <w:pPr>
              <w:spacing w:after="0"/>
              <w:jc w:val="center"/>
            </w:pPr>
            <w:r w:rsidRPr="00843720">
              <w:t>X</w:t>
            </w:r>
          </w:p>
        </w:tc>
        <w:tc>
          <w:tcPr>
            <w:tcW w:w="810" w:type="dxa"/>
            <w:gridSpan w:val="2"/>
            <w:vAlign w:val="center"/>
          </w:tcPr>
          <w:p w14:paraId="2C41AC41" w14:textId="77777777" w:rsidR="00085DBB" w:rsidRPr="00843720" w:rsidRDefault="00085DBB" w:rsidP="003B3DAA">
            <w:pPr>
              <w:spacing w:after="0"/>
              <w:jc w:val="center"/>
            </w:pPr>
            <w:r w:rsidRPr="00843720">
              <w:t xml:space="preserve">X </w:t>
            </w:r>
          </w:p>
        </w:tc>
        <w:tc>
          <w:tcPr>
            <w:tcW w:w="720" w:type="dxa"/>
            <w:vAlign w:val="center"/>
          </w:tcPr>
          <w:p w14:paraId="6E7A1745" w14:textId="77777777" w:rsidR="00085DBB" w:rsidRPr="00843720" w:rsidRDefault="00085DBB" w:rsidP="003B3DAA">
            <w:pPr>
              <w:spacing w:after="0"/>
              <w:jc w:val="center"/>
            </w:pPr>
          </w:p>
        </w:tc>
      </w:tr>
      <w:tr w:rsidR="00085DBB" w:rsidRPr="00030C60" w14:paraId="7E951713" w14:textId="77777777" w:rsidTr="00085DBB">
        <w:tc>
          <w:tcPr>
            <w:tcW w:w="9198" w:type="dxa"/>
            <w:gridSpan w:val="11"/>
            <w:shd w:val="clear" w:color="auto" w:fill="8DB3E2" w:themeFill="text2" w:themeFillTint="66"/>
          </w:tcPr>
          <w:p w14:paraId="739D8F73" w14:textId="77777777" w:rsidR="00085DBB" w:rsidRPr="00EF4905" w:rsidRDefault="00085DBB" w:rsidP="003B3DAA">
            <w:pPr>
              <w:spacing w:after="0"/>
              <w:jc w:val="center"/>
            </w:pPr>
            <w:r w:rsidRPr="00EF4905">
              <w:t>Domain 3: Reducing Emergency Department Utilization and Hospitalization</w:t>
            </w:r>
          </w:p>
        </w:tc>
      </w:tr>
      <w:tr w:rsidR="00085DBB" w:rsidRPr="00030C60" w14:paraId="74D4CD9F" w14:textId="77777777" w:rsidTr="00085DBB">
        <w:tc>
          <w:tcPr>
            <w:tcW w:w="3071" w:type="dxa"/>
            <w:shd w:val="clear" w:color="auto" w:fill="auto"/>
          </w:tcPr>
          <w:p w14:paraId="38A32E1C" w14:textId="77777777" w:rsidR="00085DBB" w:rsidRPr="00843720" w:rsidRDefault="00085DBB" w:rsidP="003B3DAA">
            <w:pPr>
              <w:spacing w:after="0"/>
            </w:pPr>
            <w:r w:rsidRPr="00843720">
              <w:t xml:space="preserve">Plan All-Cause Readmission </w:t>
            </w:r>
          </w:p>
        </w:tc>
        <w:tc>
          <w:tcPr>
            <w:tcW w:w="1193" w:type="dxa"/>
            <w:gridSpan w:val="2"/>
            <w:shd w:val="clear" w:color="auto" w:fill="auto"/>
          </w:tcPr>
          <w:p w14:paraId="672CCBE6" w14:textId="77777777" w:rsidR="00085DBB" w:rsidRPr="00843720" w:rsidRDefault="00085DBB" w:rsidP="003B3DAA">
            <w:pPr>
              <w:spacing w:after="0"/>
            </w:pPr>
            <w:r w:rsidRPr="00843720">
              <w:t xml:space="preserve">NCQA </w:t>
            </w:r>
          </w:p>
        </w:tc>
        <w:tc>
          <w:tcPr>
            <w:tcW w:w="794" w:type="dxa"/>
            <w:shd w:val="clear" w:color="auto" w:fill="auto"/>
          </w:tcPr>
          <w:p w14:paraId="3C972DB1" w14:textId="77777777" w:rsidR="00085DBB" w:rsidRPr="00843720" w:rsidRDefault="00085DBB" w:rsidP="003B3DAA">
            <w:pPr>
              <w:spacing w:after="0"/>
            </w:pPr>
            <w:r w:rsidRPr="00843720">
              <w:t>1768</w:t>
            </w:r>
          </w:p>
        </w:tc>
        <w:tc>
          <w:tcPr>
            <w:tcW w:w="630" w:type="dxa"/>
            <w:shd w:val="clear" w:color="auto" w:fill="auto"/>
            <w:vAlign w:val="center"/>
          </w:tcPr>
          <w:p w14:paraId="0EC0B1CD" w14:textId="77777777" w:rsidR="00085DBB" w:rsidRPr="00843720" w:rsidRDefault="00085DBB" w:rsidP="003B3DAA">
            <w:pPr>
              <w:spacing w:after="0"/>
              <w:jc w:val="center"/>
            </w:pPr>
            <w:r w:rsidRPr="00843720">
              <w:t>X</w:t>
            </w:r>
          </w:p>
        </w:tc>
        <w:tc>
          <w:tcPr>
            <w:tcW w:w="674" w:type="dxa"/>
            <w:shd w:val="clear" w:color="auto" w:fill="auto"/>
            <w:vAlign w:val="center"/>
          </w:tcPr>
          <w:p w14:paraId="1171B86D" w14:textId="77777777" w:rsidR="00085DBB" w:rsidRPr="00843720" w:rsidRDefault="00085DBB" w:rsidP="003B3DAA">
            <w:pPr>
              <w:spacing w:after="0"/>
              <w:jc w:val="center"/>
            </w:pPr>
            <w:r w:rsidRPr="00843720">
              <w:t>X</w:t>
            </w:r>
          </w:p>
        </w:tc>
        <w:tc>
          <w:tcPr>
            <w:tcW w:w="678" w:type="dxa"/>
            <w:shd w:val="clear" w:color="auto" w:fill="auto"/>
            <w:vAlign w:val="center"/>
          </w:tcPr>
          <w:p w14:paraId="52BCF4DB" w14:textId="77777777" w:rsidR="00085DBB" w:rsidRPr="00843720" w:rsidRDefault="00085DBB" w:rsidP="003B3DAA">
            <w:pPr>
              <w:spacing w:after="0"/>
              <w:jc w:val="center"/>
            </w:pPr>
            <w:r w:rsidRPr="00843720">
              <w:t>X</w:t>
            </w:r>
          </w:p>
        </w:tc>
        <w:tc>
          <w:tcPr>
            <w:tcW w:w="628" w:type="dxa"/>
            <w:shd w:val="clear" w:color="auto" w:fill="auto"/>
            <w:vAlign w:val="center"/>
          </w:tcPr>
          <w:p w14:paraId="360A456F" w14:textId="77777777" w:rsidR="00085DBB" w:rsidRPr="00843720" w:rsidRDefault="00085DBB" w:rsidP="003B3DAA">
            <w:pPr>
              <w:spacing w:after="0"/>
              <w:jc w:val="center"/>
            </w:pPr>
            <w:r w:rsidRPr="00843720">
              <w:t>X</w:t>
            </w:r>
          </w:p>
        </w:tc>
        <w:tc>
          <w:tcPr>
            <w:tcW w:w="810" w:type="dxa"/>
            <w:gridSpan w:val="2"/>
            <w:shd w:val="clear" w:color="auto" w:fill="auto"/>
            <w:vAlign w:val="center"/>
          </w:tcPr>
          <w:p w14:paraId="43167EED" w14:textId="77777777" w:rsidR="00085DBB" w:rsidRPr="00030C60" w:rsidRDefault="00085DBB" w:rsidP="003B3DAA">
            <w:pPr>
              <w:spacing w:after="0"/>
              <w:jc w:val="center"/>
            </w:pPr>
          </w:p>
        </w:tc>
        <w:tc>
          <w:tcPr>
            <w:tcW w:w="720" w:type="dxa"/>
            <w:shd w:val="clear" w:color="auto" w:fill="auto"/>
            <w:vAlign w:val="center"/>
          </w:tcPr>
          <w:p w14:paraId="51102E80" w14:textId="77777777" w:rsidR="00085DBB" w:rsidRPr="00030C60" w:rsidRDefault="00085DBB" w:rsidP="003B3DAA">
            <w:pPr>
              <w:spacing w:after="0"/>
              <w:jc w:val="center"/>
            </w:pPr>
          </w:p>
        </w:tc>
      </w:tr>
      <w:tr w:rsidR="00085DBB" w:rsidRPr="00030C60" w14:paraId="5E2AFAA5" w14:textId="77777777" w:rsidTr="00085DBB">
        <w:tc>
          <w:tcPr>
            <w:tcW w:w="3071" w:type="dxa"/>
          </w:tcPr>
          <w:p w14:paraId="22E146E6" w14:textId="77777777" w:rsidR="00085DBB" w:rsidRPr="00843720" w:rsidRDefault="00085DBB" w:rsidP="003B3DAA">
            <w:pPr>
              <w:spacing w:after="0"/>
            </w:pPr>
            <w:r w:rsidRPr="00843720">
              <w:t>Emergency Department Visits for Adults with Mental Illness, Addiction, or Co-</w:t>
            </w:r>
            <w:r w:rsidR="00217B96" w:rsidRPr="00843720">
              <w:t>occurring</w:t>
            </w:r>
            <w:r w:rsidRPr="00843720">
              <w:t xml:space="preserve"> Conditions </w:t>
            </w:r>
          </w:p>
        </w:tc>
        <w:tc>
          <w:tcPr>
            <w:tcW w:w="1193" w:type="dxa"/>
            <w:gridSpan w:val="2"/>
          </w:tcPr>
          <w:p w14:paraId="37699C07" w14:textId="77777777" w:rsidR="00085DBB" w:rsidRPr="00843720" w:rsidRDefault="00085DBB" w:rsidP="003B3DAA">
            <w:pPr>
              <w:spacing w:after="0"/>
            </w:pPr>
            <w:r w:rsidRPr="00843720">
              <w:t>EOHHS</w:t>
            </w:r>
          </w:p>
        </w:tc>
        <w:tc>
          <w:tcPr>
            <w:tcW w:w="794" w:type="dxa"/>
          </w:tcPr>
          <w:p w14:paraId="69939467" w14:textId="77777777" w:rsidR="00085DBB" w:rsidRPr="00843720" w:rsidRDefault="00085DBB" w:rsidP="003B3DAA">
            <w:pPr>
              <w:spacing w:after="0"/>
            </w:pPr>
            <w:r w:rsidRPr="00843720">
              <w:t>N/A</w:t>
            </w:r>
          </w:p>
        </w:tc>
        <w:tc>
          <w:tcPr>
            <w:tcW w:w="630" w:type="dxa"/>
            <w:vAlign w:val="center"/>
          </w:tcPr>
          <w:p w14:paraId="5DB127C8" w14:textId="77777777" w:rsidR="00085DBB" w:rsidRPr="00843720" w:rsidRDefault="00085DBB" w:rsidP="003B3DAA">
            <w:pPr>
              <w:spacing w:after="0"/>
              <w:jc w:val="center"/>
            </w:pPr>
            <w:r w:rsidRPr="00843720">
              <w:t>X</w:t>
            </w:r>
          </w:p>
        </w:tc>
        <w:tc>
          <w:tcPr>
            <w:tcW w:w="674" w:type="dxa"/>
            <w:vAlign w:val="center"/>
          </w:tcPr>
          <w:p w14:paraId="705000DD" w14:textId="77777777" w:rsidR="00085DBB" w:rsidRPr="00843720" w:rsidRDefault="00085DBB" w:rsidP="003B3DAA">
            <w:pPr>
              <w:spacing w:after="0"/>
              <w:jc w:val="center"/>
            </w:pPr>
            <w:r w:rsidRPr="00843720">
              <w:t>X</w:t>
            </w:r>
          </w:p>
        </w:tc>
        <w:tc>
          <w:tcPr>
            <w:tcW w:w="678" w:type="dxa"/>
            <w:vAlign w:val="center"/>
          </w:tcPr>
          <w:p w14:paraId="483E1CFD" w14:textId="77777777" w:rsidR="00085DBB" w:rsidRPr="00843720" w:rsidRDefault="00085DBB" w:rsidP="003B3DAA">
            <w:pPr>
              <w:spacing w:after="0"/>
              <w:jc w:val="center"/>
            </w:pPr>
          </w:p>
        </w:tc>
        <w:tc>
          <w:tcPr>
            <w:tcW w:w="628" w:type="dxa"/>
            <w:vAlign w:val="center"/>
          </w:tcPr>
          <w:p w14:paraId="11EAF5BF" w14:textId="77777777" w:rsidR="00085DBB" w:rsidRPr="00843720" w:rsidRDefault="00085DBB" w:rsidP="003B3DAA">
            <w:pPr>
              <w:spacing w:after="0"/>
              <w:jc w:val="center"/>
            </w:pPr>
          </w:p>
        </w:tc>
        <w:tc>
          <w:tcPr>
            <w:tcW w:w="810" w:type="dxa"/>
            <w:gridSpan w:val="2"/>
            <w:vAlign w:val="center"/>
          </w:tcPr>
          <w:p w14:paraId="7DE26013" w14:textId="77777777" w:rsidR="00085DBB" w:rsidRPr="00030C60" w:rsidRDefault="00085DBB" w:rsidP="003B3DAA">
            <w:pPr>
              <w:spacing w:after="0"/>
              <w:jc w:val="center"/>
            </w:pPr>
          </w:p>
        </w:tc>
        <w:tc>
          <w:tcPr>
            <w:tcW w:w="720" w:type="dxa"/>
            <w:vAlign w:val="center"/>
          </w:tcPr>
          <w:p w14:paraId="708CA1E0" w14:textId="77777777" w:rsidR="00085DBB" w:rsidRPr="00030C60" w:rsidRDefault="00085DBB" w:rsidP="003B3DAA">
            <w:pPr>
              <w:spacing w:after="0"/>
              <w:jc w:val="center"/>
            </w:pPr>
          </w:p>
        </w:tc>
      </w:tr>
      <w:tr w:rsidR="00085DBB" w:rsidRPr="00030C60" w14:paraId="417139F4" w14:textId="77777777" w:rsidTr="00085DBB">
        <w:tc>
          <w:tcPr>
            <w:tcW w:w="3071" w:type="dxa"/>
          </w:tcPr>
          <w:p w14:paraId="31DE77EA" w14:textId="77777777" w:rsidR="00085DBB" w:rsidRPr="00843720" w:rsidRDefault="00085DBB" w:rsidP="003B3DAA">
            <w:pPr>
              <w:spacing w:after="0"/>
            </w:pPr>
            <w:r w:rsidRPr="00843720">
              <w:t>Acute Unplanned Admissions for Individuals with Diabetes (Adult)</w:t>
            </w:r>
          </w:p>
        </w:tc>
        <w:tc>
          <w:tcPr>
            <w:tcW w:w="1193" w:type="dxa"/>
            <w:gridSpan w:val="2"/>
          </w:tcPr>
          <w:p w14:paraId="3EAB1C08" w14:textId="77777777" w:rsidR="00085DBB" w:rsidRPr="00843720" w:rsidRDefault="00085DBB" w:rsidP="003B3DAA">
            <w:pPr>
              <w:spacing w:after="0"/>
            </w:pPr>
            <w:r w:rsidRPr="00843720">
              <w:t>EOHHS</w:t>
            </w:r>
          </w:p>
        </w:tc>
        <w:tc>
          <w:tcPr>
            <w:tcW w:w="794" w:type="dxa"/>
          </w:tcPr>
          <w:p w14:paraId="455F3872" w14:textId="77777777" w:rsidR="00085DBB" w:rsidRPr="00843720" w:rsidRDefault="00085DBB" w:rsidP="003B3DAA">
            <w:pPr>
              <w:spacing w:after="0"/>
            </w:pPr>
          </w:p>
        </w:tc>
        <w:tc>
          <w:tcPr>
            <w:tcW w:w="630" w:type="dxa"/>
            <w:vAlign w:val="center"/>
          </w:tcPr>
          <w:p w14:paraId="71054993" w14:textId="77777777" w:rsidR="00085DBB" w:rsidRPr="00843720" w:rsidRDefault="00085DBB" w:rsidP="003B3DAA">
            <w:pPr>
              <w:spacing w:after="0"/>
              <w:jc w:val="center"/>
            </w:pPr>
            <w:r w:rsidRPr="00843720">
              <w:t>X</w:t>
            </w:r>
          </w:p>
        </w:tc>
        <w:tc>
          <w:tcPr>
            <w:tcW w:w="674" w:type="dxa"/>
            <w:vAlign w:val="center"/>
          </w:tcPr>
          <w:p w14:paraId="72E47646" w14:textId="77777777" w:rsidR="00085DBB" w:rsidRPr="00843720" w:rsidRDefault="00085DBB" w:rsidP="003B3DAA">
            <w:pPr>
              <w:spacing w:after="0"/>
              <w:jc w:val="center"/>
            </w:pPr>
            <w:r w:rsidRPr="00843720">
              <w:t>X</w:t>
            </w:r>
          </w:p>
        </w:tc>
        <w:tc>
          <w:tcPr>
            <w:tcW w:w="678" w:type="dxa"/>
            <w:vAlign w:val="center"/>
          </w:tcPr>
          <w:p w14:paraId="419A4E98" w14:textId="77777777" w:rsidR="00085DBB" w:rsidRPr="00843720" w:rsidRDefault="00085DBB" w:rsidP="003B3DAA">
            <w:pPr>
              <w:spacing w:after="0"/>
              <w:jc w:val="center"/>
            </w:pPr>
          </w:p>
        </w:tc>
        <w:tc>
          <w:tcPr>
            <w:tcW w:w="628" w:type="dxa"/>
            <w:vAlign w:val="center"/>
          </w:tcPr>
          <w:p w14:paraId="57C5FE1A" w14:textId="77777777" w:rsidR="00085DBB" w:rsidRPr="00843720" w:rsidRDefault="00085DBB" w:rsidP="003B3DAA">
            <w:pPr>
              <w:spacing w:after="0"/>
              <w:jc w:val="center"/>
            </w:pPr>
          </w:p>
        </w:tc>
        <w:tc>
          <w:tcPr>
            <w:tcW w:w="810" w:type="dxa"/>
            <w:gridSpan w:val="2"/>
            <w:vAlign w:val="center"/>
          </w:tcPr>
          <w:p w14:paraId="61B1FFF6" w14:textId="77777777" w:rsidR="00085DBB" w:rsidRPr="00030C60" w:rsidRDefault="00085DBB" w:rsidP="003B3DAA">
            <w:pPr>
              <w:spacing w:after="0"/>
              <w:jc w:val="center"/>
            </w:pPr>
          </w:p>
        </w:tc>
        <w:tc>
          <w:tcPr>
            <w:tcW w:w="720" w:type="dxa"/>
            <w:vAlign w:val="center"/>
          </w:tcPr>
          <w:p w14:paraId="04B57C61" w14:textId="77777777" w:rsidR="00085DBB" w:rsidRPr="00030C60" w:rsidRDefault="00085DBB" w:rsidP="003B3DAA">
            <w:pPr>
              <w:spacing w:after="0"/>
              <w:jc w:val="center"/>
            </w:pPr>
          </w:p>
        </w:tc>
      </w:tr>
      <w:tr w:rsidR="00085DBB" w:rsidRPr="00030C60" w14:paraId="51CF4319" w14:textId="77777777" w:rsidTr="00085DBB">
        <w:tc>
          <w:tcPr>
            <w:tcW w:w="9198" w:type="dxa"/>
            <w:gridSpan w:val="11"/>
            <w:shd w:val="clear" w:color="auto" w:fill="8DB3E2" w:themeFill="text2" w:themeFillTint="66"/>
          </w:tcPr>
          <w:p w14:paraId="2FC91FA1" w14:textId="77777777" w:rsidR="00085DBB" w:rsidRPr="00EF4905" w:rsidRDefault="00085DBB" w:rsidP="003B3DAA">
            <w:pPr>
              <w:spacing w:after="0"/>
              <w:jc w:val="center"/>
            </w:pPr>
            <w:r w:rsidRPr="00EF4905">
              <w:t>Domain 4: Promote Mental Health and Reduce Addiction through Prevention, Treatment and Care Integration</w:t>
            </w:r>
          </w:p>
        </w:tc>
      </w:tr>
      <w:tr w:rsidR="00085DBB" w:rsidRPr="00030C60" w14:paraId="68CCCB21" w14:textId="77777777" w:rsidTr="00085DBB">
        <w:trPr>
          <w:trHeight w:val="1142"/>
        </w:trPr>
        <w:tc>
          <w:tcPr>
            <w:tcW w:w="3071" w:type="dxa"/>
          </w:tcPr>
          <w:p w14:paraId="174DE73B" w14:textId="77777777" w:rsidR="00085DBB" w:rsidRPr="00843720" w:rsidRDefault="00085DBB" w:rsidP="003B3DAA">
            <w:pPr>
              <w:spacing w:after="0"/>
            </w:pPr>
            <w:r w:rsidRPr="00843720">
              <w:t>Initiation and Engagement of Alcohol, Opioid, or Other Drug Abuse or Dependence Treatment</w:t>
            </w:r>
          </w:p>
        </w:tc>
        <w:tc>
          <w:tcPr>
            <w:tcW w:w="1193" w:type="dxa"/>
            <w:gridSpan w:val="2"/>
          </w:tcPr>
          <w:p w14:paraId="22AC9169" w14:textId="77777777" w:rsidR="00085DBB" w:rsidRPr="00843720" w:rsidRDefault="00085DBB" w:rsidP="003B3DAA">
            <w:pPr>
              <w:spacing w:after="0"/>
            </w:pPr>
            <w:r w:rsidRPr="00843720">
              <w:t xml:space="preserve">NCQA </w:t>
            </w:r>
          </w:p>
        </w:tc>
        <w:tc>
          <w:tcPr>
            <w:tcW w:w="794" w:type="dxa"/>
          </w:tcPr>
          <w:p w14:paraId="51532DDA" w14:textId="77777777" w:rsidR="00085DBB" w:rsidRPr="00843720" w:rsidRDefault="00085DBB" w:rsidP="003B3DAA">
            <w:pPr>
              <w:spacing w:after="0"/>
            </w:pPr>
            <w:r w:rsidRPr="00843720">
              <w:t>0004</w:t>
            </w:r>
          </w:p>
        </w:tc>
        <w:tc>
          <w:tcPr>
            <w:tcW w:w="630" w:type="dxa"/>
            <w:vAlign w:val="center"/>
          </w:tcPr>
          <w:p w14:paraId="7F12F3AF" w14:textId="77777777" w:rsidR="00085DBB" w:rsidRPr="00843720" w:rsidRDefault="00085DBB" w:rsidP="003B3DAA">
            <w:pPr>
              <w:spacing w:after="0"/>
              <w:jc w:val="center"/>
            </w:pPr>
            <w:r w:rsidRPr="00843720">
              <w:t>X</w:t>
            </w:r>
          </w:p>
        </w:tc>
        <w:tc>
          <w:tcPr>
            <w:tcW w:w="674" w:type="dxa"/>
            <w:vAlign w:val="center"/>
          </w:tcPr>
          <w:p w14:paraId="151B8B92" w14:textId="77777777" w:rsidR="00085DBB" w:rsidRPr="00843720" w:rsidRDefault="00085DBB" w:rsidP="003B3DAA">
            <w:pPr>
              <w:spacing w:after="0"/>
              <w:jc w:val="center"/>
            </w:pPr>
            <w:r w:rsidRPr="00843720">
              <w:t>X</w:t>
            </w:r>
          </w:p>
        </w:tc>
        <w:tc>
          <w:tcPr>
            <w:tcW w:w="678" w:type="dxa"/>
            <w:vAlign w:val="center"/>
          </w:tcPr>
          <w:p w14:paraId="5CC6116A" w14:textId="77777777" w:rsidR="00085DBB" w:rsidRPr="00843720" w:rsidRDefault="00085DBB" w:rsidP="003B3DAA">
            <w:pPr>
              <w:spacing w:after="0"/>
              <w:jc w:val="center"/>
            </w:pPr>
            <w:r w:rsidRPr="00843720">
              <w:t>X</w:t>
            </w:r>
          </w:p>
        </w:tc>
        <w:tc>
          <w:tcPr>
            <w:tcW w:w="628" w:type="dxa"/>
            <w:vAlign w:val="center"/>
          </w:tcPr>
          <w:p w14:paraId="3597043F" w14:textId="77777777" w:rsidR="00085DBB" w:rsidRPr="00843720" w:rsidRDefault="00085DBB" w:rsidP="003B3DAA">
            <w:pPr>
              <w:spacing w:after="0"/>
              <w:jc w:val="center"/>
            </w:pPr>
          </w:p>
        </w:tc>
        <w:tc>
          <w:tcPr>
            <w:tcW w:w="810" w:type="dxa"/>
            <w:gridSpan w:val="2"/>
            <w:vAlign w:val="center"/>
          </w:tcPr>
          <w:p w14:paraId="7D8ABE93" w14:textId="77777777" w:rsidR="00085DBB" w:rsidRPr="00843720" w:rsidRDefault="00085DBB" w:rsidP="003B3DAA">
            <w:pPr>
              <w:spacing w:after="0"/>
              <w:jc w:val="center"/>
            </w:pPr>
            <w:r w:rsidRPr="00843720">
              <w:t>X</w:t>
            </w:r>
          </w:p>
        </w:tc>
        <w:tc>
          <w:tcPr>
            <w:tcW w:w="720" w:type="dxa"/>
            <w:vAlign w:val="center"/>
          </w:tcPr>
          <w:p w14:paraId="4EBDF780" w14:textId="77777777" w:rsidR="00085DBB" w:rsidRPr="00843720" w:rsidRDefault="00085DBB" w:rsidP="003B3DAA">
            <w:pPr>
              <w:spacing w:after="0"/>
              <w:jc w:val="center"/>
            </w:pPr>
            <w:r w:rsidRPr="00843720">
              <w:t>X</w:t>
            </w:r>
          </w:p>
        </w:tc>
      </w:tr>
      <w:tr w:rsidR="00085DBB" w:rsidRPr="00030C60" w14:paraId="0174088F" w14:textId="77777777" w:rsidTr="00085DBB">
        <w:tc>
          <w:tcPr>
            <w:tcW w:w="3071" w:type="dxa"/>
          </w:tcPr>
          <w:p w14:paraId="1399A4D5" w14:textId="77777777" w:rsidR="00085DBB" w:rsidRPr="00843720" w:rsidRDefault="00085DBB" w:rsidP="003B3DAA">
            <w:pPr>
              <w:spacing w:after="0"/>
            </w:pPr>
            <w:r w:rsidRPr="00843720">
              <w:t>Follow-Up After Hospitalization for Mental Illness (7 days)</w:t>
            </w:r>
          </w:p>
        </w:tc>
        <w:tc>
          <w:tcPr>
            <w:tcW w:w="1193" w:type="dxa"/>
            <w:gridSpan w:val="2"/>
          </w:tcPr>
          <w:p w14:paraId="08552BD1" w14:textId="77777777" w:rsidR="00085DBB" w:rsidRPr="00843720" w:rsidRDefault="00085DBB" w:rsidP="003B3DAA">
            <w:pPr>
              <w:spacing w:after="0"/>
            </w:pPr>
            <w:r w:rsidRPr="00843720">
              <w:t xml:space="preserve">NCQA </w:t>
            </w:r>
          </w:p>
        </w:tc>
        <w:tc>
          <w:tcPr>
            <w:tcW w:w="794" w:type="dxa"/>
          </w:tcPr>
          <w:p w14:paraId="467E9963" w14:textId="77777777" w:rsidR="00085DBB" w:rsidRPr="00843720" w:rsidRDefault="00085DBB" w:rsidP="003B3DAA">
            <w:pPr>
              <w:spacing w:after="0"/>
            </w:pPr>
            <w:r w:rsidRPr="00843720">
              <w:t>0576</w:t>
            </w:r>
          </w:p>
        </w:tc>
        <w:tc>
          <w:tcPr>
            <w:tcW w:w="630" w:type="dxa"/>
            <w:vAlign w:val="center"/>
          </w:tcPr>
          <w:p w14:paraId="01CF481B" w14:textId="77777777" w:rsidR="00085DBB" w:rsidRPr="00843720" w:rsidRDefault="00085DBB" w:rsidP="003B3DAA">
            <w:pPr>
              <w:spacing w:after="0"/>
              <w:jc w:val="center"/>
            </w:pPr>
            <w:r w:rsidRPr="00843720">
              <w:t>X</w:t>
            </w:r>
          </w:p>
        </w:tc>
        <w:tc>
          <w:tcPr>
            <w:tcW w:w="674" w:type="dxa"/>
            <w:vAlign w:val="center"/>
          </w:tcPr>
          <w:p w14:paraId="080DDED2" w14:textId="77777777" w:rsidR="00085DBB" w:rsidRPr="00843720" w:rsidRDefault="00085DBB" w:rsidP="003B3DAA">
            <w:pPr>
              <w:spacing w:after="0"/>
              <w:jc w:val="center"/>
            </w:pPr>
            <w:r w:rsidRPr="00843720">
              <w:t>X</w:t>
            </w:r>
          </w:p>
        </w:tc>
        <w:tc>
          <w:tcPr>
            <w:tcW w:w="678" w:type="dxa"/>
            <w:vAlign w:val="center"/>
          </w:tcPr>
          <w:p w14:paraId="1729DBCF" w14:textId="77777777" w:rsidR="00085DBB" w:rsidRPr="00843720" w:rsidRDefault="00085DBB" w:rsidP="003B3DAA">
            <w:pPr>
              <w:spacing w:after="0"/>
              <w:jc w:val="center"/>
            </w:pPr>
            <w:r w:rsidRPr="00843720">
              <w:t>X</w:t>
            </w:r>
          </w:p>
        </w:tc>
        <w:tc>
          <w:tcPr>
            <w:tcW w:w="628" w:type="dxa"/>
            <w:vAlign w:val="center"/>
          </w:tcPr>
          <w:p w14:paraId="3BE2638A" w14:textId="77777777" w:rsidR="00085DBB" w:rsidRPr="00843720" w:rsidRDefault="00085DBB" w:rsidP="003B3DAA">
            <w:pPr>
              <w:spacing w:after="0"/>
              <w:jc w:val="center"/>
            </w:pPr>
            <w:r w:rsidRPr="00843720">
              <w:t>X</w:t>
            </w:r>
          </w:p>
        </w:tc>
        <w:tc>
          <w:tcPr>
            <w:tcW w:w="810" w:type="dxa"/>
            <w:gridSpan w:val="2"/>
            <w:vAlign w:val="center"/>
          </w:tcPr>
          <w:p w14:paraId="77117D6F" w14:textId="77777777" w:rsidR="00085DBB" w:rsidRPr="00843720" w:rsidRDefault="00085DBB" w:rsidP="003B3DAA">
            <w:pPr>
              <w:spacing w:after="0"/>
              <w:jc w:val="center"/>
            </w:pPr>
            <w:r w:rsidRPr="00843720">
              <w:t>X</w:t>
            </w:r>
          </w:p>
        </w:tc>
        <w:tc>
          <w:tcPr>
            <w:tcW w:w="720" w:type="dxa"/>
            <w:vAlign w:val="center"/>
          </w:tcPr>
          <w:p w14:paraId="7505FAD1" w14:textId="77777777" w:rsidR="00085DBB" w:rsidRPr="00843720" w:rsidRDefault="00085DBB" w:rsidP="003B3DAA">
            <w:pPr>
              <w:spacing w:after="0"/>
              <w:jc w:val="center"/>
            </w:pPr>
            <w:r w:rsidRPr="00843720">
              <w:t>X</w:t>
            </w:r>
          </w:p>
        </w:tc>
      </w:tr>
      <w:tr w:rsidR="00085DBB" w:rsidRPr="00030C60" w14:paraId="6493A2D2" w14:textId="77777777" w:rsidTr="00085DBB">
        <w:tc>
          <w:tcPr>
            <w:tcW w:w="3071" w:type="dxa"/>
          </w:tcPr>
          <w:p w14:paraId="5B790753" w14:textId="77777777" w:rsidR="00085DBB" w:rsidRPr="00843720" w:rsidRDefault="00085DBB" w:rsidP="003B3DAA">
            <w:pPr>
              <w:spacing w:after="0"/>
            </w:pPr>
            <w:r w:rsidRPr="00843720">
              <w:t>Follow-Up After Emergency Department Visit for Mental Illness or Alcohol and Other Drug Abuse or Dependence</w:t>
            </w:r>
            <w:r>
              <w:t>*</w:t>
            </w:r>
          </w:p>
        </w:tc>
        <w:tc>
          <w:tcPr>
            <w:tcW w:w="1193" w:type="dxa"/>
            <w:gridSpan w:val="2"/>
          </w:tcPr>
          <w:p w14:paraId="4D1AEFE4" w14:textId="77777777" w:rsidR="00085DBB" w:rsidRPr="00843720" w:rsidRDefault="00085DBB" w:rsidP="003B3DAA">
            <w:pPr>
              <w:spacing w:after="0"/>
            </w:pPr>
            <w:r w:rsidRPr="00843720">
              <w:t>NCQA</w:t>
            </w:r>
          </w:p>
        </w:tc>
        <w:tc>
          <w:tcPr>
            <w:tcW w:w="794" w:type="dxa"/>
          </w:tcPr>
          <w:p w14:paraId="1D71E2FC" w14:textId="77777777" w:rsidR="00085DBB" w:rsidRPr="00843720" w:rsidRDefault="00085DBB" w:rsidP="003B3DAA">
            <w:pPr>
              <w:spacing w:after="0"/>
            </w:pPr>
            <w:r w:rsidRPr="00843720">
              <w:t>2605</w:t>
            </w:r>
          </w:p>
        </w:tc>
        <w:tc>
          <w:tcPr>
            <w:tcW w:w="630" w:type="dxa"/>
            <w:vAlign w:val="center"/>
          </w:tcPr>
          <w:p w14:paraId="351D9944" w14:textId="77777777" w:rsidR="00085DBB" w:rsidRPr="00843720" w:rsidRDefault="00085DBB" w:rsidP="003B3DAA">
            <w:pPr>
              <w:spacing w:after="0"/>
              <w:jc w:val="center"/>
            </w:pPr>
            <w:r w:rsidRPr="00843720">
              <w:t>X</w:t>
            </w:r>
          </w:p>
        </w:tc>
        <w:tc>
          <w:tcPr>
            <w:tcW w:w="674" w:type="dxa"/>
            <w:vAlign w:val="center"/>
          </w:tcPr>
          <w:p w14:paraId="4B8D96A0" w14:textId="77777777" w:rsidR="00085DBB" w:rsidRPr="00843720" w:rsidRDefault="00085DBB" w:rsidP="003B3DAA">
            <w:pPr>
              <w:spacing w:after="0"/>
              <w:jc w:val="center"/>
            </w:pPr>
            <w:r w:rsidRPr="00843720">
              <w:t>X</w:t>
            </w:r>
          </w:p>
        </w:tc>
        <w:tc>
          <w:tcPr>
            <w:tcW w:w="678" w:type="dxa"/>
            <w:vAlign w:val="center"/>
          </w:tcPr>
          <w:p w14:paraId="11D85890" w14:textId="77777777" w:rsidR="00085DBB" w:rsidRPr="00843720" w:rsidRDefault="00085DBB" w:rsidP="003B3DAA">
            <w:pPr>
              <w:spacing w:after="0"/>
              <w:jc w:val="center"/>
            </w:pPr>
            <w:r w:rsidRPr="00843720">
              <w:t>X</w:t>
            </w:r>
          </w:p>
        </w:tc>
        <w:tc>
          <w:tcPr>
            <w:tcW w:w="628" w:type="dxa"/>
            <w:vAlign w:val="center"/>
          </w:tcPr>
          <w:p w14:paraId="33CA3706" w14:textId="77777777" w:rsidR="00085DBB" w:rsidRPr="00843720" w:rsidRDefault="00085DBB" w:rsidP="003B3DAA">
            <w:pPr>
              <w:spacing w:after="0"/>
              <w:jc w:val="center"/>
            </w:pPr>
          </w:p>
        </w:tc>
        <w:tc>
          <w:tcPr>
            <w:tcW w:w="810" w:type="dxa"/>
            <w:gridSpan w:val="2"/>
            <w:vAlign w:val="center"/>
          </w:tcPr>
          <w:p w14:paraId="6FADA92F" w14:textId="77777777" w:rsidR="00085DBB" w:rsidRPr="00843720" w:rsidRDefault="00085DBB" w:rsidP="003B3DAA">
            <w:pPr>
              <w:spacing w:after="0"/>
              <w:jc w:val="center"/>
            </w:pPr>
            <w:r w:rsidRPr="00843720">
              <w:t>X</w:t>
            </w:r>
          </w:p>
        </w:tc>
        <w:tc>
          <w:tcPr>
            <w:tcW w:w="720" w:type="dxa"/>
            <w:vAlign w:val="center"/>
          </w:tcPr>
          <w:p w14:paraId="74405F44" w14:textId="77777777" w:rsidR="00085DBB" w:rsidRPr="00843720" w:rsidRDefault="00085DBB" w:rsidP="003B3DAA">
            <w:pPr>
              <w:spacing w:after="0"/>
              <w:jc w:val="center"/>
            </w:pPr>
            <w:r w:rsidRPr="00843720">
              <w:t>X</w:t>
            </w:r>
          </w:p>
        </w:tc>
      </w:tr>
      <w:tr w:rsidR="00085DBB" w:rsidRPr="00030C60" w14:paraId="3EF123CF" w14:textId="77777777" w:rsidTr="00085DBB">
        <w:tc>
          <w:tcPr>
            <w:tcW w:w="3071" w:type="dxa"/>
          </w:tcPr>
          <w:p w14:paraId="0EDA3A85" w14:textId="77777777" w:rsidR="00085DBB" w:rsidRPr="00843720" w:rsidRDefault="00085DBB" w:rsidP="003B3DAA">
            <w:pPr>
              <w:spacing w:after="0"/>
            </w:pPr>
            <w:r w:rsidRPr="00843720">
              <w:t>Metabolic Monitoring for Children and Adolescents on Antipsychotics</w:t>
            </w:r>
          </w:p>
        </w:tc>
        <w:tc>
          <w:tcPr>
            <w:tcW w:w="1193" w:type="dxa"/>
            <w:gridSpan w:val="2"/>
          </w:tcPr>
          <w:p w14:paraId="6503A6D4" w14:textId="77777777" w:rsidR="00085DBB" w:rsidRPr="00843720" w:rsidRDefault="00085DBB" w:rsidP="003B3DAA">
            <w:pPr>
              <w:spacing w:after="0"/>
            </w:pPr>
            <w:r w:rsidRPr="00843720">
              <w:t xml:space="preserve">NCQA </w:t>
            </w:r>
          </w:p>
        </w:tc>
        <w:tc>
          <w:tcPr>
            <w:tcW w:w="794" w:type="dxa"/>
          </w:tcPr>
          <w:p w14:paraId="5823FACA" w14:textId="77777777" w:rsidR="00085DBB" w:rsidRPr="00843720" w:rsidRDefault="00085DBB" w:rsidP="003B3DAA">
            <w:pPr>
              <w:spacing w:after="0"/>
            </w:pPr>
            <w:r w:rsidRPr="00843720">
              <w:t>2800</w:t>
            </w:r>
          </w:p>
        </w:tc>
        <w:tc>
          <w:tcPr>
            <w:tcW w:w="630" w:type="dxa"/>
            <w:vAlign w:val="center"/>
          </w:tcPr>
          <w:p w14:paraId="7759072C" w14:textId="77777777" w:rsidR="00085DBB" w:rsidRPr="00843720" w:rsidRDefault="00085DBB" w:rsidP="003B3DAA">
            <w:pPr>
              <w:spacing w:after="0"/>
              <w:jc w:val="center"/>
            </w:pPr>
            <w:r w:rsidRPr="00843720">
              <w:t>X</w:t>
            </w:r>
          </w:p>
        </w:tc>
        <w:tc>
          <w:tcPr>
            <w:tcW w:w="674" w:type="dxa"/>
            <w:vAlign w:val="center"/>
          </w:tcPr>
          <w:p w14:paraId="2D75237D" w14:textId="77777777" w:rsidR="00085DBB" w:rsidRPr="00843720" w:rsidRDefault="00085DBB" w:rsidP="003B3DAA">
            <w:pPr>
              <w:spacing w:after="0"/>
              <w:jc w:val="center"/>
            </w:pPr>
            <w:r w:rsidRPr="00843720">
              <w:t>X</w:t>
            </w:r>
          </w:p>
        </w:tc>
        <w:tc>
          <w:tcPr>
            <w:tcW w:w="678" w:type="dxa"/>
            <w:vAlign w:val="center"/>
          </w:tcPr>
          <w:p w14:paraId="01DF39AC" w14:textId="77777777" w:rsidR="00085DBB" w:rsidRPr="00843720" w:rsidRDefault="00085DBB" w:rsidP="003B3DAA">
            <w:pPr>
              <w:spacing w:after="0"/>
              <w:jc w:val="center"/>
            </w:pPr>
            <w:r w:rsidRPr="00843720">
              <w:t>X</w:t>
            </w:r>
          </w:p>
        </w:tc>
        <w:tc>
          <w:tcPr>
            <w:tcW w:w="628" w:type="dxa"/>
            <w:vAlign w:val="center"/>
          </w:tcPr>
          <w:p w14:paraId="6BB424FE" w14:textId="77777777" w:rsidR="00085DBB" w:rsidRPr="00843720" w:rsidRDefault="00085DBB" w:rsidP="003B3DAA">
            <w:pPr>
              <w:spacing w:after="0"/>
              <w:jc w:val="center"/>
            </w:pPr>
          </w:p>
        </w:tc>
        <w:tc>
          <w:tcPr>
            <w:tcW w:w="810" w:type="dxa"/>
            <w:gridSpan w:val="2"/>
            <w:vAlign w:val="center"/>
          </w:tcPr>
          <w:p w14:paraId="78FC163D" w14:textId="77777777" w:rsidR="00085DBB" w:rsidRPr="00843720" w:rsidRDefault="00085DBB" w:rsidP="003B3DAA">
            <w:pPr>
              <w:spacing w:after="0"/>
              <w:jc w:val="center"/>
            </w:pPr>
          </w:p>
        </w:tc>
        <w:tc>
          <w:tcPr>
            <w:tcW w:w="720" w:type="dxa"/>
            <w:vAlign w:val="center"/>
          </w:tcPr>
          <w:p w14:paraId="79EE1D90" w14:textId="77777777" w:rsidR="00085DBB" w:rsidRPr="00843720" w:rsidRDefault="00085DBB" w:rsidP="003B3DAA">
            <w:pPr>
              <w:spacing w:after="0"/>
              <w:jc w:val="center"/>
            </w:pPr>
            <w:r w:rsidRPr="00843720">
              <w:t>X</w:t>
            </w:r>
          </w:p>
        </w:tc>
      </w:tr>
      <w:tr w:rsidR="00085DBB" w:rsidRPr="00030C60" w14:paraId="6FA1B30A" w14:textId="77777777" w:rsidTr="00085DBB">
        <w:trPr>
          <w:trHeight w:val="917"/>
        </w:trPr>
        <w:tc>
          <w:tcPr>
            <w:tcW w:w="3071" w:type="dxa"/>
          </w:tcPr>
          <w:p w14:paraId="43F797D6" w14:textId="77777777" w:rsidR="00085DBB" w:rsidRPr="00843720" w:rsidRDefault="00085DBB" w:rsidP="003B3DAA">
            <w:pPr>
              <w:spacing w:after="0"/>
            </w:pPr>
            <w:r w:rsidRPr="00843720">
              <w:t>Diabetes Screening for People with Schizophrenia or Bipolar Disorder who are using Antipsychotic Medications</w:t>
            </w:r>
          </w:p>
        </w:tc>
        <w:tc>
          <w:tcPr>
            <w:tcW w:w="1193" w:type="dxa"/>
            <w:gridSpan w:val="2"/>
          </w:tcPr>
          <w:p w14:paraId="0C88CC34" w14:textId="77777777" w:rsidR="00085DBB" w:rsidRPr="00843720" w:rsidRDefault="00085DBB" w:rsidP="003B3DAA">
            <w:pPr>
              <w:spacing w:after="0"/>
            </w:pPr>
            <w:r w:rsidRPr="00843720">
              <w:t xml:space="preserve">NCQA </w:t>
            </w:r>
          </w:p>
        </w:tc>
        <w:tc>
          <w:tcPr>
            <w:tcW w:w="794" w:type="dxa"/>
          </w:tcPr>
          <w:p w14:paraId="770EAA19" w14:textId="77777777" w:rsidR="00085DBB" w:rsidRPr="00843720" w:rsidRDefault="00085DBB" w:rsidP="003B3DAA">
            <w:pPr>
              <w:spacing w:after="0"/>
            </w:pPr>
            <w:r w:rsidRPr="00843720">
              <w:t>1932</w:t>
            </w:r>
          </w:p>
        </w:tc>
        <w:tc>
          <w:tcPr>
            <w:tcW w:w="630" w:type="dxa"/>
            <w:vAlign w:val="center"/>
          </w:tcPr>
          <w:p w14:paraId="08A07EAA" w14:textId="77777777" w:rsidR="00085DBB" w:rsidRPr="00843720" w:rsidRDefault="00085DBB" w:rsidP="003B3DAA">
            <w:pPr>
              <w:spacing w:after="0"/>
              <w:jc w:val="center"/>
            </w:pPr>
          </w:p>
        </w:tc>
        <w:tc>
          <w:tcPr>
            <w:tcW w:w="674" w:type="dxa"/>
            <w:vAlign w:val="center"/>
          </w:tcPr>
          <w:p w14:paraId="102803B9" w14:textId="77777777" w:rsidR="00085DBB" w:rsidRPr="00843720" w:rsidRDefault="00085DBB" w:rsidP="003B3DAA">
            <w:pPr>
              <w:spacing w:after="0"/>
              <w:jc w:val="center"/>
            </w:pPr>
          </w:p>
        </w:tc>
        <w:tc>
          <w:tcPr>
            <w:tcW w:w="678" w:type="dxa"/>
            <w:vAlign w:val="center"/>
          </w:tcPr>
          <w:p w14:paraId="6A237A04" w14:textId="77777777" w:rsidR="00085DBB" w:rsidRPr="00843720" w:rsidRDefault="00085DBB" w:rsidP="003B3DAA">
            <w:pPr>
              <w:spacing w:after="0"/>
              <w:jc w:val="center"/>
            </w:pPr>
          </w:p>
        </w:tc>
        <w:tc>
          <w:tcPr>
            <w:tcW w:w="628" w:type="dxa"/>
            <w:vAlign w:val="center"/>
          </w:tcPr>
          <w:p w14:paraId="6E0CD2ED" w14:textId="77777777" w:rsidR="00085DBB" w:rsidRPr="00843720" w:rsidRDefault="00085DBB" w:rsidP="003B3DAA">
            <w:pPr>
              <w:spacing w:after="0"/>
              <w:jc w:val="center"/>
            </w:pPr>
          </w:p>
        </w:tc>
        <w:tc>
          <w:tcPr>
            <w:tcW w:w="810" w:type="dxa"/>
            <w:gridSpan w:val="2"/>
            <w:vAlign w:val="center"/>
          </w:tcPr>
          <w:p w14:paraId="7D04C861" w14:textId="77777777" w:rsidR="00085DBB" w:rsidRPr="00843720" w:rsidRDefault="00085DBB" w:rsidP="003B3DAA">
            <w:pPr>
              <w:spacing w:after="0"/>
              <w:jc w:val="center"/>
            </w:pPr>
          </w:p>
        </w:tc>
        <w:tc>
          <w:tcPr>
            <w:tcW w:w="720" w:type="dxa"/>
            <w:vAlign w:val="center"/>
          </w:tcPr>
          <w:p w14:paraId="3B881BDD" w14:textId="77777777" w:rsidR="00085DBB" w:rsidRPr="00843720" w:rsidRDefault="00085DBB" w:rsidP="003B3DAA">
            <w:pPr>
              <w:spacing w:after="0"/>
              <w:jc w:val="center"/>
            </w:pPr>
            <w:r w:rsidRPr="00843720">
              <w:t>X</w:t>
            </w:r>
          </w:p>
        </w:tc>
      </w:tr>
      <w:tr w:rsidR="00085DBB" w:rsidRPr="00030C60" w14:paraId="77F9F4E8" w14:textId="77777777" w:rsidTr="00085DBB">
        <w:tc>
          <w:tcPr>
            <w:tcW w:w="3071" w:type="dxa"/>
          </w:tcPr>
          <w:p w14:paraId="295E8AF5" w14:textId="77777777" w:rsidR="00085DBB" w:rsidRPr="00843720" w:rsidRDefault="00085DBB" w:rsidP="003B3DAA">
            <w:pPr>
              <w:spacing w:after="0"/>
            </w:pPr>
            <w:r w:rsidRPr="00843720">
              <w:t>Antidepressant Medication Management</w:t>
            </w:r>
          </w:p>
        </w:tc>
        <w:tc>
          <w:tcPr>
            <w:tcW w:w="1193" w:type="dxa"/>
            <w:gridSpan w:val="2"/>
          </w:tcPr>
          <w:p w14:paraId="2B05AA74" w14:textId="77777777" w:rsidR="00085DBB" w:rsidRPr="00843720" w:rsidRDefault="00085DBB" w:rsidP="003B3DAA">
            <w:pPr>
              <w:spacing w:after="0"/>
            </w:pPr>
            <w:r w:rsidRPr="00843720">
              <w:t xml:space="preserve">NCQA </w:t>
            </w:r>
          </w:p>
        </w:tc>
        <w:tc>
          <w:tcPr>
            <w:tcW w:w="794" w:type="dxa"/>
          </w:tcPr>
          <w:p w14:paraId="1368E8A1" w14:textId="77777777" w:rsidR="00085DBB" w:rsidRPr="00843720" w:rsidRDefault="00085DBB" w:rsidP="003B3DAA">
            <w:pPr>
              <w:spacing w:after="0"/>
            </w:pPr>
            <w:r w:rsidRPr="00843720">
              <w:t>0105</w:t>
            </w:r>
          </w:p>
        </w:tc>
        <w:tc>
          <w:tcPr>
            <w:tcW w:w="630" w:type="dxa"/>
            <w:vAlign w:val="center"/>
          </w:tcPr>
          <w:p w14:paraId="3AB11CB7" w14:textId="77777777" w:rsidR="00085DBB" w:rsidRPr="00843720" w:rsidRDefault="00085DBB" w:rsidP="003B3DAA">
            <w:pPr>
              <w:spacing w:after="0"/>
              <w:jc w:val="center"/>
            </w:pPr>
          </w:p>
        </w:tc>
        <w:tc>
          <w:tcPr>
            <w:tcW w:w="674" w:type="dxa"/>
            <w:vAlign w:val="center"/>
          </w:tcPr>
          <w:p w14:paraId="37A7631C" w14:textId="77777777" w:rsidR="00085DBB" w:rsidRPr="00843720" w:rsidRDefault="00085DBB" w:rsidP="003B3DAA">
            <w:pPr>
              <w:spacing w:after="0"/>
              <w:jc w:val="center"/>
            </w:pPr>
          </w:p>
        </w:tc>
        <w:tc>
          <w:tcPr>
            <w:tcW w:w="678" w:type="dxa"/>
            <w:vAlign w:val="center"/>
          </w:tcPr>
          <w:p w14:paraId="2B91FFB7" w14:textId="77777777" w:rsidR="00085DBB" w:rsidRPr="00843720" w:rsidRDefault="00085DBB" w:rsidP="003B3DAA">
            <w:pPr>
              <w:spacing w:after="0"/>
              <w:jc w:val="center"/>
            </w:pPr>
          </w:p>
        </w:tc>
        <w:tc>
          <w:tcPr>
            <w:tcW w:w="628" w:type="dxa"/>
            <w:vAlign w:val="center"/>
          </w:tcPr>
          <w:p w14:paraId="1B0BE174" w14:textId="77777777" w:rsidR="00085DBB" w:rsidRPr="00843720" w:rsidRDefault="00085DBB" w:rsidP="003B3DAA">
            <w:pPr>
              <w:spacing w:after="0"/>
              <w:jc w:val="center"/>
            </w:pPr>
            <w:r w:rsidRPr="00843720">
              <w:t>X</w:t>
            </w:r>
          </w:p>
        </w:tc>
        <w:tc>
          <w:tcPr>
            <w:tcW w:w="810" w:type="dxa"/>
            <w:gridSpan w:val="2"/>
            <w:vAlign w:val="center"/>
          </w:tcPr>
          <w:p w14:paraId="31D4EE0B" w14:textId="77777777" w:rsidR="00085DBB" w:rsidRPr="00843720" w:rsidRDefault="00085DBB" w:rsidP="003B3DAA">
            <w:pPr>
              <w:spacing w:after="0"/>
              <w:jc w:val="center"/>
            </w:pPr>
            <w:r w:rsidRPr="00843720">
              <w:t>X</w:t>
            </w:r>
          </w:p>
        </w:tc>
        <w:tc>
          <w:tcPr>
            <w:tcW w:w="720" w:type="dxa"/>
            <w:vAlign w:val="center"/>
          </w:tcPr>
          <w:p w14:paraId="50BCD9BC" w14:textId="77777777" w:rsidR="00085DBB" w:rsidRPr="00843720" w:rsidRDefault="00085DBB" w:rsidP="003B3DAA">
            <w:pPr>
              <w:spacing w:after="0"/>
              <w:jc w:val="center"/>
            </w:pPr>
            <w:r w:rsidRPr="00843720">
              <w:t>X</w:t>
            </w:r>
          </w:p>
        </w:tc>
      </w:tr>
      <w:tr w:rsidR="00085DBB" w:rsidRPr="00030C60" w14:paraId="3CA1CAE7" w14:textId="77777777" w:rsidTr="00085DBB">
        <w:tc>
          <w:tcPr>
            <w:tcW w:w="3071" w:type="dxa"/>
          </w:tcPr>
          <w:p w14:paraId="4B3572E6" w14:textId="77777777" w:rsidR="00085DBB" w:rsidRPr="00843720" w:rsidRDefault="00085DBB" w:rsidP="003B3DAA">
            <w:pPr>
              <w:spacing w:after="0"/>
            </w:pPr>
            <w:r w:rsidRPr="00843720">
              <w:t>Screening for Depression and Follow-Up</w:t>
            </w:r>
          </w:p>
        </w:tc>
        <w:tc>
          <w:tcPr>
            <w:tcW w:w="1193" w:type="dxa"/>
            <w:gridSpan w:val="2"/>
          </w:tcPr>
          <w:p w14:paraId="5C85BCE4" w14:textId="77777777" w:rsidR="00085DBB" w:rsidRPr="00843720" w:rsidRDefault="00085DBB" w:rsidP="003B3DAA">
            <w:pPr>
              <w:spacing w:after="0"/>
            </w:pPr>
            <w:r w:rsidRPr="00843720">
              <w:t>NCQA</w:t>
            </w:r>
          </w:p>
        </w:tc>
        <w:tc>
          <w:tcPr>
            <w:tcW w:w="794" w:type="dxa"/>
          </w:tcPr>
          <w:p w14:paraId="11AC60C8" w14:textId="77777777" w:rsidR="00085DBB" w:rsidRPr="00843720" w:rsidRDefault="00085DBB" w:rsidP="003B3DAA">
            <w:pPr>
              <w:spacing w:after="0"/>
            </w:pPr>
            <w:r w:rsidRPr="00843720">
              <w:t>0418</w:t>
            </w:r>
          </w:p>
        </w:tc>
        <w:tc>
          <w:tcPr>
            <w:tcW w:w="630" w:type="dxa"/>
            <w:vAlign w:val="center"/>
          </w:tcPr>
          <w:p w14:paraId="1D0985FE" w14:textId="77777777" w:rsidR="00085DBB" w:rsidRPr="00843720" w:rsidRDefault="00085DBB" w:rsidP="003B3DAA">
            <w:pPr>
              <w:spacing w:after="0"/>
              <w:jc w:val="center"/>
            </w:pPr>
            <w:r w:rsidRPr="00843720">
              <w:t>X</w:t>
            </w:r>
          </w:p>
        </w:tc>
        <w:tc>
          <w:tcPr>
            <w:tcW w:w="674" w:type="dxa"/>
            <w:vAlign w:val="center"/>
          </w:tcPr>
          <w:p w14:paraId="116610A2" w14:textId="77777777" w:rsidR="00085DBB" w:rsidRPr="00843720" w:rsidRDefault="00085DBB" w:rsidP="003B3DAA">
            <w:pPr>
              <w:spacing w:after="0"/>
              <w:jc w:val="center"/>
            </w:pPr>
          </w:p>
        </w:tc>
        <w:tc>
          <w:tcPr>
            <w:tcW w:w="678" w:type="dxa"/>
            <w:vAlign w:val="center"/>
          </w:tcPr>
          <w:p w14:paraId="1398C28A" w14:textId="77777777" w:rsidR="00085DBB" w:rsidRPr="00843720" w:rsidRDefault="00085DBB" w:rsidP="003B3DAA">
            <w:pPr>
              <w:spacing w:after="0"/>
              <w:jc w:val="center"/>
            </w:pPr>
          </w:p>
        </w:tc>
        <w:tc>
          <w:tcPr>
            <w:tcW w:w="628" w:type="dxa"/>
            <w:vAlign w:val="center"/>
          </w:tcPr>
          <w:p w14:paraId="666BD7A3" w14:textId="77777777" w:rsidR="00085DBB" w:rsidRPr="00843720" w:rsidRDefault="00085DBB" w:rsidP="003B3DAA">
            <w:pPr>
              <w:spacing w:after="0"/>
              <w:jc w:val="center"/>
            </w:pPr>
          </w:p>
        </w:tc>
        <w:tc>
          <w:tcPr>
            <w:tcW w:w="810" w:type="dxa"/>
            <w:gridSpan w:val="2"/>
            <w:vAlign w:val="center"/>
          </w:tcPr>
          <w:p w14:paraId="523C6832" w14:textId="77777777" w:rsidR="00085DBB" w:rsidRPr="00843720" w:rsidRDefault="00085DBB" w:rsidP="003B3DAA">
            <w:pPr>
              <w:spacing w:after="0"/>
              <w:jc w:val="center"/>
            </w:pPr>
          </w:p>
        </w:tc>
        <w:tc>
          <w:tcPr>
            <w:tcW w:w="720" w:type="dxa"/>
            <w:vAlign w:val="center"/>
          </w:tcPr>
          <w:p w14:paraId="72763A26" w14:textId="77777777" w:rsidR="00085DBB" w:rsidRPr="00843720" w:rsidRDefault="00085DBB" w:rsidP="003B3DAA">
            <w:pPr>
              <w:spacing w:after="0"/>
              <w:jc w:val="center"/>
            </w:pPr>
          </w:p>
        </w:tc>
      </w:tr>
      <w:tr w:rsidR="00085DBB" w:rsidRPr="00030C60" w14:paraId="3FD0C897" w14:textId="77777777" w:rsidTr="00085DBB">
        <w:tc>
          <w:tcPr>
            <w:tcW w:w="3071" w:type="dxa"/>
          </w:tcPr>
          <w:p w14:paraId="25F1C694" w14:textId="77777777" w:rsidR="00085DBB" w:rsidRPr="00EF4905" w:rsidRDefault="00085DBB" w:rsidP="003B3DAA">
            <w:pPr>
              <w:spacing w:after="0"/>
            </w:pPr>
            <w:r w:rsidRPr="00EF4905">
              <w:lastRenderedPageBreak/>
              <w:t xml:space="preserve">Depression </w:t>
            </w:r>
            <w:r>
              <w:t xml:space="preserve"> Remission or </w:t>
            </w:r>
            <w:r w:rsidRPr="00EF4905">
              <w:t xml:space="preserve">Response </w:t>
            </w:r>
          </w:p>
        </w:tc>
        <w:tc>
          <w:tcPr>
            <w:tcW w:w="1193" w:type="dxa"/>
            <w:gridSpan w:val="2"/>
          </w:tcPr>
          <w:p w14:paraId="475BDA41" w14:textId="77777777" w:rsidR="00085DBB" w:rsidRPr="00EF4905" w:rsidRDefault="00085DBB" w:rsidP="003B3DAA">
            <w:pPr>
              <w:spacing w:after="0"/>
            </w:pPr>
            <w:r>
              <w:t>NCQA</w:t>
            </w:r>
          </w:p>
        </w:tc>
        <w:tc>
          <w:tcPr>
            <w:tcW w:w="794" w:type="dxa"/>
          </w:tcPr>
          <w:p w14:paraId="29D0DC30" w14:textId="77777777" w:rsidR="00085DBB" w:rsidRPr="00EF4905" w:rsidRDefault="00085DBB" w:rsidP="003B3DAA">
            <w:pPr>
              <w:spacing w:after="0"/>
            </w:pPr>
            <w:r>
              <w:t>N/A</w:t>
            </w:r>
          </w:p>
        </w:tc>
        <w:tc>
          <w:tcPr>
            <w:tcW w:w="630" w:type="dxa"/>
            <w:vAlign w:val="center"/>
          </w:tcPr>
          <w:p w14:paraId="4C9BD87B" w14:textId="77777777" w:rsidR="00085DBB" w:rsidRPr="00EF4905" w:rsidRDefault="00085DBB" w:rsidP="003B3DAA">
            <w:pPr>
              <w:spacing w:after="0"/>
              <w:jc w:val="center"/>
            </w:pPr>
            <w:r w:rsidRPr="00843720">
              <w:t>X</w:t>
            </w:r>
          </w:p>
        </w:tc>
        <w:tc>
          <w:tcPr>
            <w:tcW w:w="674" w:type="dxa"/>
            <w:vAlign w:val="center"/>
          </w:tcPr>
          <w:p w14:paraId="11CCC59F" w14:textId="77777777" w:rsidR="00085DBB" w:rsidRPr="00EF4905" w:rsidRDefault="00085DBB" w:rsidP="003B3DAA">
            <w:pPr>
              <w:spacing w:after="0"/>
              <w:jc w:val="center"/>
            </w:pPr>
          </w:p>
        </w:tc>
        <w:tc>
          <w:tcPr>
            <w:tcW w:w="678" w:type="dxa"/>
            <w:vAlign w:val="center"/>
          </w:tcPr>
          <w:p w14:paraId="77C61D8E" w14:textId="77777777" w:rsidR="00085DBB" w:rsidRPr="00030C60" w:rsidRDefault="00085DBB" w:rsidP="003B3DAA">
            <w:pPr>
              <w:spacing w:after="0"/>
              <w:jc w:val="center"/>
            </w:pPr>
          </w:p>
        </w:tc>
        <w:tc>
          <w:tcPr>
            <w:tcW w:w="628" w:type="dxa"/>
            <w:vAlign w:val="center"/>
          </w:tcPr>
          <w:p w14:paraId="0668C4A7" w14:textId="77777777" w:rsidR="00085DBB" w:rsidRPr="00030C60" w:rsidRDefault="00085DBB" w:rsidP="003B3DAA">
            <w:pPr>
              <w:spacing w:after="0"/>
              <w:jc w:val="center"/>
            </w:pPr>
          </w:p>
        </w:tc>
        <w:tc>
          <w:tcPr>
            <w:tcW w:w="810" w:type="dxa"/>
            <w:gridSpan w:val="2"/>
            <w:vAlign w:val="center"/>
          </w:tcPr>
          <w:p w14:paraId="7C4CFC14" w14:textId="77777777" w:rsidR="00085DBB" w:rsidRPr="00030C60" w:rsidRDefault="00085DBB" w:rsidP="003B3DAA">
            <w:pPr>
              <w:spacing w:after="0"/>
              <w:jc w:val="center"/>
            </w:pPr>
          </w:p>
        </w:tc>
        <w:tc>
          <w:tcPr>
            <w:tcW w:w="720" w:type="dxa"/>
            <w:vAlign w:val="center"/>
          </w:tcPr>
          <w:p w14:paraId="306F7B0F" w14:textId="77777777" w:rsidR="00085DBB" w:rsidRPr="00030C60" w:rsidRDefault="00085DBB" w:rsidP="003B3DAA">
            <w:pPr>
              <w:spacing w:after="0"/>
              <w:jc w:val="center"/>
            </w:pPr>
          </w:p>
        </w:tc>
      </w:tr>
      <w:tr w:rsidR="00085DBB" w:rsidRPr="00030C60" w14:paraId="2EF0188A" w14:textId="77777777" w:rsidTr="00085DBB">
        <w:tc>
          <w:tcPr>
            <w:tcW w:w="9198" w:type="dxa"/>
            <w:gridSpan w:val="11"/>
            <w:shd w:val="clear" w:color="auto" w:fill="8DB3E2" w:themeFill="text2" w:themeFillTint="66"/>
          </w:tcPr>
          <w:p w14:paraId="47AC100A" w14:textId="77777777" w:rsidR="00085DBB" w:rsidRPr="00EF4905" w:rsidRDefault="00085DBB" w:rsidP="003B3DAA">
            <w:pPr>
              <w:spacing w:after="0"/>
              <w:jc w:val="center"/>
            </w:pPr>
            <w:r w:rsidRPr="00EF4905">
              <w:t>Domain 5: Person-Centered Long-Term Services and Supports</w:t>
            </w:r>
          </w:p>
        </w:tc>
      </w:tr>
      <w:tr w:rsidR="00085DBB" w:rsidRPr="00030C60" w14:paraId="1B70C420" w14:textId="77777777" w:rsidTr="00085DBB">
        <w:tc>
          <w:tcPr>
            <w:tcW w:w="3071" w:type="dxa"/>
          </w:tcPr>
          <w:p w14:paraId="4BEA35DB" w14:textId="77777777" w:rsidR="00085DBB" w:rsidRPr="00843720" w:rsidRDefault="00085DBB" w:rsidP="003B3DAA">
            <w:pPr>
              <w:spacing w:after="0"/>
            </w:pPr>
            <w:r w:rsidRPr="00843720">
              <w:t>Advance Care Plan</w:t>
            </w:r>
          </w:p>
        </w:tc>
        <w:tc>
          <w:tcPr>
            <w:tcW w:w="1193" w:type="dxa"/>
            <w:gridSpan w:val="2"/>
          </w:tcPr>
          <w:p w14:paraId="7320F696" w14:textId="77777777" w:rsidR="00085DBB" w:rsidRPr="00843720" w:rsidRDefault="00085DBB" w:rsidP="003B3DAA">
            <w:pPr>
              <w:spacing w:after="0"/>
            </w:pPr>
            <w:r w:rsidRPr="00843720">
              <w:t>NCQA</w:t>
            </w:r>
          </w:p>
        </w:tc>
        <w:tc>
          <w:tcPr>
            <w:tcW w:w="794" w:type="dxa"/>
          </w:tcPr>
          <w:p w14:paraId="52A0C523" w14:textId="77777777" w:rsidR="00085DBB" w:rsidRPr="00843720" w:rsidRDefault="00085DBB" w:rsidP="003B3DAA">
            <w:pPr>
              <w:spacing w:after="0"/>
            </w:pPr>
            <w:r w:rsidRPr="00843720">
              <w:t>0326</w:t>
            </w:r>
          </w:p>
        </w:tc>
        <w:tc>
          <w:tcPr>
            <w:tcW w:w="630" w:type="dxa"/>
            <w:vAlign w:val="center"/>
          </w:tcPr>
          <w:p w14:paraId="7CB7B83D" w14:textId="77777777" w:rsidR="00085DBB" w:rsidRPr="00843720" w:rsidRDefault="00085DBB" w:rsidP="003B3DAA">
            <w:pPr>
              <w:spacing w:after="0"/>
              <w:jc w:val="center"/>
            </w:pPr>
          </w:p>
        </w:tc>
        <w:tc>
          <w:tcPr>
            <w:tcW w:w="674" w:type="dxa"/>
            <w:vAlign w:val="center"/>
          </w:tcPr>
          <w:p w14:paraId="2F23E4E9" w14:textId="77777777" w:rsidR="00085DBB" w:rsidRPr="00843720" w:rsidRDefault="00085DBB" w:rsidP="003B3DAA">
            <w:pPr>
              <w:spacing w:after="0"/>
              <w:jc w:val="center"/>
            </w:pPr>
          </w:p>
        </w:tc>
        <w:tc>
          <w:tcPr>
            <w:tcW w:w="678" w:type="dxa"/>
            <w:vAlign w:val="center"/>
          </w:tcPr>
          <w:p w14:paraId="0F119617" w14:textId="77777777" w:rsidR="00085DBB" w:rsidRPr="00843720" w:rsidRDefault="00085DBB" w:rsidP="003B3DAA">
            <w:pPr>
              <w:spacing w:after="0"/>
              <w:jc w:val="center"/>
            </w:pPr>
          </w:p>
        </w:tc>
        <w:tc>
          <w:tcPr>
            <w:tcW w:w="718" w:type="dxa"/>
            <w:gridSpan w:val="2"/>
            <w:vAlign w:val="center"/>
          </w:tcPr>
          <w:p w14:paraId="30B7A2DC" w14:textId="77777777" w:rsidR="00085DBB" w:rsidRPr="00843720" w:rsidRDefault="00085DBB" w:rsidP="003B3DAA">
            <w:pPr>
              <w:spacing w:after="0"/>
              <w:jc w:val="center"/>
            </w:pPr>
            <w:r w:rsidRPr="00843720">
              <w:t>X</w:t>
            </w:r>
          </w:p>
        </w:tc>
        <w:tc>
          <w:tcPr>
            <w:tcW w:w="720" w:type="dxa"/>
            <w:vAlign w:val="center"/>
          </w:tcPr>
          <w:p w14:paraId="0FEF95BC" w14:textId="77777777" w:rsidR="00085DBB" w:rsidRPr="00843720" w:rsidRDefault="00085DBB" w:rsidP="003B3DAA">
            <w:pPr>
              <w:spacing w:after="0"/>
              <w:jc w:val="center"/>
            </w:pPr>
            <w:r w:rsidRPr="00843720">
              <w:t>X</w:t>
            </w:r>
          </w:p>
        </w:tc>
        <w:tc>
          <w:tcPr>
            <w:tcW w:w="720" w:type="dxa"/>
            <w:vAlign w:val="center"/>
          </w:tcPr>
          <w:p w14:paraId="75500F88" w14:textId="77777777" w:rsidR="00085DBB" w:rsidRPr="00843720" w:rsidRDefault="00085DBB" w:rsidP="003B3DAA">
            <w:pPr>
              <w:spacing w:after="0"/>
              <w:jc w:val="center"/>
            </w:pPr>
          </w:p>
        </w:tc>
      </w:tr>
      <w:tr w:rsidR="00085DBB" w:rsidRPr="00030C60" w14:paraId="6C15E1F1" w14:textId="77777777" w:rsidTr="00085DBB">
        <w:trPr>
          <w:trHeight w:val="260"/>
        </w:trPr>
        <w:tc>
          <w:tcPr>
            <w:tcW w:w="3071" w:type="dxa"/>
          </w:tcPr>
          <w:p w14:paraId="5020D2DF" w14:textId="77777777" w:rsidR="00085DBB" w:rsidRPr="00843720" w:rsidRDefault="00085DBB" w:rsidP="003B3DAA">
            <w:pPr>
              <w:spacing w:after="0"/>
            </w:pPr>
            <w:r w:rsidRPr="00843720">
              <w:t>LTSS Community Partner Engagement</w:t>
            </w:r>
          </w:p>
        </w:tc>
        <w:tc>
          <w:tcPr>
            <w:tcW w:w="1193" w:type="dxa"/>
            <w:gridSpan w:val="2"/>
          </w:tcPr>
          <w:p w14:paraId="16468749" w14:textId="77777777" w:rsidR="00085DBB" w:rsidRPr="00843720" w:rsidRDefault="00085DBB" w:rsidP="003B3DAA">
            <w:pPr>
              <w:spacing w:after="0"/>
            </w:pPr>
            <w:r w:rsidRPr="00843720">
              <w:t>EOHHS</w:t>
            </w:r>
          </w:p>
        </w:tc>
        <w:tc>
          <w:tcPr>
            <w:tcW w:w="794" w:type="dxa"/>
          </w:tcPr>
          <w:p w14:paraId="2AC0BFEE" w14:textId="77777777" w:rsidR="00085DBB" w:rsidRPr="00843720" w:rsidRDefault="00085DBB" w:rsidP="003B3DAA">
            <w:pPr>
              <w:spacing w:after="0"/>
            </w:pPr>
            <w:r w:rsidRPr="00843720">
              <w:t xml:space="preserve">N/A </w:t>
            </w:r>
          </w:p>
        </w:tc>
        <w:tc>
          <w:tcPr>
            <w:tcW w:w="630" w:type="dxa"/>
            <w:vAlign w:val="center"/>
          </w:tcPr>
          <w:p w14:paraId="3F8FE115" w14:textId="77777777" w:rsidR="00085DBB" w:rsidRPr="00843720" w:rsidRDefault="00085DBB" w:rsidP="003B3DAA">
            <w:pPr>
              <w:spacing w:after="0"/>
              <w:jc w:val="center"/>
            </w:pPr>
            <w:r w:rsidRPr="00843720">
              <w:t>X</w:t>
            </w:r>
          </w:p>
        </w:tc>
        <w:tc>
          <w:tcPr>
            <w:tcW w:w="674" w:type="dxa"/>
            <w:vAlign w:val="center"/>
          </w:tcPr>
          <w:p w14:paraId="0DBAB162" w14:textId="77777777" w:rsidR="00085DBB" w:rsidRPr="00843720" w:rsidRDefault="00085DBB" w:rsidP="003B3DAA">
            <w:pPr>
              <w:spacing w:after="0"/>
              <w:jc w:val="center"/>
            </w:pPr>
            <w:r w:rsidRPr="00843720">
              <w:t>X</w:t>
            </w:r>
          </w:p>
        </w:tc>
        <w:tc>
          <w:tcPr>
            <w:tcW w:w="678" w:type="dxa"/>
            <w:vAlign w:val="center"/>
          </w:tcPr>
          <w:p w14:paraId="4E33AC68" w14:textId="77777777" w:rsidR="00085DBB" w:rsidRPr="00843720" w:rsidRDefault="00085DBB" w:rsidP="003B3DAA">
            <w:pPr>
              <w:spacing w:after="0"/>
              <w:jc w:val="center"/>
            </w:pPr>
          </w:p>
        </w:tc>
        <w:tc>
          <w:tcPr>
            <w:tcW w:w="718" w:type="dxa"/>
            <w:gridSpan w:val="2"/>
            <w:vAlign w:val="center"/>
          </w:tcPr>
          <w:p w14:paraId="2F69E747" w14:textId="77777777" w:rsidR="00085DBB" w:rsidRPr="00843720" w:rsidRDefault="00085DBB" w:rsidP="003B3DAA">
            <w:pPr>
              <w:spacing w:after="0"/>
              <w:jc w:val="center"/>
            </w:pPr>
          </w:p>
        </w:tc>
        <w:tc>
          <w:tcPr>
            <w:tcW w:w="720" w:type="dxa"/>
            <w:vAlign w:val="center"/>
          </w:tcPr>
          <w:p w14:paraId="0CDA4BF0" w14:textId="77777777" w:rsidR="00085DBB" w:rsidRPr="00843720" w:rsidRDefault="00085DBB" w:rsidP="003B3DAA">
            <w:pPr>
              <w:spacing w:after="0"/>
              <w:jc w:val="center"/>
            </w:pPr>
          </w:p>
        </w:tc>
        <w:tc>
          <w:tcPr>
            <w:tcW w:w="720" w:type="dxa"/>
            <w:vAlign w:val="center"/>
          </w:tcPr>
          <w:p w14:paraId="2D9FF20F" w14:textId="77777777" w:rsidR="00085DBB" w:rsidRPr="00843720" w:rsidRDefault="00085DBB" w:rsidP="003B3DAA">
            <w:pPr>
              <w:spacing w:after="0"/>
              <w:jc w:val="center"/>
            </w:pPr>
          </w:p>
        </w:tc>
      </w:tr>
      <w:tr w:rsidR="00085DBB" w:rsidRPr="00030C60" w14:paraId="64D51040" w14:textId="77777777" w:rsidTr="00085DBB">
        <w:trPr>
          <w:trHeight w:val="260"/>
        </w:trPr>
        <w:tc>
          <w:tcPr>
            <w:tcW w:w="3071" w:type="dxa"/>
          </w:tcPr>
          <w:p w14:paraId="1E89D91B" w14:textId="77777777" w:rsidR="00085DBB" w:rsidRPr="00843720" w:rsidRDefault="00085DBB" w:rsidP="003B3DAA">
            <w:pPr>
              <w:spacing w:after="0"/>
            </w:pPr>
            <w:r w:rsidRPr="00843720">
              <w:t>Community Tenure</w:t>
            </w:r>
          </w:p>
        </w:tc>
        <w:tc>
          <w:tcPr>
            <w:tcW w:w="1193" w:type="dxa"/>
            <w:gridSpan w:val="2"/>
          </w:tcPr>
          <w:p w14:paraId="295AB2B5" w14:textId="77777777" w:rsidR="00085DBB" w:rsidRPr="00843720" w:rsidRDefault="00085DBB" w:rsidP="003B3DAA">
            <w:pPr>
              <w:spacing w:after="0"/>
            </w:pPr>
            <w:r w:rsidRPr="00843720">
              <w:t>EOHHS</w:t>
            </w:r>
          </w:p>
        </w:tc>
        <w:tc>
          <w:tcPr>
            <w:tcW w:w="794" w:type="dxa"/>
          </w:tcPr>
          <w:p w14:paraId="178691B0" w14:textId="77777777" w:rsidR="00085DBB" w:rsidRPr="00843720" w:rsidRDefault="00085DBB" w:rsidP="003B3DAA">
            <w:pPr>
              <w:spacing w:after="0"/>
            </w:pPr>
            <w:r w:rsidRPr="00843720">
              <w:t xml:space="preserve">N/A </w:t>
            </w:r>
          </w:p>
        </w:tc>
        <w:tc>
          <w:tcPr>
            <w:tcW w:w="630" w:type="dxa"/>
            <w:vAlign w:val="center"/>
          </w:tcPr>
          <w:p w14:paraId="208FCECD" w14:textId="77777777" w:rsidR="00085DBB" w:rsidRPr="00843720" w:rsidRDefault="00085DBB" w:rsidP="003B3DAA">
            <w:pPr>
              <w:spacing w:after="0"/>
              <w:jc w:val="center"/>
            </w:pPr>
            <w:r w:rsidRPr="00843720">
              <w:t>X</w:t>
            </w:r>
          </w:p>
        </w:tc>
        <w:tc>
          <w:tcPr>
            <w:tcW w:w="674" w:type="dxa"/>
            <w:vAlign w:val="center"/>
          </w:tcPr>
          <w:p w14:paraId="47FD5B59" w14:textId="77777777" w:rsidR="00085DBB" w:rsidRPr="00843720" w:rsidRDefault="00085DBB" w:rsidP="003B3DAA">
            <w:pPr>
              <w:spacing w:after="0"/>
              <w:jc w:val="center"/>
            </w:pPr>
            <w:r w:rsidRPr="00843720">
              <w:t>X</w:t>
            </w:r>
          </w:p>
        </w:tc>
        <w:tc>
          <w:tcPr>
            <w:tcW w:w="678" w:type="dxa"/>
            <w:vAlign w:val="center"/>
          </w:tcPr>
          <w:p w14:paraId="5DA64D1B" w14:textId="77777777" w:rsidR="00085DBB" w:rsidRPr="00843720" w:rsidRDefault="00085DBB" w:rsidP="003B3DAA">
            <w:pPr>
              <w:spacing w:after="0"/>
              <w:jc w:val="center"/>
            </w:pPr>
          </w:p>
        </w:tc>
        <w:tc>
          <w:tcPr>
            <w:tcW w:w="718" w:type="dxa"/>
            <w:gridSpan w:val="2"/>
            <w:vAlign w:val="center"/>
          </w:tcPr>
          <w:p w14:paraId="4FE8F49A" w14:textId="77777777" w:rsidR="00085DBB" w:rsidRPr="00843720" w:rsidRDefault="00085DBB" w:rsidP="003B3DAA">
            <w:pPr>
              <w:spacing w:after="0"/>
              <w:jc w:val="center"/>
            </w:pPr>
          </w:p>
        </w:tc>
        <w:tc>
          <w:tcPr>
            <w:tcW w:w="720" w:type="dxa"/>
            <w:vAlign w:val="center"/>
          </w:tcPr>
          <w:p w14:paraId="36FC9216" w14:textId="77777777" w:rsidR="00085DBB" w:rsidRPr="00843720" w:rsidRDefault="00085DBB" w:rsidP="003B3DAA">
            <w:pPr>
              <w:spacing w:after="0"/>
              <w:jc w:val="center"/>
            </w:pPr>
          </w:p>
        </w:tc>
        <w:tc>
          <w:tcPr>
            <w:tcW w:w="720" w:type="dxa"/>
            <w:vAlign w:val="center"/>
          </w:tcPr>
          <w:p w14:paraId="127D1D2D" w14:textId="77777777" w:rsidR="00085DBB" w:rsidRPr="00843720" w:rsidRDefault="00085DBB" w:rsidP="003B3DAA">
            <w:pPr>
              <w:spacing w:after="0"/>
              <w:jc w:val="center"/>
            </w:pPr>
          </w:p>
        </w:tc>
      </w:tr>
      <w:tr w:rsidR="00085DBB" w:rsidRPr="00030C60" w14:paraId="692C7736" w14:textId="77777777" w:rsidTr="00085DBB">
        <w:trPr>
          <w:trHeight w:val="260"/>
        </w:trPr>
        <w:tc>
          <w:tcPr>
            <w:tcW w:w="3071" w:type="dxa"/>
          </w:tcPr>
          <w:p w14:paraId="5CDD5D56" w14:textId="77777777" w:rsidR="00085DBB" w:rsidRPr="00843720" w:rsidRDefault="00085DBB" w:rsidP="003B3DAA">
            <w:pPr>
              <w:spacing w:after="0"/>
            </w:pPr>
            <w:r w:rsidRPr="00843720">
              <w:t>Behavioral Health Community Partner Engagement</w:t>
            </w:r>
          </w:p>
        </w:tc>
        <w:tc>
          <w:tcPr>
            <w:tcW w:w="1193" w:type="dxa"/>
            <w:gridSpan w:val="2"/>
          </w:tcPr>
          <w:p w14:paraId="33529046" w14:textId="77777777" w:rsidR="00085DBB" w:rsidRPr="00843720" w:rsidRDefault="00085DBB" w:rsidP="003B3DAA">
            <w:pPr>
              <w:spacing w:after="0"/>
            </w:pPr>
            <w:r w:rsidRPr="00843720">
              <w:t>EOHHS</w:t>
            </w:r>
          </w:p>
        </w:tc>
        <w:tc>
          <w:tcPr>
            <w:tcW w:w="794" w:type="dxa"/>
          </w:tcPr>
          <w:p w14:paraId="017593B7" w14:textId="77777777" w:rsidR="00085DBB" w:rsidRPr="00843720" w:rsidRDefault="00085DBB" w:rsidP="003B3DAA">
            <w:pPr>
              <w:spacing w:after="0"/>
            </w:pPr>
          </w:p>
        </w:tc>
        <w:tc>
          <w:tcPr>
            <w:tcW w:w="630" w:type="dxa"/>
            <w:vAlign w:val="center"/>
          </w:tcPr>
          <w:p w14:paraId="16B0957F" w14:textId="77777777" w:rsidR="00085DBB" w:rsidRPr="00843720" w:rsidRDefault="00085DBB" w:rsidP="003B3DAA">
            <w:pPr>
              <w:spacing w:after="0"/>
              <w:jc w:val="center"/>
            </w:pPr>
            <w:r w:rsidRPr="00843720">
              <w:t>X</w:t>
            </w:r>
          </w:p>
        </w:tc>
        <w:tc>
          <w:tcPr>
            <w:tcW w:w="674" w:type="dxa"/>
            <w:vAlign w:val="center"/>
          </w:tcPr>
          <w:p w14:paraId="0F63DD97" w14:textId="77777777" w:rsidR="00085DBB" w:rsidRPr="00843720" w:rsidRDefault="00085DBB" w:rsidP="003B3DAA">
            <w:pPr>
              <w:spacing w:after="0"/>
              <w:jc w:val="center"/>
            </w:pPr>
            <w:r w:rsidRPr="00843720">
              <w:t>X</w:t>
            </w:r>
          </w:p>
        </w:tc>
        <w:tc>
          <w:tcPr>
            <w:tcW w:w="678" w:type="dxa"/>
            <w:vAlign w:val="center"/>
          </w:tcPr>
          <w:p w14:paraId="0538AE88" w14:textId="77777777" w:rsidR="00085DBB" w:rsidRPr="00843720" w:rsidRDefault="00085DBB" w:rsidP="003B3DAA">
            <w:pPr>
              <w:spacing w:after="0"/>
              <w:jc w:val="center"/>
            </w:pPr>
          </w:p>
        </w:tc>
        <w:tc>
          <w:tcPr>
            <w:tcW w:w="718" w:type="dxa"/>
            <w:gridSpan w:val="2"/>
            <w:vAlign w:val="center"/>
          </w:tcPr>
          <w:p w14:paraId="6A8C49DE" w14:textId="77777777" w:rsidR="00085DBB" w:rsidRPr="00843720" w:rsidRDefault="00085DBB" w:rsidP="003B3DAA">
            <w:pPr>
              <w:spacing w:after="0"/>
              <w:jc w:val="center"/>
            </w:pPr>
          </w:p>
        </w:tc>
        <w:tc>
          <w:tcPr>
            <w:tcW w:w="720" w:type="dxa"/>
            <w:vAlign w:val="center"/>
          </w:tcPr>
          <w:p w14:paraId="22FAC385" w14:textId="77777777" w:rsidR="00085DBB" w:rsidRPr="00843720" w:rsidRDefault="00085DBB" w:rsidP="003B3DAA">
            <w:pPr>
              <w:spacing w:after="0"/>
              <w:jc w:val="center"/>
            </w:pPr>
          </w:p>
        </w:tc>
        <w:tc>
          <w:tcPr>
            <w:tcW w:w="720" w:type="dxa"/>
            <w:vAlign w:val="center"/>
          </w:tcPr>
          <w:p w14:paraId="092B9CD6" w14:textId="77777777" w:rsidR="00085DBB" w:rsidRPr="00843720" w:rsidRDefault="00085DBB" w:rsidP="003B3DAA">
            <w:pPr>
              <w:spacing w:after="0"/>
              <w:jc w:val="center"/>
            </w:pPr>
          </w:p>
        </w:tc>
      </w:tr>
    </w:tbl>
    <w:p w14:paraId="69E638AB" w14:textId="77777777" w:rsidR="00030C60" w:rsidRPr="00030C60" w:rsidRDefault="00085DBB" w:rsidP="00085DBB">
      <w:pPr>
        <w:spacing w:line="276" w:lineRule="auto"/>
        <w:rPr>
          <w:rFonts w:asciiTheme="minorHAnsi" w:eastAsiaTheme="minorHAnsi" w:hAnsiTheme="minorHAnsi" w:cstheme="minorBidi"/>
        </w:rPr>
      </w:pPr>
      <w:r>
        <w:rPr>
          <w:rFonts w:asciiTheme="minorHAnsi" w:eastAsiaTheme="minorHAnsi" w:hAnsiTheme="minorHAnsi" w:cstheme="minorBidi"/>
        </w:rPr>
        <w:t>*some programs report sub-measures only.</w:t>
      </w:r>
      <w:r w:rsidR="009C22FE">
        <w:rPr>
          <w:rFonts w:asciiTheme="minorHAnsi" w:eastAsiaTheme="minorHAnsi" w:hAnsiTheme="minorHAnsi" w:cstheme="minorBidi"/>
        </w:rPr>
        <w:t xml:space="preserve"> </w:t>
      </w:r>
    </w:p>
    <w:p w14:paraId="4018E119" w14:textId="77777777" w:rsidR="007754D9" w:rsidRPr="00821C14" w:rsidRDefault="007754D9" w:rsidP="007754D9">
      <w:pPr>
        <w:tabs>
          <w:tab w:val="left" w:pos="2744"/>
        </w:tabs>
        <w:rPr>
          <w:rFonts w:cs="Calibri"/>
        </w:rPr>
      </w:pPr>
    </w:p>
    <w:sectPr w:rsidR="007754D9" w:rsidRPr="00821C14" w:rsidSect="001D0D8B">
      <w:headerReference w:type="default" r:id="rId27"/>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E3427E" w15:done="0"/>
  <w15:commentEx w15:paraId="5DCD680B" w15:done="0"/>
  <w15:commentEx w15:paraId="46CDD640" w15:done="0"/>
  <w15:commentEx w15:paraId="58330933" w15:done="0"/>
  <w15:commentEx w15:paraId="74BB2BA5" w15:done="0"/>
  <w15:commentEx w15:paraId="5E606FBF" w15:done="0"/>
  <w15:commentEx w15:paraId="29E52BCD" w15:done="0"/>
  <w15:commentEx w15:paraId="1A0118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3427E" w16cid:durableId="1F86BD0E"/>
  <w16cid:commentId w16cid:paraId="5DCD680B" w16cid:durableId="1F86B6A0"/>
  <w16cid:commentId w16cid:paraId="46CDD640" w16cid:durableId="1F86BB02"/>
  <w16cid:commentId w16cid:paraId="58330933" w16cid:durableId="1F89B824"/>
  <w16cid:commentId w16cid:paraId="74BB2BA5" w16cid:durableId="1F86BA25"/>
  <w16cid:commentId w16cid:paraId="5E606FBF" w16cid:durableId="1F897289"/>
  <w16cid:commentId w16cid:paraId="29E52BCD" w16cid:durableId="1F86BF35"/>
  <w16cid:commentId w16cid:paraId="1A0118E8" w16cid:durableId="1F8990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06546" w14:textId="77777777" w:rsidR="00F97A07" w:rsidRDefault="00F97A07" w:rsidP="00EB28B5">
      <w:pPr>
        <w:spacing w:after="0"/>
      </w:pPr>
      <w:r>
        <w:separator/>
      </w:r>
    </w:p>
  </w:endnote>
  <w:endnote w:type="continuationSeparator" w:id="0">
    <w:p w14:paraId="2C840CCA" w14:textId="77777777" w:rsidR="00F97A07" w:rsidRDefault="00F97A07" w:rsidP="00EB28B5">
      <w:pPr>
        <w:spacing w:after="0"/>
      </w:pPr>
      <w:r>
        <w:continuationSeparator/>
      </w:r>
    </w:p>
  </w:endnote>
  <w:endnote w:type="continuationNotice" w:id="1">
    <w:p w14:paraId="42F7817E" w14:textId="77777777" w:rsidR="00F97A07" w:rsidRDefault="00F97A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necae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2E7BE" w14:textId="77777777" w:rsidR="00F97A07" w:rsidRDefault="00F97A07">
    <w:pPr>
      <w:pStyle w:val="Footer"/>
      <w:jc w:val="right"/>
    </w:pPr>
  </w:p>
  <w:p w14:paraId="6E0132B2" w14:textId="77777777" w:rsidR="00F97A07" w:rsidRDefault="00F97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A6C2" w14:textId="77777777" w:rsidR="00F97A07" w:rsidRDefault="00F97A07">
    <w:pPr>
      <w:pStyle w:val="Footer"/>
      <w:jc w:val="right"/>
    </w:pPr>
  </w:p>
  <w:p w14:paraId="62474A93" w14:textId="77777777" w:rsidR="00F97A07" w:rsidRDefault="00F97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66848"/>
      <w:docPartObj>
        <w:docPartGallery w:val="Page Numbers (Bottom of Page)"/>
        <w:docPartUnique/>
      </w:docPartObj>
    </w:sdtPr>
    <w:sdtEndPr>
      <w:rPr>
        <w:noProof/>
      </w:rPr>
    </w:sdtEndPr>
    <w:sdtContent>
      <w:p w14:paraId="2DE810E6" w14:textId="77777777" w:rsidR="00F97A07" w:rsidRDefault="00F97A07">
        <w:pPr>
          <w:pStyle w:val="Footer"/>
          <w:jc w:val="right"/>
        </w:pPr>
        <w:r>
          <w:fldChar w:fldCharType="begin"/>
        </w:r>
        <w:r>
          <w:instrText xml:space="preserve"> PAGE   \* MERGEFORMAT </w:instrText>
        </w:r>
        <w:r>
          <w:fldChar w:fldCharType="separate"/>
        </w:r>
        <w:r w:rsidR="00207DB8">
          <w:rPr>
            <w:noProof/>
          </w:rPr>
          <w:t>2</w:t>
        </w:r>
        <w:r>
          <w:rPr>
            <w:noProof/>
          </w:rPr>
          <w:fldChar w:fldCharType="end"/>
        </w:r>
      </w:p>
    </w:sdtContent>
  </w:sdt>
  <w:p w14:paraId="3ADD24B1" w14:textId="77777777" w:rsidR="00F97A07" w:rsidRDefault="00F97A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47976"/>
      <w:docPartObj>
        <w:docPartGallery w:val="Page Numbers (Bottom of Page)"/>
        <w:docPartUnique/>
      </w:docPartObj>
    </w:sdtPr>
    <w:sdtEndPr>
      <w:rPr>
        <w:noProof/>
      </w:rPr>
    </w:sdtEndPr>
    <w:sdtContent>
      <w:p w14:paraId="2690895E" w14:textId="77777777" w:rsidR="00F97A07" w:rsidRDefault="00F97A07">
        <w:pPr>
          <w:pStyle w:val="Footer"/>
          <w:jc w:val="right"/>
        </w:pPr>
        <w:r>
          <w:fldChar w:fldCharType="begin"/>
        </w:r>
        <w:r>
          <w:instrText xml:space="preserve"> PAGE   \* MERGEFORMAT </w:instrText>
        </w:r>
        <w:r>
          <w:fldChar w:fldCharType="separate"/>
        </w:r>
        <w:r w:rsidR="00207DB8">
          <w:rPr>
            <w:noProof/>
          </w:rPr>
          <w:t>1</w:t>
        </w:r>
        <w:r>
          <w:rPr>
            <w:noProof/>
          </w:rPr>
          <w:fldChar w:fldCharType="end"/>
        </w:r>
      </w:p>
    </w:sdtContent>
  </w:sdt>
  <w:p w14:paraId="11F2937F" w14:textId="77777777" w:rsidR="00F97A07" w:rsidRDefault="00F97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6EA17" w14:textId="77777777" w:rsidR="00F97A07" w:rsidRPr="00B27F1E" w:rsidRDefault="00F97A07" w:rsidP="00B27F1E">
      <w:pPr>
        <w:pStyle w:val="Footer"/>
      </w:pPr>
      <w:r>
        <w:separator/>
      </w:r>
    </w:p>
  </w:footnote>
  <w:footnote w:type="continuationSeparator" w:id="0">
    <w:p w14:paraId="2BF5F063" w14:textId="77777777" w:rsidR="00F97A07" w:rsidRDefault="00F97A07" w:rsidP="00EB28B5">
      <w:pPr>
        <w:spacing w:after="0"/>
      </w:pPr>
      <w:r>
        <w:continuationSeparator/>
      </w:r>
    </w:p>
  </w:footnote>
  <w:footnote w:type="continuationNotice" w:id="1">
    <w:p w14:paraId="32A69FBD" w14:textId="77777777" w:rsidR="00F97A07" w:rsidRDefault="00F97A07">
      <w:pPr>
        <w:spacing w:after="0"/>
      </w:pPr>
    </w:p>
  </w:footnote>
  <w:footnote w:id="2">
    <w:p w14:paraId="4198290F" w14:textId="77777777" w:rsidR="00F97A07" w:rsidRDefault="00F97A07">
      <w:pPr>
        <w:pStyle w:val="FootnoteText"/>
      </w:pPr>
      <w:r>
        <w:rPr>
          <w:rStyle w:val="FootnoteReference"/>
        </w:rPr>
        <w:footnoteRef/>
      </w:r>
      <w:r>
        <w:t xml:space="preserve"> All summaries of contract provisions in this document are for information purposes only. Interested parties should refer to the contracts for the contractual terms and conditions that apply.  Nothing in this document should be read to alter or amend any contractual obligation.  To the extent any discrepancies or conflicts exist between this document and the contract, the language of the contract controls.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5065" w14:textId="77777777" w:rsidR="00F97A07" w:rsidRDefault="00F97A07">
    <w:pPr>
      <w:pStyle w:val="Header"/>
    </w:pPr>
  </w:p>
  <w:p w14:paraId="71BB09D5" w14:textId="77777777" w:rsidR="00F97A07" w:rsidRDefault="00F97A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BE131" w14:textId="3F4C988E" w:rsidR="00F97A07" w:rsidRPr="00C07D81" w:rsidRDefault="00F97A07" w:rsidP="00A06E51">
    <w:pPr>
      <w:pStyle w:val="Header"/>
      <w:rPr>
        <w:i/>
      </w:rPr>
    </w:pPr>
    <w:r>
      <w:rPr>
        <w:i/>
      </w:rPr>
      <w:t>Section 9: Future Opportunities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6D44" w14:textId="77777777" w:rsidR="00F97A07" w:rsidRPr="0058626B" w:rsidRDefault="00F97A07" w:rsidP="007513C1">
    <w:pPr>
      <w:pStyle w:val="Subtitle"/>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DE5BF" w14:textId="77777777" w:rsidR="00F97A07" w:rsidRPr="00B86567" w:rsidRDefault="00F97A07" w:rsidP="00B86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8B65" w14:textId="77777777" w:rsidR="00F97A07" w:rsidRPr="00A06E51" w:rsidRDefault="00341010" w:rsidP="00A06E51">
    <w:pPr>
      <w:pStyle w:val="Quote"/>
    </w:pPr>
    <w:fldSimple w:instr=" REF _Ref522018510 \r ">
      <w:r w:rsidR="00207DB8">
        <w:t>Section 2</w:t>
      </w:r>
    </w:fldSimple>
    <w:r w:rsidR="00F97A07">
      <w:t xml:space="preserve">: </w:t>
    </w:r>
    <w:fldSimple w:instr=" REF _Ref522018510 ">
      <w:r w:rsidR="00207DB8" w:rsidRPr="002E34B8">
        <w:t>MassHealth Program</w:t>
      </w:r>
      <w:r w:rsidR="00207DB8" w:rsidRPr="00FA25A8">
        <w:t xml:space="preserve"> </w:t>
      </w:r>
      <w:r w:rsidR="00207DB8" w:rsidRPr="002E34B8">
        <w:t>Background</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3CE4F" w14:textId="309D1863" w:rsidR="00F97A07" w:rsidRPr="00EB63B4" w:rsidRDefault="00F97A07" w:rsidP="00EB63B4">
    <w:pPr>
      <w:pStyle w:val="Header"/>
      <w:rPr>
        <w:i/>
      </w:rPr>
    </w:pPr>
    <w:r w:rsidRPr="00EB63B4">
      <w:rPr>
        <w:i/>
      </w:rPr>
      <w:fldChar w:fldCharType="begin"/>
    </w:r>
    <w:r w:rsidRPr="00EB63B4">
      <w:rPr>
        <w:i/>
      </w:rPr>
      <w:instrText xml:space="preserve"> REF _Ref522018218 \r </w:instrText>
    </w:r>
    <w:r>
      <w:rPr>
        <w:i/>
      </w:rPr>
      <w:instrText xml:space="preserve"> \* MERGEFORMAT </w:instrText>
    </w:r>
    <w:r w:rsidRPr="00EB63B4">
      <w:rPr>
        <w:i/>
      </w:rPr>
      <w:fldChar w:fldCharType="separate"/>
    </w:r>
    <w:r w:rsidR="00207DB8">
      <w:rPr>
        <w:i/>
      </w:rPr>
      <w:t>Section 3</w:t>
    </w:r>
    <w:r w:rsidRPr="00EB63B4">
      <w:rPr>
        <w:i/>
      </w:rPr>
      <w:fldChar w:fldCharType="end"/>
    </w:r>
    <w:r w:rsidRPr="00EB63B4">
      <w:rPr>
        <w:i/>
      </w:rPr>
      <w:t xml:space="preserve">: </w:t>
    </w:r>
    <w:r w:rsidRPr="00EB63B4">
      <w:rPr>
        <w:i/>
      </w:rPr>
      <w:fldChar w:fldCharType="begin"/>
    </w:r>
    <w:r w:rsidRPr="00EB63B4">
      <w:rPr>
        <w:i/>
      </w:rPr>
      <w:instrText xml:space="preserve"> REF _Ref522018218 </w:instrText>
    </w:r>
    <w:r>
      <w:rPr>
        <w:i/>
      </w:rPr>
      <w:instrText xml:space="preserve"> \* MERGEFORMAT </w:instrText>
    </w:r>
    <w:r w:rsidRPr="00EB63B4">
      <w:rPr>
        <w:i/>
      </w:rPr>
      <w:fldChar w:fldCharType="separate"/>
    </w:r>
    <w:r w:rsidR="00207DB8" w:rsidRPr="00207DB8">
      <w:rPr>
        <w:i/>
      </w:rPr>
      <w:t>Quality Management at MassHealth</w:t>
    </w:r>
    <w:r w:rsidRPr="00EB63B4">
      <w:rPr>
        <w:i/>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BF1E9" w14:textId="53A2378A" w:rsidR="00F97A07" w:rsidRPr="007344C9" w:rsidRDefault="00F97A07" w:rsidP="00832A63">
    <w:pPr>
      <w:pStyle w:val="Header"/>
      <w:rPr>
        <w:i/>
      </w:rPr>
    </w:pPr>
    <w:r>
      <w:rPr>
        <w:i/>
      </w:rPr>
      <w:t>Section 4: MassHealth Quality Strategy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EAA1" w14:textId="01B23BB3" w:rsidR="00F97A07" w:rsidRPr="007344C9" w:rsidRDefault="00F97A07" w:rsidP="00832A63">
    <w:pPr>
      <w:pStyle w:val="Header"/>
      <w:rPr>
        <w:i/>
      </w:rPr>
    </w:pPr>
    <w:r>
      <w:rPr>
        <w:i/>
      </w:rPr>
      <w:t>Section 5: Assessment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B43DC" w14:textId="77777777" w:rsidR="00F97A07" w:rsidRPr="00EB63B4" w:rsidRDefault="00F97A07" w:rsidP="00EB63B4">
    <w:pPr>
      <w:pStyle w:val="Quote"/>
      <w:rPr>
        <w:rStyle w:val="Emphasis"/>
        <w:i/>
        <w:iCs/>
      </w:rPr>
    </w:pPr>
    <w:r w:rsidRPr="00EB63B4">
      <w:rPr>
        <w:rStyle w:val="Emphasis"/>
        <w:i/>
        <w:iCs/>
      </w:rPr>
      <w:fldChar w:fldCharType="begin"/>
    </w:r>
    <w:r w:rsidRPr="00EB63B4">
      <w:rPr>
        <w:rStyle w:val="Emphasis"/>
        <w:i/>
        <w:iCs/>
      </w:rPr>
      <w:instrText xml:space="preserve"> REF _Ref522020061 \r  \* MERGEFORMAT </w:instrText>
    </w:r>
    <w:r w:rsidRPr="00EB63B4">
      <w:rPr>
        <w:rStyle w:val="Emphasis"/>
        <w:i/>
        <w:iCs/>
      </w:rPr>
      <w:fldChar w:fldCharType="separate"/>
    </w:r>
    <w:r w:rsidR="00207DB8">
      <w:rPr>
        <w:rStyle w:val="Emphasis"/>
        <w:i/>
        <w:iCs/>
      </w:rPr>
      <w:t>Section 6</w:t>
    </w:r>
    <w:r w:rsidRPr="00EB63B4">
      <w:rPr>
        <w:rStyle w:val="Emphasis"/>
        <w:i/>
        <w:iCs/>
      </w:rPr>
      <w:fldChar w:fldCharType="end"/>
    </w:r>
    <w:r w:rsidRPr="00EB63B4">
      <w:rPr>
        <w:rStyle w:val="Emphasis"/>
        <w:i/>
        <w:iCs/>
      </w:rPr>
      <w:t xml:space="preserve">: </w:t>
    </w:r>
    <w:r w:rsidRPr="00EB63B4">
      <w:rPr>
        <w:rStyle w:val="Emphasis"/>
        <w:i/>
        <w:iCs/>
      </w:rPr>
      <w:fldChar w:fldCharType="begin"/>
    </w:r>
    <w:r w:rsidRPr="00EB63B4">
      <w:rPr>
        <w:rStyle w:val="Emphasis"/>
        <w:i/>
        <w:iCs/>
      </w:rPr>
      <w:instrText xml:space="preserve"> REF _Ref522020061  \* MERGEFORMAT </w:instrText>
    </w:r>
    <w:r w:rsidRPr="00EB63B4">
      <w:rPr>
        <w:rStyle w:val="Emphasis"/>
        <w:i/>
        <w:iCs/>
      </w:rPr>
      <w:fldChar w:fldCharType="separate"/>
    </w:r>
    <w:r w:rsidR="00207DB8" w:rsidRPr="00207DB8">
      <w:rPr>
        <w:rStyle w:val="Emphasis"/>
        <w:i/>
        <w:iCs/>
      </w:rPr>
      <w:t>State Standards</w:t>
    </w:r>
    <w:r w:rsidRPr="00EB63B4">
      <w:rPr>
        <w:rStyle w:val="Emphasis"/>
        <w:i/>
        <w:iC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33B92" w14:textId="20C76CD3" w:rsidR="00F97A07" w:rsidRPr="00C07D81" w:rsidRDefault="00F97A07" w:rsidP="00A06E51">
    <w:pPr>
      <w:pStyle w:val="Header"/>
      <w:rPr>
        <w:i/>
      </w:rPr>
    </w:pPr>
    <w:r>
      <w:rPr>
        <w:i/>
      </w:rPr>
      <w:t>Section 7: Improvement and Interventions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F729" w14:textId="7AAE2EDA" w:rsidR="00F97A07" w:rsidRPr="00C07D81" w:rsidRDefault="00F97A07" w:rsidP="00A06E51">
    <w:pPr>
      <w:pStyle w:val="Header"/>
      <w:rPr>
        <w:i/>
      </w:rPr>
    </w:pPr>
    <w:r>
      <w:rPr>
        <w:i/>
      </w:rPr>
      <w:t>Section 8: Delivery System Reform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D74741A"/>
    <w:lvl w:ilvl="0">
      <w:start w:val="1"/>
      <w:numFmt w:val="bullet"/>
      <w:lvlText w:val=""/>
      <w:lvlJc w:val="left"/>
      <w:pPr>
        <w:tabs>
          <w:tab w:val="num" w:pos="630"/>
        </w:tabs>
        <w:ind w:left="630" w:hanging="360"/>
      </w:pPr>
      <w:rPr>
        <w:rFonts w:ascii="Symbol" w:hAnsi="Symbol" w:hint="default"/>
      </w:rPr>
    </w:lvl>
  </w:abstractNum>
  <w:abstractNum w:abstractNumId="1">
    <w:nsid w:val="FFFFFF83"/>
    <w:multiLevelType w:val="singleLevel"/>
    <w:tmpl w:val="07CA16F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1B5372D"/>
    <w:multiLevelType w:val="hybridMultilevel"/>
    <w:tmpl w:val="DA50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95C53"/>
    <w:multiLevelType w:val="hybridMultilevel"/>
    <w:tmpl w:val="70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2497E"/>
    <w:multiLevelType w:val="hybridMultilevel"/>
    <w:tmpl w:val="690A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E6AB6"/>
    <w:multiLevelType w:val="hybridMultilevel"/>
    <w:tmpl w:val="39D0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172CD"/>
    <w:multiLevelType w:val="hybridMultilevel"/>
    <w:tmpl w:val="E664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B7B4D"/>
    <w:multiLevelType w:val="multilevel"/>
    <w:tmpl w:val="BD0061F2"/>
    <w:lvl w:ilvl="0">
      <w:start w:val="1"/>
      <w:numFmt w:val="decimal"/>
      <w:pStyle w:val="Heading1"/>
      <w:suff w:val="space"/>
      <w:lvlText w:val="Section %1."/>
      <w:lvlJc w:val="left"/>
      <w:pPr>
        <w:ind w:left="810" w:firstLine="0"/>
      </w:pPr>
    </w:lvl>
    <w:lvl w:ilvl="1">
      <w:start w:val="1"/>
      <w:numFmt w:val="decimal"/>
      <w:pStyle w:val="Heading2"/>
      <w:suff w:val="space"/>
      <w:lvlText w:val="Section %1.%2"/>
      <w:lvlJc w:val="left"/>
      <w:pPr>
        <w:ind w:left="25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Heading3"/>
      <w:lvlText w:val="%3."/>
      <w:lvlJc w:val="left"/>
      <w:pPr>
        <w:tabs>
          <w:tab w:val="num" w:pos="450"/>
        </w:tabs>
        <w:ind w:left="450" w:hanging="720"/>
      </w:pPr>
      <w:rPr>
        <w:rFonts w:cs="Times New Roman"/>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4."/>
      <w:lvlJc w:val="left"/>
      <w:pPr>
        <w:tabs>
          <w:tab w:val="num" w:pos="-270"/>
        </w:tabs>
        <w:ind w:left="1890" w:hanging="720"/>
      </w:pPr>
    </w:lvl>
    <w:lvl w:ilvl="4">
      <w:start w:val="1"/>
      <w:numFmt w:val="lowerLetter"/>
      <w:pStyle w:val="Heading5"/>
      <w:lvlText w:val="%5."/>
      <w:lvlJc w:val="left"/>
      <w:pPr>
        <w:tabs>
          <w:tab w:val="num" w:pos="-270"/>
        </w:tabs>
        <w:ind w:left="2610" w:hanging="720"/>
      </w:pPr>
      <w:rPr>
        <w:b w:val="0"/>
      </w:rPr>
    </w:lvl>
    <w:lvl w:ilvl="5">
      <w:start w:val="1"/>
      <w:numFmt w:val="decimal"/>
      <w:lvlText w:val="%6)"/>
      <w:lvlJc w:val="left"/>
      <w:pPr>
        <w:tabs>
          <w:tab w:val="num" w:pos="-270"/>
        </w:tabs>
        <w:ind w:left="3330" w:hanging="720"/>
      </w:pPr>
      <w:rPr>
        <w:b w:val="0"/>
      </w:rPr>
    </w:lvl>
    <w:lvl w:ilvl="6">
      <w:start w:val="1"/>
      <w:numFmt w:val="lowerLetter"/>
      <w:pStyle w:val="Heading7"/>
      <w:lvlText w:val="%7)"/>
      <w:lvlJc w:val="left"/>
      <w:pPr>
        <w:tabs>
          <w:tab w:val="num" w:pos="-270"/>
        </w:tabs>
        <w:ind w:left="4050" w:hanging="720"/>
      </w:pPr>
      <w:rPr>
        <w:b w:val="0"/>
      </w:rPr>
    </w:lvl>
    <w:lvl w:ilvl="7">
      <w:start w:val="1"/>
      <w:numFmt w:val="lowerRoman"/>
      <w:pStyle w:val="Heading8"/>
      <w:lvlText w:val="(%8)"/>
      <w:lvlJc w:val="left"/>
      <w:pPr>
        <w:tabs>
          <w:tab w:val="num" w:pos="-270"/>
        </w:tabs>
        <w:ind w:left="4482" w:hanging="720"/>
      </w:pPr>
    </w:lvl>
    <w:lvl w:ilvl="8">
      <w:start w:val="1"/>
      <w:numFmt w:val="lowerLetter"/>
      <w:pStyle w:val="Heading9"/>
      <w:lvlText w:val="(%9)"/>
      <w:lvlJc w:val="left"/>
      <w:pPr>
        <w:tabs>
          <w:tab w:val="num" w:pos="-270"/>
        </w:tabs>
        <w:ind w:left="5058" w:hanging="720"/>
      </w:pPr>
    </w:lvl>
  </w:abstractNum>
  <w:abstractNum w:abstractNumId="8">
    <w:nsid w:val="0F683912"/>
    <w:multiLevelType w:val="hybridMultilevel"/>
    <w:tmpl w:val="5A74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723821"/>
    <w:multiLevelType w:val="multilevel"/>
    <w:tmpl w:val="0864297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0">
    <w:nsid w:val="11DB43A0"/>
    <w:multiLevelType w:val="hybridMultilevel"/>
    <w:tmpl w:val="40C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B3513"/>
    <w:multiLevelType w:val="multilevel"/>
    <w:tmpl w:val="91945F92"/>
    <w:lvl w:ilvl="0">
      <w:start w:val="5"/>
      <w:numFmt w:val="decimal"/>
      <w:pStyle w:val="ListBullet4"/>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1AB36CCF"/>
    <w:multiLevelType w:val="hybridMultilevel"/>
    <w:tmpl w:val="2046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726ED"/>
    <w:multiLevelType w:val="hybridMultilevel"/>
    <w:tmpl w:val="5EB4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238CA"/>
    <w:multiLevelType w:val="hybridMultilevel"/>
    <w:tmpl w:val="AD48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A2244E"/>
    <w:multiLevelType w:val="hybridMultilevel"/>
    <w:tmpl w:val="6994C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810E29"/>
    <w:multiLevelType w:val="hybridMultilevel"/>
    <w:tmpl w:val="12F6CC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E67DF"/>
    <w:multiLevelType w:val="hybridMultilevel"/>
    <w:tmpl w:val="3D28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A9503A"/>
    <w:multiLevelType w:val="multilevel"/>
    <w:tmpl w:val="0864297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9">
    <w:nsid w:val="30AF5B1A"/>
    <w:multiLevelType w:val="hybridMultilevel"/>
    <w:tmpl w:val="C64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732666"/>
    <w:multiLevelType w:val="hybridMultilevel"/>
    <w:tmpl w:val="9856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A2748"/>
    <w:multiLevelType w:val="hybridMultilevel"/>
    <w:tmpl w:val="6C520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C427CA"/>
    <w:multiLevelType w:val="hybridMultilevel"/>
    <w:tmpl w:val="6228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A51997"/>
    <w:multiLevelType w:val="hybridMultilevel"/>
    <w:tmpl w:val="54D27E90"/>
    <w:lvl w:ilvl="0" w:tplc="CC64C60C">
      <w:start w:val="1"/>
      <w:numFmt w:val="decimal"/>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A387A"/>
    <w:multiLevelType w:val="hybridMultilevel"/>
    <w:tmpl w:val="9D82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845969"/>
    <w:multiLevelType w:val="hybridMultilevel"/>
    <w:tmpl w:val="C390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43596"/>
    <w:multiLevelType w:val="hybridMultilevel"/>
    <w:tmpl w:val="EC8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E47977"/>
    <w:multiLevelType w:val="hybridMultilevel"/>
    <w:tmpl w:val="149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807A5E"/>
    <w:multiLevelType w:val="hybridMultilevel"/>
    <w:tmpl w:val="69D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C26EB"/>
    <w:multiLevelType w:val="hybridMultilevel"/>
    <w:tmpl w:val="7072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137AD"/>
    <w:multiLevelType w:val="hybridMultilevel"/>
    <w:tmpl w:val="4836C40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1">
    <w:nsid w:val="555A1657"/>
    <w:multiLevelType w:val="hybridMultilevel"/>
    <w:tmpl w:val="76F29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7B16A5C"/>
    <w:multiLevelType w:val="hybridMultilevel"/>
    <w:tmpl w:val="4C8E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D36980"/>
    <w:multiLevelType w:val="hybridMultilevel"/>
    <w:tmpl w:val="537E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EC31BF"/>
    <w:multiLevelType w:val="hybridMultilevel"/>
    <w:tmpl w:val="A6847FC0"/>
    <w:lvl w:ilvl="0" w:tplc="0409000F">
      <w:start w:val="1"/>
      <w:numFmt w:val="decimal"/>
      <w:lvlText w:val="%1."/>
      <w:lvlJc w:val="left"/>
      <w:pPr>
        <w:ind w:left="720" w:hanging="360"/>
      </w:pPr>
      <w:rPr>
        <w:rFonts w:hint="default"/>
      </w:rPr>
    </w:lvl>
    <w:lvl w:ilvl="1" w:tplc="337A15AE">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8FA2A47"/>
    <w:multiLevelType w:val="hybridMultilevel"/>
    <w:tmpl w:val="7950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1D5C85"/>
    <w:multiLevelType w:val="hybridMultilevel"/>
    <w:tmpl w:val="4ED00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283F64"/>
    <w:multiLevelType w:val="hybridMultilevel"/>
    <w:tmpl w:val="486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C7AFA"/>
    <w:multiLevelType w:val="hybridMultilevel"/>
    <w:tmpl w:val="432E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0A05B2"/>
    <w:multiLevelType w:val="hybridMultilevel"/>
    <w:tmpl w:val="4B1CF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CD02C5"/>
    <w:multiLevelType w:val="hybridMultilevel"/>
    <w:tmpl w:val="EC3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293B0F"/>
    <w:multiLevelType w:val="hybridMultilevel"/>
    <w:tmpl w:val="E71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5960BC"/>
    <w:multiLevelType w:val="hybridMultilevel"/>
    <w:tmpl w:val="4E1C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915557"/>
    <w:multiLevelType w:val="hybridMultilevel"/>
    <w:tmpl w:val="654C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C649F0"/>
    <w:multiLevelType w:val="hybridMultilevel"/>
    <w:tmpl w:val="FB0A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50B57"/>
    <w:multiLevelType w:val="hybridMultilevel"/>
    <w:tmpl w:val="8D24066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6">
    <w:nsid w:val="72492019"/>
    <w:multiLevelType w:val="hybridMultilevel"/>
    <w:tmpl w:val="156C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C716E2"/>
    <w:multiLevelType w:val="hybridMultilevel"/>
    <w:tmpl w:val="213C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181006"/>
    <w:multiLevelType w:val="hybridMultilevel"/>
    <w:tmpl w:val="BD08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0F2FC1"/>
    <w:multiLevelType w:val="hybridMultilevel"/>
    <w:tmpl w:val="94ACEF0A"/>
    <w:lvl w:ilvl="0" w:tplc="6A98E3DC">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4814C4"/>
    <w:multiLevelType w:val="multilevel"/>
    <w:tmpl w:val="AAFABEAC"/>
    <w:lvl w:ilvl="0">
      <w:start w:val="4"/>
      <w:numFmt w:val="decimal"/>
      <w:pStyle w:val="ListBullet"/>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1">
    <w:nsid w:val="7D6F6FED"/>
    <w:multiLevelType w:val="hybridMultilevel"/>
    <w:tmpl w:val="26481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50"/>
  </w:num>
  <w:num w:numId="4">
    <w:abstractNumId w:val="11"/>
  </w:num>
  <w:num w:numId="5">
    <w:abstractNumId w:val="0"/>
  </w:num>
  <w:num w:numId="6">
    <w:abstractNumId w:val="31"/>
  </w:num>
  <w:num w:numId="7">
    <w:abstractNumId w:val="16"/>
  </w:num>
  <w:num w:numId="8">
    <w:abstractNumId w:val="2"/>
  </w:num>
  <w:num w:numId="9">
    <w:abstractNumId w:val="8"/>
  </w:num>
  <w:num w:numId="10">
    <w:abstractNumId w:val="24"/>
  </w:num>
  <w:num w:numId="11">
    <w:abstractNumId w:val="42"/>
  </w:num>
  <w:num w:numId="12">
    <w:abstractNumId w:val="48"/>
  </w:num>
  <w:num w:numId="13">
    <w:abstractNumId w:val="51"/>
  </w:num>
  <w:num w:numId="14">
    <w:abstractNumId w:val="33"/>
  </w:num>
  <w:num w:numId="15">
    <w:abstractNumId w:val="3"/>
  </w:num>
  <w:num w:numId="16">
    <w:abstractNumId w:val="9"/>
  </w:num>
  <w:num w:numId="17">
    <w:abstractNumId w:val="18"/>
  </w:num>
  <w:num w:numId="18">
    <w:abstractNumId w:val="49"/>
  </w:num>
  <w:num w:numId="19">
    <w:abstractNumId w:val="5"/>
  </w:num>
  <w:num w:numId="20">
    <w:abstractNumId w:val="32"/>
  </w:num>
  <w:num w:numId="21">
    <w:abstractNumId w:val="41"/>
  </w:num>
  <w:num w:numId="22">
    <w:abstractNumId w:val="21"/>
  </w:num>
  <w:num w:numId="23">
    <w:abstractNumId w:val="45"/>
  </w:num>
  <w:num w:numId="24">
    <w:abstractNumId w:val="34"/>
  </w:num>
  <w:num w:numId="25">
    <w:abstractNumId w:val="28"/>
  </w:num>
  <w:num w:numId="26">
    <w:abstractNumId w:val="20"/>
  </w:num>
  <w:num w:numId="27">
    <w:abstractNumId w:val="36"/>
  </w:num>
  <w:num w:numId="28">
    <w:abstractNumId w:val="13"/>
  </w:num>
  <w:num w:numId="29">
    <w:abstractNumId w:val="10"/>
  </w:num>
  <w:num w:numId="30">
    <w:abstractNumId w:val="7"/>
  </w:num>
  <w:num w:numId="31">
    <w:abstractNumId w:val="29"/>
  </w:num>
  <w:num w:numId="32">
    <w:abstractNumId w:val="38"/>
  </w:num>
  <w:num w:numId="33">
    <w:abstractNumId w:val="46"/>
  </w:num>
  <w:num w:numId="34">
    <w:abstractNumId w:val="15"/>
  </w:num>
  <w:num w:numId="35">
    <w:abstractNumId w:val="19"/>
  </w:num>
  <w:num w:numId="36">
    <w:abstractNumId w:val="43"/>
  </w:num>
  <w:num w:numId="37">
    <w:abstractNumId w:val="47"/>
  </w:num>
  <w:num w:numId="38">
    <w:abstractNumId w:val="40"/>
  </w:num>
  <w:num w:numId="39">
    <w:abstractNumId w:val="17"/>
  </w:num>
  <w:num w:numId="40">
    <w:abstractNumId w:val="27"/>
  </w:num>
  <w:num w:numId="41">
    <w:abstractNumId w:val="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3"/>
    <w:lvlOverride w:ilvl="0">
      <w:startOverride w:val="1"/>
    </w:lvlOverride>
  </w:num>
  <w:num w:numId="45">
    <w:abstractNumId w:val="23"/>
    <w:lvlOverride w:ilvl="0">
      <w:startOverride w:val="1"/>
    </w:lvlOverride>
  </w:num>
  <w:num w:numId="46">
    <w:abstractNumId w:val="25"/>
  </w:num>
  <w:num w:numId="47">
    <w:abstractNumId w:val="30"/>
  </w:num>
  <w:num w:numId="48">
    <w:abstractNumId w:val="37"/>
  </w:num>
  <w:num w:numId="49">
    <w:abstractNumId w:val="39"/>
  </w:num>
  <w:num w:numId="50">
    <w:abstractNumId w:val="44"/>
  </w:num>
  <w:num w:numId="51">
    <w:abstractNumId w:val="14"/>
  </w:num>
  <w:num w:numId="52">
    <w:abstractNumId w:val="12"/>
  </w:num>
  <w:num w:numId="53">
    <w:abstractNumId w:val="22"/>
  </w:num>
  <w:num w:numId="54">
    <w:abstractNumId w:val="35"/>
  </w:num>
  <w:num w:numId="55">
    <w:abstractNumId w:val="4"/>
  </w:num>
  <w:num w:numId="56">
    <w:abstractNumId w:val="2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shaughnessy01@gmail.com">
    <w15:presenceInfo w15:providerId="Windows Live" w15:userId="f5ab417be586de3d"/>
  </w15:person>
  <w15:person w15:author="lshaughnessy01@gmail.com [2]">
    <w15:presenceInfo w15:providerId="Windows Live" w15:userId="f5ab417be586de3d"/>
  </w15:person>
  <w15:person w15:author="lshaughnessy01@gmail.com [3]">
    <w15:presenceInfo w15:providerId="Windows Live" w15:userId="f5ab417be586de3d"/>
  </w15:person>
  <w15:person w15:author=" ">
    <w15:presenceInfo w15:providerId="Windows Live" w15:userId="f5ab417be586de3d"/>
  </w15:person>
  <w15:person w15:author="lshaughnessy01@gmail.com [4]">
    <w15:presenceInfo w15:providerId="Windows Live" w15:userId="f5ab417be586de3d"/>
  </w15:person>
  <w15:person w15:author="lshaughnessy01@gmail.com [5]">
    <w15:presenceInfo w15:providerId="Windows Live" w15:userId="f5ab417be586de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FF"/>
    <w:rsid w:val="000012ED"/>
    <w:rsid w:val="000044EF"/>
    <w:rsid w:val="00005097"/>
    <w:rsid w:val="00005544"/>
    <w:rsid w:val="00005AFB"/>
    <w:rsid w:val="00010E36"/>
    <w:rsid w:val="0001198E"/>
    <w:rsid w:val="0001468A"/>
    <w:rsid w:val="00014CC8"/>
    <w:rsid w:val="000152F3"/>
    <w:rsid w:val="00015FC3"/>
    <w:rsid w:val="0001766F"/>
    <w:rsid w:val="000205EB"/>
    <w:rsid w:val="00022952"/>
    <w:rsid w:val="00023B94"/>
    <w:rsid w:val="0002650F"/>
    <w:rsid w:val="00030C60"/>
    <w:rsid w:val="00031EC7"/>
    <w:rsid w:val="00034560"/>
    <w:rsid w:val="000346DA"/>
    <w:rsid w:val="000351CC"/>
    <w:rsid w:val="000352AB"/>
    <w:rsid w:val="000353CA"/>
    <w:rsid w:val="00036897"/>
    <w:rsid w:val="00042BCE"/>
    <w:rsid w:val="00043A4C"/>
    <w:rsid w:val="000450F5"/>
    <w:rsid w:val="00045D4C"/>
    <w:rsid w:val="00045DD5"/>
    <w:rsid w:val="00046B33"/>
    <w:rsid w:val="0005276F"/>
    <w:rsid w:val="00052EB3"/>
    <w:rsid w:val="00053211"/>
    <w:rsid w:val="0005505F"/>
    <w:rsid w:val="00056396"/>
    <w:rsid w:val="0006079C"/>
    <w:rsid w:val="000628A7"/>
    <w:rsid w:val="00064DC8"/>
    <w:rsid w:val="00065FC7"/>
    <w:rsid w:val="000709BB"/>
    <w:rsid w:val="00070F65"/>
    <w:rsid w:val="00074621"/>
    <w:rsid w:val="000769D2"/>
    <w:rsid w:val="0007700F"/>
    <w:rsid w:val="00080033"/>
    <w:rsid w:val="00081E8D"/>
    <w:rsid w:val="0008457C"/>
    <w:rsid w:val="00085C27"/>
    <w:rsid w:val="00085DBB"/>
    <w:rsid w:val="00087B07"/>
    <w:rsid w:val="000927C3"/>
    <w:rsid w:val="00097A00"/>
    <w:rsid w:val="000A225D"/>
    <w:rsid w:val="000A2498"/>
    <w:rsid w:val="000A35BE"/>
    <w:rsid w:val="000A36AE"/>
    <w:rsid w:val="000A5353"/>
    <w:rsid w:val="000B0EEF"/>
    <w:rsid w:val="000B1B1C"/>
    <w:rsid w:val="000B2A85"/>
    <w:rsid w:val="000B61FD"/>
    <w:rsid w:val="000B657B"/>
    <w:rsid w:val="000B71AF"/>
    <w:rsid w:val="000B784E"/>
    <w:rsid w:val="000B78A8"/>
    <w:rsid w:val="000C180B"/>
    <w:rsid w:val="000C2728"/>
    <w:rsid w:val="000C37FC"/>
    <w:rsid w:val="000C5889"/>
    <w:rsid w:val="000C6833"/>
    <w:rsid w:val="000D138D"/>
    <w:rsid w:val="000D1486"/>
    <w:rsid w:val="000D157D"/>
    <w:rsid w:val="000D6149"/>
    <w:rsid w:val="000D6233"/>
    <w:rsid w:val="000D627B"/>
    <w:rsid w:val="000D6C0B"/>
    <w:rsid w:val="000D7B27"/>
    <w:rsid w:val="000E2673"/>
    <w:rsid w:val="000E6AA6"/>
    <w:rsid w:val="000E7914"/>
    <w:rsid w:val="000F06AE"/>
    <w:rsid w:val="000F0979"/>
    <w:rsid w:val="000F2C5E"/>
    <w:rsid w:val="000F31B4"/>
    <w:rsid w:val="000F3873"/>
    <w:rsid w:val="000F3B9D"/>
    <w:rsid w:val="000F50A8"/>
    <w:rsid w:val="000F5E68"/>
    <w:rsid w:val="000F671A"/>
    <w:rsid w:val="000F68AA"/>
    <w:rsid w:val="00100F0B"/>
    <w:rsid w:val="0010138D"/>
    <w:rsid w:val="00101B2F"/>
    <w:rsid w:val="00103597"/>
    <w:rsid w:val="001035C1"/>
    <w:rsid w:val="00103DC3"/>
    <w:rsid w:val="00104012"/>
    <w:rsid w:val="00105374"/>
    <w:rsid w:val="00105DAE"/>
    <w:rsid w:val="001068FF"/>
    <w:rsid w:val="00106CF7"/>
    <w:rsid w:val="00106D3E"/>
    <w:rsid w:val="001078FF"/>
    <w:rsid w:val="00107F35"/>
    <w:rsid w:val="00110A3C"/>
    <w:rsid w:val="00111B81"/>
    <w:rsid w:val="001121E7"/>
    <w:rsid w:val="00113FB0"/>
    <w:rsid w:val="00114AA0"/>
    <w:rsid w:val="00116EF2"/>
    <w:rsid w:val="0012184E"/>
    <w:rsid w:val="00122D52"/>
    <w:rsid w:val="00122F15"/>
    <w:rsid w:val="0012377A"/>
    <w:rsid w:val="00127B2F"/>
    <w:rsid w:val="00127D1B"/>
    <w:rsid w:val="001301D1"/>
    <w:rsid w:val="00130F39"/>
    <w:rsid w:val="00131356"/>
    <w:rsid w:val="001319D8"/>
    <w:rsid w:val="00134D67"/>
    <w:rsid w:val="001353DA"/>
    <w:rsid w:val="001355B9"/>
    <w:rsid w:val="00135AE4"/>
    <w:rsid w:val="00135BC2"/>
    <w:rsid w:val="001410D8"/>
    <w:rsid w:val="001419F3"/>
    <w:rsid w:val="001451B0"/>
    <w:rsid w:val="00145DDE"/>
    <w:rsid w:val="00151C49"/>
    <w:rsid w:val="00151F63"/>
    <w:rsid w:val="00154E65"/>
    <w:rsid w:val="00157B12"/>
    <w:rsid w:val="00160C2C"/>
    <w:rsid w:val="0016488B"/>
    <w:rsid w:val="001652A0"/>
    <w:rsid w:val="0016719A"/>
    <w:rsid w:val="001703E5"/>
    <w:rsid w:val="00172D1A"/>
    <w:rsid w:val="00173026"/>
    <w:rsid w:val="00175A84"/>
    <w:rsid w:val="001803E1"/>
    <w:rsid w:val="00182B71"/>
    <w:rsid w:val="001833AC"/>
    <w:rsid w:val="00183E93"/>
    <w:rsid w:val="00184417"/>
    <w:rsid w:val="00184751"/>
    <w:rsid w:val="001849B0"/>
    <w:rsid w:val="0018722B"/>
    <w:rsid w:val="001918A5"/>
    <w:rsid w:val="00193EAC"/>
    <w:rsid w:val="00194962"/>
    <w:rsid w:val="001961F9"/>
    <w:rsid w:val="0019716D"/>
    <w:rsid w:val="001A0754"/>
    <w:rsid w:val="001A1040"/>
    <w:rsid w:val="001A2CB0"/>
    <w:rsid w:val="001A48C7"/>
    <w:rsid w:val="001A52DD"/>
    <w:rsid w:val="001A5D8C"/>
    <w:rsid w:val="001A7047"/>
    <w:rsid w:val="001B1758"/>
    <w:rsid w:val="001B39A8"/>
    <w:rsid w:val="001B6360"/>
    <w:rsid w:val="001C0031"/>
    <w:rsid w:val="001C065E"/>
    <w:rsid w:val="001C0871"/>
    <w:rsid w:val="001C203F"/>
    <w:rsid w:val="001C2C1B"/>
    <w:rsid w:val="001C41CD"/>
    <w:rsid w:val="001C5750"/>
    <w:rsid w:val="001D0CE7"/>
    <w:rsid w:val="001D0D8B"/>
    <w:rsid w:val="001D1080"/>
    <w:rsid w:val="001D2DE1"/>
    <w:rsid w:val="001D338A"/>
    <w:rsid w:val="001D585B"/>
    <w:rsid w:val="001D6546"/>
    <w:rsid w:val="001E2975"/>
    <w:rsid w:val="001E3DFF"/>
    <w:rsid w:val="001E4AC2"/>
    <w:rsid w:val="001E4E62"/>
    <w:rsid w:val="001E50CF"/>
    <w:rsid w:val="001E520D"/>
    <w:rsid w:val="001E5FF2"/>
    <w:rsid w:val="001E7683"/>
    <w:rsid w:val="001E77E5"/>
    <w:rsid w:val="001F061B"/>
    <w:rsid w:val="001F0A8B"/>
    <w:rsid w:val="001F0CB4"/>
    <w:rsid w:val="001F0F67"/>
    <w:rsid w:val="001F3254"/>
    <w:rsid w:val="001F35EB"/>
    <w:rsid w:val="001F7931"/>
    <w:rsid w:val="00200D8E"/>
    <w:rsid w:val="00201659"/>
    <w:rsid w:val="00202571"/>
    <w:rsid w:val="0020284A"/>
    <w:rsid w:val="0020531D"/>
    <w:rsid w:val="0020675F"/>
    <w:rsid w:val="00207DB8"/>
    <w:rsid w:val="00210682"/>
    <w:rsid w:val="0021140A"/>
    <w:rsid w:val="00212379"/>
    <w:rsid w:val="002131AE"/>
    <w:rsid w:val="00214E60"/>
    <w:rsid w:val="00217B96"/>
    <w:rsid w:val="00221A7C"/>
    <w:rsid w:val="00221C3E"/>
    <w:rsid w:val="00222B25"/>
    <w:rsid w:val="002236DB"/>
    <w:rsid w:val="0022397A"/>
    <w:rsid w:val="00226F0B"/>
    <w:rsid w:val="002273C6"/>
    <w:rsid w:val="00227E44"/>
    <w:rsid w:val="00230BA4"/>
    <w:rsid w:val="0023191F"/>
    <w:rsid w:val="00235C6A"/>
    <w:rsid w:val="00237B46"/>
    <w:rsid w:val="00240F6E"/>
    <w:rsid w:val="00240FC9"/>
    <w:rsid w:val="00243E21"/>
    <w:rsid w:val="00244442"/>
    <w:rsid w:val="00244859"/>
    <w:rsid w:val="002472CB"/>
    <w:rsid w:val="00247750"/>
    <w:rsid w:val="002478BF"/>
    <w:rsid w:val="00251AFD"/>
    <w:rsid w:val="00253001"/>
    <w:rsid w:val="00255840"/>
    <w:rsid w:val="002628D2"/>
    <w:rsid w:val="00262B53"/>
    <w:rsid w:val="0027001F"/>
    <w:rsid w:val="002747C8"/>
    <w:rsid w:val="00275089"/>
    <w:rsid w:val="00280207"/>
    <w:rsid w:val="002803D6"/>
    <w:rsid w:val="00280FAB"/>
    <w:rsid w:val="00281B3B"/>
    <w:rsid w:val="00282675"/>
    <w:rsid w:val="00282927"/>
    <w:rsid w:val="002842CF"/>
    <w:rsid w:val="00284FEA"/>
    <w:rsid w:val="0028515D"/>
    <w:rsid w:val="00286E88"/>
    <w:rsid w:val="00287562"/>
    <w:rsid w:val="00290126"/>
    <w:rsid w:val="002901BA"/>
    <w:rsid w:val="00291A48"/>
    <w:rsid w:val="00292944"/>
    <w:rsid w:val="00294E56"/>
    <w:rsid w:val="00296C96"/>
    <w:rsid w:val="00296D99"/>
    <w:rsid w:val="002A0624"/>
    <w:rsid w:val="002A1280"/>
    <w:rsid w:val="002A13BE"/>
    <w:rsid w:val="002A284A"/>
    <w:rsid w:val="002A2E0F"/>
    <w:rsid w:val="002A521F"/>
    <w:rsid w:val="002A762C"/>
    <w:rsid w:val="002B10E2"/>
    <w:rsid w:val="002B3D3B"/>
    <w:rsid w:val="002B4DE9"/>
    <w:rsid w:val="002B5130"/>
    <w:rsid w:val="002B64B3"/>
    <w:rsid w:val="002B783A"/>
    <w:rsid w:val="002C14CB"/>
    <w:rsid w:val="002C1AD5"/>
    <w:rsid w:val="002C1D1B"/>
    <w:rsid w:val="002C231C"/>
    <w:rsid w:val="002C25E5"/>
    <w:rsid w:val="002C555D"/>
    <w:rsid w:val="002C608B"/>
    <w:rsid w:val="002C7765"/>
    <w:rsid w:val="002D1215"/>
    <w:rsid w:val="002D1893"/>
    <w:rsid w:val="002D1C84"/>
    <w:rsid w:val="002D22C4"/>
    <w:rsid w:val="002D54EB"/>
    <w:rsid w:val="002D585D"/>
    <w:rsid w:val="002D5F13"/>
    <w:rsid w:val="002D6207"/>
    <w:rsid w:val="002E1315"/>
    <w:rsid w:val="002E178B"/>
    <w:rsid w:val="002E22D0"/>
    <w:rsid w:val="002E247B"/>
    <w:rsid w:val="002E278A"/>
    <w:rsid w:val="002E2FF4"/>
    <w:rsid w:val="002E34B8"/>
    <w:rsid w:val="002E3554"/>
    <w:rsid w:val="002E512B"/>
    <w:rsid w:val="002E530A"/>
    <w:rsid w:val="002E7424"/>
    <w:rsid w:val="002F346E"/>
    <w:rsid w:val="002F63AD"/>
    <w:rsid w:val="002F7812"/>
    <w:rsid w:val="00301844"/>
    <w:rsid w:val="00301C41"/>
    <w:rsid w:val="0030533A"/>
    <w:rsid w:val="00306F85"/>
    <w:rsid w:val="0030712B"/>
    <w:rsid w:val="00314CDD"/>
    <w:rsid w:val="003152CF"/>
    <w:rsid w:val="00315F01"/>
    <w:rsid w:val="0031796F"/>
    <w:rsid w:val="00321A59"/>
    <w:rsid w:val="00323308"/>
    <w:rsid w:val="003255C8"/>
    <w:rsid w:val="003261BA"/>
    <w:rsid w:val="00326B0E"/>
    <w:rsid w:val="003303BD"/>
    <w:rsid w:val="00331A69"/>
    <w:rsid w:val="00331D27"/>
    <w:rsid w:val="0033369B"/>
    <w:rsid w:val="00334A9A"/>
    <w:rsid w:val="0033549D"/>
    <w:rsid w:val="00335817"/>
    <w:rsid w:val="00337C3E"/>
    <w:rsid w:val="00337D35"/>
    <w:rsid w:val="003406F7"/>
    <w:rsid w:val="00340972"/>
    <w:rsid w:val="00341010"/>
    <w:rsid w:val="00341147"/>
    <w:rsid w:val="00343B26"/>
    <w:rsid w:val="00344F4F"/>
    <w:rsid w:val="00345F45"/>
    <w:rsid w:val="00350D8F"/>
    <w:rsid w:val="00352572"/>
    <w:rsid w:val="00352A1A"/>
    <w:rsid w:val="00352F01"/>
    <w:rsid w:val="00353380"/>
    <w:rsid w:val="00354CD0"/>
    <w:rsid w:val="00355886"/>
    <w:rsid w:val="00355BCA"/>
    <w:rsid w:val="00355E68"/>
    <w:rsid w:val="00355EEE"/>
    <w:rsid w:val="00356A04"/>
    <w:rsid w:val="003606F7"/>
    <w:rsid w:val="003617FB"/>
    <w:rsid w:val="00361D03"/>
    <w:rsid w:val="00364CD4"/>
    <w:rsid w:val="00364D0C"/>
    <w:rsid w:val="00365880"/>
    <w:rsid w:val="00365F5A"/>
    <w:rsid w:val="003664D8"/>
    <w:rsid w:val="00366BC4"/>
    <w:rsid w:val="0037064C"/>
    <w:rsid w:val="00370C37"/>
    <w:rsid w:val="00376111"/>
    <w:rsid w:val="003806D8"/>
    <w:rsid w:val="00380E1C"/>
    <w:rsid w:val="00381E50"/>
    <w:rsid w:val="00383863"/>
    <w:rsid w:val="00383D48"/>
    <w:rsid w:val="0039097A"/>
    <w:rsid w:val="00391006"/>
    <w:rsid w:val="003933F0"/>
    <w:rsid w:val="003937A6"/>
    <w:rsid w:val="003A1011"/>
    <w:rsid w:val="003A471C"/>
    <w:rsid w:val="003A5B2B"/>
    <w:rsid w:val="003B0499"/>
    <w:rsid w:val="003B2B56"/>
    <w:rsid w:val="003B3DAA"/>
    <w:rsid w:val="003B4A8C"/>
    <w:rsid w:val="003B4CFE"/>
    <w:rsid w:val="003B60D0"/>
    <w:rsid w:val="003B7786"/>
    <w:rsid w:val="003B7B59"/>
    <w:rsid w:val="003C183F"/>
    <w:rsid w:val="003C3827"/>
    <w:rsid w:val="003C5194"/>
    <w:rsid w:val="003D025E"/>
    <w:rsid w:val="003D34B5"/>
    <w:rsid w:val="003D4CC8"/>
    <w:rsid w:val="003D7E5E"/>
    <w:rsid w:val="003E0EF2"/>
    <w:rsid w:val="003E24DB"/>
    <w:rsid w:val="003E2C02"/>
    <w:rsid w:val="003E3501"/>
    <w:rsid w:val="003E368F"/>
    <w:rsid w:val="003E3CD0"/>
    <w:rsid w:val="003E3E12"/>
    <w:rsid w:val="003F0176"/>
    <w:rsid w:val="003F27E8"/>
    <w:rsid w:val="003F3DA8"/>
    <w:rsid w:val="003F5492"/>
    <w:rsid w:val="003F5EE6"/>
    <w:rsid w:val="003F5F1A"/>
    <w:rsid w:val="004004AE"/>
    <w:rsid w:val="004014B7"/>
    <w:rsid w:val="00401D9C"/>
    <w:rsid w:val="00403950"/>
    <w:rsid w:val="00404C29"/>
    <w:rsid w:val="00410289"/>
    <w:rsid w:val="00412060"/>
    <w:rsid w:val="004130AF"/>
    <w:rsid w:val="004151B7"/>
    <w:rsid w:val="00423802"/>
    <w:rsid w:val="00424E16"/>
    <w:rsid w:val="004250DB"/>
    <w:rsid w:val="004265D0"/>
    <w:rsid w:val="004268CD"/>
    <w:rsid w:val="00431C43"/>
    <w:rsid w:val="00432622"/>
    <w:rsid w:val="0043386C"/>
    <w:rsid w:val="00433B2F"/>
    <w:rsid w:val="00433E9E"/>
    <w:rsid w:val="00433FF2"/>
    <w:rsid w:val="004362A7"/>
    <w:rsid w:val="004375D9"/>
    <w:rsid w:val="004375FD"/>
    <w:rsid w:val="00441ADC"/>
    <w:rsid w:val="00441EC0"/>
    <w:rsid w:val="00443DCF"/>
    <w:rsid w:val="00444B20"/>
    <w:rsid w:val="004464B7"/>
    <w:rsid w:val="004500A0"/>
    <w:rsid w:val="004526B7"/>
    <w:rsid w:val="00452CC4"/>
    <w:rsid w:val="00453640"/>
    <w:rsid w:val="00455862"/>
    <w:rsid w:val="00457000"/>
    <w:rsid w:val="00462E5E"/>
    <w:rsid w:val="00464C00"/>
    <w:rsid w:val="00471F87"/>
    <w:rsid w:val="004742A6"/>
    <w:rsid w:val="00474CDC"/>
    <w:rsid w:val="004757DF"/>
    <w:rsid w:val="004764B0"/>
    <w:rsid w:val="004836F3"/>
    <w:rsid w:val="00484AFB"/>
    <w:rsid w:val="004859CF"/>
    <w:rsid w:val="0048741F"/>
    <w:rsid w:val="0049060D"/>
    <w:rsid w:val="004933C3"/>
    <w:rsid w:val="004938F6"/>
    <w:rsid w:val="004945B8"/>
    <w:rsid w:val="00494DB9"/>
    <w:rsid w:val="00496030"/>
    <w:rsid w:val="004A020C"/>
    <w:rsid w:val="004A1065"/>
    <w:rsid w:val="004A1947"/>
    <w:rsid w:val="004A33D9"/>
    <w:rsid w:val="004A36CF"/>
    <w:rsid w:val="004A5BA2"/>
    <w:rsid w:val="004A6BDD"/>
    <w:rsid w:val="004B214D"/>
    <w:rsid w:val="004B37E8"/>
    <w:rsid w:val="004B4217"/>
    <w:rsid w:val="004B4266"/>
    <w:rsid w:val="004B456F"/>
    <w:rsid w:val="004B45D5"/>
    <w:rsid w:val="004B4B02"/>
    <w:rsid w:val="004B5449"/>
    <w:rsid w:val="004B5EED"/>
    <w:rsid w:val="004B6570"/>
    <w:rsid w:val="004B740C"/>
    <w:rsid w:val="004C0088"/>
    <w:rsid w:val="004C542E"/>
    <w:rsid w:val="004C74FF"/>
    <w:rsid w:val="004D0F18"/>
    <w:rsid w:val="004D1209"/>
    <w:rsid w:val="004D1C0A"/>
    <w:rsid w:val="004D25B6"/>
    <w:rsid w:val="004D301F"/>
    <w:rsid w:val="004D3116"/>
    <w:rsid w:val="004D3DD9"/>
    <w:rsid w:val="004D5FD4"/>
    <w:rsid w:val="004D6CAB"/>
    <w:rsid w:val="004D7F60"/>
    <w:rsid w:val="004E13CA"/>
    <w:rsid w:val="004E209D"/>
    <w:rsid w:val="004E227C"/>
    <w:rsid w:val="004E3505"/>
    <w:rsid w:val="004E4053"/>
    <w:rsid w:val="004E5A4A"/>
    <w:rsid w:val="004E5D36"/>
    <w:rsid w:val="004E7A87"/>
    <w:rsid w:val="004F4376"/>
    <w:rsid w:val="004F4E85"/>
    <w:rsid w:val="004F5B8D"/>
    <w:rsid w:val="004F72E3"/>
    <w:rsid w:val="004F788B"/>
    <w:rsid w:val="004F7F86"/>
    <w:rsid w:val="0050083F"/>
    <w:rsid w:val="00500E68"/>
    <w:rsid w:val="00501713"/>
    <w:rsid w:val="005034E3"/>
    <w:rsid w:val="00503612"/>
    <w:rsid w:val="005036D9"/>
    <w:rsid w:val="00503A03"/>
    <w:rsid w:val="00504678"/>
    <w:rsid w:val="00504725"/>
    <w:rsid w:val="00505009"/>
    <w:rsid w:val="0050549B"/>
    <w:rsid w:val="00506BB5"/>
    <w:rsid w:val="00506FBF"/>
    <w:rsid w:val="00507700"/>
    <w:rsid w:val="00511B51"/>
    <w:rsid w:val="00511BC2"/>
    <w:rsid w:val="00512581"/>
    <w:rsid w:val="00515069"/>
    <w:rsid w:val="00515232"/>
    <w:rsid w:val="005173BF"/>
    <w:rsid w:val="0051757A"/>
    <w:rsid w:val="0052085A"/>
    <w:rsid w:val="005210F4"/>
    <w:rsid w:val="00521A4C"/>
    <w:rsid w:val="00521B8F"/>
    <w:rsid w:val="00521CA7"/>
    <w:rsid w:val="005228BD"/>
    <w:rsid w:val="00523F85"/>
    <w:rsid w:val="00524900"/>
    <w:rsid w:val="00525527"/>
    <w:rsid w:val="00526696"/>
    <w:rsid w:val="00527E56"/>
    <w:rsid w:val="005301C5"/>
    <w:rsid w:val="005379AE"/>
    <w:rsid w:val="00537A60"/>
    <w:rsid w:val="00537DCA"/>
    <w:rsid w:val="00540624"/>
    <w:rsid w:val="0054101F"/>
    <w:rsid w:val="005432A5"/>
    <w:rsid w:val="00543F82"/>
    <w:rsid w:val="005470DF"/>
    <w:rsid w:val="0055051A"/>
    <w:rsid w:val="005507E6"/>
    <w:rsid w:val="005512D7"/>
    <w:rsid w:val="00551838"/>
    <w:rsid w:val="00551C8D"/>
    <w:rsid w:val="00552B2E"/>
    <w:rsid w:val="005550C1"/>
    <w:rsid w:val="00555704"/>
    <w:rsid w:val="005575AD"/>
    <w:rsid w:val="00557FD6"/>
    <w:rsid w:val="005623B2"/>
    <w:rsid w:val="0056390D"/>
    <w:rsid w:val="00566129"/>
    <w:rsid w:val="0056628D"/>
    <w:rsid w:val="00570ABA"/>
    <w:rsid w:val="00574603"/>
    <w:rsid w:val="00575579"/>
    <w:rsid w:val="0057644C"/>
    <w:rsid w:val="005775AE"/>
    <w:rsid w:val="0058058F"/>
    <w:rsid w:val="00582244"/>
    <w:rsid w:val="00583010"/>
    <w:rsid w:val="00583AEE"/>
    <w:rsid w:val="00584160"/>
    <w:rsid w:val="0058626B"/>
    <w:rsid w:val="00586815"/>
    <w:rsid w:val="00591293"/>
    <w:rsid w:val="0059239B"/>
    <w:rsid w:val="005925A8"/>
    <w:rsid w:val="005A1397"/>
    <w:rsid w:val="005A34B8"/>
    <w:rsid w:val="005A35FF"/>
    <w:rsid w:val="005A4646"/>
    <w:rsid w:val="005A51DC"/>
    <w:rsid w:val="005A523B"/>
    <w:rsid w:val="005A5AE5"/>
    <w:rsid w:val="005A6CE6"/>
    <w:rsid w:val="005A7676"/>
    <w:rsid w:val="005B1413"/>
    <w:rsid w:val="005B1A8A"/>
    <w:rsid w:val="005B1B94"/>
    <w:rsid w:val="005B25DD"/>
    <w:rsid w:val="005B2998"/>
    <w:rsid w:val="005B4D33"/>
    <w:rsid w:val="005B7B5A"/>
    <w:rsid w:val="005B7BFE"/>
    <w:rsid w:val="005C080F"/>
    <w:rsid w:val="005C1C08"/>
    <w:rsid w:val="005C3651"/>
    <w:rsid w:val="005C4C6B"/>
    <w:rsid w:val="005C6B31"/>
    <w:rsid w:val="005D0A9A"/>
    <w:rsid w:val="005D140C"/>
    <w:rsid w:val="005D3168"/>
    <w:rsid w:val="005D3D0D"/>
    <w:rsid w:val="005D4D67"/>
    <w:rsid w:val="005D5285"/>
    <w:rsid w:val="005D5467"/>
    <w:rsid w:val="005D7D29"/>
    <w:rsid w:val="005D7F1F"/>
    <w:rsid w:val="005E3412"/>
    <w:rsid w:val="005E490C"/>
    <w:rsid w:val="005E7449"/>
    <w:rsid w:val="005E76AA"/>
    <w:rsid w:val="005F03C0"/>
    <w:rsid w:val="005F2C63"/>
    <w:rsid w:val="005F5E0B"/>
    <w:rsid w:val="005F5E2C"/>
    <w:rsid w:val="005F6C59"/>
    <w:rsid w:val="006004D2"/>
    <w:rsid w:val="00600DDE"/>
    <w:rsid w:val="00601E3A"/>
    <w:rsid w:val="00601EFE"/>
    <w:rsid w:val="0060702F"/>
    <w:rsid w:val="006121C6"/>
    <w:rsid w:val="006123BC"/>
    <w:rsid w:val="00612B92"/>
    <w:rsid w:val="006136C3"/>
    <w:rsid w:val="0061559B"/>
    <w:rsid w:val="00623318"/>
    <w:rsid w:val="00625A35"/>
    <w:rsid w:val="006273CB"/>
    <w:rsid w:val="006278A0"/>
    <w:rsid w:val="00630C42"/>
    <w:rsid w:val="0063388B"/>
    <w:rsid w:val="00641881"/>
    <w:rsid w:val="006418CD"/>
    <w:rsid w:val="006418DA"/>
    <w:rsid w:val="006446A1"/>
    <w:rsid w:val="00646C30"/>
    <w:rsid w:val="00650476"/>
    <w:rsid w:val="00650D82"/>
    <w:rsid w:val="00650E71"/>
    <w:rsid w:val="006523B9"/>
    <w:rsid w:val="00652641"/>
    <w:rsid w:val="00653043"/>
    <w:rsid w:val="00654B8B"/>
    <w:rsid w:val="0065508E"/>
    <w:rsid w:val="00660AF3"/>
    <w:rsid w:val="00664881"/>
    <w:rsid w:val="00665745"/>
    <w:rsid w:val="0066740D"/>
    <w:rsid w:val="00667CB4"/>
    <w:rsid w:val="00670151"/>
    <w:rsid w:val="006707EF"/>
    <w:rsid w:val="006759C7"/>
    <w:rsid w:val="006761F1"/>
    <w:rsid w:val="00677349"/>
    <w:rsid w:val="00677EB6"/>
    <w:rsid w:val="00681E38"/>
    <w:rsid w:val="00682336"/>
    <w:rsid w:val="0068737E"/>
    <w:rsid w:val="0069052B"/>
    <w:rsid w:val="00690C5C"/>
    <w:rsid w:val="00690F82"/>
    <w:rsid w:val="006910A2"/>
    <w:rsid w:val="00691DDB"/>
    <w:rsid w:val="00693D94"/>
    <w:rsid w:val="0069613F"/>
    <w:rsid w:val="006966DD"/>
    <w:rsid w:val="006A283B"/>
    <w:rsid w:val="006A31C7"/>
    <w:rsid w:val="006A3C6D"/>
    <w:rsid w:val="006A5084"/>
    <w:rsid w:val="006A6609"/>
    <w:rsid w:val="006A68C2"/>
    <w:rsid w:val="006A74FD"/>
    <w:rsid w:val="006A7A3D"/>
    <w:rsid w:val="006B0B70"/>
    <w:rsid w:val="006B10F3"/>
    <w:rsid w:val="006B195F"/>
    <w:rsid w:val="006B3437"/>
    <w:rsid w:val="006B3F42"/>
    <w:rsid w:val="006B47B0"/>
    <w:rsid w:val="006B4FBC"/>
    <w:rsid w:val="006B5C08"/>
    <w:rsid w:val="006B5D28"/>
    <w:rsid w:val="006B702A"/>
    <w:rsid w:val="006C2295"/>
    <w:rsid w:val="006C257B"/>
    <w:rsid w:val="006C2E0B"/>
    <w:rsid w:val="006C560A"/>
    <w:rsid w:val="006C5C22"/>
    <w:rsid w:val="006D16E2"/>
    <w:rsid w:val="006D2EB8"/>
    <w:rsid w:val="006D3316"/>
    <w:rsid w:val="006D4F6E"/>
    <w:rsid w:val="006D6B0E"/>
    <w:rsid w:val="006D78DC"/>
    <w:rsid w:val="006E0C90"/>
    <w:rsid w:val="006E345D"/>
    <w:rsid w:val="006E5DEE"/>
    <w:rsid w:val="006E7115"/>
    <w:rsid w:val="006F210C"/>
    <w:rsid w:val="006F37B1"/>
    <w:rsid w:val="006F3BCB"/>
    <w:rsid w:val="006F4C9F"/>
    <w:rsid w:val="006F58FB"/>
    <w:rsid w:val="006F6FD5"/>
    <w:rsid w:val="006F7FC8"/>
    <w:rsid w:val="007004E6"/>
    <w:rsid w:val="00700901"/>
    <w:rsid w:val="00701D95"/>
    <w:rsid w:val="007027D0"/>
    <w:rsid w:val="00703B6C"/>
    <w:rsid w:val="007049D8"/>
    <w:rsid w:val="00707365"/>
    <w:rsid w:val="0071064A"/>
    <w:rsid w:val="00710657"/>
    <w:rsid w:val="00710C2D"/>
    <w:rsid w:val="00711BCE"/>
    <w:rsid w:val="00713EA1"/>
    <w:rsid w:val="00714CDE"/>
    <w:rsid w:val="00717DF2"/>
    <w:rsid w:val="007205AA"/>
    <w:rsid w:val="007205AE"/>
    <w:rsid w:val="00720C85"/>
    <w:rsid w:val="00720ED0"/>
    <w:rsid w:val="00721A56"/>
    <w:rsid w:val="00721D9F"/>
    <w:rsid w:val="0072341E"/>
    <w:rsid w:val="007261BB"/>
    <w:rsid w:val="0072625E"/>
    <w:rsid w:val="00730D1A"/>
    <w:rsid w:val="0073184B"/>
    <w:rsid w:val="00732B59"/>
    <w:rsid w:val="00732CF8"/>
    <w:rsid w:val="00732FAC"/>
    <w:rsid w:val="00733253"/>
    <w:rsid w:val="00733C8C"/>
    <w:rsid w:val="007344C9"/>
    <w:rsid w:val="007362A2"/>
    <w:rsid w:val="00736C5F"/>
    <w:rsid w:val="00741B66"/>
    <w:rsid w:val="00743E27"/>
    <w:rsid w:val="0074414D"/>
    <w:rsid w:val="00747BF7"/>
    <w:rsid w:val="007512B9"/>
    <w:rsid w:val="007513C1"/>
    <w:rsid w:val="007523EC"/>
    <w:rsid w:val="00755716"/>
    <w:rsid w:val="007574CD"/>
    <w:rsid w:val="00761FAD"/>
    <w:rsid w:val="00766BB3"/>
    <w:rsid w:val="007673C2"/>
    <w:rsid w:val="007714DF"/>
    <w:rsid w:val="00771759"/>
    <w:rsid w:val="00774943"/>
    <w:rsid w:val="007754D9"/>
    <w:rsid w:val="00776B9D"/>
    <w:rsid w:val="00776F7E"/>
    <w:rsid w:val="0077735F"/>
    <w:rsid w:val="007826BA"/>
    <w:rsid w:val="007831F1"/>
    <w:rsid w:val="00783697"/>
    <w:rsid w:val="00783C68"/>
    <w:rsid w:val="0078457A"/>
    <w:rsid w:val="00790B0B"/>
    <w:rsid w:val="0079106F"/>
    <w:rsid w:val="007915B9"/>
    <w:rsid w:val="0079212D"/>
    <w:rsid w:val="0079508F"/>
    <w:rsid w:val="00796EA2"/>
    <w:rsid w:val="007A055F"/>
    <w:rsid w:val="007A06C2"/>
    <w:rsid w:val="007A2AC0"/>
    <w:rsid w:val="007A34CE"/>
    <w:rsid w:val="007A48C0"/>
    <w:rsid w:val="007A4AA2"/>
    <w:rsid w:val="007A65F2"/>
    <w:rsid w:val="007A67D3"/>
    <w:rsid w:val="007A74E5"/>
    <w:rsid w:val="007A77C1"/>
    <w:rsid w:val="007B0A51"/>
    <w:rsid w:val="007B0EC3"/>
    <w:rsid w:val="007B20DE"/>
    <w:rsid w:val="007B33A6"/>
    <w:rsid w:val="007B4516"/>
    <w:rsid w:val="007B77B6"/>
    <w:rsid w:val="007B7A9A"/>
    <w:rsid w:val="007C122B"/>
    <w:rsid w:val="007C1CB0"/>
    <w:rsid w:val="007C2419"/>
    <w:rsid w:val="007C38A1"/>
    <w:rsid w:val="007C4E62"/>
    <w:rsid w:val="007C53B0"/>
    <w:rsid w:val="007C663C"/>
    <w:rsid w:val="007C72DF"/>
    <w:rsid w:val="007D1DCF"/>
    <w:rsid w:val="007D239B"/>
    <w:rsid w:val="007D289B"/>
    <w:rsid w:val="007D363A"/>
    <w:rsid w:val="007D37F0"/>
    <w:rsid w:val="007D3BC1"/>
    <w:rsid w:val="007D6249"/>
    <w:rsid w:val="007D72BE"/>
    <w:rsid w:val="007D7DF3"/>
    <w:rsid w:val="007D7F74"/>
    <w:rsid w:val="007E1245"/>
    <w:rsid w:val="007E161D"/>
    <w:rsid w:val="007E3883"/>
    <w:rsid w:val="007E4BE3"/>
    <w:rsid w:val="007E5E7F"/>
    <w:rsid w:val="007E7DD6"/>
    <w:rsid w:val="007F0A98"/>
    <w:rsid w:val="007F11EB"/>
    <w:rsid w:val="007F1BDD"/>
    <w:rsid w:val="007F739C"/>
    <w:rsid w:val="008008B8"/>
    <w:rsid w:val="00800971"/>
    <w:rsid w:val="00802350"/>
    <w:rsid w:val="00802921"/>
    <w:rsid w:val="00802E6A"/>
    <w:rsid w:val="008146E8"/>
    <w:rsid w:val="00814EFC"/>
    <w:rsid w:val="0081519A"/>
    <w:rsid w:val="008169E5"/>
    <w:rsid w:val="00817288"/>
    <w:rsid w:val="008173F6"/>
    <w:rsid w:val="008175A2"/>
    <w:rsid w:val="00820931"/>
    <w:rsid w:val="00820E38"/>
    <w:rsid w:val="00821C14"/>
    <w:rsid w:val="008228E6"/>
    <w:rsid w:val="00822981"/>
    <w:rsid w:val="00822CF9"/>
    <w:rsid w:val="008234C7"/>
    <w:rsid w:val="00823A9F"/>
    <w:rsid w:val="0082447E"/>
    <w:rsid w:val="00824AAD"/>
    <w:rsid w:val="00824F73"/>
    <w:rsid w:val="008260A4"/>
    <w:rsid w:val="00830178"/>
    <w:rsid w:val="00830BDA"/>
    <w:rsid w:val="00832A63"/>
    <w:rsid w:val="008360B1"/>
    <w:rsid w:val="00842112"/>
    <w:rsid w:val="00843462"/>
    <w:rsid w:val="0084354B"/>
    <w:rsid w:val="00843720"/>
    <w:rsid w:val="0084384B"/>
    <w:rsid w:val="0084384E"/>
    <w:rsid w:val="00843CAD"/>
    <w:rsid w:val="00843F3D"/>
    <w:rsid w:val="00844FAD"/>
    <w:rsid w:val="00847BE4"/>
    <w:rsid w:val="008501B1"/>
    <w:rsid w:val="00850A8C"/>
    <w:rsid w:val="00850D36"/>
    <w:rsid w:val="00853118"/>
    <w:rsid w:val="00856FD9"/>
    <w:rsid w:val="00857EF2"/>
    <w:rsid w:val="00862822"/>
    <w:rsid w:val="00863244"/>
    <w:rsid w:val="00863489"/>
    <w:rsid w:val="0086354C"/>
    <w:rsid w:val="0086377D"/>
    <w:rsid w:val="00863EE9"/>
    <w:rsid w:val="00865471"/>
    <w:rsid w:val="00866363"/>
    <w:rsid w:val="00866DFD"/>
    <w:rsid w:val="008706AD"/>
    <w:rsid w:val="00870DA3"/>
    <w:rsid w:val="0087240C"/>
    <w:rsid w:val="00872C45"/>
    <w:rsid w:val="00873BC4"/>
    <w:rsid w:val="00875516"/>
    <w:rsid w:val="00875DFB"/>
    <w:rsid w:val="0087693F"/>
    <w:rsid w:val="0087712A"/>
    <w:rsid w:val="00882391"/>
    <w:rsid w:val="00883AEE"/>
    <w:rsid w:val="00884939"/>
    <w:rsid w:val="008853B6"/>
    <w:rsid w:val="00885AE7"/>
    <w:rsid w:val="00886762"/>
    <w:rsid w:val="00886C5D"/>
    <w:rsid w:val="008871F0"/>
    <w:rsid w:val="00891006"/>
    <w:rsid w:val="008912DC"/>
    <w:rsid w:val="008942F6"/>
    <w:rsid w:val="008954E6"/>
    <w:rsid w:val="0089625F"/>
    <w:rsid w:val="00896D9E"/>
    <w:rsid w:val="00897AE6"/>
    <w:rsid w:val="008A0433"/>
    <w:rsid w:val="008A2394"/>
    <w:rsid w:val="008B0291"/>
    <w:rsid w:val="008B141D"/>
    <w:rsid w:val="008B2C0D"/>
    <w:rsid w:val="008B5E0D"/>
    <w:rsid w:val="008B6893"/>
    <w:rsid w:val="008B6ADF"/>
    <w:rsid w:val="008B6BE5"/>
    <w:rsid w:val="008B7964"/>
    <w:rsid w:val="008C336F"/>
    <w:rsid w:val="008C36D5"/>
    <w:rsid w:val="008C57A1"/>
    <w:rsid w:val="008D06B7"/>
    <w:rsid w:val="008D0C0F"/>
    <w:rsid w:val="008D3040"/>
    <w:rsid w:val="008D44DD"/>
    <w:rsid w:val="008D64AE"/>
    <w:rsid w:val="008D722D"/>
    <w:rsid w:val="008D7E81"/>
    <w:rsid w:val="008E1C0F"/>
    <w:rsid w:val="008E4F7F"/>
    <w:rsid w:val="008E6BD9"/>
    <w:rsid w:val="008E71F4"/>
    <w:rsid w:val="008E7582"/>
    <w:rsid w:val="008F0F42"/>
    <w:rsid w:val="008F0FF4"/>
    <w:rsid w:val="008F1242"/>
    <w:rsid w:val="008F143F"/>
    <w:rsid w:val="008F3095"/>
    <w:rsid w:val="008F3A27"/>
    <w:rsid w:val="008F7AE8"/>
    <w:rsid w:val="00900572"/>
    <w:rsid w:val="00905B6D"/>
    <w:rsid w:val="00905BB9"/>
    <w:rsid w:val="00911F47"/>
    <w:rsid w:val="00914EA4"/>
    <w:rsid w:val="00915503"/>
    <w:rsid w:val="00915667"/>
    <w:rsid w:val="00916B6B"/>
    <w:rsid w:val="00920143"/>
    <w:rsid w:val="00924C45"/>
    <w:rsid w:val="00924D90"/>
    <w:rsid w:val="009259FD"/>
    <w:rsid w:val="00926721"/>
    <w:rsid w:val="0093017B"/>
    <w:rsid w:val="009310CE"/>
    <w:rsid w:val="00932E12"/>
    <w:rsid w:val="0093656C"/>
    <w:rsid w:val="009369A3"/>
    <w:rsid w:val="00940C87"/>
    <w:rsid w:val="00941F19"/>
    <w:rsid w:val="00942616"/>
    <w:rsid w:val="009438C4"/>
    <w:rsid w:val="00944CF9"/>
    <w:rsid w:val="009450FD"/>
    <w:rsid w:val="00945D40"/>
    <w:rsid w:val="00946883"/>
    <w:rsid w:val="00950BE3"/>
    <w:rsid w:val="00950BF7"/>
    <w:rsid w:val="00953000"/>
    <w:rsid w:val="00953662"/>
    <w:rsid w:val="00953FB8"/>
    <w:rsid w:val="009542B1"/>
    <w:rsid w:val="0095473E"/>
    <w:rsid w:val="00955EA6"/>
    <w:rsid w:val="009561D2"/>
    <w:rsid w:val="009576AB"/>
    <w:rsid w:val="0096305A"/>
    <w:rsid w:val="0096334A"/>
    <w:rsid w:val="00963538"/>
    <w:rsid w:val="00965A38"/>
    <w:rsid w:val="00965F56"/>
    <w:rsid w:val="00970006"/>
    <w:rsid w:val="0097050A"/>
    <w:rsid w:val="00971D42"/>
    <w:rsid w:val="009729DB"/>
    <w:rsid w:val="00975792"/>
    <w:rsid w:val="00975CCE"/>
    <w:rsid w:val="00975F74"/>
    <w:rsid w:val="009772A9"/>
    <w:rsid w:val="009811A4"/>
    <w:rsid w:val="0098232A"/>
    <w:rsid w:val="0098284A"/>
    <w:rsid w:val="00982DAC"/>
    <w:rsid w:val="00987DB9"/>
    <w:rsid w:val="009934AE"/>
    <w:rsid w:val="009944A5"/>
    <w:rsid w:val="00997CFB"/>
    <w:rsid w:val="009A045F"/>
    <w:rsid w:val="009A2EAF"/>
    <w:rsid w:val="009A54F1"/>
    <w:rsid w:val="009A721A"/>
    <w:rsid w:val="009B1150"/>
    <w:rsid w:val="009B1825"/>
    <w:rsid w:val="009B46AA"/>
    <w:rsid w:val="009B4952"/>
    <w:rsid w:val="009B5EBE"/>
    <w:rsid w:val="009B6CC2"/>
    <w:rsid w:val="009B7320"/>
    <w:rsid w:val="009C17EA"/>
    <w:rsid w:val="009C22FE"/>
    <w:rsid w:val="009C4FDE"/>
    <w:rsid w:val="009C5A65"/>
    <w:rsid w:val="009D3CC7"/>
    <w:rsid w:val="009D5795"/>
    <w:rsid w:val="009E115B"/>
    <w:rsid w:val="009E1DAF"/>
    <w:rsid w:val="009E1E31"/>
    <w:rsid w:val="009E2EB5"/>
    <w:rsid w:val="009E3446"/>
    <w:rsid w:val="009E4597"/>
    <w:rsid w:val="009E5281"/>
    <w:rsid w:val="009E5F75"/>
    <w:rsid w:val="009E63C8"/>
    <w:rsid w:val="009E68AD"/>
    <w:rsid w:val="009E6996"/>
    <w:rsid w:val="009F1337"/>
    <w:rsid w:val="009F345D"/>
    <w:rsid w:val="009F423E"/>
    <w:rsid w:val="009F558B"/>
    <w:rsid w:val="009F60A5"/>
    <w:rsid w:val="009F6295"/>
    <w:rsid w:val="009F67CD"/>
    <w:rsid w:val="00A006B6"/>
    <w:rsid w:val="00A01071"/>
    <w:rsid w:val="00A03101"/>
    <w:rsid w:val="00A04411"/>
    <w:rsid w:val="00A05B1B"/>
    <w:rsid w:val="00A063C1"/>
    <w:rsid w:val="00A06E51"/>
    <w:rsid w:val="00A100A0"/>
    <w:rsid w:val="00A12BF5"/>
    <w:rsid w:val="00A12E78"/>
    <w:rsid w:val="00A14810"/>
    <w:rsid w:val="00A15D8F"/>
    <w:rsid w:val="00A1757D"/>
    <w:rsid w:val="00A177EB"/>
    <w:rsid w:val="00A2043B"/>
    <w:rsid w:val="00A24C24"/>
    <w:rsid w:val="00A26F01"/>
    <w:rsid w:val="00A27165"/>
    <w:rsid w:val="00A275DD"/>
    <w:rsid w:val="00A277A1"/>
    <w:rsid w:val="00A30343"/>
    <w:rsid w:val="00A30E95"/>
    <w:rsid w:val="00A32739"/>
    <w:rsid w:val="00A331EA"/>
    <w:rsid w:val="00A3647E"/>
    <w:rsid w:val="00A36EB2"/>
    <w:rsid w:val="00A3774B"/>
    <w:rsid w:val="00A3782F"/>
    <w:rsid w:val="00A37AF3"/>
    <w:rsid w:val="00A40538"/>
    <w:rsid w:val="00A42AF4"/>
    <w:rsid w:val="00A43ACD"/>
    <w:rsid w:val="00A43B13"/>
    <w:rsid w:val="00A43DC5"/>
    <w:rsid w:val="00A44702"/>
    <w:rsid w:val="00A51053"/>
    <w:rsid w:val="00A5480E"/>
    <w:rsid w:val="00A559DC"/>
    <w:rsid w:val="00A572C2"/>
    <w:rsid w:val="00A574A3"/>
    <w:rsid w:val="00A60215"/>
    <w:rsid w:val="00A613C1"/>
    <w:rsid w:val="00A6201E"/>
    <w:rsid w:val="00A632AA"/>
    <w:rsid w:val="00A664DB"/>
    <w:rsid w:val="00A6675E"/>
    <w:rsid w:val="00A66FD9"/>
    <w:rsid w:val="00A7001D"/>
    <w:rsid w:val="00A729F7"/>
    <w:rsid w:val="00A730DC"/>
    <w:rsid w:val="00A73227"/>
    <w:rsid w:val="00A733B0"/>
    <w:rsid w:val="00A76A86"/>
    <w:rsid w:val="00A82406"/>
    <w:rsid w:val="00A8365B"/>
    <w:rsid w:val="00A85C6B"/>
    <w:rsid w:val="00A86542"/>
    <w:rsid w:val="00A87095"/>
    <w:rsid w:val="00A90490"/>
    <w:rsid w:val="00A91797"/>
    <w:rsid w:val="00A9255E"/>
    <w:rsid w:val="00A92C03"/>
    <w:rsid w:val="00A9309F"/>
    <w:rsid w:val="00A94F2D"/>
    <w:rsid w:val="00A9579A"/>
    <w:rsid w:val="00A96625"/>
    <w:rsid w:val="00AA0461"/>
    <w:rsid w:val="00AA0A56"/>
    <w:rsid w:val="00AA249A"/>
    <w:rsid w:val="00AA25C8"/>
    <w:rsid w:val="00AA334F"/>
    <w:rsid w:val="00AA5780"/>
    <w:rsid w:val="00AA68BC"/>
    <w:rsid w:val="00AA6BEC"/>
    <w:rsid w:val="00AB0D64"/>
    <w:rsid w:val="00AB3703"/>
    <w:rsid w:val="00AB38CD"/>
    <w:rsid w:val="00AB6241"/>
    <w:rsid w:val="00AB724C"/>
    <w:rsid w:val="00AC0DA2"/>
    <w:rsid w:val="00AC14F5"/>
    <w:rsid w:val="00AC1F04"/>
    <w:rsid w:val="00AC22FD"/>
    <w:rsid w:val="00AC3D9E"/>
    <w:rsid w:val="00AC3E96"/>
    <w:rsid w:val="00AC6858"/>
    <w:rsid w:val="00AC7409"/>
    <w:rsid w:val="00AD1E28"/>
    <w:rsid w:val="00AD2DBB"/>
    <w:rsid w:val="00AD3440"/>
    <w:rsid w:val="00AD4E68"/>
    <w:rsid w:val="00AD4ED2"/>
    <w:rsid w:val="00AD4F0C"/>
    <w:rsid w:val="00AD553B"/>
    <w:rsid w:val="00AD5F4A"/>
    <w:rsid w:val="00AD6862"/>
    <w:rsid w:val="00AD70AD"/>
    <w:rsid w:val="00AD7228"/>
    <w:rsid w:val="00AE001D"/>
    <w:rsid w:val="00AE0F49"/>
    <w:rsid w:val="00AE1E43"/>
    <w:rsid w:val="00AE3DD8"/>
    <w:rsid w:val="00AE454C"/>
    <w:rsid w:val="00AE4D2F"/>
    <w:rsid w:val="00AF3367"/>
    <w:rsid w:val="00AF4224"/>
    <w:rsid w:val="00AF60BF"/>
    <w:rsid w:val="00AF67A2"/>
    <w:rsid w:val="00AF6A3F"/>
    <w:rsid w:val="00AF7C41"/>
    <w:rsid w:val="00B00CEB"/>
    <w:rsid w:val="00B02AD4"/>
    <w:rsid w:val="00B04A32"/>
    <w:rsid w:val="00B04FC7"/>
    <w:rsid w:val="00B07A1E"/>
    <w:rsid w:val="00B103C8"/>
    <w:rsid w:val="00B111B3"/>
    <w:rsid w:val="00B113BC"/>
    <w:rsid w:val="00B12311"/>
    <w:rsid w:val="00B13365"/>
    <w:rsid w:val="00B1423D"/>
    <w:rsid w:val="00B14650"/>
    <w:rsid w:val="00B14A91"/>
    <w:rsid w:val="00B1558D"/>
    <w:rsid w:val="00B165CC"/>
    <w:rsid w:val="00B20254"/>
    <w:rsid w:val="00B204BE"/>
    <w:rsid w:val="00B23D71"/>
    <w:rsid w:val="00B2484B"/>
    <w:rsid w:val="00B254FE"/>
    <w:rsid w:val="00B26006"/>
    <w:rsid w:val="00B2606E"/>
    <w:rsid w:val="00B26C1B"/>
    <w:rsid w:val="00B27F1E"/>
    <w:rsid w:val="00B317F5"/>
    <w:rsid w:val="00B32EC7"/>
    <w:rsid w:val="00B33C95"/>
    <w:rsid w:val="00B34CA0"/>
    <w:rsid w:val="00B3779A"/>
    <w:rsid w:val="00B400E2"/>
    <w:rsid w:val="00B408A8"/>
    <w:rsid w:val="00B40CC0"/>
    <w:rsid w:val="00B41156"/>
    <w:rsid w:val="00B413DD"/>
    <w:rsid w:val="00B41A75"/>
    <w:rsid w:val="00B42527"/>
    <w:rsid w:val="00B42675"/>
    <w:rsid w:val="00B42BF6"/>
    <w:rsid w:val="00B42F8C"/>
    <w:rsid w:val="00B454FE"/>
    <w:rsid w:val="00B474B6"/>
    <w:rsid w:val="00B51876"/>
    <w:rsid w:val="00B51DAA"/>
    <w:rsid w:val="00B52A8F"/>
    <w:rsid w:val="00B54333"/>
    <w:rsid w:val="00B60A33"/>
    <w:rsid w:val="00B6398A"/>
    <w:rsid w:val="00B66FB2"/>
    <w:rsid w:val="00B67088"/>
    <w:rsid w:val="00B673FF"/>
    <w:rsid w:val="00B67756"/>
    <w:rsid w:val="00B679E2"/>
    <w:rsid w:val="00B72023"/>
    <w:rsid w:val="00B72508"/>
    <w:rsid w:val="00B72852"/>
    <w:rsid w:val="00B72C85"/>
    <w:rsid w:val="00B7315F"/>
    <w:rsid w:val="00B73D33"/>
    <w:rsid w:val="00B74E9B"/>
    <w:rsid w:val="00B75731"/>
    <w:rsid w:val="00B76878"/>
    <w:rsid w:val="00B77EFF"/>
    <w:rsid w:val="00B802C8"/>
    <w:rsid w:val="00B807F3"/>
    <w:rsid w:val="00B81057"/>
    <w:rsid w:val="00B81D3E"/>
    <w:rsid w:val="00B82093"/>
    <w:rsid w:val="00B8218E"/>
    <w:rsid w:val="00B83805"/>
    <w:rsid w:val="00B84F44"/>
    <w:rsid w:val="00B86567"/>
    <w:rsid w:val="00B87322"/>
    <w:rsid w:val="00B878B1"/>
    <w:rsid w:val="00B90FB5"/>
    <w:rsid w:val="00B918F7"/>
    <w:rsid w:val="00B95AEF"/>
    <w:rsid w:val="00B969B2"/>
    <w:rsid w:val="00B97138"/>
    <w:rsid w:val="00BA2B17"/>
    <w:rsid w:val="00BA2F54"/>
    <w:rsid w:val="00BA5A95"/>
    <w:rsid w:val="00BA5E47"/>
    <w:rsid w:val="00BB0805"/>
    <w:rsid w:val="00BB0F2A"/>
    <w:rsid w:val="00BB1BEB"/>
    <w:rsid w:val="00BB2A3B"/>
    <w:rsid w:val="00BB3022"/>
    <w:rsid w:val="00BB3E5A"/>
    <w:rsid w:val="00BB4D7D"/>
    <w:rsid w:val="00BB53B6"/>
    <w:rsid w:val="00BB593B"/>
    <w:rsid w:val="00BB5CCC"/>
    <w:rsid w:val="00BB686A"/>
    <w:rsid w:val="00BB74F4"/>
    <w:rsid w:val="00BB797A"/>
    <w:rsid w:val="00BC1144"/>
    <w:rsid w:val="00BC1903"/>
    <w:rsid w:val="00BC317F"/>
    <w:rsid w:val="00BC4370"/>
    <w:rsid w:val="00BC4B9F"/>
    <w:rsid w:val="00BC550C"/>
    <w:rsid w:val="00BC680B"/>
    <w:rsid w:val="00BD15F6"/>
    <w:rsid w:val="00BD3200"/>
    <w:rsid w:val="00BD3C09"/>
    <w:rsid w:val="00BD4204"/>
    <w:rsid w:val="00BD4D40"/>
    <w:rsid w:val="00BD52CC"/>
    <w:rsid w:val="00BD6650"/>
    <w:rsid w:val="00BD66DE"/>
    <w:rsid w:val="00BD7825"/>
    <w:rsid w:val="00BD7874"/>
    <w:rsid w:val="00BF0088"/>
    <w:rsid w:val="00BF0556"/>
    <w:rsid w:val="00BF10E4"/>
    <w:rsid w:val="00BF156B"/>
    <w:rsid w:val="00BF2816"/>
    <w:rsid w:val="00BF49D6"/>
    <w:rsid w:val="00BF5D83"/>
    <w:rsid w:val="00BF64FC"/>
    <w:rsid w:val="00C00728"/>
    <w:rsid w:val="00C0135E"/>
    <w:rsid w:val="00C0469D"/>
    <w:rsid w:val="00C04C2D"/>
    <w:rsid w:val="00C078D7"/>
    <w:rsid w:val="00C07D81"/>
    <w:rsid w:val="00C1080F"/>
    <w:rsid w:val="00C10E6F"/>
    <w:rsid w:val="00C13538"/>
    <w:rsid w:val="00C137E2"/>
    <w:rsid w:val="00C13CFF"/>
    <w:rsid w:val="00C13FD3"/>
    <w:rsid w:val="00C1668C"/>
    <w:rsid w:val="00C203ED"/>
    <w:rsid w:val="00C21F50"/>
    <w:rsid w:val="00C221E9"/>
    <w:rsid w:val="00C22C1B"/>
    <w:rsid w:val="00C22E6B"/>
    <w:rsid w:val="00C24A64"/>
    <w:rsid w:val="00C27DC3"/>
    <w:rsid w:val="00C309C8"/>
    <w:rsid w:val="00C31FC9"/>
    <w:rsid w:val="00C32460"/>
    <w:rsid w:val="00C40D78"/>
    <w:rsid w:val="00C42701"/>
    <w:rsid w:val="00C466C8"/>
    <w:rsid w:val="00C51B9F"/>
    <w:rsid w:val="00C51FB9"/>
    <w:rsid w:val="00C5352E"/>
    <w:rsid w:val="00C5402E"/>
    <w:rsid w:val="00C568B0"/>
    <w:rsid w:val="00C604C7"/>
    <w:rsid w:val="00C60DBF"/>
    <w:rsid w:val="00C616AE"/>
    <w:rsid w:val="00C641AC"/>
    <w:rsid w:val="00C64CA3"/>
    <w:rsid w:val="00C64F23"/>
    <w:rsid w:val="00C64F74"/>
    <w:rsid w:val="00C66059"/>
    <w:rsid w:val="00C66ECF"/>
    <w:rsid w:val="00C67E5A"/>
    <w:rsid w:val="00C72FC4"/>
    <w:rsid w:val="00C7317E"/>
    <w:rsid w:val="00C73BD9"/>
    <w:rsid w:val="00C76441"/>
    <w:rsid w:val="00C7758A"/>
    <w:rsid w:val="00C77D97"/>
    <w:rsid w:val="00C80213"/>
    <w:rsid w:val="00C8188C"/>
    <w:rsid w:val="00C83478"/>
    <w:rsid w:val="00C83A44"/>
    <w:rsid w:val="00C84415"/>
    <w:rsid w:val="00C86156"/>
    <w:rsid w:val="00C87A17"/>
    <w:rsid w:val="00C87BA2"/>
    <w:rsid w:val="00C9438E"/>
    <w:rsid w:val="00C95497"/>
    <w:rsid w:val="00C97F25"/>
    <w:rsid w:val="00CA05A4"/>
    <w:rsid w:val="00CA198E"/>
    <w:rsid w:val="00CA489E"/>
    <w:rsid w:val="00CA50CB"/>
    <w:rsid w:val="00CA7BDC"/>
    <w:rsid w:val="00CB05ED"/>
    <w:rsid w:val="00CB19E1"/>
    <w:rsid w:val="00CB1A15"/>
    <w:rsid w:val="00CB1DC8"/>
    <w:rsid w:val="00CB1E9A"/>
    <w:rsid w:val="00CB3052"/>
    <w:rsid w:val="00CB30BA"/>
    <w:rsid w:val="00CB3742"/>
    <w:rsid w:val="00CB3DB5"/>
    <w:rsid w:val="00CB5E77"/>
    <w:rsid w:val="00CC1B81"/>
    <w:rsid w:val="00CC2E46"/>
    <w:rsid w:val="00CC351C"/>
    <w:rsid w:val="00CC5093"/>
    <w:rsid w:val="00CC6941"/>
    <w:rsid w:val="00CC6DC4"/>
    <w:rsid w:val="00CC7DCA"/>
    <w:rsid w:val="00CD0CF7"/>
    <w:rsid w:val="00CD150A"/>
    <w:rsid w:val="00CD1BDD"/>
    <w:rsid w:val="00CD20E8"/>
    <w:rsid w:val="00CD3F19"/>
    <w:rsid w:val="00CD52B8"/>
    <w:rsid w:val="00CD566B"/>
    <w:rsid w:val="00CE0190"/>
    <w:rsid w:val="00CE06E3"/>
    <w:rsid w:val="00CE1542"/>
    <w:rsid w:val="00CE2033"/>
    <w:rsid w:val="00CE26E6"/>
    <w:rsid w:val="00CE37F0"/>
    <w:rsid w:val="00CE39B8"/>
    <w:rsid w:val="00CE3DDC"/>
    <w:rsid w:val="00CE5995"/>
    <w:rsid w:val="00CE5C6A"/>
    <w:rsid w:val="00CE5FB6"/>
    <w:rsid w:val="00CE5FC9"/>
    <w:rsid w:val="00CE70C7"/>
    <w:rsid w:val="00CE7121"/>
    <w:rsid w:val="00CE716C"/>
    <w:rsid w:val="00CE79AC"/>
    <w:rsid w:val="00CF03BC"/>
    <w:rsid w:val="00CF2ACC"/>
    <w:rsid w:val="00D01B23"/>
    <w:rsid w:val="00D0253B"/>
    <w:rsid w:val="00D031CE"/>
    <w:rsid w:val="00D037E7"/>
    <w:rsid w:val="00D05140"/>
    <w:rsid w:val="00D07F48"/>
    <w:rsid w:val="00D07FD7"/>
    <w:rsid w:val="00D1024F"/>
    <w:rsid w:val="00D10D3B"/>
    <w:rsid w:val="00D11EFF"/>
    <w:rsid w:val="00D126B7"/>
    <w:rsid w:val="00D12C42"/>
    <w:rsid w:val="00D136AF"/>
    <w:rsid w:val="00D13A57"/>
    <w:rsid w:val="00D14BAE"/>
    <w:rsid w:val="00D154B0"/>
    <w:rsid w:val="00D156EE"/>
    <w:rsid w:val="00D15E16"/>
    <w:rsid w:val="00D16758"/>
    <w:rsid w:val="00D16952"/>
    <w:rsid w:val="00D2156F"/>
    <w:rsid w:val="00D2241F"/>
    <w:rsid w:val="00D255E8"/>
    <w:rsid w:val="00D25D58"/>
    <w:rsid w:val="00D27A56"/>
    <w:rsid w:val="00D27E15"/>
    <w:rsid w:val="00D3025E"/>
    <w:rsid w:val="00D306CE"/>
    <w:rsid w:val="00D31351"/>
    <w:rsid w:val="00D37115"/>
    <w:rsid w:val="00D42920"/>
    <w:rsid w:val="00D440B5"/>
    <w:rsid w:val="00D45B23"/>
    <w:rsid w:val="00D4663D"/>
    <w:rsid w:val="00D47173"/>
    <w:rsid w:val="00D47830"/>
    <w:rsid w:val="00D52FA3"/>
    <w:rsid w:val="00D530AC"/>
    <w:rsid w:val="00D539F8"/>
    <w:rsid w:val="00D546C8"/>
    <w:rsid w:val="00D56F56"/>
    <w:rsid w:val="00D60639"/>
    <w:rsid w:val="00D6109E"/>
    <w:rsid w:val="00D61291"/>
    <w:rsid w:val="00D62829"/>
    <w:rsid w:val="00D62F43"/>
    <w:rsid w:val="00D64398"/>
    <w:rsid w:val="00D655F0"/>
    <w:rsid w:val="00D6688C"/>
    <w:rsid w:val="00D70C69"/>
    <w:rsid w:val="00D712F1"/>
    <w:rsid w:val="00D71A4F"/>
    <w:rsid w:val="00D72527"/>
    <w:rsid w:val="00D726AC"/>
    <w:rsid w:val="00D7351F"/>
    <w:rsid w:val="00D73E90"/>
    <w:rsid w:val="00D73FFD"/>
    <w:rsid w:val="00D80928"/>
    <w:rsid w:val="00D833BE"/>
    <w:rsid w:val="00D83C60"/>
    <w:rsid w:val="00D84084"/>
    <w:rsid w:val="00D86392"/>
    <w:rsid w:val="00D866A0"/>
    <w:rsid w:val="00D87700"/>
    <w:rsid w:val="00D90699"/>
    <w:rsid w:val="00D9331D"/>
    <w:rsid w:val="00DA08CD"/>
    <w:rsid w:val="00DA0CC3"/>
    <w:rsid w:val="00DA0E59"/>
    <w:rsid w:val="00DA25CC"/>
    <w:rsid w:val="00DA3425"/>
    <w:rsid w:val="00DA348A"/>
    <w:rsid w:val="00DA46D3"/>
    <w:rsid w:val="00DA5F97"/>
    <w:rsid w:val="00DA6AF4"/>
    <w:rsid w:val="00DA6DE1"/>
    <w:rsid w:val="00DB131C"/>
    <w:rsid w:val="00DB2403"/>
    <w:rsid w:val="00DB2B48"/>
    <w:rsid w:val="00DB3A43"/>
    <w:rsid w:val="00DB40E1"/>
    <w:rsid w:val="00DB456E"/>
    <w:rsid w:val="00DB4690"/>
    <w:rsid w:val="00DB7400"/>
    <w:rsid w:val="00DC0BB4"/>
    <w:rsid w:val="00DC336F"/>
    <w:rsid w:val="00DC3D6E"/>
    <w:rsid w:val="00DC4ECD"/>
    <w:rsid w:val="00DC5D46"/>
    <w:rsid w:val="00DC7313"/>
    <w:rsid w:val="00DD10B0"/>
    <w:rsid w:val="00DD28A4"/>
    <w:rsid w:val="00DD34A9"/>
    <w:rsid w:val="00DD6004"/>
    <w:rsid w:val="00DD63CB"/>
    <w:rsid w:val="00DD6AAE"/>
    <w:rsid w:val="00DE208B"/>
    <w:rsid w:val="00DE24CC"/>
    <w:rsid w:val="00DE3AC5"/>
    <w:rsid w:val="00DE45F0"/>
    <w:rsid w:val="00DE5F3B"/>
    <w:rsid w:val="00DE67EA"/>
    <w:rsid w:val="00DF2439"/>
    <w:rsid w:val="00DF3667"/>
    <w:rsid w:val="00DF4D5B"/>
    <w:rsid w:val="00DF7733"/>
    <w:rsid w:val="00E04A6B"/>
    <w:rsid w:val="00E06694"/>
    <w:rsid w:val="00E13160"/>
    <w:rsid w:val="00E13321"/>
    <w:rsid w:val="00E14BB0"/>
    <w:rsid w:val="00E14CA7"/>
    <w:rsid w:val="00E159F6"/>
    <w:rsid w:val="00E1602B"/>
    <w:rsid w:val="00E16F0A"/>
    <w:rsid w:val="00E17CDB"/>
    <w:rsid w:val="00E211E0"/>
    <w:rsid w:val="00E217C1"/>
    <w:rsid w:val="00E21937"/>
    <w:rsid w:val="00E21A92"/>
    <w:rsid w:val="00E224F4"/>
    <w:rsid w:val="00E228D6"/>
    <w:rsid w:val="00E22D79"/>
    <w:rsid w:val="00E306D4"/>
    <w:rsid w:val="00E30EC8"/>
    <w:rsid w:val="00E32022"/>
    <w:rsid w:val="00E322D9"/>
    <w:rsid w:val="00E37B80"/>
    <w:rsid w:val="00E40086"/>
    <w:rsid w:val="00E417E5"/>
    <w:rsid w:val="00E447B4"/>
    <w:rsid w:val="00E45847"/>
    <w:rsid w:val="00E45FFC"/>
    <w:rsid w:val="00E47781"/>
    <w:rsid w:val="00E503B5"/>
    <w:rsid w:val="00E507CB"/>
    <w:rsid w:val="00E51295"/>
    <w:rsid w:val="00E524CD"/>
    <w:rsid w:val="00E531F8"/>
    <w:rsid w:val="00E53E7A"/>
    <w:rsid w:val="00E57E03"/>
    <w:rsid w:val="00E60800"/>
    <w:rsid w:val="00E61335"/>
    <w:rsid w:val="00E61861"/>
    <w:rsid w:val="00E61E1F"/>
    <w:rsid w:val="00E62060"/>
    <w:rsid w:val="00E65DCD"/>
    <w:rsid w:val="00E76FFB"/>
    <w:rsid w:val="00E77095"/>
    <w:rsid w:val="00E77738"/>
    <w:rsid w:val="00E8243F"/>
    <w:rsid w:val="00E86DD7"/>
    <w:rsid w:val="00E9006C"/>
    <w:rsid w:val="00E93267"/>
    <w:rsid w:val="00E94BA9"/>
    <w:rsid w:val="00E9556C"/>
    <w:rsid w:val="00E96740"/>
    <w:rsid w:val="00E97B0D"/>
    <w:rsid w:val="00EA06E2"/>
    <w:rsid w:val="00EA2130"/>
    <w:rsid w:val="00EA2F48"/>
    <w:rsid w:val="00EA3AB7"/>
    <w:rsid w:val="00EA5CA0"/>
    <w:rsid w:val="00EA6CF1"/>
    <w:rsid w:val="00EB0B39"/>
    <w:rsid w:val="00EB1817"/>
    <w:rsid w:val="00EB1864"/>
    <w:rsid w:val="00EB1ADD"/>
    <w:rsid w:val="00EB28B5"/>
    <w:rsid w:val="00EB44ED"/>
    <w:rsid w:val="00EB5885"/>
    <w:rsid w:val="00EB63B4"/>
    <w:rsid w:val="00EB6BC3"/>
    <w:rsid w:val="00EC028C"/>
    <w:rsid w:val="00EC2A72"/>
    <w:rsid w:val="00EC2CD6"/>
    <w:rsid w:val="00EC3C4F"/>
    <w:rsid w:val="00EC628A"/>
    <w:rsid w:val="00EC71C3"/>
    <w:rsid w:val="00EC76B4"/>
    <w:rsid w:val="00ED0821"/>
    <w:rsid w:val="00ED1F17"/>
    <w:rsid w:val="00ED3A5E"/>
    <w:rsid w:val="00ED7611"/>
    <w:rsid w:val="00ED7EAF"/>
    <w:rsid w:val="00EE26CD"/>
    <w:rsid w:val="00EE7001"/>
    <w:rsid w:val="00EF1CB6"/>
    <w:rsid w:val="00EF4717"/>
    <w:rsid w:val="00EF4905"/>
    <w:rsid w:val="00EF55F7"/>
    <w:rsid w:val="00EF65E4"/>
    <w:rsid w:val="00EF7C2B"/>
    <w:rsid w:val="00F00D04"/>
    <w:rsid w:val="00F00FEC"/>
    <w:rsid w:val="00F013F5"/>
    <w:rsid w:val="00F01484"/>
    <w:rsid w:val="00F02E01"/>
    <w:rsid w:val="00F04BBD"/>
    <w:rsid w:val="00F051C0"/>
    <w:rsid w:val="00F076BD"/>
    <w:rsid w:val="00F103D2"/>
    <w:rsid w:val="00F109BE"/>
    <w:rsid w:val="00F10B6F"/>
    <w:rsid w:val="00F11128"/>
    <w:rsid w:val="00F119CB"/>
    <w:rsid w:val="00F11B1B"/>
    <w:rsid w:val="00F12241"/>
    <w:rsid w:val="00F14241"/>
    <w:rsid w:val="00F14BE0"/>
    <w:rsid w:val="00F16BFE"/>
    <w:rsid w:val="00F16DAA"/>
    <w:rsid w:val="00F2002C"/>
    <w:rsid w:val="00F20CD5"/>
    <w:rsid w:val="00F210B0"/>
    <w:rsid w:val="00F2144F"/>
    <w:rsid w:val="00F31AF6"/>
    <w:rsid w:val="00F31D5F"/>
    <w:rsid w:val="00F32DAB"/>
    <w:rsid w:val="00F34400"/>
    <w:rsid w:val="00F36A71"/>
    <w:rsid w:val="00F37389"/>
    <w:rsid w:val="00F42C16"/>
    <w:rsid w:val="00F42E7D"/>
    <w:rsid w:val="00F43D85"/>
    <w:rsid w:val="00F44700"/>
    <w:rsid w:val="00F44DE0"/>
    <w:rsid w:val="00F47893"/>
    <w:rsid w:val="00F50ED7"/>
    <w:rsid w:val="00F51649"/>
    <w:rsid w:val="00F51F67"/>
    <w:rsid w:val="00F53955"/>
    <w:rsid w:val="00F5661C"/>
    <w:rsid w:val="00F577A6"/>
    <w:rsid w:val="00F61FEB"/>
    <w:rsid w:val="00F62416"/>
    <w:rsid w:val="00F626A0"/>
    <w:rsid w:val="00F65131"/>
    <w:rsid w:val="00F65555"/>
    <w:rsid w:val="00F65BCB"/>
    <w:rsid w:val="00F70C58"/>
    <w:rsid w:val="00F757BF"/>
    <w:rsid w:val="00F761A5"/>
    <w:rsid w:val="00F80127"/>
    <w:rsid w:val="00F81041"/>
    <w:rsid w:val="00F81852"/>
    <w:rsid w:val="00F81D67"/>
    <w:rsid w:val="00F81FCD"/>
    <w:rsid w:val="00F82A07"/>
    <w:rsid w:val="00F8619D"/>
    <w:rsid w:val="00F86395"/>
    <w:rsid w:val="00F8783F"/>
    <w:rsid w:val="00F917BE"/>
    <w:rsid w:val="00F91CB8"/>
    <w:rsid w:val="00F92CFF"/>
    <w:rsid w:val="00F95EEA"/>
    <w:rsid w:val="00F96B73"/>
    <w:rsid w:val="00F97A07"/>
    <w:rsid w:val="00FA0496"/>
    <w:rsid w:val="00FA0AAD"/>
    <w:rsid w:val="00FA0E4B"/>
    <w:rsid w:val="00FA1C0F"/>
    <w:rsid w:val="00FA25A8"/>
    <w:rsid w:val="00FA3FAE"/>
    <w:rsid w:val="00FA42C6"/>
    <w:rsid w:val="00FA478D"/>
    <w:rsid w:val="00FA64B5"/>
    <w:rsid w:val="00FA6719"/>
    <w:rsid w:val="00FA72C2"/>
    <w:rsid w:val="00FA7DAC"/>
    <w:rsid w:val="00FB0956"/>
    <w:rsid w:val="00FB0C2D"/>
    <w:rsid w:val="00FB3667"/>
    <w:rsid w:val="00FB3D0F"/>
    <w:rsid w:val="00FB5E22"/>
    <w:rsid w:val="00FB6288"/>
    <w:rsid w:val="00FC2ABB"/>
    <w:rsid w:val="00FC2DCA"/>
    <w:rsid w:val="00FC407C"/>
    <w:rsid w:val="00FC440A"/>
    <w:rsid w:val="00FC4411"/>
    <w:rsid w:val="00FC4A6E"/>
    <w:rsid w:val="00FC5BF3"/>
    <w:rsid w:val="00FC6AE3"/>
    <w:rsid w:val="00FC71B1"/>
    <w:rsid w:val="00FC75B9"/>
    <w:rsid w:val="00FD179B"/>
    <w:rsid w:val="00FD1806"/>
    <w:rsid w:val="00FD2311"/>
    <w:rsid w:val="00FD53CC"/>
    <w:rsid w:val="00FE086A"/>
    <w:rsid w:val="00FE0F70"/>
    <w:rsid w:val="00FE221B"/>
    <w:rsid w:val="00FE2360"/>
    <w:rsid w:val="00FE272A"/>
    <w:rsid w:val="00FE27B1"/>
    <w:rsid w:val="00FE2ADE"/>
    <w:rsid w:val="00FE3145"/>
    <w:rsid w:val="00FE3FA5"/>
    <w:rsid w:val="00FE4DB5"/>
    <w:rsid w:val="00FE6674"/>
    <w:rsid w:val="00FE693F"/>
    <w:rsid w:val="00FE6DB0"/>
    <w:rsid w:val="00FF0464"/>
    <w:rsid w:val="00FF1956"/>
    <w:rsid w:val="00FF1C21"/>
    <w:rsid w:val="00FF1C9A"/>
    <w:rsid w:val="00FF6D18"/>
    <w:rsid w:val="00FF70EE"/>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BE9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lsdException w:name="toc 5" w:locked="1" w:uiPriority="0"/>
    <w:lsdException w:name="toc 6" w:locked="1" w:uiPriority="0"/>
    <w:lsdException w:name="toc 7" w:locked="1" w:uiPriority="0"/>
    <w:lsdException w:name="toc 8" w:locked="1" w:uiPriority="0"/>
    <w:lsdException w:name="toc 9" w:locked="1"/>
    <w:lsdException w:name="footnote text" w:locked="1"/>
    <w:lsdException w:name="header" w:locked="1"/>
    <w:lsdException w:name="caption" w:locked="1" w:qFormat="1"/>
    <w:lsdException w:name="footnote reference" w:locked="1"/>
    <w:lsdException w:name="List Bullet 4" w:locked="1" w:semiHidden="0" w:unhideWhenUsed="0"/>
    <w:lsdException w:name="Title" w:locked="1" w:semiHidden="0" w:unhideWhenUsed="0" w:qFormat="1"/>
    <w:lsdException w:name="Default Paragraph Font" w:locked="1" w:uiPriority="1"/>
    <w:lsdException w:name="Subtitle" w:locked="1" w:semiHidden="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C25E5"/>
    <w:pPr>
      <w:spacing w:after="200"/>
    </w:pPr>
    <w:rPr>
      <w:sz w:val="22"/>
      <w:szCs w:val="22"/>
    </w:rPr>
  </w:style>
  <w:style w:type="paragraph" w:styleId="Heading1">
    <w:name w:val="heading 1"/>
    <w:basedOn w:val="Normal"/>
    <w:next w:val="Normal"/>
    <w:link w:val="Heading1Char"/>
    <w:uiPriority w:val="99"/>
    <w:qFormat/>
    <w:rsid w:val="009C4FDE"/>
    <w:pPr>
      <w:keepNext/>
      <w:keepLines/>
      <w:numPr>
        <w:numId w:val="30"/>
      </w:numPr>
      <w:shd w:val="clear" w:color="auto" w:fill="D9D9D9"/>
      <w:spacing w:before="480" w:after="0"/>
      <w:ind w:left="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4151B7"/>
    <w:pPr>
      <w:keepNext/>
      <w:keepLines/>
      <w:numPr>
        <w:ilvl w:val="1"/>
        <w:numId w:val="30"/>
      </w:numPr>
      <w:spacing w:before="200" w:after="0"/>
      <w:ind w:left="720"/>
      <w:outlineLvl w:val="1"/>
    </w:pPr>
    <w:rPr>
      <w:rFonts w:asciiTheme="minorHAnsi" w:eastAsia="Times New Roman" w:hAnsiTheme="minorHAnsi"/>
      <w:b/>
      <w:bCs/>
      <w:color w:val="4F81BD"/>
      <w:sz w:val="26"/>
      <w:szCs w:val="26"/>
    </w:rPr>
  </w:style>
  <w:style w:type="paragraph" w:styleId="Heading3">
    <w:name w:val="heading 3"/>
    <w:basedOn w:val="Normal"/>
    <w:next w:val="Normal"/>
    <w:link w:val="Heading3Char"/>
    <w:uiPriority w:val="99"/>
    <w:qFormat/>
    <w:rsid w:val="000E7914"/>
    <w:pPr>
      <w:keepNext/>
      <w:keepLines/>
      <w:numPr>
        <w:ilvl w:val="2"/>
        <w:numId w:val="30"/>
      </w:numPr>
      <w:spacing w:before="200" w:after="0"/>
      <w:ind w:left="144" w:hanging="144"/>
      <w:outlineLvl w:val="2"/>
    </w:pPr>
    <w:rPr>
      <w:rFonts w:ascii="Cambria" w:eastAsia="Times New Roman" w:hAnsi="Cambria"/>
      <w:b/>
      <w:bCs/>
      <w:i/>
      <w:sz w:val="24"/>
    </w:rPr>
  </w:style>
  <w:style w:type="paragraph" w:styleId="Heading4">
    <w:name w:val="heading 4"/>
    <w:basedOn w:val="Normal"/>
    <w:next w:val="Normal"/>
    <w:link w:val="Heading4Char"/>
    <w:uiPriority w:val="99"/>
    <w:qFormat/>
    <w:rsid w:val="00D530AC"/>
    <w:pPr>
      <w:keepNext/>
      <w:keepLines/>
      <w:numPr>
        <w:ilvl w:val="3"/>
        <w:numId w:val="30"/>
      </w:numPr>
      <w:spacing w:before="200" w:after="0"/>
      <w:outlineLvl w:val="3"/>
    </w:pPr>
    <w:rPr>
      <w:rFonts w:ascii="Cambria" w:eastAsia="Times New Roman" w:hAnsi="Cambria"/>
      <w:b/>
      <w:bCs/>
      <w:iCs/>
      <w:sz w:val="20"/>
      <w:u w:val="single"/>
    </w:rPr>
  </w:style>
  <w:style w:type="paragraph" w:styleId="Heading5">
    <w:name w:val="heading 5"/>
    <w:basedOn w:val="Normal"/>
    <w:next w:val="NormalIndent"/>
    <w:link w:val="Heading5Char"/>
    <w:uiPriority w:val="99"/>
    <w:qFormat/>
    <w:rsid w:val="007714DF"/>
    <w:pPr>
      <w:keepNext/>
      <w:keepLines/>
      <w:numPr>
        <w:ilvl w:val="4"/>
        <w:numId w:val="30"/>
      </w:numPr>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locked/>
    <w:rsid w:val="00AB38CD"/>
    <w:pPr>
      <w:numPr>
        <w:numId w:val="43"/>
      </w:numPr>
      <w:spacing w:after="120"/>
      <w:outlineLvl w:val="5"/>
    </w:pPr>
    <w:rPr>
      <w:rFonts w:eastAsia="Times New Roman"/>
      <w:b/>
      <w:bCs/>
    </w:rPr>
  </w:style>
  <w:style w:type="paragraph" w:styleId="Heading7">
    <w:name w:val="heading 7"/>
    <w:basedOn w:val="Normal"/>
    <w:next w:val="Normal"/>
    <w:link w:val="Heading7Char"/>
    <w:unhideWhenUsed/>
    <w:qFormat/>
    <w:locked/>
    <w:rsid w:val="000E7914"/>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0E7914"/>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0E7914"/>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4FDE"/>
    <w:rPr>
      <w:rFonts w:eastAsia="Times New Roman"/>
      <w:b/>
      <w:bCs/>
      <w:color w:val="365F91"/>
      <w:sz w:val="28"/>
      <w:szCs w:val="28"/>
      <w:shd w:val="clear" w:color="auto" w:fill="D9D9D9"/>
    </w:rPr>
  </w:style>
  <w:style w:type="character" w:customStyle="1" w:styleId="Heading2Char">
    <w:name w:val="Heading 2 Char"/>
    <w:link w:val="Heading2"/>
    <w:uiPriority w:val="99"/>
    <w:locked/>
    <w:rsid w:val="004151B7"/>
    <w:rPr>
      <w:rFonts w:asciiTheme="minorHAnsi" w:eastAsia="Times New Roman" w:hAnsiTheme="minorHAnsi"/>
      <w:b/>
      <w:bCs/>
      <w:color w:val="4F81BD"/>
      <w:sz w:val="26"/>
      <w:szCs w:val="26"/>
    </w:rPr>
  </w:style>
  <w:style w:type="character" w:customStyle="1" w:styleId="Heading3Char">
    <w:name w:val="Heading 3 Char"/>
    <w:link w:val="Heading3"/>
    <w:uiPriority w:val="99"/>
    <w:locked/>
    <w:rsid w:val="000E7914"/>
    <w:rPr>
      <w:rFonts w:ascii="Cambria" w:eastAsia="Times New Roman" w:hAnsi="Cambria"/>
      <w:b/>
      <w:bCs/>
      <w:i/>
      <w:sz w:val="24"/>
      <w:szCs w:val="22"/>
    </w:rPr>
  </w:style>
  <w:style w:type="character" w:customStyle="1" w:styleId="Heading4Char">
    <w:name w:val="Heading 4 Char"/>
    <w:link w:val="Heading4"/>
    <w:uiPriority w:val="99"/>
    <w:locked/>
    <w:rsid w:val="00D530AC"/>
    <w:rPr>
      <w:rFonts w:ascii="Cambria" w:eastAsia="Times New Roman" w:hAnsi="Cambria"/>
      <w:b/>
      <w:bCs/>
      <w:iCs/>
      <w:szCs w:val="22"/>
      <w:u w:val="single"/>
    </w:rPr>
  </w:style>
  <w:style w:type="character" w:customStyle="1" w:styleId="Heading5Char">
    <w:name w:val="Heading 5 Char"/>
    <w:link w:val="Heading5"/>
    <w:uiPriority w:val="99"/>
    <w:locked/>
    <w:rsid w:val="007714DF"/>
    <w:rPr>
      <w:rFonts w:ascii="Cambria" w:eastAsia="Times New Roman" w:hAnsi="Cambria"/>
      <w:color w:val="243F60"/>
      <w:sz w:val="22"/>
      <w:szCs w:val="22"/>
    </w:rPr>
  </w:style>
  <w:style w:type="paragraph" w:styleId="Header">
    <w:name w:val="header"/>
    <w:basedOn w:val="Normal"/>
    <w:link w:val="HeaderChar"/>
    <w:uiPriority w:val="99"/>
    <w:rsid w:val="00EB28B5"/>
    <w:pPr>
      <w:tabs>
        <w:tab w:val="center" w:pos="4680"/>
        <w:tab w:val="right" w:pos="9360"/>
      </w:tabs>
      <w:spacing w:after="0"/>
    </w:pPr>
  </w:style>
  <w:style w:type="character" w:customStyle="1" w:styleId="HeaderChar">
    <w:name w:val="Header Char"/>
    <w:link w:val="Header"/>
    <w:uiPriority w:val="99"/>
    <w:locked/>
    <w:rsid w:val="00EB28B5"/>
    <w:rPr>
      <w:rFonts w:cs="Times New Roman"/>
    </w:rPr>
  </w:style>
  <w:style w:type="paragraph" w:styleId="Footer">
    <w:name w:val="footer"/>
    <w:basedOn w:val="Normal"/>
    <w:link w:val="FooterChar"/>
    <w:uiPriority w:val="99"/>
    <w:rsid w:val="00EB28B5"/>
    <w:pPr>
      <w:tabs>
        <w:tab w:val="center" w:pos="4680"/>
        <w:tab w:val="right" w:pos="9360"/>
      </w:tabs>
      <w:spacing w:after="0"/>
    </w:pPr>
  </w:style>
  <w:style w:type="character" w:customStyle="1" w:styleId="FooterChar">
    <w:name w:val="Footer Char"/>
    <w:link w:val="Footer"/>
    <w:uiPriority w:val="99"/>
    <w:locked/>
    <w:rsid w:val="00EB28B5"/>
    <w:rPr>
      <w:rFonts w:cs="Times New Roman"/>
    </w:rPr>
  </w:style>
  <w:style w:type="paragraph" w:styleId="ListParagraph">
    <w:name w:val="List Paragraph"/>
    <w:basedOn w:val="Normal"/>
    <w:uiPriority w:val="34"/>
    <w:qFormat/>
    <w:rsid w:val="00EB28B5"/>
    <w:pPr>
      <w:ind w:left="720"/>
      <w:contextualSpacing/>
    </w:pPr>
  </w:style>
  <w:style w:type="paragraph" w:styleId="FootnoteText">
    <w:name w:val="footnote text"/>
    <w:basedOn w:val="Normal"/>
    <w:link w:val="FootnoteTextChar"/>
    <w:uiPriority w:val="99"/>
    <w:rsid w:val="0051757A"/>
    <w:pPr>
      <w:spacing w:after="0"/>
    </w:pPr>
    <w:rPr>
      <w:sz w:val="20"/>
      <w:szCs w:val="20"/>
    </w:rPr>
  </w:style>
  <w:style w:type="character" w:customStyle="1" w:styleId="FootnoteTextChar">
    <w:name w:val="Footnote Text Char"/>
    <w:link w:val="FootnoteText"/>
    <w:uiPriority w:val="99"/>
    <w:locked/>
    <w:rsid w:val="0051757A"/>
    <w:rPr>
      <w:rFonts w:cs="Times New Roman"/>
      <w:sz w:val="20"/>
      <w:szCs w:val="20"/>
    </w:rPr>
  </w:style>
  <w:style w:type="character" w:styleId="FootnoteReference">
    <w:name w:val="footnote reference"/>
    <w:uiPriority w:val="99"/>
    <w:rsid w:val="0051757A"/>
    <w:rPr>
      <w:rFonts w:cs="Times New Roman"/>
      <w:vertAlign w:val="superscript"/>
    </w:rPr>
  </w:style>
  <w:style w:type="paragraph" w:styleId="NormalWeb">
    <w:name w:val="Normal (Web)"/>
    <w:basedOn w:val="Normal"/>
    <w:uiPriority w:val="99"/>
    <w:semiHidden/>
    <w:rsid w:val="0051757A"/>
    <w:pPr>
      <w:spacing w:before="100" w:beforeAutospacing="1" w:after="100" w:afterAutospacing="1"/>
    </w:pPr>
    <w:rPr>
      <w:rFonts w:ascii="Times New Roman" w:eastAsia="Times New Roman" w:hAnsi="Times New Roman"/>
      <w:sz w:val="24"/>
      <w:szCs w:val="24"/>
    </w:rPr>
  </w:style>
  <w:style w:type="character" w:customStyle="1" w:styleId="googqs-tidbit1">
    <w:name w:val="goog_qs-tidbit1"/>
    <w:uiPriority w:val="99"/>
    <w:rsid w:val="0051757A"/>
    <w:rPr>
      <w:rFonts w:cs="Times New Roman"/>
    </w:rPr>
  </w:style>
  <w:style w:type="paragraph" w:styleId="BalloonText">
    <w:name w:val="Balloon Text"/>
    <w:basedOn w:val="Normal"/>
    <w:link w:val="BalloonTextChar"/>
    <w:uiPriority w:val="99"/>
    <w:semiHidden/>
    <w:rsid w:val="00BC550C"/>
    <w:pPr>
      <w:spacing w:after="0"/>
    </w:pPr>
    <w:rPr>
      <w:rFonts w:ascii="Tahoma" w:hAnsi="Tahoma" w:cs="Tahoma"/>
      <w:sz w:val="16"/>
      <w:szCs w:val="16"/>
    </w:rPr>
  </w:style>
  <w:style w:type="character" w:customStyle="1" w:styleId="BalloonTextChar">
    <w:name w:val="Balloon Text Char"/>
    <w:link w:val="BalloonText"/>
    <w:uiPriority w:val="99"/>
    <w:semiHidden/>
    <w:locked/>
    <w:rsid w:val="00BC550C"/>
    <w:rPr>
      <w:rFonts w:ascii="Tahoma" w:hAnsi="Tahoma" w:cs="Tahoma"/>
      <w:sz w:val="16"/>
      <w:szCs w:val="16"/>
    </w:rPr>
  </w:style>
  <w:style w:type="character" w:styleId="CommentReference">
    <w:name w:val="annotation reference"/>
    <w:uiPriority w:val="99"/>
    <w:rsid w:val="004130AF"/>
    <w:rPr>
      <w:rFonts w:cs="Times New Roman"/>
      <w:sz w:val="16"/>
      <w:szCs w:val="16"/>
    </w:rPr>
  </w:style>
  <w:style w:type="paragraph" w:styleId="CommentText">
    <w:name w:val="annotation text"/>
    <w:basedOn w:val="Normal"/>
    <w:link w:val="CommentTextChar"/>
    <w:uiPriority w:val="99"/>
    <w:semiHidden/>
    <w:rsid w:val="004130AF"/>
    <w:rPr>
      <w:sz w:val="20"/>
      <w:szCs w:val="20"/>
    </w:rPr>
  </w:style>
  <w:style w:type="character" w:customStyle="1" w:styleId="CommentTextChar">
    <w:name w:val="Comment Text Char"/>
    <w:link w:val="CommentText"/>
    <w:uiPriority w:val="99"/>
    <w:semiHidden/>
    <w:locked/>
    <w:rsid w:val="004130AF"/>
    <w:rPr>
      <w:rFonts w:cs="Times New Roman"/>
      <w:sz w:val="20"/>
      <w:szCs w:val="20"/>
    </w:rPr>
  </w:style>
  <w:style w:type="paragraph" w:styleId="CommentSubject">
    <w:name w:val="annotation subject"/>
    <w:basedOn w:val="CommentText"/>
    <w:next w:val="CommentText"/>
    <w:link w:val="CommentSubjectChar"/>
    <w:uiPriority w:val="99"/>
    <w:semiHidden/>
    <w:rsid w:val="004130AF"/>
    <w:rPr>
      <w:b/>
      <w:bCs/>
    </w:rPr>
  </w:style>
  <w:style w:type="character" w:customStyle="1" w:styleId="CommentSubjectChar">
    <w:name w:val="Comment Subject Char"/>
    <w:link w:val="CommentSubject"/>
    <w:uiPriority w:val="99"/>
    <w:semiHidden/>
    <w:locked/>
    <w:rsid w:val="004130AF"/>
    <w:rPr>
      <w:rFonts w:cs="Times New Roman"/>
      <w:b/>
      <w:bCs/>
      <w:sz w:val="20"/>
      <w:szCs w:val="20"/>
    </w:rPr>
  </w:style>
  <w:style w:type="paragraph" w:styleId="ListBullet2">
    <w:name w:val="List Bullet 2"/>
    <w:basedOn w:val="Normal"/>
    <w:uiPriority w:val="99"/>
    <w:rsid w:val="006707EF"/>
    <w:pPr>
      <w:numPr>
        <w:numId w:val="2"/>
      </w:numPr>
      <w:contextualSpacing/>
    </w:pPr>
    <w:rPr>
      <w:sz w:val="20"/>
    </w:rPr>
  </w:style>
  <w:style w:type="paragraph" w:styleId="NormalIndent">
    <w:name w:val="Normal Indent"/>
    <w:basedOn w:val="Normal"/>
    <w:uiPriority w:val="99"/>
    <w:rsid w:val="004A020C"/>
    <w:pPr>
      <w:ind w:left="720"/>
    </w:pPr>
  </w:style>
  <w:style w:type="table" w:styleId="TableGrid">
    <w:name w:val="Table Grid"/>
    <w:basedOn w:val="TableNormal"/>
    <w:uiPriority w:val="99"/>
    <w:rsid w:val="004A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58626B"/>
    <w:rPr>
      <w:b/>
      <w:bCs/>
      <w:color w:val="4F81BD"/>
      <w:sz w:val="24"/>
      <w:szCs w:val="18"/>
    </w:rPr>
  </w:style>
  <w:style w:type="paragraph" w:styleId="ListBullet">
    <w:name w:val="List Bullet"/>
    <w:basedOn w:val="Normal"/>
    <w:uiPriority w:val="99"/>
    <w:semiHidden/>
    <w:rsid w:val="0054101F"/>
    <w:pPr>
      <w:numPr>
        <w:numId w:val="3"/>
      </w:numPr>
      <w:tabs>
        <w:tab w:val="num" w:pos="360"/>
      </w:tabs>
      <w:contextualSpacing/>
    </w:pPr>
  </w:style>
  <w:style w:type="table" w:customStyle="1" w:styleId="LightList1">
    <w:name w:val="Light List1"/>
    <w:uiPriority w:val="99"/>
    <w:rsid w:val="00824F7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064DC8"/>
    <w:pPr>
      <w:outlineLvl w:val="9"/>
    </w:pPr>
    <w:rPr>
      <w:lang w:eastAsia="ja-JP"/>
    </w:rPr>
  </w:style>
  <w:style w:type="paragraph" w:styleId="TOC1">
    <w:name w:val="toc 1"/>
    <w:basedOn w:val="Normal"/>
    <w:next w:val="Normal"/>
    <w:autoRedefine/>
    <w:uiPriority w:val="39"/>
    <w:rsid w:val="00064DC8"/>
    <w:pPr>
      <w:spacing w:after="100"/>
    </w:pPr>
  </w:style>
  <w:style w:type="paragraph" w:styleId="TOC2">
    <w:name w:val="toc 2"/>
    <w:basedOn w:val="Normal"/>
    <w:next w:val="Normal"/>
    <w:autoRedefine/>
    <w:uiPriority w:val="39"/>
    <w:rsid w:val="00C22C1B"/>
    <w:pPr>
      <w:tabs>
        <w:tab w:val="right" w:leader="dot" w:pos="9350"/>
      </w:tabs>
      <w:spacing w:after="100"/>
      <w:ind w:left="220"/>
    </w:pPr>
  </w:style>
  <w:style w:type="paragraph" w:styleId="TOC3">
    <w:name w:val="toc 3"/>
    <w:basedOn w:val="Normal"/>
    <w:next w:val="Normal"/>
    <w:autoRedefine/>
    <w:uiPriority w:val="39"/>
    <w:rsid w:val="00064DC8"/>
    <w:pPr>
      <w:spacing w:after="100"/>
      <w:ind w:left="440"/>
    </w:pPr>
  </w:style>
  <w:style w:type="character" w:styleId="Hyperlink">
    <w:name w:val="Hyperlink"/>
    <w:uiPriority w:val="99"/>
    <w:rsid w:val="00064DC8"/>
    <w:rPr>
      <w:rFonts w:cs="Times New Roman"/>
      <w:color w:val="0000FF"/>
      <w:u w:val="single"/>
    </w:rPr>
  </w:style>
  <w:style w:type="paragraph" w:styleId="Title">
    <w:name w:val="Title"/>
    <w:basedOn w:val="Normal"/>
    <w:next w:val="Normal"/>
    <w:link w:val="TitleChar"/>
    <w:uiPriority w:val="99"/>
    <w:qFormat/>
    <w:rsid w:val="00D52FA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D52FA3"/>
    <w:rPr>
      <w:rFonts w:ascii="Cambria" w:hAnsi="Cambria" w:cs="Times New Roman"/>
      <w:color w:val="17365D"/>
      <w:spacing w:val="5"/>
      <w:kern w:val="28"/>
      <w:sz w:val="52"/>
      <w:szCs w:val="52"/>
    </w:rPr>
  </w:style>
  <w:style w:type="paragraph" w:styleId="TOC4">
    <w:name w:val="toc 4"/>
    <w:basedOn w:val="Normal"/>
    <w:next w:val="Normal"/>
    <w:autoRedefine/>
    <w:uiPriority w:val="99"/>
    <w:rsid w:val="00C309C8"/>
    <w:pPr>
      <w:spacing w:after="100"/>
      <w:ind w:left="660"/>
    </w:pPr>
  </w:style>
  <w:style w:type="paragraph" w:styleId="TOC9">
    <w:name w:val="toc 9"/>
    <w:basedOn w:val="Normal"/>
    <w:next w:val="Normal"/>
    <w:autoRedefine/>
    <w:uiPriority w:val="99"/>
    <w:semiHidden/>
    <w:rsid w:val="00C309C8"/>
    <w:pPr>
      <w:spacing w:after="100"/>
      <w:ind w:left="1760"/>
    </w:pPr>
  </w:style>
  <w:style w:type="paragraph" w:styleId="ListBullet4">
    <w:name w:val="List Bullet 4"/>
    <w:basedOn w:val="Normal"/>
    <w:uiPriority w:val="99"/>
    <w:rsid w:val="00355EEE"/>
    <w:pPr>
      <w:numPr>
        <w:numId w:val="4"/>
      </w:numPr>
      <w:tabs>
        <w:tab w:val="num" w:pos="1440"/>
      </w:tabs>
      <w:ind w:left="1440"/>
      <w:contextualSpacing/>
    </w:pPr>
  </w:style>
  <w:style w:type="paragraph" w:customStyle="1" w:styleId="ListBullet1">
    <w:name w:val="List Bullet 1"/>
    <w:basedOn w:val="ListBullet4"/>
    <w:uiPriority w:val="99"/>
    <w:rsid w:val="00D12C42"/>
    <w:pPr>
      <w:numPr>
        <w:numId w:val="18"/>
      </w:numPr>
      <w:spacing w:after="0"/>
    </w:pPr>
    <w:rPr>
      <w:rFonts w:cs="Calibri"/>
      <w:color w:val="000000"/>
      <w:sz w:val="20"/>
      <w:szCs w:val="20"/>
    </w:rPr>
  </w:style>
  <w:style w:type="paragraph" w:styleId="Subtitle">
    <w:name w:val="Subtitle"/>
    <w:basedOn w:val="Normal"/>
    <w:next w:val="Normal"/>
    <w:link w:val="SubtitleChar"/>
    <w:uiPriority w:val="99"/>
    <w:qFormat/>
    <w:rsid w:val="007513C1"/>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7513C1"/>
    <w:rPr>
      <w:rFonts w:ascii="Cambria" w:hAnsi="Cambria" w:cs="Times New Roman"/>
      <w:i/>
      <w:iCs/>
      <w:color w:val="4F81BD"/>
      <w:spacing w:val="15"/>
      <w:sz w:val="24"/>
      <w:szCs w:val="24"/>
    </w:rPr>
  </w:style>
  <w:style w:type="paragraph" w:customStyle="1" w:styleId="NormalIndenet">
    <w:name w:val="Normal Indenet"/>
    <w:basedOn w:val="Normal"/>
    <w:uiPriority w:val="99"/>
    <w:rsid w:val="00B42BF6"/>
    <w:pPr>
      <w:ind w:left="720"/>
    </w:pPr>
  </w:style>
  <w:style w:type="paragraph" w:customStyle="1" w:styleId="NormalIndentd">
    <w:name w:val="Normal Indentd"/>
    <w:basedOn w:val="Normal"/>
    <w:uiPriority w:val="99"/>
    <w:rsid w:val="00323308"/>
    <w:pPr>
      <w:spacing w:after="0"/>
    </w:pPr>
    <w:rPr>
      <w:rFonts w:eastAsia="Times New Roman" w:cs="Calibri"/>
      <w:iCs/>
      <w:color w:val="000000"/>
    </w:rPr>
  </w:style>
  <w:style w:type="paragraph" w:styleId="Revision">
    <w:name w:val="Revision"/>
    <w:hidden/>
    <w:uiPriority w:val="99"/>
    <w:semiHidden/>
    <w:rsid w:val="00650E71"/>
    <w:rPr>
      <w:sz w:val="22"/>
      <w:szCs w:val="22"/>
    </w:rPr>
  </w:style>
  <w:style w:type="character" w:styleId="FollowedHyperlink">
    <w:name w:val="FollowedHyperlink"/>
    <w:uiPriority w:val="99"/>
    <w:semiHidden/>
    <w:unhideWhenUsed/>
    <w:rsid w:val="00D2156F"/>
    <w:rPr>
      <w:color w:val="800080"/>
      <w:u w:val="single"/>
    </w:rPr>
  </w:style>
  <w:style w:type="paragraph" w:customStyle="1" w:styleId="Default">
    <w:name w:val="Default"/>
    <w:rsid w:val="005432A5"/>
    <w:pPr>
      <w:autoSpaceDE w:val="0"/>
      <w:autoSpaceDN w:val="0"/>
      <w:adjustRightInd w:val="0"/>
    </w:pPr>
    <w:rPr>
      <w:rFonts w:cs="Calibri"/>
      <w:color w:val="000000"/>
      <w:sz w:val="24"/>
      <w:szCs w:val="24"/>
    </w:rPr>
  </w:style>
  <w:style w:type="character" w:customStyle="1" w:styleId="Heading6Char">
    <w:name w:val="Heading 6 Char"/>
    <w:link w:val="Heading6"/>
    <w:rsid w:val="00AB38CD"/>
    <w:rPr>
      <w:rFonts w:eastAsia="Times New Roman"/>
      <w:b/>
      <w:bCs/>
      <w:sz w:val="22"/>
      <w:szCs w:val="22"/>
    </w:rPr>
  </w:style>
  <w:style w:type="character" w:styleId="Emphasis">
    <w:name w:val="Emphasis"/>
    <w:uiPriority w:val="20"/>
    <w:qFormat/>
    <w:locked/>
    <w:rsid w:val="00337C3E"/>
    <w:rPr>
      <w:i/>
      <w:iCs/>
    </w:rPr>
  </w:style>
  <w:style w:type="character" w:styleId="IntenseEmphasis">
    <w:name w:val="Intense Emphasis"/>
    <w:uiPriority w:val="21"/>
    <w:qFormat/>
    <w:rsid w:val="00B113BC"/>
    <w:rPr>
      <w:rFonts w:asciiTheme="minorHAnsi" w:hAnsiTheme="minorHAnsi"/>
      <w:b/>
      <w:bCs/>
      <w:i/>
      <w:iCs/>
      <w:color w:val="4F81BD"/>
    </w:rPr>
  </w:style>
  <w:style w:type="paragraph" w:customStyle="1" w:styleId="Body4">
    <w:name w:val="Body4"/>
    <w:basedOn w:val="Normal"/>
    <w:link w:val="Body4Char"/>
    <w:autoRedefine/>
    <w:rsid w:val="00023B94"/>
    <w:pPr>
      <w:spacing w:line="276" w:lineRule="auto"/>
      <w:ind w:left="1080"/>
    </w:pPr>
  </w:style>
  <w:style w:type="character" w:customStyle="1" w:styleId="Body4Char">
    <w:name w:val="Body4 Char"/>
    <w:link w:val="Body4"/>
    <w:rsid w:val="00023B94"/>
    <w:rPr>
      <w:sz w:val="22"/>
      <w:szCs w:val="22"/>
    </w:rPr>
  </w:style>
  <w:style w:type="table" w:styleId="LightList-Accent1">
    <w:name w:val="Light List Accent 1"/>
    <w:basedOn w:val="TableNormal"/>
    <w:uiPriority w:val="61"/>
    <w:rsid w:val="009A2EA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9A2EA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7Char">
    <w:name w:val="Heading 7 Char"/>
    <w:basedOn w:val="DefaultParagraphFont"/>
    <w:link w:val="Heading7"/>
    <w:rsid w:val="000E791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0E791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E7914"/>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030C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0C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6C5C2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6C5C2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C5C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Quote">
    <w:name w:val="Quote"/>
    <w:basedOn w:val="Normal"/>
    <w:next w:val="Normal"/>
    <w:link w:val="QuoteChar"/>
    <w:uiPriority w:val="29"/>
    <w:qFormat/>
    <w:rsid w:val="00A06E51"/>
    <w:rPr>
      <w:i/>
      <w:iCs/>
      <w:color w:val="000000" w:themeColor="text1"/>
    </w:rPr>
  </w:style>
  <w:style w:type="character" w:customStyle="1" w:styleId="QuoteChar">
    <w:name w:val="Quote Char"/>
    <w:basedOn w:val="DefaultParagraphFont"/>
    <w:link w:val="Quote"/>
    <w:uiPriority w:val="29"/>
    <w:rsid w:val="00A06E51"/>
    <w:rPr>
      <w:i/>
      <w:iCs/>
      <w:color w:val="000000" w:themeColor="text1"/>
      <w:sz w:val="22"/>
      <w:szCs w:val="22"/>
    </w:rPr>
  </w:style>
  <w:style w:type="paragraph" w:styleId="EndnoteText">
    <w:name w:val="endnote text"/>
    <w:basedOn w:val="Normal"/>
    <w:link w:val="EndnoteTextChar"/>
    <w:uiPriority w:val="99"/>
    <w:semiHidden/>
    <w:unhideWhenUsed/>
    <w:rsid w:val="00A331EA"/>
    <w:pPr>
      <w:spacing w:after="0"/>
    </w:pPr>
    <w:rPr>
      <w:sz w:val="20"/>
      <w:szCs w:val="20"/>
    </w:rPr>
  </w:style>
  <w:style w:type="paragraph" w:styleId="Index1">
    <w:name w:val="index 1"/>
    <w:basedOn w:val="Normal"/>
    <w:next w:val="Normal"/>
    <w:autoRedefine/>
    <w:uiPriority w:val="99"/>
    <w:semiHidden/>
    <w:unhideWhenUsed/>
    <w:rsid w:val="007D6249"/>
    <w:pPr>
      <w:spacing w:after="0"/>
      <w:ind w:left="220" w:hanging="220"/>
    </w:pPr>
  </w:style>
  <w:style w:type="character" w:customStyle="1" w:styleId="EndnoteTextChar">
    <w:name w:val="Endnote Text Char"/>
    <w:basedOn w:val="DefaultParagraphFont"/>
    <w:link w:val="EndnoteText"/>
    <w:uiPriority w:val="99"/>
    <w:semiHidden/>
    <w:rsid w:val="00A331EA"/>
  </w:style>
  <w:style w:type="character" w:styleId="EndnoteReference">
    <w:name w:val="endnote reference"/>
    <w:basedOn w:val="DefaultParagraphFont"/>
    <w:uiPriority w:val="99"/>
    <w:semiHidden/>
    <w:unhideWhenUsed/>
    <w:rsid w:val="00A331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lsdException w:name="toc 5" w:locked="1" w:uiPriority="0"/>
    <w:lsdException w:name="toc 6" w:locked="1" w:uiPriority="0"/>
    <w:lsdException w:name="toc 7" w:locked="1" w:uiPriority="0"/>
    <w:lsdException w:name="toc 8" w:locked="1" w:uiPriority="0"/>
    <w:lsdException w:name="toc 9" w:locked="1"/>
    <w:lsdException w:name="footnote text" w:locked="1"/>
    <w:lsdException w:name="header" w:locked="1"/>
    <w:lsdException w:name="caption" w:locked="1" w:qFormat="1"/>
    <w:lsdException w:name="footnote reference" w:locked="1"/>
    <w:lsdException w:name="List Bullet 4" w:locked="1" w:semiHidden="0" w:unhideWhenUsed="0"/>
    <w:lsdException w:name="Title" w:locked="1" w:semiHidden="0" w:unhideWhenUsed="0" w:qFormat="1"/>
    <w:lsdException w:name="Default Paragraph Font" w:locked="1" w:uiPriority="1"/>
    <w:lsdException w:name="Subtitle" w:locked="1" w:semiHidden="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C25E5"/>
    <w:pPr>
      <w:spacing w:after="200"/>
    </w:pPr>
    <w:rPr>
      <w:sz w:val="22"/>
      <w:szCs w:val="22"/>
    </w:rPr>
  </w:style>
  <w:style w:type="paragraph" w:styleId="Heading1">
    <w:name w:val="heading 1"/>
    <w:basedOn w:val="Normal"/>
    <w:next w:val="Normal"/>
    <w:link w:val="Heading1Char"/>
    <w:uiPriority w:val="99"/>
    <w:qFormat/>
    <w:rsid w:val="009C4FDE"/>
    <w:pPr>
      <w:keepNext/>
      <w:keepLines/>
      <w:numPr>
        <w:numId w:val="30"/>
      </w:numPr>
      <w:shd w:val="clear" w:color="auto" w:fill="D9D9D9"/>
      <w:spacing w:before="480" w:after="0"/>
      <w:ind w:left="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4151B7"/>
    <w:pPr>
      <w:keepNext/>
      <w:keepLines/>
      <w:numPr>
        <w:ilvl w:val="1"/>
        <w:numId w:val="30"/>
      </w:numPr>
      <w:spacing w:before="200" w:after="0"/>
      <w:ind w:left="720"/>
      <w:outlineLvl w:val="1"/>
    </w:pPr>
    <w:rPr>
      <w:rFonts w:asciiTheme="minorHAnsi" w:eastAsia="Times New Roman" w:hAnsiTheme="minorHAnsi"/>
      <w:b/>
      <w:bCs/>
      <w:color w:val="4F81BD"/>
      <w:sz w:val="26"/>
      <w:szCs w:val="26"/>
    </w:rPr>
  </w:style>
  <w:style w:type="paragraph" w:styleId="Heading3">
    <w:name w:val="heading 3"/>
    <w:basedOn w:val="Normal"/>
    <w:next w:val="Normal"/>
    <w:link w:val="Heading3Char"/>
    <w:uiPriority w:val="99"/>
    <w:qFormat/>
    <w:rsid w:val="000E7914"/>
    <w:pPr>
      <w:keepNext/>
      <w:keepLines/>
      <w:numPr>
        <w:ilvl w:val="2"/>
        <w:numId w:val="30"/>
      </w:numPr>
      <w:spacing w:before="200" w:after="0"/>
      <w:ind w:left="144" w:hanging="144"/>
      <w:outlineLvl w:val="2"/>
    </w:pPr>
    <w:rPr>
      <w:rFonts w:ascii="Cambria" w:eastAsia="Times New Roman" w:hAnsi="Cambria"/>
      <w:b/>
      <w:bCs/>
      <w:i/>
      <w:sz w:val="24"/>
    </w:rPr>
  </w:style>
  <w:style w:type="paragraph" w:styleId="Heading4">
    <w:name w:val="heading 4"/>
    <w:basedOn w:val="Normal"/>
    <w:next w:val="Normal"/>
    <w:link w:val="Heading4Char"/>
    <w:uiPriority w:val="99"/>
    <w:qFormat/>
    <w:rsid w:val="00D530AC"/>
    <w:pPr>
      <w:keepNext/>
      <w:keepLines/>
      <w:numPr>
        <w:ilvl w:val="3"/>
        <w:numId w:val="30"/>
      </w:numPr>
      <w:spacing w:before="200" w:after="0"/>
      <w:outlineLvl w:val="3"/>
    </w:pPr>
    <w:rPr>
      <w:rFonts w:ascii="Cambria" w:eastAsia="Times New Roman" w:hAnsi="Cambria"/>
      <w:b/>
      <w:bCs/>
      <w:iCs/>
      <w:sz w:val="20"/>
      <w:u w:val="single"/>
    </w:rPr>
  </w:style>
  <w:style w:type="paragraph" w:styleId="Heading5">
    <w:name w:val="heading 5"/>
    <w:basedOn w:val="Normal"/>
    <w:next w:val="NormalIndent"/>
    <w:link w:val="Heading5Char"/>
    <w:uiPriority w:val="99"/>
    <w:qFormat/>
    <w:rsid w:val="007714DF"/>
    <w:pPr>
      <w:keepNext/>
      <w:keepLines/>
      <w:numPr>
        <w:ilvl w:val="4"/>
        <w:numId w:val="30"/>
      </w:numPr>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locked/>
    <w:rsid w:val="00AB38CD"/>
    <w:pPr>
      <w:numPr>
        <w:numId w:val="43"/>
      </w:numPr>
      <w:spacing w:after="120"/>
      <w:outlineLvl w:val="5"/>
    </w:pPr>
    <w:rPr>
      <w:rFonts w:eastAsia="Times New Roman"/>
      <w:b/>
      <w:bCs/>
    </w:rPr>
  </w:style>
  <w:style w:type="paragraph" w:styleId="Heading7">
    <w:name w:val="heading 7"/>
    <w:basedOn w:val="Normal"/>
    <w:next w:val="Normal"/>
    <w:link w:val="Heading7Char"/>
    <w:unhideWhenUsed/>
    <w:qFormat/>
    <w:locked/>
    <w:rsid w:val="000E7914"/>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0E7914"/>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0E7914"/>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4FDE"/>
    <w:rPr>
      <w:rFonts w:eastAsia="Times New Roman"/>
      <w:b/>
      <w:bCs/>
      <w:color w:val="365F91"/>
      <w:sz w:val="28"/>
      <w:szCs w:val="28"/>
      <w:shd w:val="clear" w:color="auto" w:fill="D9D9D9"/>
    </w:rPr>
  </w:style>
  <w:style w:type="character" w:customStyle="1" w:styleId="Heading2Char">
    <w:name w:val="Heading 2 Char"/>
    <w:link w:val="Heading2"/>
    <w:uiPriority w:val="99"/>
    <w:locked/>
    <w:rsid w:val="004151B7"/>
    <w:rPr>
      <w:rFonts w:asciiTheme="minorHAnsi" w:eastAsia="Times New Roman" w:hAnsiTheme="minorHAnsi"/>
      <w:b/>
      <w:bCs/>
      <w:color w:val="4F81BD"/>
      <w:sz w:val="26"/>
      <w:szCs w:val="26"/>
    </w:rPr>
  </w:style>
  <w:style w:type="character" w:customStyle="1" w:styleId="Heading3Char">
    <w:name w:val="Heading 3 Char"/>
    <w:link w:val="Heading3"/>
    <w:uiPriority w:val="99"/>
    <w:locked/>
    <w:rsid w:val="000E7914"/>
    <w:rPr>
      <w:rFonts w:ascii="Cambria" w:eastAsia="Times New Roman" w:hAnsi="Cambria"/>
      <w:b/>
      <w:bCs/>
      <w:i/>
      <w:sz w:val="24"/>
      <w:szCs w:val="22"/>
    </w:rPr>
  </w:style>
  <w:style w:type="character" w:customStyle="1" w:styleId="Heading4Char">
    <w:name w:val="Heading 4 Char"/>
    <w:link w:val="Heading4"/>
    <w:uiPriority w:val="99"/>
    <w:locked/>
    <w:rsid w:val="00D530AC"/>
    <w:rPr>
      <w:rFonts w:ascii="Cambria" w:eastAsia="Times New Roman" w:hAnsi="Cambria"/>
      <w:b/>
      <w:bCs/>
      <w:iCs/>
      <w:szCs w:val="22"/>
      <w:u w:val="single"/>
    </w:rPr>
  </w:style>
  <w:style w:type="character" w:customStyle="1" w:styleId="Heading5Char">
    <w:name w:val="Heading 5 Char"/>
    <w:link w:val="Heading5"/>
    <w:uiPriority w:val="99"/>
    <w:locked/>
    <w:rsid w:val="007714DF"/>
    <w:rPr>
      <w:rFonts w:ascii="Cambria" w:eastAsia="Times New Roman" w:hAnsi="Cambria"/>
      <w:color w:val="243F60"/>
      <w:sz w:val="22"/>
      <w:szCs w:val="22"/>
    </w:rPr>
  </w:style>
  <w:style w:type="paragraph" w:styleId="Header">
    <w:name w:val="header"/>
    <w:basedOn w:val="Normal"/>
    <w:link w:val="HeaderChar"/>
    <w:uiPriority w:val="99"/>
    <w:rsid w:val="00EB28B5"/>
    <w:pPr>
      <w:tabs>
        <w:tab w:val="center" w:pos="4680"/>
        <w:tab w:val="right" w:pos="9360"/>
      </w:tabs>
      <w:spacing w:after="0"/>
    </w:pPr>
  </w:style>
  <w:style w:type="character" w:customStyle="1" w:styleId="HeaderChar">
    <w:name w:val="Header Char"/>
    <w:link w:val="Header"/>
    <w:uiPriority w:val="99"/>
    <w:locked/>
    <w:rsid w:val="00EB28B5"/>
    <w:rPr>
      <w:rFonts w:cs="Times New Roman"/>
    </w:rPr>
  </w:style>
  <w:style w:type="paragraph" w:styleId="Footer">
    <w:name w:val="footer"/>
    <w:basedOn w:val="Normal"/>
    <w:link w:val="FooterChar"/>
    <w:uiPriority w:val="99"/>
    <w:rsid w:val="00EB28B5"/>
    <w:pPr>
      <w:tabs>
        <w:tab w:val="center" w:pos="4680"/>
        <w:tab w:val="right" w:pos="9360"/>
      </w:tabs>
      <w:spacing w:after="0"/>
    </w:pPr>
  </w:style>
  <w:style w:type="character" w:customStyle="1" w:styleId="FooterChar">
    <w:name w:val="Footer Char"/>
    <w:link w:val="Footer"/>
    <w:uiPriority w:val="99"/>
    <w:locked/>
    <w:rsid w:val="00EB28B5"/>
    <w:rPr>
      <w:rFonts w:cs="Times New Roman"/>
    </w:rPr>
  </w:style>
  <w:style w:type="paragraph" w:styleId="ListParagraph">
    <w:name w:val="List Paragraph"/>
    <w:basedOn w:val="Normal"/>
    <w:uiPriority w:val="34"/>
    <w:qFormat/>
    <w:rsid w:val="00EB28B5"/>
    <w:pPr>
      <w:ind w:left="720"/>
      <w:contextualSpacing/>
    </w:pPr>
  </w:style>
  <w:style w:type="paragraph" w:styleId="FootnoteText">
    <w:name w:val="footnote text"/>
    <w:basedOn w:val="Normal"/>
    <w:link w:val="FootnoteTextChar"/>
    <w:uiPriority w:val="99"/>
    <w:rsid w:val="0051757A"/>
    <w:pPr>
      <w:spacing w:after="0"/>
    </w:pPr>
    <w:rPr>
      <w:sz w:val="20"/>
      <w:szCs w:val="20"/>
    </w:rPr>
  </w:style>
  <w:style w:type="character" w:customStyle="1" w:styleId="FootnoteTextChar">
    <w:name w:val="Footnote Text Char"/>
    <w:link w:val="FootnoteText"/>
    <w:uiPriority w:val="99"/>
    <w:locked/>
    <w:rsid w:val="0051757A"/>
    <w:rPr>
      <w:rFonts w:cs="Times New Roman"/>
      <w:sz w:val="20"/>
      <w:szCs w:val="20"/>
    </w:rPr>
  </w:style>
  <w:style w:type="character" w:styleId="FootnoteReference">
    <w:name w:val="footnote reference"/>
    <w:uiPriority w:val="99"/>
    <w:rsid w:val="0051757A"/>
    <w:rPr>
      <w:rFonts w:cs="Times New Roman"/>
      <w:vertAlign w:val="superscript"/>
    </w:rPr>
  </w:style>
  <w:style w:type="paragraph" w:styleId="NormalWeb">
    <w:name w:val="Normal (Web)"/>
    <w:basedOn w:val="Normal"/>
    <w:uiPriority w:val="99"/>
    <w:semiHidden/>
    <w:rsid w:val="0051757A"/>
    <w:pPr>
      <w:spacing w:before="100" w:beforeAutospacing="1" w:after="100" w:afterAutospacing="1"/>
    </w:pPr>
    <w:rPr>
      <w:rFonts w:ascii="Times New Roman" w:eastAsia="Times New Roman" w:hAnsi="Times New Roman"/>
      <w:sz w:val="24"/>
      <w:szCs w:val="24"/>
    </w:rPr>
  </w:style>
  <w:style w:type="character" w:customStyle="1" w:styleId="googqs-tidbit1">
    <w:name w:val="goog_qs-tidbit1"/>
    <w:uiPriority w:val="99"/>
    <w:rsid w:val="0051757A"/>
    <w:rPr>
      <w:rFonts w:cs="Times New Roman"/>
    </w:rPr>
  </w:style>
  <w:style w:type="paragraph" w:styleId="BalloonText">
    <w:name w:val="Balloon Text"/>
    <w:basedOn w:val="Normal"/>
    <w:link w:val="BalloonTextChar"/>
    <w:uiPriority w:val="99"/>
    <w:semiHidden/>
    <w:rsid w:val="00BC550C"/>
    <w:pPr>
      <w:spacing w:after="0"/>
    </w:pPr>
    <w:rPr>
      <w:rFonts w:ascii="Tahoma" w:hAnsi="Tahoma" w:cs="Tahoma"/>
      <w:sz w:val="16"/>
      <w:szCs w:val="16"/>
    </w:rPr>
  </w:style>
  <w:style w:type="character" w:customStyle="1" w:styleId="BalloonTextChar">
    <w:name w:val="Balloon Text Char"/>
    <w:link w:val="BalloonText"/>
    <w:uiPriority w:val="99"/>
    <w:semiHidden/>
    <w:locked/>
    <w:rsid w:val="00BC550C"/>
    <w:rPr>
      <w:rFonts w:ascii="Tahoma" w:hAnsi="Tahoma" w:cs="Tahoma"/>
      <w:sz w:val="16"/>
      <w:szCs w:val="16"/>
    </w:rPr>
  </w:style>
  <w:style w:type="character" w:styleId="CommentReference">
    <w:name w:val="annotation reference"/>
    <w:uiPriority w:val="99"/>
    <w:rsid w:val="004130AF"/>
    <w:rPr>
      <w:rFonts w:cs="Times New Roman"/>
      <w:sz w:val="16"/>
      <w:szCs w:val="16"/>
    </w:rPr>
  </w:style>
  <w:style w:type="paragraph" w:styleId="CommentText">
    <w:name w:val="annotation text"/>
    <w:basedOn w:val="Normal"/>
    <w:link w:val="CommentTextChar"/>
    <w:uiPriority w:val="99"/>
    <w:semiHidden/>
    <w:rsid w:val="004130AF"/>
    <w:rPr>
      <w:sz w:val="20"/>
      <w:szCs w:val="20"/>
    </w:rPr>
  </w:style>
  <w:style w:type="character" w:customStyle="1" w:styleId="CommentTextChar">
    <w:name w:val="Comment Text Char"/>
    <w:link w:val="CommentText"/>
    <w:uiPriority w:val="99"/>
    <w:semiHidden/>
    <w:locked/>
    <w:rsid w:val="004130AF"/>
    <w:rPr>
      <w:rFonts w:cs="Times New Roman"/>
      <w:sz w:val="20"/>
      <w:szCs w:val="20"/>
    </w:rPr>
  </w:style>
  <w:style w:type="paragraph" w:styleId="CommentSubject">
    <w:name w:val="annotation subject"/>
    <w:basedOn w:val="CommentText"/>
    <w:next w:val="CommentText"/>
    <w:link w:val="CommentSubjectChar"/>
    <w:uiPriority w:val="99"/>
    <w:semiHidden/>
    <w:rsid w:val="004130AF"/>
    <w:rPr>
      <w:b/>
      <w:bCs/>
    </w:rPr>
  </w:style>
  <w:style w:type="character" w:customStyle="1" w:styleId="CommentSubjectChar">
    <w:name w:val="Comment Subject Char"/>
    <w:link w:val="CommentSubject"/>
    <w:uiPriority w:val="99"/>
    <w:semiHidden/>
    <w:locked/>
    <w:rsid w:val="004130AF"/>
    <w:rPr>
      <w:rFonts w:cs="Times New Roman"/>
      <w:b/>
      <w:bCs/>
      <w:sz w:val="20"/>
      <w:szCs w:val="20"/>
    </w:rPr>
  </w:style>
  <w:style w:type="paragraph" w:styleId="ListBullet2">
    <w:name w:val="List Bullet 2"/>
    <w:basedOn w:val="Normal"/>
    <w:uiPriority w:val="99"/>
    <w:rsid w:val="006707EF"/>
    <w:pPr>
      <w:numPr>
        <w:numId w:val="2"/>
      </w:numPr>
      <w:contextualSpacing/>
    </w:pPr>
    <w:rPr>
      <w:sz w:val="20"/>
    </w:rPr>
  </w:style>
  <w:style w:type="paragraph" w:styleId="NormalIndent">
    <w:name w:val="Normal Indent"/>
    <w:basedOn w:val="Normal"/>
    <w:uiPriority w:val="99"/>
    <w:rsid w:val="004A020C"/>
    <w:pPr>
      <w:ind w:left="720"/>
    </w:pPr>
  </w:style>
  <w:style w:type="table" w:styleId="TableGrid">
    <w:name w:val="Table Grid"/>
    <w:basedOn w:val="TableNormal"/>
    <w:uiPriority w:val="99"/>
    <w:rsid w:val="004A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58626B"/>
    <w:rPr>
      <w:b/>
      <w:bCs/>
      <w:color w:val="4F81BD"/>
      <w:sz w:val="24"/>
      <w:szCs w:val="18"/>
    </w:rPr>
  </w:style>
  <w:style w:type="paragraph" w:styleId="ListBullet">
    <w:name w:val="List Bullet"/>
    <w:basedOn w:val="Normal"/>
    <w:uiPriority w:val="99"/>
    <w:semiHidden/>
    <w:rsid w:val="0054101F"/>
    <w:pPr>
      <w:numPr>
        <w:numId w:val="3"/>
      </w:numPr>
      <w:tabs>
        <w:tab w:val="num" w:pos="360"/>
      </w:tabs>
      <w:contextualSpacing/>
    </w:pPr>
  </w:style>
  <w:style w:type="table" w:customStyle="1" w:styleId="LightList1">
    <w:name w:val="Light List1"/>
    <w:uiPriority w:val="99"/>
    <w:rsid w:val="00824F7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064DC8"/>
    <w:pPr>
      <w:outlineLvl w:val="9"/>
    </w:pPr>
    <w:rPr>
      <w:lang w:eastAsia="ja-JP"/>
    </w:rPr>
  </w:style>
  <w:style w:type="paragraph" w:styleId="TOC1">
    <w:name w:val="toc 1"/>
    <w:basedOn w:val="Normal"/>
    <w:next w:val="Normal"/>
    <w:autoRedefine/>
    <w:uiPriority w:val="39"/>
    <w:rsid w:val="00064DC8"/>
    <w:pPr>
      <w:spacing w:after="100"/>
    </w:pPr>
  </w:style>
  <w:style w:type="paragraph" w:styleId="TOC2">
    <w:name w:val="toc 2"/>
    <w:basedOn w:val="Normal"/>
    <w:next w:val="Normal"/>
    <w:autoRedefine/>
    <w:uiPriority w:val="39"/>
    <w:rsid w:val="00C22C1B"/>
    <w:pPr>
      <w:tabs>
        <w:tab w:val="right" w:leader="dot" w:pos="9350"/>
      </w:tabs>
      <w:spacing w:after="100"/>
      <w:ind w:left="220"/>
    </w:pPr>
  </w:style>
  <w:style w:type="paragraph" w:styleId="TOC3">
    <w:name w:val="toc 3"/>
    <w:basedOn w:val="Normal"/>
    <w:next w:val="Normal"/>
    <w:autoRedefine/>
    <w:uiPriority w:val="39"/>
    <w:rsid w:val="00064DC8"/>
    <w:pPr>
      <w:spacing w:after="100"/>
      <w:ind w:left="440"/>
    </w:pPr>
  </w:style>
  <w:style w:type="character" w:styleId="Hyperlink">
    <w:name w:val="Hyperlink"/>
    <w:uiPriority w:val="99"/>
    <w:rsid w:val="00064DC8"/>
    <w:rPr>
      <w:rFonts w:cs="Times New Roman"/>
      <w:color w:val="0000FF"/>
      <w:u w:val="single"/>
    </w:rPr>
  </w:style>
  <w:style w:type="paragraph" w:styleId="Title">
    <w:name w:val="Title"/>
    <w:basedOn w:val="Normal"/>
    <w:next w:val="Normal"/>
    <w:link w:val="TitleChar"/>
    <w:uiPriority w:val="99"/>
    <w:qFormat/>
    <w:rsid w:val="00D52FA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D52FA3"/>
    <w:rPr>
      <w:rFonts w:ascii="Cambria" w:hAnsi="Cambria" w:cs="Times New Roman"/>
      <w:color w:val="17365D"/>
      <w:spacing w:val="5"/>
      <w:kern w:val="28"/>
      <w:sz w:val="52"/>
      <w:szCs w:val="52"/>
    </w:rPr>
  </w:style>
  <w:style w:type="paragraph" w:styleId="TOC4">
    <w:name w:val="toc 4"/>
    <w:basedOn w:val="Normal"/>
    <w:next w:val="Normal"/>
    <w:autoRedefine/>
    <w:uiPriority w:val="99"/>
    <w:rsid w:val="00C309C8"/>
    <w:pPr>
      <w:spacing w:after="100"/>
      <w:ind w:left="660"/>
    </w:pPr>
  </w:style>
  <w:style w:type="paragraph" w:styleId="TOC9">
    <w:name w:val="toc 9"/>
    <w:basedOn w:val="Normal"/>
    <w:next w:val="Normal"/>
    <w:autoRedefine/>
    <w:uiPriority w:val="99"/>
    <w:semiHidden/>
    <w:rsid w:val="00C309C8"/>
    <w:pPr>
      <w:spacing w:after="100"/>
      <w:ind w:left="1760"/>
    </w:pPr>
  </w:style>
  <w:style w:type="paragraph" w:styleId="ListBullet4">
    <w:name w:val="List Bullet 4"/>
    <w:basedOn w:val="Normal"/>
    <w:uiPriority w:val="99"/>
    <w:rsid w:val="00355EEE"/>
    <w:pPr>
      <w:numPr>
        <w:numId w:val="4"/>
      </w:numPr>
      <w:tabs>
        <w:tab w:val="num" w:pos="1440"/>
      </w:tabs>
      <w:ind w:left="1440"/>
      <w:contextualSpacing/>
    </w:pPr>
  </w:style>
  <w:style w:type="paragraph" w:customStyle="1" w:styleId="ListBullet1">
    <w:name w:val="List Bullet 1"/>
    <w:basedOn w:val="ListBullet4"/>
    <w:uiPriority w:val="99"/>
    <w:rsid w:val="00D12C42"/>
    <w:pPr>
      <w:numPr>
        <w:numId w:val="18"/>
      </w:numPr>
      <w:spacing w:after="0"/>
    </w:pPr>
    <w:rPr>
      <w:rFonts w:cs="Calibri"/>
      <w:color w:val="000000"/>
      <w:sz w:val="20"/>
      <w:szCs w:val="20"/>
    </w:rPr>
  </w:style>
  <w:style w:type="paragraph" w:styleId="Subtitle">
    <w:name w:val="Subtitle"/>
    <w:basedOn w:val="Normal"/>
    <w:next w:val="Normal"/>
    <w:link w:val="SubtitleChar"/>
    <w:uiPriority w:val="99"/>
    <w:qFormat/>
    <w:rsid w:val="007513C1"/>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7513C1"/>
    <w:rPr>
      <w:rFonts w:ascii="Cambria" w:hAnsi="Cambria" w:cs="Times New Roman"/>
      <w:i/>
      <w:iCs/>
      <w:color w:val="4F81BD"/>
      <w:spacing w:val="15"/>
      <w:sz w:val="24"/>
      <w:szCs w:val="24"/>
    </w:rPr>
  </w:style>
  <w:style w:type="paragraph" w:customStyle="1" w:styleId="NormalIndenet">
    <w:name w:val="Normal Indenet"/>
    <w:basedOn w:val="Normal"/>
    <w:uiPriority w:val="99"/>
    <w:rsid w:val="00B42BF6"/>
    <w:pPr>
      <w:ind w:left="720"/>
    </w:pPr>
  </w:style>
  <w:style w:type="paragraph" w:customStyle="1" w:styleId="NormalIndentd">
    <w:name w:val="Normal Indentd"/>
    <w:basedOn w:val="Normal"/>
    <w:uiPriority w:val="99"/>
    <w:rsid w:val="00323308"/>
    <w:pPr>
      <w:spacing w:after="0"/>
    </w:pPr>
    <w:rPr>
      <w:rFonts w:eastAsia="Times New Roman" w:cs="Calibri"/>
      <w:iCs/>
      <w:color w:val="000000"/>
    </w:rPr>
  </w:style>
  <w:style w:type="paragraph" w:styleId="Revision">
    <w:name w:val="Revision"/>
    <w:hidden/>
    <w:uiPriority w:val="99"/>
    <w:semiHidden/>
    <w:rsid w:val="00650E71"/>
    <w:rPr>
      <w:sz w:val="22"/>
      <w:szCs w:val="22"/>
    </w:rPr>
  </w:style>
  <w:style w:type="character" w:styleId="FollowedHyperlink">
    <w:name w:val="FollowedHyperlink"/>
    <w:uiPriority w:val="99"/>
    <w:semiHidden/>
    <w:unhideWhenUsed/>
    <w:rsid w:val="00D2156F"/>
    <w:rPr>
      <w:color w:val="800080"/>
      <w:u w:val="single"/>
    </w:rPr>
  </w:style>
  <w:style w:type="paragraph" w:customStyle="1" w:styleId="Default">
    <w:name w:val="Default"/>
    <w:rsid w:val="005432A5"/>
    <w:pPr>
      <w:autoSpaceDE w:val="0"/>
      <w:autoSpaceDN w:val="0"/>
      <w:adjustRightInd w:val="0"/>
    </w:pPr>
    <w:rPr>
      <w:rFonts w:cs="Calibri"/>
      <w:color w:val="000000"/>
      <w:sz w:val="24"/>
      <w:szCs w:val="24"/>
    </w:rPr>
  </w:style>
  <w:style w:type="character" w:customStyle="1" w:styleId="Heading6Char">
    <w:name w:val="Heading 6 Char"/>
    <w:link w:val="Heading6"/>
    <w:rsid w:val="00AB38CD"/>
    <w:rPr>
      <w:rFonts w:eastAsia="Times New Roman"/>
      <w:b/>
      <w:bCs/>
      <w:sz w:val="22"/>
      <w:szCs w:val="22"/>
    </w:rPr>
  </w:style>
  <w:style w:type="character" w:styleId="Emphasis">
    <w:name w:val="Emphasis"/>
    <w:uiPriority w:val="20"/>
    <w:qFormat/>
    <w:locked/>
    <w:rsid w:val="00337C3E"/>
    <w:rPr>
      <w:i/>
      <w:iCs/>
    </w:rPr>
  </w:style>
  <w:style w:type="character" w:styleId="IntenseEmphasis">
    <w:name w:val="Intense Emphasis"/>
    <w:uiPriority w:val="21"/>
    <w:qFormat/>
    <w:rsid w:val="00B113BC"/>
    <w:rPr>
      <w:rFonts w:asciiTheme="minorHAnsi" w:hAnsiTheme="minorHAnsi"/>
      <w:b/>
      <w:bCs/>
      <w:i/>
      <w:iCs/>
      <w:color w:val="4F81BD"/>
    </w:rPr>
  </w:style>
  <w:style w:type="paragraph" w:customStyle="1" w:styleId="Body4">
    <w:name w:val="Body4"/>
    <w:basedOn w:val="Normal"/>
    <w:link w:val="Body4Char"/>
    <w:autoRedefine/>
    <w:rsid w:val="00023B94"/>
    <w:pPr>
      <w:spacing w:line="276" w:lineRule="auto"/>
      <w:ind w:left="1080"/>
    </w:pPr>
  </w:style>
  <w:style w:type="character" w:customStyle="1" w:styleId="Body4Char">
    <w:name w:val="Body4 Char"/>
    <w:link w:val="Body4"/>
    <w:rsid w:val="00023B94"/>
    <w:rPr>
      <w:sz w:val="22"/>
      <w:szCs w:val="22"/>
    </w:rPr>
  </w:style>
  <w:style w:type="table" w:styleId="LightList-Accent1">
    <w:name w:val="Light List Accent 1"/>
    <w:basedOn w:val="TableNormal"/>
    <w:uiPriority w:val="61"/>
    <w:rsid w:val="009A2EA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9A2EA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7Char">
    <w:name w:val="Heading 7 Char"/>
    <w:basedOn w:val="DefaultParagraphFont"/>
    <w:link w:val="Heading7"/>
    <w:rsid w:val="000E791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0E791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E7914"/>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030C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0C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6C5C2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6C5C2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C5C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Quote">
    <w:name w:val="Quote"/>
    <w:basedOn w:val="Normal"/>
    <w:next w:val="Normal"/>
    <w:link w:val="QuoteChar"/>
    <w:uiPriority w:val="29"/>
    <w:qFormat/>
    <w:rsid w:val="00A06E51"/>
    <w:rPr>
      <w:i/>
      <w:iCs/>
      <w:color w:val="000000" w:themeColor="text1"/>
    </w:rPr>
  </w:style>
  <w:style w:type="character" w:customStyle="1" w:styleId="QuoteChar">
    <w:name w:val="Quote Char"/>
    <w:basedOn w:val="DefaultParagraphFont"/>
    <w:link w:val="Quote"/>
    <w:uiPriority w:val="29"/>
    <w:rsid w:val="00A06E51"/>
    <w:rPr>
      <w:i/>
      <w:iCs/>
      <w:color w:val="000000" w:themeColor="text1"/>
      <w:sz w:val="22"/>
      <w:szCs w:val="22"/>
    </w:rPr>
  </w:style>
  <w:style w:type="paragraph" w:styleId="EndnoteText">
    <w:name w:val="endnote text"/>
    <w:basedOn w:val="Normal"/>
    <w:link w:val="EndnoteTextChar"/>
    <w:uiPriority w:val="99"/>
    <w:semiHidden/>
    <w:unhideWhenUsed/>
    <w:rsid w:val="00A331EA"/>
    <w:pPr>
      <w:spacing w:after="0"/>
    </w:pPr>
    <w:rPr>
      <w:sz w:val="20"/>
      <w:szCs w:val="20"/>
    </w:rPr>
  </w:style>
  <w:style w:type="paragraph" w:styleId="Index1">
    <w:name w:val="index 1"/>
    <w:basedOn w:val="Normal"/>
    <w:next w:val="Normal"/>
    <w:autoRedefine/>
    <w:uiPriority w:val="99"/>
    <w:semiHidden/>
    <w:unhideWhenUsed/>
    <w:rsid w:val="007D6249"/>
    <w:pPr>
      <w:spacing w:after="0"/>
      <w:ind w:left="220" w:hanging="220"/>
    </w:pPr>
  </w:style>
  <w:style w:type="character" w:customStyle="1" w:styleId="EndnoteTextChar">
    <w:name w:val="Endnote Text Char"/>
    <w:basedOn w:val="DefaultParagraphFont"/>
    <w:link w:val="EndnoteText"/>
    <w:uiPriority w:val="99"/>
    <w:semiHidden/>
    <w:rsid w:val="00A331EA"/>
  </w:style>
  <w:style w:type="character" w:styleId="EndnoteReference">
    <w:name w:val="endnote reference"/>
    <w:basedOn w:val="DefaultParagraphFont"/>
    <w:uiPriority w:val="99"/>
    <w:semiHidden/>
    <w:unhideWhenUsed/>
    <w:rsid w:val="00A33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0774">
      <w:bodyDiv w:val="1"/>
      <w:marLeft w:val="0"/>
      <w:marRight w:val="0"/>
      <w:marTop w:val="0"/>
      <w:marBottom w:val="0"/>
      <w:divBdr>
        <w:top w:val="none" w:sz="0" w:space="0" w:color="auto"/>
        <w:left w:val="none" w:sz="0" w:space="0" w:color="auto"/>
        <w:bottom w:val="none" w:sz="0" w:space="0" w:color="auto"/>
        <w:right w:val="none" w:sz="0" w:space="0" w:color="auto"/>
      </w:divBdr>
    </w:div>
    <w:div w:id="122966778">
      <w:bodyDiv w:val="1"/>
      <w:marLeft w:val="0"/>
      <w:marRight w:val="0"/>
      <w:marTop w:val="0"/>
      <w:marBottom w:val="0"/>
      <w:divBdr>
        <w:top w:val="none" w:sz="0" w:space="0" w:color="auto"/>
        <w:left w:val="none" w:sz="0" w:space="0" w:color="auto"/>
        <w:bottom w:val="none" w:sz="0" w:space="0" w:color="auto"/>
        <w:right w:val="none" w:sz="0" w:space="0" w:color="auto"/>
      </w:divBdr>
      <w:divsChild>
        <w:div w:id="64572401">
          <w:marLeft w:val="0"/>
          <w:marRight w:val="0"/>
          <w:marTop w:val="0"/>
          <w:marBottom w:val="0"/>
          <w:divBdr>
            <w:top w:val="none" w:sz="0" w:space="0" w:color="auto"/>
            <w:left w:val="none" w:sz="0" w:space="0" w:color="auto"/>
            <w:bottom w:val="none" w:sz="0" w:space="0" w:color="auto"/>
            <w:right w:val="none" w:sz="0" w:space="0" w:color="auto"/>
          </w:divBdr>
        </w:div>
        <w:div w:id="149249435">
          <w:marLeft w:val="0"/>
          <w:marRight w:val="0"/>
          <w:marTop w:val="0"/>
          <w:marBottom w:val="0"/>
          <w:divBdr>
            <w:top w:val="none" w:sz="0" w:space="0" w:color="auto"/>
            <w:left w:val="none" w:sz="0" w:space="0" w:color="auto"/>
            <w:bottom w:val="none" w:sz="0" w:space="0" w:color="auto"/>
            <w:right w:val="none" w:sz="0" w:space="0" w:color="auto"/>
          </w:divBdr>
        </w:div>
        <w:div w:id="564226221">
          <w:marLeft w:val="0"/>
          <w:marRight w:val="0"/>
          <w:marTop w:val="0"/>
          <w:marBottom w:val="0"/>
          <w:divBdr>
            <w:top w:val="none" w:sz="0" w:space="0" w:color="auto"/>
            <w:left w:val="none" w:sz="0" w:space="0" w:color="auto"/>
            <w:bottom w:val="none" w:sz="0" w:space="0" w:color="auto"/>
            <w:right w:val="none" w:sz="0" w:space="0" w:color="auto"/>
          </w:divBdr>
        </w:div>
        <w:div w:id="682166965">
          <w:marLeft w:val="0"/>
          <w:marRight w:val="0"/>
          <w:marTop w:val="0"/>
          <w:marBottom w:val="0"/>
          <w:divBdr>
            <w:top w:val="none" w:sz="0" w:space="0" w:color="auto"/>
            <w:left w:val="none" w:sz="0" w:space="0" w:color="auto"/>
            <w:bottom w:val="none" w:sz="0" w:space="0" w:color="auto"/>
            <w:right w:val="none" w:sz="0" w:space="0" w:color="auto"/>
          </w:divBdr>
        </w:div>
        <w:div w:id="744913099">
          <w:marLeft w:val="0"/>
          <w:marRight w:val="0"/>
          <w:marTop w:val="0"/>
          <w:marBottom w:val="0"/>
          <w:divBdr>
            <w:top w:val="none" w:sz="0" w:space="0" w:color="auto"/>
            <w:left w:val="none" w:sz="0" w:space="0" w:color="auto"/>
            <w:bottom w:val="none" w:sz="0" w:space="0" w:color="auto"/>
            <w:right w:val="none" w:sz="0" w:space="0" w:color="auto"/>
          </w:divBdr>
        </w:div>
        <w:div w:id="827941958">
          <w:marLeft w:val="0"/>
          <w:marRight w:val="0"/>
          <w:marTop w:val="0"/>
          <w:marBottom w:val="0"/>
          <w:divBdr>
            <w:top w:val="none" w:sz="0" w:space="0" w:color="auto"/>
            <w:left w:val="none" w:sz="0" w:space="0" w:color="auto"/>
            <w:bottom w:val="none" w:sz="0" w:space="0" w:color="auto"/>
            <w:right w:val="none" w:sz="0" w:space="0" w:color="auto"/>
          </w:divBdr>
        </w:div>
        <w:div w:id="1089889198">
          <w:marLeft w:val="0"/>
          <w:marRight w:val="0"/>
          <w:marTop w:val="0"/>
          <w:marBottom w:val="0"/>
          <w:divBdr>
            <w:top w:val="none" w:sz="0" w:space="0" w:color="auto"/>
            <w:left w:val="none" w:sz="0" w:space="0" w:color="auto"/>
            <w:bottom w:val="none" w:sz="0" w:space="0" w:color="auto"/>
            <w:right w:val="none" w:sz="0" w:space="0" w:color="auto"/>
          </w:divBdr>
        </w:div>
        <w:div w:id="1454596230">
          <w:marLeft w:val="0"/>
          <w:marRight w:val="0"/>
          <w:marTop w:val="0"/>
          <w:marBottom w:val="0"/>
          <w:divBdr>
            <w:top w:val="none" w:sz="0" w:space="0" w:color="auto"/>
            <w:left w:val="none" w:sz="0" w:space="0" w:color="auto"/>
            <w:bottom w:val="none" w:sz="0" w:space="0" w:color="auto"/>
            <w:right w:val="none" w:sz="0" w:space="0" w:color="auto"/>
          </w:divBdr>
        </w:div>
        <w:div w:id="1606885040">
          <w:marLeft w:val="0"/>
          <w:marRight w:val="0"/>
          <w:marTop w:val="0"/>
          <w:marBottom w:val="0"/>
          <w:divBdr>
            <w:top w:val="none" w:sz="0" w:space="0" w:color="auto"/>
            <w:left w:val="none" w:sz="0" w:space="0" w:color="auto"/>
            <w:bottom w:val="none" w:sz="0" w:space="0" w:color="auto"/>
            <w:right w:val="none" w:sz="0" w:space="0" w:color="auto"/>
          </w:divBdr>
        </w:div>
        <w:div w:id="1947348271">
          <w:marLeft w:val="0"/>
          <w:marRight w:val="0"/>
          <w:marTop w:val="0"/>
          <w:marBottom w:val="0"/>
          <w:divBdr>
            <w:top w:val="none" w:sz="0" w:space="0" w:color="auto"/>
            <w:left w:val="none" w:sz="0" w:space="0" w:color="auto"/>
            <w:bottom w:val="none" w:sz="0" w:space="0" w:color="auto"/>
            <w:right w:val="none" w:sz="0" w:space="0" w:color="auto"/>
          </w:divBdr>
        </w:div>
        <w:div w:id="2001034246">
          <w:marLeft w:val="0"/>
          <w:marRight w:val="0"/>
          <w:marTop w:val="0"/>
          <w:marBottom w:val="0"/>
          <w:divBdr>
            <w:top w:val="none" w:sz="0" w:space="0" w:color="auto"/>
            <w:left w:val="none" w:sz="0" w:space="0" w:color="auto"/>
            <w:bottom w:val="none" w:sz="0" w:space="0" w:color="auto"/>
            <w:right w:val="none" w:sz="0" w:space="0" w:color="auto"/>
          </w:divBdr>
        </w:div>
      </w:divsChild>
    </w:div>
    <w:div w:id="274681333">
      <w:bodyDiv w:val="1"/>
      <w:marLeft w:val="0"/>
      <w:marRight w:val="0"/>
      <w:marTop w:val="0"/>
      <w:marBottom w:val="0"/>
      <w:divBdr>
        <w:top w:val="none" w:sz="0" w:space="0" w:color="auto"/>
        <w:left w:val="none" w:sz="0" w:space="0" w:color="auto"/>
        <w:bottom w:val="none" w:sz="0" w:space="0" w:color="auto"/>
        <w:right w:val="none" w:sz="0" w:space="0" w:color="auto"/>
      </w:divBdr>
      <w:divsChild>
        <w:div w:id="112791718">
          <w:marLeft w:val="0"/>
          <w:marRight w:val="0"/>
          <w:marTop w:val="0"/>
          <w:marBottom w:val="0"/>
          <w:divBdr>
            <w:top w:val="none" w:sz="0" w:space="0" w:color="auto"/>
            <w:left w:val="none" w:sz="0" w:space="0" w:color="auto"/>
            <w:bottom w:val="none" w:sz="0" w:space="0" w:color="auto"/>
            <w:right w:val="none" w:sz="0" w:space="0" w:color="auto"/>
          </w:divBdr>
        </w:div>
        <w:div w:id="1150438388">
          <w:marLeft w:val="0"/>
          <w:marRight w:val="0"/>
          <w:marTop w:val="0"/>
          <w:marBottom w:val="0"/>
          <w:divBdr>
            <w:top w:val="none" w:sz="0" w:space="0" w:color="auto"/>
            <w:left w:val="none" w:sz="0" w:space="0" w:color="auto"/>
            <w:bottom w:val="none" w:sz="0" w:space="0" w:color="auto"/>
            <w:right w:val="none" w:sz="0" w:space="0" w:color="auto"/>
          </w:divBdr>
        </w:div>
        <w:div w:id="1734040935">
          <w:marLeft w:val="0"/>
          <w:marRight w:val="0"/>
          <w:marTop w:val="0"/>
          <w:marBottom w:val="0"/>
          <w:divBdr>
            <w:top w:val="none" w:sz="0" w:space="0" w:color="auto"/>
            <w:left w:val="none" w:sz="0" w:space="0" w:color="auto"/>
            <w:bottom w:val="none" w:sz="0" w:space="0" w:color="auto"/>
            <w:right w:val="none" w:sz="0" w:space="0" w:color="auto"/>
          </w:divBdr>
        </w:div>
        <w:div w:id="1728608892">
          <w:marLeft w:val="0"/>
          <w:marRight w:val="0"/>
          <w:marTop w:val="0"/>
          <w:marBottom w:val="0"/>
          <w:divBdr>
            <w:top w:val="none" w:sz="0" w:space="0" w:color="auto"/>
            <w:left w:val="none" w:sz="0" w:space="0" w:color="auto"/>
            <w:bottom w:val="none" w:sz="0" w:space="0" w:color="auto"/>
            <w:right w:val="none" w:sz="0" w:space="0" w:color="auto"/>
          </w:divBdr>
        </w:div>
        <w:div w:id="601575329">
          <w:marLeft w:val="0"/>
          <w:marRight w:val="0"/>
          <w:marTop w:val="0"/>
          <w:marBottom w:val="0"/>
          <w:divBdr>
            <w:top w:val="none" w:sz="0" w:space="0" w:color="auto"/>
            <w:left w:val="none" w:sz="0" w:space="0" w:color="auto"/>
            <w:bottom w:val="none" w:sz="0" w:space="0" w:color="auto"/>
            <w:right w:val="none" w:sz="0" w:space="0" w:color="auto"/>
          </w:divBdr>
        </w:div>
        <w:div w:id="2067601024">
          <w:marLeft w:val="0"/>
          <w:marRight w:val="0"/>
          <w:marTop w:val="0"/>
          <w:marBottom w:val="0"/>
          <w:divBdr>
            <w:top w:val="none" w:sz="0" w:space="0" w:color="auto"/>
            <w:left w:val="none" w:sz="0" w:space="0" w:color="auto"/>
            <w:bottom w:val="none" w:sz="0" w:space="0" w:color="auto"/>
            <w:right w:val="none" w:sz="0" w:space="0" w:color="auto"/>
          </w:divBdr>
        </w:div>
        <w:div w:id="855770784">
          <w:marLeft w:val="0"/>
          <w:marRight w:val="0"/>
          <w:marTop w:val="0"/>
          <w:marBottom w:val="0"/>
          <w:divBdr>
            <w:top w:val="none" w:sz="0" w:space="0" w:color="auto"/>
            <w:left w:val="none" w:sz="0" w:space="0" w:color="auto"/>
            <w:bottom w:val="none" w:sz="0" w:space="0" w:color="auto"/>
            <w:right w:val="none" w:sz="0" w:space="0" w:color="auto"/>
          </w:divBdr>
        </w:div>
        <w:div w:id="1158695307">
          <w:marLeft w:val="0"/>
          <w:marRight w:val="0"/>
          <w:marTop w:val="0"/>
          <w:marBottom w:val="0"/>
          <w:divBdr>
            <w:top w:val="none" w:sz="0" w:space="0" w:color="auto"/>
            <w:left w:val="none" w:sz="0" w:space="0" w:color="auto"/>
            <w:bottom w:val="none" w:sz="0" w:space="0" w:color="auto"/>
            <w:right w:val="none" w:sz="0" w:space="0" w:color="auto"/>
          </w:divBdr>
        </w:div>
        <w:div w:id="1763530868">
          <w:marLeft w:val="0"/>
          <w:marRight w:val="0"/>
          <w:marTop w:val="0"/>
          <w:marBottom w:val="0"/>
          <w:divBdr>
            <w:top w:val="none" w:sz="0" w:space="0" w:color="auto"/>
            <w:left w:val="none" w:sz="0" w:space="0" w:color="auto"/>
            <w:bottom w:val="none" w:sz="0" w:space="0" w:color="auto"/>
            <w:right w:val="none" w:sz="0" w:space="0" w:color="auto"/>
          </w:divBdr>
        </w:div>
        <w:div w:id="1790858928">
          <w:marLeft w:val="0"/>
          <w:marRight w:val="0"/>
          <w:marTop w:val="0"/>
          <w:marBottom w:val="0"/>
          <w:divBdr>
            <w:top w:val="none" w:sz="0" w:space="0" w:color="auto"/>
            <w:left w:val="none" w:sz="0" w:space="0" w:color="auto"/>
            <w:bottom w:val="none" w:sz="0" w:space="0" w:color="auto"/>
            <w:right w:val="none" w:sz="0" w:space="0" w:color="auto"/>
          </w:divBdr>
        </w:div>
        <w:div w:id="1273517537">
          <w:marLeft w:val="0"/>
          <w:marRight w:val="0"/>
          <w:marTop w:val="0"/>
          <w:marBottom w:val="0"/>
          <w:divBdr>
            <w:top w:val="none" w:sz="0" w:space="0" w:color="auto"/>
            <w:left w:val="none" w:sz="0" w:space="0" w:color="auto"/>
            <w:bottom w:val="none" w:sz="0" w:space="0" w:color="auto"/>
            <w:right w:val="none" w:sz="0" w:space="0" w:color="auto"/>
          </w:divBdr>
        </w:div>
        <w:div w:id="1266842700">
          <w:marLeft w:val="0"/>
          <w:marRight w:val="0"/>
          <w:marTop w:val="0"/>
          <w:marBottom w:val="0"/>
          <w:divBdr>
            <w:top w:val="none" w:sz="0" w:space="0" w:color="auto"/>
            <w:left w:val="none" w:sz="0" w:space="0" w:color="auto"/>
            <w:bottom w:val="none" w:sz="0" w:space="0" w:color="auto"/>
            <w:right w:val="none" w:sz="0" w:space="0" w:color="auto"/>
          </w:divBdr>
        </w:div>
        <w:div w:id="734668531">
          <w:marLeft w:val="0"/>
          <w:marRight w:val="0"/>
          <w:marTop w:val="0"/>
          <w:marBottom w:val="0"/>
          <w:divBdr>
            <w:top w:val="none" w:sz="0" w:space="0" w:color="auto"/>
            <w:left w:val="none" w:sz="0" w:space="0" w:color="auto"/>
            <w:bottom w:val="none" w:sz="0" w:space="0" w:color="auto"/>
            <w:right w:val="none" w:sz="0" w:space="0" w:color="auto"/>
          </w:divBdr>
        </w:div>
        <w:div w:id="1184981932">
          <w:marLeft w:val="0"/>
          <w:marRight w:val="0"/>
          <w:marTop w:val="0"/>
          <w:marBottom w:val="0"/>
          <w:divBdr>
            <w:top w:val="none" w:sz="0" w:space="0" w:color="auto"/>
            <w:left w:val="none" w:sz="0" w:space="0" w:color="auto"/>
            <w:bottom w:val="none" w:sz="0" w:space="0" w:color="auto"/>
            <w:right w:val="none" w:sz="0" w:space="0" w:color="auto"/>
          </w:divBdr>
        </w:div>
        <w:div w:id="1699770485">
          <w:marLeft w:val="0"/>
          <w:marRight w:val="0"/>
          <w:marTop w:val="0"/>
          <w:marBottom w:val="0"/>
          <w:divBdr>
            <w:top w:val="none" w:sz="0" w:space="0" w:color="auto"/>
            <w:left w:val="none" w:sz="0" w:space="0" w:color="auto"/>
            <w:bottom w:val="none" w:sz="0" w:space="0" w:color="auto"/>
            <w:right w:val="none" w:sz="0" w:space="0" w:color="auto"/>
          </w:divBdr>
        </w:div>
        <w:div w:id="1393430846">
          <w:marLeft w:val="0"/>
          <w:marRight w:val="0"/>
          <w:marTop w:val="0"/>
          <w:marBottom w:val="0"/>
          <w:divBdr>
            <w:top w:val="none" w:sz="0" w:space="0" w:color="auto"/>
            <w:left w:val="none" w:sz="0" w:space="0" w:color="auto"/>
            <w:bottom w:val="none" w:sz="0" w:space="0" w:color="auto"/>
            <w:right w:val="none" w:sz="0" w:space="0" w:color="auto"/>
          </w:divBdr>
        </w:div>
        <w:div w:id="138570126">
          <w:marLeft w:val="0"/>
          <w:marRight w:val="0"/>
          <w:marTop w:val="0"/>
          <w:marBottom w:val="0"/>
          <w:divBdr>
            <w:top w:val="none" w:sz="0" w:space="0" w:color="auto"/>
            <w:left w:val="none" w:sz="0" w:space="0" w:color="auto"/>
            <w:bottom w:val="none" w:sz="0" w:space="0" w:color="auto"/>
            <w:right w:val="none" w:sz="0" w:space="0" w:color="auto"/>
          </w:divBdr>
        </w:div>
      </w:divsChild>
    </w:div>
    <w:div w:id="292902531">
      <w:bodyDiv w:val="1"/>
      <w:marLeft w:val="0"/>
      <w:marRight w:val="0"/>
      <w:marTop w:val="0"/>
      <w:marBottom w:val="0"/>
      <w:divBdr>
        <w:top w:val="none" w:sz="0" w:space="0" w:color="auto"/>
        <w:left w:val="none" w:sz="0" w:space="0" w:color="auto"/>
        <w:bottom w:val="none" w:sz="0" w:space="0" w:color="auto"/>
        <w:right w:val="none" w:sz="0" w:space="0" w:color="auto"/>
      </w:divBdr>
    </w:div>
    <w:div w:id="436101749">
      <w:bodyDiv w:val="1"/>
      <w:marLeft w:val="0"/>
      <w:marRight w:val="0"/>
      <w:marTop w:val="0"/>
      <w:marBottom w:val="0"/>
      <w:divBdr>
        <w:top w:val="none" w:sz="0" w:space="0" w:color="auto"/>
        <w:left w:val="none" w:sz="0" w:space="0" w:color="auto"/>
        <w:bottom w:val="none" w:sz="0" w:space="0" w:color="auto"/>
        <w:right w:val="none" w:sz="0" w:space="0" w:color="auto"/>
      </w:divBdr>
    </w:div>
    <w:div w:id="543951077">
      <w:bodyDiv w:val="1"/>
      <w:marLeft w:val="0"/>
      <w:marRight w:val="0"/>
      <w:marTop w:val="0"/>
      <w:marBottom w:val="0"/>
      <w:divBdr>
        <w:top w:val="none" w:sz="0" w:space="0" w:color="auto"/>
        <w:left w:val="none" w:sz="0" w:space="0" w:color="auto"/>
        <w:bottom w:val="none" w:sz="0" w:space="0" w:color="auto"/>
        <w:right w:val="none" w:sz="0" w:space="0" w:color="auto"/>
      </w:divBdr>
    </w:div>
    <w:div w:id="609433240">
      <w:bodyDiv w:val="1"/>
      <w:marLeft w:val="0"/>
      <w:marRight w:val="0"/>
      <w:marTop w:val="0"/>
      <w:marBottom w:val="0"/>
      <w:divBdr>
        <w:top w:val="none" w:sz="0" w:space="0" w:color="auto"/>
        <w:left w:val="none" w:sz="0" w:space="0" w:color="auto"/>
        <w:bottom w:val="none" w:sz="0" w:space="0" w:color="auto"/>
        <w:right w:val="none" w:sz="0" w:space="0" w:color="auto"/>
      </w:divBdr>
    </w:div>
    <w:div w:id="695891635">
      <w:bodyDiv w:val="1"/>
      <w:marLeft w:val="0"/>
      <w:marRight w:val="0"/>
      <w:marTop w:val="0"/>
      <w:marBottom w:val="0"/>
      <w:divBdr>
        <w:top w:val="none" w:sz="0" w:space="0" w:color="auto"/>
        <w:left w:val="none" w:sz="0" w:space="0" w:color="auto"/>
        <w:bottom w:val="none" w:sz="0" w:space="0" w:color="auto"/>
        <w:right w:val="none" w:sz="0" w:space="0" w:color="auto"/>
      </w:divBdr>
    </w:div>
    <w:div w:id="753280781">
      <w:bodyDiv w:val="1"/>
      <w:marLeft w:val="0"/>
      <w:marRight w:val="0"/>
      <w:marTop w:val="0"/>
      <w:marBottom w:val="0"/>
      <w:divBdr>
        <w:top w:val="none" w:sz="0" w:space="0" w:color="auto"/>
        <w:left w:val="none" w:sz="0" w:space="0" w:color="auto"/>
        <w:bottom w:val="none" w:sz="0" w:space="0" w:color="auto"/>
        <w:right w:val="none" w:sz="0" w:space="0" w:color="auto"/>
      </w:divBdr>
    </w:div>
    <w:div w:id="754937547">
      <w:bodyDiv w:val="1"/>
      <w:marLeft w:val="0"/>
      <w:marRight w:val="0"/>
      <w:marTop w:val="0"/>
      <w:marBottom w:val="0"/>
      <w:divBdr>
        <w:top w:val="none" w:sz="0" w:space="0" w:color="auto"/>
        <w:left w:val="none" w:sz="0" w:space="0" w:color="auto"/>
        <w:bottom w:val="none" w:sz="0" w:space="0" w:color="auto"/>
        <w:right w:val="none" w:sz="0" w:space="0" w:color="auto"/>
      </w:divBdr>
      <w:divsChild>
        <w:div w:id="193082456">
          <w:marLeft w:val="907"/>
          <w:marRight w:val="0"/>
          <w:marTop w:val="240"/>
          <w:marBottom w:val="120"/>
          <w:divBdr>
            <w:top w:val="none" w:sz="0" w:space="0" w:color="auto"/>
            <w:left w:val="none" w:sz="0" w:space="0" w:color="auto"/>
            <w:bottom w:val="none" w:sz="0" w:space="0" w:color="auto"/>
            <w:right w:val="none" w:sz="0" w:space="0" w:color="auto"/>
          </w:divBdr>
        </w:div>
      </w:divsChild>
    </w:div>
    <w:div w:id="857617474">
      <w:bodyDiv w:val="1"/>
      <w:marLeft w:val="0"/>
      <w:marRight w:val="0"/>
      <w:marTop w:val="0"/>
      <w:marBottom w:val="0"/>
      <w:divBdr>
        <w:top w:val="none" w:sz="0" w:space="0" w:color="auto"/>
        <w:left w:val="none" w:sz="0" w:space="0" w:color="auto"/>
        <w:bottom w:val="none" w:sz="0" w:space="0" w:color="auto"/>
        <w:right w:val="none" w:sz="0" w:space="0" w:color="auto"/>
      </w:divBdr>
    </w:div>
    <w:div w:id="857620193">
      <w:bodyDiv w:val="1"/>
      <w:marLeft w:val="0"/>
      <w:marRight w:val="0"/>
      <w:marTop w:val="0"/>
      <w:marBottom w:val="0"/>
      <w:divBdr>
        <w:top w:val="none" w:sz="0" w:space="0" w:color="auto"/>
        <w:left w:val="none" w:sz="0" w:space="0" w:color="auto"/>
        <w:bottom w:val="none" w:sz="0" w:space="0" w:color="auto"/>
        <w:right w:val="none" w:sz="0" w:space="0" w:color="auto"/>
      </w:divBdr>
    </w:div>
    <w:div w:id="954337395">
      <w:bodyDiv w:val="1"/>
      <w:marLeft w:val="0"/>
      <w:marRight w:val="0"/>
      <w:marTop w:val="0"/>
      <w:marBottom w:val="0"/>
      <w:divBdr>
        <w:top w:val="none" w:sz="0" w:space="0" w:color="auto"/>
        <w:left w:val="none" w:sz="0" w:space="0" w:color="auto"/>
        <w:bottom w:val="none" w:sz="0" w:space="0" w:color="auto"/>
        <w:right w:val="none" w:sz="0" w:space="0" w:color="auto"/>
      </w:divBdr>
    </w:div>
    <w:div w:id="1098869067">
      <w:bodyDiv w:val="1"/>
      <w:marLeft w:val="0"/>
      <w:marRight w:val="0"/>
      <w:marTop w:val="0"/>
      <w:marBottom w:val="0"/>
      <w:divBdr>
        <w:top w:val="none" w:sz="0" w:space="0" w:color="auto"/>
        <w:left w:val="none" w:sz="0" w:space="0" w:color="auto"/>
        <w:bottom w:val="none" w:sz="0" w:space="0" w:color="auto"/>
        <w:right w:val="none" w:sz="0" w:space="0" w:color="auto"/>
      </w:divBdr>
    </w:div>
    <w:div w:id="1185678026">
      <w:bodyDiv w:val="1"/>
      <w:marLeft w:val="0"/>
      <w:marRight w:val="0"/>
      <w:marTop w:val="0"/>
      <w:marBottom w:val="0"/>
      <w:divBdr>
        <w:top w:val="none" w:sz="0" w:space="0" w:color="auto"/>
        <w:left w:val="none" w:sz="0" w:space="0" w:color="auto"/>
        <w:bottom w:val="none" w:sz="0" w:space="0" w:color="auto"/>
        <w:right w:val="none" w:sz="0" w:space="0" w:color="auto"/>
      </w:divBdr>
      <w:divsChild>
        <w:div w:id="1164475117">
          <w:marLeft w:val="0"/>
          <w:marRight w:val="0"/>
          <w:marTop w:val="0"/>
          <w:marBottom w:val="0"/>
          <w:divBdr>
            <w:top w:val="none" w:sz="0" w:space="0" w:color="auto"/>
            <w:left w:val="none" w:sz="0" w:space="0" w:color="auto"/>
            <w:bottom w:val="none" w:sz="0" w:space="0" w:color="auto"/>
            <w:right w:val="none" w:sz="0" w:space="0" w:color="auto"/>
          </w:divBdr>
        </w:div>
        <w:div w:id="1912959483">
          <w:marLeft w:val="0"/>
          <w:marRight w:val="0"/>
          <w:marTop w:val="0"/>
          <w:marBottom w:val="0"/>
          <w:divBdr>
            <w:top w:val="none" w:sz="0" w:space="0" w:color="auto"/>
            <w:left w:val="none" w:sz="0" w:space="0" w:color="auto"/>
            <w:bottom w:val="none" w:sz="0" w:space="0" w:color="auto"/>
            <w:right w:val="none" w:sz="0" w:space="0" w:color="auto"/>
          </w:divBdr>
        </w:div>
        <w:div w:id="1200901346">
          <w:marLeft w:val="0"/>
          <w:marRight w:val="0"/>
          <w:marTop w:val="0"/>
          <w:marBottom w:val="0"/>
          <w:divBdr>
            <w:top w:val="none" w:sz="0" w:space="0" w:color="auto"/>
            <w:left w:val="none" w:sz="0" w:space="0" w:color="auto"/>
            <w:bottom w:val="none" w:sz="0" w:space="0" w:color="auto"/>
            <w:right w:val="none" w:sz="0" w:space="0" w:color="auto"/>
          </w:divBdr>
        </w:div>
        <w:div w:id="643438232">
          <w:marLeft w:val="0"/>
          <w:marRight w:val="0"/>
          <w:marTop w:val="0"/>
          <w:marBottom w:val="0"/>
          <w:divBdr>
            <w:top w:val="none" w:sz="0" w:space="0" w:color="auto"/>
            <w:left w:val="none" w:sz="0" w:space="0" w:color="auto"/>
            <w:bottom w:val="none" w:sz="0" w:space="0" w:color="auto"/>
            <w:right w:val="none" w:sz="0" w:space="0" w:color="auto"/>
          </w:divBdr>
        </w:div>
        <w:div w:id="1603996427">
          <w:marLeft w:val="0"/>
          <w:marRight w:val="0"/>
          <w:marTop w:val="0"/>
          <w:marBottom w:val="0"/>
          <w:divBdr>
            <w:top w:val="none" w:sz="0" w:space="0" w:color="auto"/>
            <w:left w:val="none" w:sz="0" w:space="0" w:color="auto"/>
            <w:bottom w:val="none" w:sz="0" w:space="0" w:color="auto"/>
            <w:right w:val="none" w:sz="0" w:space="0" w:color="auto"/>
          </w:divBdr>
        </w:div>
        <w:div w:id="834371565">
          <w:marLeft w:val="0"/>
          <w:marRight w:val="0"/>
          <w:marTop w:val="0"/>
          <w:marBottom w:val="0"/>
          <w:divBdr>
            <w:top w:val="none" w:sz="0" w:space="0" w:color="auto"/>
            <w:left w:val="none" w:sz="0" w:space="0" w:color="auto"/>
            <w:bottom w:val="none" w:sz="0" w:space="0" w:color="auto"/>
            <w:right w:val="none" w:sz="0" w:space="0" w:color="auto"/>
          </w:divBdr>
        </w:div>
        <w:div w:id="1240679541">
          <w:marLeft w:val="0"/>
          <w:marRight w:val="0"/>
          <w:marTop w:val="0"/>
          <w:marBottom w:val="0"/>
          <w:divBdr>
            <w:top w:val="none" w:sz="0" w:space="0" w:color="auto"/>
            <w:left w:val="none" w:sz="0" w:space="0" w:color="auto"/>
            <w:bottom w:val="none" w:sz="0" w:space="0" w:color="auto"/>
            <w:right w:val="none" w:sz="0" w:space="0" w:color="auto"/>
          </w:divBdr>
        </w:div>
      </w:divsChild>
    </w:div>
    <w:div w:id="1244946998">
      <w:bodyDiv w:val="1"/>
      <w:marLeft w:val="0"/>
      <w:marRight w:val="0"/>
      <w:marTop w:val="0"/>
      <w:marBottom w:val="0"/>
      <w:divBdr>
        <w:top w:val="none" w:sz="0" w:space="0" w:color="auto"/>
        <w:left w:val="none" w:sz="0" w:space="0" w:color="auto"/>
        <w:bottom w:val="none" w:sz="0" w:space="0" w:color="auto"/>
        <w:right w:val="none" w:sz="0" w:space="0" w:color="auto"/>
      </w:divBdr>
      <w:divsChild>
        <w:div w:id="158274557">
          <w:marLeft w:val="0"/>
          <w:marRight w:val="0"/>
          <w:marTop w:val="0"/>
          <w:marBottom w:val="0"/>
          <w:divBdr>
            <w:top w:val="none" w:sz="0" w:space="0" w:color="auto"/>
            <w:left w:val="none" w:sz="0" w:space="0" w:color="auto"/>
            <w:bottom w:val="none" w:sz="0" w:space="0" w:color="auto"/>
            <w:right w:val="none" w:sz="0" w:space="0" w:color="auto"/>
          </w:divBdr>
        </w:div>
        <w:div w:id="208225265">
          <w:marLeft w:val="0"/>
          <w:marRight w:val="0"/>
          <w:marTop w:val="0"/>
          <w:marBottom w:val="0"/>
          <w:divBdr>
            <w:top w:val="none" w:sz="0" w:space="0" w:color="auto"/>
            <w:left w:val="none" w:sz="0" w:space="0" w:color="auto"/>
            <w:bottom w:val="none" w:sz="0" w:space="0" w:color="auto"/>
            <w:right w:val="none" w:sz="0" w:space="0" w:color="auto"/>
          </w:divBdr>
        </w:div>
        <w:div w:id="422380866">
          <w:marLeft w:val="0"/>
          <w:marRight w:val="0"/>
          <w:marTop w:val="0"/>
          <w:marBottom w:val="0"/>
          <w:divBdr>
            <w:top w:val="none" w:sz="0" w:space="0" w:color="auto"/>
            <w:left w:val="none" w:sz="0" w:space="0" w:color="auto"/>
            <w:bottom w:val="none" w:sz="0" w:space="0" w:color="auto"/>
            <w:right w:val="none" w:sz="0" w:space="0" w:color="auto"/>
          </w:divBdr>
        </w:div>
        <w:div w:id="510920096">
          <w:marLeft w:val="0"/>
          <w:marRight w:val="0"/>
          <w:marTop w:val="0"/>
          <w:marBottom w:val="0"/>
          <w:divBdr>
            <w:top w:val="none" w:sz="0" w:space="0" w:color="auto"/>
            <w:left w:val="none" w:sz="0" w:space="0" w:color="auto"/>
            <w:bottom w:val="none" w:sz="0" w:space="0" w:color="auto"/>
            <w:right w:val="none" w:sz="0" w:space="0" w:color="auto"/>
          </w:divBdr>
        </w:div>
        <w:div w:id="983973013">
          <w:marLeft w:val="0"/>
          <w:marRight w:val="0"/>
          <w:marTop w:val="0"/>
          <w:marBottom w:val="0"/>
          <w:divBdr>
            <w:top w:val="none" w:sz="0" w:space="0" w:color="auto"/>
            <w:left w:val="none" w:sz="0" w:space="0" w:color="auto"/>
            <w:bottom w:val="none" w:sz="0" w:space="0" w:color="auto"/>
            <w:right w:val="none" w:sz="0" w:space="0" w:color="auto"/>
          </w:divBdr>
        </w:div>
        <w:div w:id="1307247212">
          <w:marLeft w:val="0"/>
          <w:marRight w:val="0"/>
          <w:marTop w:val="0"/>
          <w:marBottom w:val="0"/>
          <w:divBdr>
            <w:top w:val="none" w:sz="0" w:space="0" w:color="auto"/>
            <w:left w:val="none" w:sz="0" w:space="0" w:color="auto"/>
            <w:bottom w:val="none" w:sz="0" w:space="0" w:color="auto"/>
            <w:right w:val="none" w:sz="0" w:space="0" w:color="auto"/>
          </w:divBdr>
        </w:div>
        <w:div w:id="1312104008">
          <w:marLeft w:val="0"/>
          <w:marRight w:val="0"/>
          <w:marTop w:val="0"/>
          <w:marBottom w:val="0"/>
          <w:divBdr>
            <w:top w:val="none" w:sz="0" w:space="0" w:color="auto"/>
            <w:left w:val="none" w:sz="0" w:space="0" w:color="auto"/>
            <w:bottom w:val="none" w:sz="0" w:space="0" w:color="auto"/>
            <w:right w:val="none" w:sz="0" w:space="0" w:color="auto"/>
          </w:divBdr>
        </w:div>
        <w:div w:id="1725179162">
          <w:marLeft w:val="0"/>
          <w:marRight w:val="0"/>
          <w:marTop w:val="0"/>
          <w:marBottom w:val="0"/>
          <w:divBdr>
            <w:top w:val="none" w:sz="0" w:space="0" w:color="auto"/>
            <w:left w:val="none" w:sz="0" w:space="0" w:color="auto"/>
            <w:bottom w:val="none" w:sz="0" w:space="0" w:color="auto"/>
            <w:right w:val="none" w:sz="0" w:space="0" w:color="auto"/>
          </w:divBdr>
        </w:div>
        <w:div w:id="1767309502">
          <w:marLeft w:val="0"/>
          <w:marRight w:val="0"/>
          <w:marTop w:val="0"/>
          <w:marBottom w:val="0"/>
          <w:divBdr>
            <w:top w:val="none" w:sz="0" w:space="0" w:color="auto"/>
            <w:left w:val="none" w:sz="0" w:space="0" w:color="auto"/>
            <w:bottom w:val="none" w:sz="0" w:space="0" w:color="auto"/>
            <w:right w:val="none" w:sz="0" w:space="0" w:color="auto"/>
          </w:divBdr>
        </w:div>
        <w:div w:id="1903248976">
          <w:marLeft w:val="0"/>
          <w:marRight w:val="0"/>
          <w:marTop w:val="0"/>
          <w:marBottom w:val="0"/>
          <w:divBdr>
            <w:top w:val="none" w:sz="0" w:space="0" w:color="auto"/>
            <w:left w:val="none" w:sz="0" w:space="0" w:color="auto"/>
            <w:bottom w:val="none" w:sz="0" w:space="0" w:color="auto"/>
            <w:right w:val="none" w:sz="0" w:space="0" w:color="auto"/>
          </w:divBdr>
        </w:div>
        <w:div w:id="1917321290">
          <w:marLeft w:val="0"/>
          <w:marRight w:val="0"/>
          <w:marTop w:val="0"/>
          <w:marBottom w:val="0"/>
          <w:divBdr>
            <w:top w:val="none" w:sz="0" w:space="0" w:color="auto"/>
            <w:left w:val="none" w:sz="0" w:space="0" w:color="auto"/>
            <w:bottom w:val="none" w:sz="0" w:space="0" w:color="auto"/>
            <w:right w:val="none" w:sz="0" w:space="0" w:color="auto"/>
          </w:divBdr>
        </w:div>
      </w:divsChild>
    </w:div>
    <w:div w:id="1277905344">
      <w:marLeft w:val="0"/>
      <w:marRight w:val="0"/>
      <w:marTop w:val="0"/>
      <w:marBottom w:val="0"/>
      <w:divBdr>
        <w:top w:val="none" w:sz="0" w:space="0" w:color="auto"/>
        <w:left w:val="none" w:sz="0" w:space="0" w:color="auto"/>
        <w:bottom w:val="none" w:sz="0" w:space="0" w:color="auto"/>
        <w:right w:val="none" w:sz="0" w:space="0" w:color="auto"/>
      </w:divBdr>
    </w:div>
    <w:div w:id="1277905346">
      <w:marLeft w:val="0"/>
      <w:marRight w:val="0"/>
      <w:marTop w:val="0"/>
      <w:marBottom w:val="0"/>
      <w:divBdr>
        <w:top w:val="none" w:sz="0" w:space="0" w:color="auto"/>
        <w:left w:val="none" w:sz="0" w:space="0" w:color="auto"/>
        <w:bottom w:val="none" w:sz="0" w:space="0" w:color="auto"/>
        <w:right w:val="none" w:sz="0" w:space="0" w:color="auto"/>
      </w:divBdr>
    </w:div>
    <w:div w:id="1277905348">
      <w:marLeft w:val="0"/>
      <w:marRight w:val="0"/>
      <w:marTop w:val="0"/>
      <w:marBottom w:val="0"/>
      <w:divBdr>
        <w:top w:val="none" w:sz="0" w:space="0" w:color="auto"/>
        <w:left w:val="none" w:sz="0" w:space="0" w:color="auto"/>
        <w:bottom w:val="none" w:sz="0" w:space="0" w:color="auto"/>
        <w:right w:val="none" w:sz="0" w:space="0" w:color="auto"/>
      </w:divBdr>
      <w:divsChild>
        <w:div w:id="1277905354">
          <w:marLeft w:val="547"/>
          <w:marRight w:val="0"/>
          <w:marTop w:val="240"/>
          <w:marBottom w:val="0"/>
          <w:divBdr>
            <w:top w:val="none" w:sz="0" w:space="0" w:color="auto"/>
            <w:left w:val="none" w:sz="0" w:space="0" w:color="auto"/>
            <w:bottom w:val="none" w:sz="0" w:space="0" w:color="auto"/>
            <w:right w:val="none" w:sz="0" w:space="0" w:color="auto"/>
          </w:divBdr>
        </w:div>
        <w:div w:id="1277905360">
          <w:marLeft w:val="547"/>
          <w:marRight w:val="0"/>
          <w:marTop w:val="240"/>
          <w:marBottom w:val="0"/>
          <w:divBdr>
            <w:top w:val="none" w:sz="0" w:space="0" w:color="auto"/>
            <w:left w:val="none" w:sz="0" w:space="0" w:color="auto"/>
            <w:bottom w:val="none" w:sz="0" w:space="0" w:color="auto"/>
            <w:right w:val="none" w:sz="0" w:space="0" w:color="auto"/>
          </w:divBdr>
        </w:div>
        <w:div w:id="1277905380">
          <w:marLeft w:val="547"/>
          <w:marRight w:val="0"/>
          <w:marTop w:val="240"/>
          <w:marBottom w:val="0"/>
          <w:divBdr>
            <w:top w:val="none" w:sz="0" w:space="0" w:color="auto"/>
            <w:left w:val="none" w:sz="0" w:space="0" w:color="auto"/>
            <w:bottom w:val="none" w:sz="0" w:space="0" w:color="auto"/>
            <w:right w:val="none" w:sz="0" w:space="0" w:color="auto"/>
          </w:divBdr>
        </w:div>
      </w:divsChild>
    </w:div>
    <w:div w:id="1277905349">
      <w:marLeft w:val="0"/>
      <w:marRight w:val="0"/>
      <w:marTop w:val="0"/>
      <w:marBottom w:val="0"/>
      <w:divBdr>
        <w:top w:val="none" w:sz="0" w:space="0" w:color="auto"/>
        <w:left w:val="none" w:sz="0" w:space="0" w:color="auto"/>
        <w:bottom w:val="none" w:sz="0" w:space="0" w:color="auto"/>
        <w:right w:val="none" w:sz="0" w:space="0" w:color="auto"/>
      </w:divBdr>
    </w:div>
    <w:div w:id="1277905353">
      <w:marLeft w:val="0"/>
      <w:marRight w:val="0"/>
      <w:marTop w:val="0"/>
      <w:marBottom w:val="0"/>
      <w:divBdr>
        <w:top w:val="none" w:sz="0" w:space="0" w:color="auto"/>
        <w:left w:val="none" w:sz="0" w:space="0" w:color="auto"/>
        <w:bottom w:val="none" w:sz="0" w:space="0" w:color="auto"/>
        <w:right w:val="none" w:sz="0" w:space="0" w:color="auto"/>
      </w:divBdr>
      <w:divsChild>
        <w:div w:id="1277905345">
          <w:marLeft w:val="1555"/>
          <w:marRight w:val="0"/>
          <w:marTop w:val="230"/>
          <w:marBottom w:val="0"/>
          <w:divBdr>
            <w:top w:val="none" w:sz="0" w:space="0" w:color="auto"/>
            <w:left w:val="none" w:sz="0" w:space="0" w:color="auto"/>
            <w:bottom w:val="none" w:sz="0" w:space="0" w:color="auto"/>
            <w:right w:val="none" w:sz="0" w:space="0" w:color="auto"/>
          </w:divBdr>
        </w:div>
        <w:div w:id="1277905351">
          <w:marLeft w:val="1800"/>
          <w:marRight w:val="0"/>
          <w:marTop w:val="192"/>
          <w:marBottom w:val="0"/>
          <w:divBdr>
            <w:top w:val="none" w:sz="0" w:space="0" w:color="auto"/>
            <w:left w:val="none" w:sz="0" w:space="0" w:color="auto"/>
            <w:bottom w:val="none" w:sz="0" w:space="0" w:color="auto"/>
            <w:right w:val="none" w:sz="0" w:space="0" w:color="auto"/>
          </w:divBdr>
        </w:div>
        <w:div w:id="1277905377">
          <w:marLeft w:val="1555"/>
          <w:marRight w:val="0"/>
          <w:marTop w:val="230"/>
          <w:marBottom w:val="0"/>
          <w:divBdr>
            <w:top w:val="none" w:sz="0" w:space="0" w:color="auto"/>
            <w:left w:val="none" w:sz="0" w:space="0" w:color="auto"/>
            <w:bottom w:val="none" w:sz="0" w:space="0" w:color="auto"/>
            <w:right w:val="none" w:sz="0" w:space="0" w:color="auto"/>
          </w:divBdr>
        </w:div>
        <w:div w:id="1277905395">
          <w:marLeft w:val="1800"/>
          <w:marRight w:val="0"/>
          <w:marTop w:val="192"/>
          <w:marBottom w:val="0"/>
          <w:divBdr>
            <w:top w:val="none" w:sz="0" w:space="0" w:color="auto"/>
            <w:left w:val="none" w:sz="0" w:space="0" w:color="auto"/>
            <w:bottom w:val="none" w:sz="0" w:space="0" w:color="auto"/>
            <w:right w:val="none" w:sz="0" w:space="0" w:color="auto"/>
          </w:divBdr>
        </w:div>
      </w:divsChild>
    </w:div>
    <w:div w:id="1277905355">
      <w:marLeft w:val="0"/>
      <w:marRight w:val="0"/>
      <w:marTop w:val="0"/>
      <w:marBottom w:val="0"/>
      <w:divBdr>
        <w:top w:val="none" w:sz="0" w:space="0" w:color="auto"/>
        <w:left w:val="none" w:sz="0" w:space="0" w:color="auto"/>
        <w:bottom w:val="none" w:sz="0" w:space="0" w:color="auto"/>
        <w:right w:val="none" w:sz="0" w:space="0" w:color="auto"/>
      </w:divBdr>
    </w:div>
    <w:div w:id="1277905357">
      <w:marLeft w:val="0"/>
      <w:marRight w:val="0"/>
      <w:marTop w:val="0"/>
      <w:marBottom w:val="0"/>
      <w:divBdr>
        <w:top w:val="none" w:sz="0" w:space="0" w:color="auto"/>
        <w:left w:val="none" w:sz="0" w:space="0" w:color="auto"/>
        <w:bottom w:val="none" w:sz="0" w:space="0" w:color="auto"/>
        <w:right w:val="none" w:sz="0" w:space="0" w:color="auto"/>
      </w:divBdr>
      <w:divsChild>
        <w:div w:id="1277905358">
          <w:marLeft w:val="734"/>
          <w:marRight w:val="0"/>
          <w:marTop w:val="0"/>
          <w:marBottom w:val="0"/>
          <w:divBdr>
            <w:top w:val="none" w:sz="0" w:space="0" w:color="auto"/>
            <w:left w:val="none" w:sz="0" w:space="0" w:color="auto"/>
            <w:bottom w:val="none" w:sz="0" w:space="0" w:color="auto"/>
            <w:right w:val="none" w:sz="0" w:space="0" w:color="auto"/>
          </w:divBdr>
        </w:div>
        <w:div w:id="1277905361">
          <w:marLeft w:val="734"/>
          <w:marRight w:val="0"/>
          <w:marTop w:val="0"/>
          <w:marBottom w:val="0"/>
          <w:divBdr>
            <w:top w:val="none" w:sz="0" w:space="0" w:color="auto"/>
            <w:left w:val="none" w:sz="0" w:space="0" w:color="auto"/>
            <w:bottom w:val="none" w:sz="0" w:space="0" w:color="auto"/>
            <w:right w:val="none" w:sz="0" w:space="0" w:color="auto"/>
          </w:divBdr>
        </w:div>
        <w:div w:id="1277905370">
          <w:marLeft w:val="734"/>
          <w:marRight w:val="0"/>
          <w:marTop w:val="0"/>
          <w:marBottom w:val="0"/>
          <w:divBdr>
            <w:top w:val="none" w:sz="0" w:space="0" w:color="auto"/>
            <w:left w:val="none" w:sz="0" w:space="0" w:color="auto"/>
            <w:bottom w:val="none" w:sz="0" w:space="0" w:color="auto"/>
            <w:right w:val="none" w:sz="0" w:space="0" w:color="auto"/>
          </w:divBdr>
        </w:div>
        <w:div w:id="1277905388">
          <w:marLeft w:val="734"/>
          <w:marRight w:val="0"/>
          <w:marTop w:val="0"/>
          <w:marBottom w:val="0"/>
          <w:divBdr>
            <w:top w:val="none" w:sz="0" w:space="0" w:color="auto"/>
            <w:left w:val="none" w:sz="0" w:space="0" w:color="auto"/>
            <w:bottom w:val="none" w:sz="0" w:space="0" w:color="auto"/>
            <w:right w:val="none" w:sz="0" w:space="0" w:color="auto"/>
          </w:divBdr>
        </w:div>
      </w:divsChild>
    </w:div>
    <w:div w:id="1277905363">
      <w:marLeft w:val="0"/>
      <w:marRight w:val="0"/>
      <w:marTop w:val="0"/>
      <w:marBottom w:val="0"/>
      <w:divBdr>
        <w:top w:val="none" w:sz="0" w:space="0" w:color="auto"/>
        <w:left w:val="none" w:sz="0" w:space="0" w:color="auto"/>
        <w:bottom w:val="none" w:sz="0" w:space="0" w:color="auto"/>
        <w:right w:val="none" w:sz="0" w:space="0" w:color="auto"/>
      </w:divBdr>
    </w:div>
    <w:div w:id="1277905368">
      <w:marLeft w:val="0"/>
      <w:marRight w:val="0"/>
      <w:marTop w:val="0"/>
      <w:marBottom w:val="0"/>
      <w:divBdr>
        <w:top w:val="none" w:sz="0" w:space="0" w:color="auto"/>
        <w:left w:val="none" w:sz="0" w:space="0" w:color="auto"/>
        <w:bottom w:val="none" w:sz="0" w:space="0" w:color="auto"/>
        <w:right w:val="none" w:sz="0" w:space="0" w:color="auto"/>
      </w:divBdr>
    </w:div>
    <w:div w:id="1277905372">
      <w:marLeft w:val="0"/>
      <w:marRight w:val="0"/>
      <w:marTop w:val="0"/>
      <w:marBottom w:val="0"/>
      <w:divBdr>
        <w:top w:val="none" w:sz="0" w:space="0" w:color="auto"/>
        <w:left w:val="none" w:sz="0" w:space="0" w:color="auto"/>
        <w:bottom w:val="none" w:sz="0" w:space="0" w:color="auto"/>
        <w:right w:val="none" w:sz="0" w:space="0" w:color="auto"/>
      </w:divBdr>
      <w:divsChild>
        <w:div w:id="1277905356">
          <w:marLeft w:val="446"/>
          <w:marRight w:val="0"/>
          <w:marTop w:val="20"/>
          <w:marBottom w:val="0"/>
          <w:divBdr>
            <w:top w:val="none" w:sz="0" w:space="0" w:color="auto"/>
            <w:left w:val="none" w:sz="0" w:space="0" w:color="auto"/>
            <w:bottom w:val="none" w:sz="0" w:space="0" w:color="auto"/>
            <w:right w:val="none" w:sz="0" w:space="0" w:color="auto"/>
          </w:divBdr>
        </w:div>
        <w:div w:id="1277905364">
          <w:marLeft w:val="446"/>
          <w:marRight w:val="0"/>
          <w:marTop w:val="20"/>
          <w:marBottom w:val="0"/>
          <w:divBdr>
            <w:top w:val="none" w:sz="0" w:space="0" w:color="auto"/>
            <w:left w:val="none" w:sz="0" w:space="0" w:color="auto"/>
            <w:bottom w:val="none" w:sz="0" w:space="0" w:color="auto"/>
            <w:right w:val="none" w:sz="0" w:space="0" w:color="auto"/>
          </w:divBdr>
        </w:div>
        <w:div w:id="1277905374">
          <w:marLeft w:val="446"/>
          <w:marRight w:val="0"/>
          <w:marTop w:val="20"/>
          <w:marBottom w:val="0"/>
          <w:divBdr>
            <w:top w:val="none" w:sz="0" w:space="0" w:color="auto"/>
            <w:left w:val="none" w:sz="0" w:space="0" w:color="auto"/>
            <w:bottom w:val="none" w:sz="0" w:space="0" w:color="auto"/>
            <w:right w:val="none" w:sz="0" w:space="0" w:color="auto"/>
          </w:divBdr>
        </w:div>
        <w:div w:id="1277905379">
          <w:marLeft w:val="446"/>
          <w:marRight w:val="0"/>
          <w:marTop w:val="20"/>
          <w:marBottom w:val="0"/>
          <w:divBdr>
            <w:top w:val="none" w:sz="0" w:space="0" w:color="auto"/>
            <w:left w:val="none" w:sz="0" w:space="0" w:color="auto"/>
            <w:bottom w:val="none" w:sz="0" w:space="0" w:color="auto"/>
            <w:right w:val="none" w:sz="0" w:space="0" w:color="auto"/>
          </w:divBdr>
        </w:div>
        <w:div w:id="1277905387">
          <w:marLeft w:val="446"/>
          <w:marRight w:val="0"/>
          <w:marTop w:val="20"/>
          <w:marBottom w:val="0"/>
          <w:divBdr>
            <w:top w:val="none" w:sz="0" w:space="0" w:color="auto"/>
            <w:left w:val="none" w:sz="0" w:space="0" w:color="auto"/>
            <w:bottom w:val="none" w:sz="0" w:space="0" w:color="auto"/>
            <w:right w:val="none" w:sz="0" w:space="0" w:color="auto"/>
          </w:divBdr>
        </w:div>
        <w:div w:id="1277905394">
          <w:marLeft w:val="446"/>
          <w:marRight w:val="0"/>
          <w:marTop w:val="20"/>
          <w:marBottom w:val="0"/>
          <w:divBdr>
            <w:top w:val="none" w:sz="0" w:space="0" w:color="auto"/>
            <w:left w:val="none" w:sz="0" w:space="0" w:color="auto"/>
            <w:bottom w:val="none" w:sz="0" w:space="0" w:color="auto"/>
            <w:right w:val="none" w:sz="0" w:space="0" w:color="auto"/>
          </w:divBdr>
        </w:div>
        <w:div w:id="1277905396">
          <w:marLeft w:val="446"/>
          <w:marRight w:val="0"/>
          <w:marTop w:val="20"/>
          <w:marBottom w:val="0"/>
          <w:divBdr>
            <w:top w:val="none" w:sz="0" w:space="0" w:color="auto"/>
            <w:left w:val="none" w:sz="0" w:space="0" w:color="auto"/>
            <w:bottom w:val="none" w:sz="0" w:space="0" w:color="auto"/>
            <w:right w:val="none" w:sz="0" w:space="0" w:color="auto"/>
          </w:divBdr>
        </w:div>
      </w:divsChild>
    </w:div>
    <w:div w:id="1277905378">
      <w:marLeft w:val="0"/>
      <w:marRight w:val="0"/>
      <w:marTop w:val="0"/>
      <w:marBottom w:val="0"/>
      <w:divBdr>
        <w:top w:val="none" w:sz="0" w:space="0" w:color="auto"/>
        <w:left w:val="none" w:sz="0" w:space="0" w:color="auto"/>
        <w:bottom w:val="none" w:sz="0" w:space="0" w:color="auto"/>
        <w:right w:val="none" w:sz="0" w:space="0" w:color="auto"/>
      </w:divBdr>
      <w:divsChild>
        <w:div w:id="1277905347">
          <w:marLeft w:val="446"/>
          <w:marRight w:val="0"/>
          <w:marTop w:val="154"/>
          <w:marBottom w:val="0"/>
          <w:divBdr>
            <w:top w:val="none" w:sz="0" w:space="0" w:color="auto"/>
            <w:left w:val="none" w:sz="0" w:space="0" w:color="auto"/>
            <w:bottom w:val="none" w:sz="0" w:space="0" w:color="auto"/>
            <w:right w:val="none" w:sz="0" w:space="0" w:color="auto"/>
          </w:divBdr>
        </w:div>
        <w:div w:id="1277905350">
          <w:marLeft w:val="446"/>
          <w:marRight w:val="0"/>
          <w:marTop w:val="154"/>
          <w:marBottom w:val="0"/>
          <w:divBdr>
            <w:top w:val="none" w:sz="0" w:space="0" w:color="auto"/>
            <w:left w:val="none" w:sz="0" w:space="0" w:color="auto"/>
            <w:bottom w:val="none" w:sz="0" w:space="0" w:color="auto"/>
            <w:right w:val="none" w:sz="0" w:space="0" w:color="auto"/>
          </w:divBdr>
        </w:div>
        <w:div w:id="1277905359">
          <w:marLeft w:val="446"/>
          <w:marRight w:val="0"/>
          <w:marTop w:val="154"/>
          <w:marBottom w:val="0"/>
          <w:divBdr>
            <w:top w:val="none" w:sz="0" w:space="0" w:color="auto"/>
            <w:left w:val="none" w:sz="0" w:space="0" w:color="auto"/>
            <w:bottom w:val="none" w:sz="0" w:space="0" w:color="auto"/>
            <w:right w:val="none" w:sz="0" w:space="0" w:color="auto"/>
          </w:divBdr>
        </w:div>
        <w:div w:id="1277905381">
          <w:marLeft w:val="446"/>
          <w:marRight w:val="0"/>
          <w:marTop w:val="154"/>
          <w:marBottom w:val="0"/>
          <w:divBdr>
            <w:top w:val="none" w:sz="0" w:space="0" w:color="auto"/>
            <w:left w:val="none" w:sz="0" w:space="0" w:color="auto"/>
            <w:bottom w:val="none" w:sz="0" w:space="0" w:color="auto"/>
            <w:right w:val="none" w:sz="0" w:space="0" w:color="auto"/>
          </w:divBdr>
        </w:div>
        <w:div w:id="1277905389">
          <w:marLeft w:val="446"/>
          <w:marRight w:val="0"/>
          <w:marTop w:val="154"/>
          <w:marBottom w:val="0"/>
          <w:divBdr>
            <w:top w:val="none" w:sz="0" w:space="0" w:color="auto"/>
            <w:left w:val="none" w:sz="0" w:space="0" w:color="auto"/>
            <w:bottom w:val="none" w:sz="0" w:space="0" w:color="auto"/>
            <w:right w:val="none" w:sz="0" w:space="0" w:color="auto"/>
          </w:divBdr>
        </w:div>
      </w:divsChild>
    </w:div>
    <w:div w:id="1277905382">
      <w:marLeft w:val="0"/>
      <w:marRight w:val="0"/>
      <w:marTop w:val="0"/>
      <w:marBottom w:val="0"/>
      <w:divBdr>
        <w:top w:val="none" w:sz="0" w:space="0" w:color="auto"/>
        <w:left w:val="none" w:sz="0" w:space="0" w:color="auto"/>
        <w:bottom w:val="none" w:sz="0" w:space="0" w:color="auto"/>
        <w:right w:val="none" w:sz="0" w:space="0" w:color="auto"/>
      </w:divBdr>
      <w:divsChild>
        <w:div w:id="1277905367">
          <w:marLeft w:val="0"/>
          <w:marRight w:val="0"/>
          <w:marTop w:val="0"/>
          <w:marBottom w:val="0"/>
          <w:divBdr>
            <w:top w:val="none" w:sz="0" w:space="0" w:color="auto"/>
            <w:left w:val="none" w:sz="0" w:space="0" w:color="auto"/>
            <w:bottom w:val="none" w:sz="0" w:space="0" w:color="auto"/>
            <w:right w:val="none" w:sz="0" w:space="0" w:color="auto"/>
          </w:divBdr>
          <w:divsChild>
            <w:div w:id="1277905375">
              <w:marLeft w:val="0"/>
              <w:marRight w:val="0"/>
              <w:marTop w:val="0"/>
              <w:marBottom w:val="0"/>
              <w:divBdr>
                <w:top w:val="none" w:sz="0" w:space="0" w:color="auto"/>
                <w:left w:val="none" w:sz="0" w:space="0" w:color="auto"/>
                <w:bottom w:val="none" w:sz="0" w:space="0" w:color="auto"/>
                <w:right w:val="none" w:sz="0" w:space="0" w:color="auto"/>
              </w:divBdr>
              <w:divsChild>
                <w:div w:id="1277905376">
                  <w:marLeft w:val="0"/>
                  <w:marRight w:val="0"/>
                  <w:marTop w:val="0"/>
                  <w:marBottom w:val="0"/>
                  <w:divBdr>
                    <w:top w:val="none" w:sz="0" w:space="0" w:color="auto"/>
                    <w:left w:val="none" w:sz="0" w:space="0" w:color="auto"/>
                    <w:bottom w:val="none" w:sz="0" w:space="0" w:color="auto"/>
                    <w:right w:val="none" w:sz="0" w:space="0" w:color="auto"/>
                  </w:divBdr>
                  <w:divsChild>
                    <w:div w:id="1277905383">
                      <w:marLeft w:val="2"/>
                      <w:marRight w:val="0"/>
                      <w:marTop w:val="0"/>
                      <w:marBottom w:val="0"/>
                      <w:divBdr>
                        <w:top w:val="none" w:sz="0" w:space="0" w:color="auto"/>
                        <w:left w:val="none" w:sz="0" w:space="0" w:color="auto"/>
                        <w:bottom w:val="none" w:sz="0" w:space="0" w:color="auto"/>
                        <w:right w:val="none" w:sz="0" w:space="0" w:color="auto"/>
                      </w:divBdr>
                      <w:divsChild>
                        <w:div w:id="1277905386">
                          <w:marLeft w:val="0"/>
                          <w:marRight w:val="0"/>
                          <w:marTop w:val="0"/>
                          <w:marBottom w:val="0"/>
                          <w:divBdr>
                            <w:top w:val="none" w:sz="0" w:space="0" w:color="auto"/>
                            <w:left w:val="none" w:sz="0" w:space="0" w:color="auto"/>
                            <w:bottom w:val="none" w:sz="0" w:space="0" w:color="auto"/>
                            <w:right w:val="none" w:sz="0" w:space="0" w:color="auto"/>
                          </w:divBdr>
                          <w:divsChild>
                            <w:div w:id="127790536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905391">
      <w:marLeft w:val="0"/>
      <w:marRight w:val="0"/>
      <w:marTop w:val="0"/>
      <w:marBottom w:val="0"/>
      <w:divBdr>
        <w:top w:val="none" w:sz="0" w:space="0" w:color="auto"/>
        <w:left w:val="none" w:sz="0" w:space="0" w:color="auto"/>
        <w:bottom w:val="none" w:sz="0" w:space="0" w:color="auto"/>
        <w:right w:val="none" w:sz="0" w:space="0" w:color="auto"/>
      </w:divBdr>
      <w:divsChild>
        <w:div w:id="1277905362">
          <w:marLeft w:val="634"/>
          <w:marRight w:val="0"/>
          <w:marTop w:val="154"/>
          <w:marBottom w:val="0"/>
          <w:divBdr>
            <w:top w:val="none" w:sz="0" w:space="0" w:color="auto"/>
            <w:left w:val="none" w:sz="0" w:space="0" w:color="auto"/>
            <w:bottom w:val="none" w:sz="0" w:space="0" w:color="auto"/>
            <w:right w:val="none" w:sz="0" w:space="0" w:color="auto"/>
          </w:divBdr>
        </w:div>
        <w:div w:id="1277905365">
          <w:marLeft w:val="634"/>
          <w:marRight w:val="0"/>
          <w:marTop w:val="154"/>
          <w:marBottom w:val="0"/>
          <w:divBdr>
            <w:top w:val="none" w:sz="0" w:space="0" w:color="auto"/>
            <w:left w:val="none" w:sz="0" w:space="0" w:color="auto"/>
            <w:bottom w:val="none" w:sz="0" w:space="0" w:color="auto"/>
            <w:right w:val="none" w:sz="0" w:space="0" w:color="auto"/>
          </w:divBdr>
        </w:div>
        <w:div w:id="1277905369">
          <w:marLeft w:val="634"/>
          <w:marRight w:val="0"/>
          <w:marTop w:val="154"/>
          <w:marBottom w:val="0"/>
          <w:divBdr>
            <w:top w:val="none" w:sz="0" w:space="0" w:color="auto"/>
            <w:left w:val="none" w:sz="0" w:space="0" w:color="auto"/>
            <w:bottom w:val="none" w:sz="0" w:space="0" w:color="auto"/>
            <w:right w:val="none" w:sz="0" w:space="0" w:color="auto"/>
          </w:divBdr>
        </w:div>
        <w:div w:id="1277905384">
          <w:marLeft w:val="634"/>
          <w:marRight w:val="0"/>
          <w:marTop w:val="154"/>
          <w:marBottom w:val="0"/>
          <w:divBdr>
            <w:top w:val="none" w:sz="0" w:space="0" w:color="auto"/>
            <w:left w:val="none" w:sz="0" w:space="0" w:color="auto"/>
            <w:bottom w:val="none" w:sz="0" w:space="0" w:color="auto"/>
            <w:right w:val="none" w:sz="0" w:space="0" w:color="auto"/>
          </w:divBdr>
        </w:div>
        <w:div w:id="1277905385">
          <w:marLeft w:val="634"/>
          <w:marRight w:val="0"/>
          <w:marTop w:val="154"/>
          <w:marBottom w:val="0"/>
          <w:divBdr>
            <w:top w:val="none" w:sz="0" w:space="0" w:color="auto"/>
            <w:left w:val="none" w:sz="0" w:space="0" w:color="auto"/>
            <w:bottom w:val="none" w:sz="0" w:space="0" w:color="auto"/>
            <w:right w:val="none" w:sz="0" w:space="0" w:color="auto"/>
          </w:divBdr>
        </w:div>
        <w:div w:id="1277905390">
          <w:marLeft w:val="634"/>
          <w:marRight w:val="0"/>
          <w:marTop w:val="154"/>
          <w:marBottom w:val="0"/>
          <w:divBdr>
            <w:top w:val="none" w:sz="0" w:space="0" w:color="auto"/>
            <w:left w:val="none" w:sz="0" w:space="0" w:color="auto"/>
            <w:bottom w:val="none" w:sz="0" w:space="0" w:color="auto"/>
            <w:right w:val="none" w:sz="0" w:space="0" w:color="auto"/>
          </w:divBdr>
        </w:div>
      </w:divsChild>
    </w:div>
    <w:div w:id="1277905393">
      <w:marLeft w:val="0"/>
      <w:marRight w:val="0"/>
      <w:marTop w:val="0"/>
      <w:marBottom w:val="0"/>
      <w:divBdr>
        <w:top w:val="none" w:sz="0" w:space="0" w:color="auto"/>
        <w:left w:val="none" w:sz="0" w:space="0" w:color="auto"/>
        <w:bottom w:val="none" w:sz="0" w:space="0" w:color="auto"/>
        <w:right w:val="none" w:sz="0" w:space="0" w:color="auto"/>
      </w:divBdr>
      <w:divsChild>
        <w:div w:id="1277905352">
          <w:marLeft w:val="0"/>
          <w:marRight w:val="0"/>
          <w:marTop w:val="29"/>
          <w:marBottom w:val="0"/>
          <w:divBdr>
            <w:top w:val="none" w:sz="0" w:space="0" w:color="auto"/>
            <w:left w:val="none" w:sz="0" w:space="0" w:color="auto"/>
            <w:bottom w:val="none" w:sz="0" w:space="0" w:color="auto"/>
            <w:right w:val="none" w:sz="0" w:space="0" w:color="auto"/>
          </w:divBdr>
        </w:div>
        <w:div w:id="1277905373">
          <w:marLeft w:val="0"/>
          <w:marRight w:val="0"/>
          <w:marTop w:val="29"/>
          <w:marBottom w:val="0"/>
          <w:divBdr>
            <w:top w:val="none" w:sz="0" w:space="0" w:color="auto"/>
            <w:left w:val="none" w:sz="0" w:space="0" w:color="auto"/>
            <w:bottom w:val="none" w:sz="0" w:space="0" w:color="auto"/>
            <w:right w:val="none" w:sz="0" w:space="0" w:color="auto"/>
          </w:divBdr>
        </w:div>
      </w:divsChild>
    </w:div>
    <w:div w:id="1277905397">
      <w:marLeft w:val="0"/>
      <w:marRight w:val="0"/>
      <w:marTop w:val="0"/>
      <w:marBottom w:val="0"/>
      <w:divBdr>
        <w:top w:val="none" w:sz="0" w:space="0" w:color="auto"/>
        <w:left w:val="none" w:sz="0" w:space="0" w:color="auto"/>
        <w:bottom w:val="none" w:sz="0" w:space="0" w:color="auto"/>
        <w:right w:val="none" w:sz="0" w:space="0" w:color="auto"/>
      </w:divBdr>
      <w:divsChild>
        <w:div w:id="1277905371">
          <w:marLeft w:val="0"/>
          <w:marRight w:val="0"/>
          <w:marTop w:val="29"/>
          <w:marBottom w:val="0"/>
          <w:divBdr>
            <w:top w:val="none" w:sz="0" w:space="0" w:color="auto"/>
            <w:left w:val="none" w:sz="0" w:space="0" w:color="auto"/>
            <w:bottom w:val="none" w:sz="0" w:space="0" w:color="auto"/>
            <w:right w:val="none" w:sz="0" w:space="0" w:color="auto"/>
          </w:divBdr>
        </w:div>
        <w:div w:id="1277905392">
          <w:marLeft w:val="0"/>
          <w:marRight w:val="0"/>
          <w:marTop w:val="29"/>
          <w:marBottom w:val="0"/>
          <w:divBdr>
            <w:top w:val="none" w:sz="0" w:space="0" w:color="auto"/>
            <w:left w:val="none" w:sz="0" w:space="0" w:color="auto"/>
            <w:bottom w:val="none" w:sz="0" w:space="0" w:color="auto"/>
            <w:right w:val="none" w:sz="0" w:space="0" w:color="auto"/>
          </w:divBdr>
        </w:div>
      </w:divsChild>
    </w:div>
    <w:div w:id="1341203712">
      <w:bodyDiv w:val="1"/>
      <w:marLeft w:val="0"/>
      <w:marRight w:val="0"/>
      <w:marTop w:val="0"/>
      <w:marBottom w:val="0"/>
      <w:divBdr>
        <w:top w:val="none" w:sz="0" w:space="0" w:color="auto"/>
        <w:left w:val="none" w:sz="0" w:space="0" w:color="auto"/>
        <w:bottom w:val="none" w:sz="0" w:space="0" w:color="auto"/>
        <w:right w:val="none" w:sz="0" w:space="0" w:color="auto"/>
      </w:divBdr>
    </w:div>
    <w:div w:id="1403482212">
      <w:bodyDiv w:val="1"/>
      <w:marLeft w:val="0"/>
      <w:marRight w:val="0"/>
      <w:marTop w:val="0"/>
      <w:marBottom w:val="0"/>
      <w:divBdr>
        <w:top w:val="none" w:sz="0" w:space="0" w:color="auto"/>
        <w:left w:val="none" w:sz="0" w:space="0" w:color="auto"/>
        <w:bottom w:val="none" w:sz="0" w:space="0" w:color="auto"/>
        <w:right w:val="none" w:sz="0" w:space="0" w:color="auto"/>
      </w:divBdr>
      <w:divsChild>
        <w:div w:id="478426254">
          <w:marLeft w:val="0"/>
          <w:marRight w:val="0"/>
          <w:marTop w:val="0"/>
          <w:marBottom w:val="0"/>
          <w:divBdr>
            <w:top w:val="none" w:sz="0" w:space="0" w:color="auto"/>
            <w:left w:val="none" w:sz="0" w:space="0" w:color="auto"/>
            <w:bottom w:val="none" w:sz="0" w:space="0" w:color="auto"/>
            <w:right w:val="none" w:sz="0" w:space="0" w:color="auto"/>
          </w:divBdr>
        </w:div>
      </w:divsChild>
    </w:div>
    <w:div w:id="1455635330">
      <w:bodyDiv w:val="1"/>
      <w:marLeft w:val="0"/>
      <w:marRight w:val="0"/>
      <w:marTop w:val="0"/>
      <w:marBottom w:val="0"/>
      <w:divBdr>
        <w:top w:val="none" w:sz="0" w:space="0" w:color="auto"/>
        <w:left w:val="none" w:sz="0" w:space="0" w:color="auto"/>
        <w:bottom w:val="none" w:sz="0" w:space="0" w:color="auto"/>
        <w:right w:val="none" w:sz="0" w:space="0" w:color="auto"/>
      </w:divBdr>
      <w:divsChild>
        <w:div w:id="906573199">
          <w:marLeft w:val="0"/>
          <w:marRight w:val="0"/>
          <w:marTop w:val="0"/>
          <w:marBottom w:val="0"/>
          <w:divBdr>
            <w:top w:val="none" w:sz="0" w:space="0" w:color="auto"/>
            <w:left w:val="none" w:sz="0" w:space="0" w:color="auto"/>
            <w:bottom w:val="none" w:sz="0" w:space="0" w:color="auto"/>
            <w:right w:val="none" w:sz="0" w:space="0" w:color="auto"/>
          </w:divBdr>
        </w:div>
        <w:div w:id="1719626597">
          <w:marLeft w:val="0"/>
          <w:marRight w:val="0"/>
          <w:marTop w:val="0"/>
          <w:marBottom w:val="0"/>
          <w:divBdr>
            <w:top w:val="none" w:sz="0" w:space="0" w:color="auto"/>
            <w:left w:val="none" w:sz="0" w:space="0" w:color="auto"/>
            <w:bottom w:val="none" w:sz="0" w:space="0" w:color="auto"/>
            <w:right w:val="none" w:sz="0" w:space="0" w:color="auto"/>
          </w:divBdr>
        </w:div>
        <w:div w:id="1759868188">
          <w:marLeft w:val="0"/>
          <w:marRight w:val="0"/>
          <w:marTop w:val="0"/>
          <w:marBottom w:val="0"/>
          <w:divBdr>
            <w:top w:val="none" w:sz="0" w:space="0" w:color="auto"/>
            <w:left w:val="none" w:sz="0" w:space="0" w:color="auto"/>
            <w:bottom w:val="none" w:sz="0" w:space="0" w:color="auto"/>
            <w:right w:val="none" w:sz="0" w:space="0" w:color="auto"/>
          </w:divBdr>
        </w:div>
      </w:divsChild>
    </w:div>
    <w:div w:id="1467091204">
      <w:bodyDiv w:val="1"/>
      <w:marLeft w:val="0"/>
      <w:marRight w:val="0"/>
      <w:marTop w:val="0"/>
      <w:marBottom w:val="0"/>
      <w:divBdr>
        <w:top w:val="none" w:sz="0" w:space="0" w:color="auto"/>
        <w:left w:val="none" w:sz="0" w:space="0" w:color="auto"/>
        <w:bottom w:val="none" w:sz="0" w:space="0" w:color="auto"/>
        <w:right w:val="none" w:sz="0" w:space="0" w:color="auto"/>
      </w:divBdr>
    </w:div>
    <w:div w:id="1490321159">
      <w:bodyDiv w:val="1"/>
      <w:marLeft w:val="0"/>
      <w:marRight w:val="0"/>
      <w:marTop w:val="0"/>
      <w:marBottom w:val="0"/>
      <w:divBdr>
        <w:top w:val="none" w:sz="0" w:space="0" w:color="auto"/>
        <w:left w:val="none" w:sz="0" w:space="0" w:color="auto"/>
        <w:bottom w:val="none" w:sz="0" w:space="0" w:color="auto"/>
        <w:right w:val="none" w:sz="0" w:space="0" w:color="auto"/>
      </w:divBdr>
    </w:div>
    <w:div w:id="1518543908">
      <w:bodyDiv w:val="1"/>
      <w:marLeft w:val="0"/>
      <w:marRight w:val="0"/>
      <w:marTop w:val="0"/>
      <w:marBottom w:val="0"/>
      <w:divBdr>
        <w:top w:val="none" w:sz="0" w:space="0" w:color="auto"/>
        <w:left w:val="none" w:sz="0" w:space="0" w:color="auto"/>
        <w:bottom w:val="none" w:sz="0" w:space="0" w:color="auto"/>
        <w:right w:val="none" w:sz="0" w:space="0" w:color="auto"/>
      </w:divBdr>
      <w:divsChild>
        <w:div w:id="1091973696">
          <w:marLeft w:val="547"/>
          <w:marRight w:val="0"/>
          <w:marTop w:val="0"/>
          <w:marBottom w:val="0"/>
          <w:divBdr>
            <w:top w:val="none" w:sz="0" w:space="0" w:color="auto"/>
            <w:left w:val="none" w:sz="0" w:space="0" w:color="auto"/>
            <w:bottom w:val="none" w:sz="0" w:space="0" w:color="auto"/>
            <w:right w:val="none" w:sz="0" w:space="0" w:color="auto"/>
          </w:divBdr>
        </w:div>
      </w:divsChild>
    </w:div>
    <w:div w:id="1529758612">
      <w:bodyDiv w:val="1"/>
      <w:marLeft w:val="0"/>
      <w:marRight w:val="0"/>
      <w:marTop w:val="0"/>
      <w:marBottom w:val="0"/>
      <w:divBdr>
        <w:top w:val="none" w:sz="0" w:space="0" w:color="auto"/>
        <w:left w:val="none" w:sz="0" w:space="0" w:color="auto"/>
        <w:bottom w:val="none" w:sz="0" w:space="0" w:color="auto"/>
        <w:right w:val="none" w:sz="0" w:space="0" w:color="auto"/>
      </w:divBdr>
    </w:div>
    <w:div w:id="1543901274">
      <w:bodyDiv w:val="1"/>
      <w:marLeft w:val="0"/>
      <w:marRight w:val="0"/>
      <w:marTop w:val="0"/>
      <w:marBottom w:val="0"/>
      <w:divBdr>
        <w:top w:val="none" w:sz="0" w:space="0" w:color="auto"/>
        <w:left w:val="none" w:sz="0" w:space="0" w:color="auto"/>
        <w:bottom w:val="none" w:sz="0" w:space="0" w:color="auto"/>
        <w:right w:val="none" w:sz="0" w:space="0" w:color="auto"/>
      </w:divBdr>
      <w:divsChild>
        <w:div w:id="495806695">
          <w:marLeft w:val="0"/>
          <w:marRight w:val="0"/>
          <w:marTop w:val="0"/>
          <w:marBottom w:val="0"/>
          <w:divBdr>
            <w:top w:val="none" w:sz="0" w:space="0" w:color="auto"/>
            <w:left w:val="none" w:sz="0" w:space="0" w:color="auto"/>
            <w:bottom w:val="none" w:sz="0" w:space="0" w:color="auto"/>
            <w:right w:val="none" w:sz="0" w:space="0" w:color="auto"/>
          </w:divBdr>
        </w:div>
        <w:div w:id="274484261">
          <w:marLeft w:val="0"/>
          <w:marRight w:val="0"/>
          <w:marTop w:val="0"/>
          <w:marBottom w:val="0"/>
          <w:divBdr>
            <w:top w:val="none" w:sz="0" w:space="0" w:color="auto"/>
            <w:left w:val="none" w:sz="0" w:space="0" w:color="auto"/>
            <w:bottom w:val="none" w:sz="0" w:space="0" w:color="auto"/>
            <w:right w:val="none" w:sz="0" w:space="0" w:color="auto"/>
          </w:divBdr>
        </w:div>
        <w:div w:id="1277250425">
          <w:marLeft w:val="0"/>
          <w:marRight w:val="0"/>
          <w:marTop w:val="0"/>
          <w:marBottom w:val="0"/>
          <w:divBdr>
            <w:top w:val="none" w:sz="0" w:space="0" w:color="auto"/>
            <w:left w:val="none" w:sz="0" w:space="0" w:color="auto"/>
            <w:bottom w:val="none" w:sz="0" w:space="0" w:color="auto"/>
            <w:right w:val="none" w:sz="0" w:space="0" w:color="auto"/>
          </w:divBdr>
        </w:div>
        <w:div w:id="2021421865">
          <w:marLeft w:val="0"/>
          <w:marRight w:val="0"/>
          <w:marTop w:val="0"/>
          <w:marBottom w:val="0"/>
          <w:divBdr>
            <w:top w:val="none" w:sz="0" w:space="0" w:color="auto"/>
            <w:left w:val="none" w:sz="0" w:space="0" w:color="auto"/>
            <w:bottom w:val="none" w:sz="0" w:space="0" w:color="auto"/>
            <w:right w:val="none" w:sz="0" w:space="0" w:color="auto"/>
          </w:divBdr>
        </w:div>
        <w:div w:id="211891132">
          <w:marLeft w:val="0"/>
          <w:marRight w:val="0"/>
          <w:marTop w:val="0"/>
          <w:marBottom w:val="0"/>
          <w:divBdr>
            <w:top w:val="none" w:sz="0" w:space="0" w:color="auto"/>
            <w:left w:val="none" w:sz="0" w:space="0" w:color="auto"/>
            <w:bottom w:val="none" w:sz="0" w:space="0" w:color="auto"/>
            <w:right w:val="none" w:sz="0" w:space="0" w:color="auto"/>
          </w:divBdr>
        </w:div>
        <w:div w:id="1489059547">
          <w:marLeft w:val="0"/>
          <w:marRight w:val="0"/>
          <w:marTop w:val="0"/>
          <w:marBottom w:val="0"/>
          <w:divBdr>
            <w:top w:val="none" w:sz="0" w:space="0" w:color="auto"/>
            <w:left w:val="none" w:sz="0" w:space="0" w:color="auto"/>
            <w:bottom w:val="none" w:sz="0" w:space="0" w:color="auto"/>
            <w:right w:val="none" w:sz="0" w:space="0" w:color="auto"/>
          </w:divBdr>
        </w:div>
        <w:div w:id="1968317604">
          <w:marLeft w:val="0"/>
          <w:marRight w:val="0"/>
          <w:marTop w:val="0"/>
          <w:marBottom w:val="0"/>
          <w:divBdr>
            <w:top w:val="none" w:sz="0" w:space="0" w:color="auto"/>
            <w:left w:val="none" w:sz="0" w:space="0" w:color="auto"/>
            <w:bottom w:val="none" w:sz="0" w:space="0" w:color="auto"/>
            <w:right w:val="none" w:sz="0" w:space="0" w:color="auto"/>
          </w:divBdr>
        </w:div>
        <w:div w:id="1163932146">
          <w:marLeft w:val="0"/>
          <w:marRight w:val="0"/>
          <w:marTop w:val="0"/>
          <w:marBottom w:val="0"/>
          <w:divBdr>
            <w:top w:val="none" w:sz="0" w:space="0" w:color="auto"/>
            <w:left w:val="none" w:sz="0" w:space="0" w:color="auto"/>
            <w:bottom w:val="none" w:sz="0" w:space="0" w:color="auto"/>
            <w:right w:val="none" w:sz="0" w:space="0" w:color="auto"/>
          </w:divBdr>
        </w:div>
        <w:div w:id="359624645">
          <w:marLeft w:val="0"/>
          <w:marRight w:val="0"/>
          <w:marTop w:val="0"/>
          <w:marBottom w:val="0"/>
          <w:divBdr>
            <w:top w:val="none" w:sz="0" w:space="0" w:color="auto"/>
            <w:left w:val="none" w:sz="0" w:space="0" w:color="auto"/>
            <w:bottom w:val="none" w:sz="0" w:space="0" w:color="auto"/>
            <w:right w:val="none" w:sz="0" w:space="0" w:color="auto"/>
          </w:divBdr>
        </w:div>
        <w:div w:id="352920523">
          <w:marLeft w:val="0"/>
          <w:marRight w:val="0"/>
          <w:marTop w:val="0"/>
          <w:marBottom w:val="0"/>
          <w:divBdr>
            <w:top w:val="none" w:sz="0" w:space="0" w:color="auto"/>
            <w:left w:val="none" w:sz="0" w:space="0" w:color="auto"/>
            <w:bottom w:val="none" w:sz="0" w:space="0" w:color="auto"/>
            <w:right w:val="none" w:sz="0" w:space="0" w:color="auto"/>
          </w:divBdr>
        </w:div>
        <w:div w:id="600529259">
          <w:marLeft w:val="0"/>
          <w:marRight w:val="0"/>
          <w:marTop w:val="0"/>
          <w:marBottom w:val="0"/>
          <w:divBdr>
            <w:top w:val="none" w:sz="0" w:space="0" w:color="auto"/>
            <w:left w:val="none" w:sz="0" w:space="0" w:color="auto"/>
            <w:bottom w:val="none" w:sz="0" w:space="0" w:color="auto"/>
            <w:right w:val="none" w:sz="0" w:space="0" w:color="auto"/>
          </w:divBdr>
        </w:div>
        <w:div w:id="329137857">
          <w:marLeft w:val="0"/>
          <w:marRight w:val="0"/>
          <w:marTop w:val="0"/>
          <w:marBottom w:val="0"/>
          <w:divBdr>
            <w:top w:val="none" w:sz="0" w:space="0" w:color="auto"/>
            <w:left w:val="none" w:sz="0" w:space="0" w:color="auto"/>
            <w:bottom w:val="none" w:sz="0" w:space="0" w:color="auto"/>
            <w:right w:val="none" w:sz="0" w:space="0" w:color="auto"/>
          </w:divBdr>
        </w:div>
        <w:div w:id="2109152011">
          <w:marLeft w:val="0"/>
          <w:marRight w:val="0"/>
          <w:marTop w:val="0"/>
          <w:marBottom w:val="0"/>
          <w:divBdr>
            <w:top w:val="none" w:sz="0" w:space="0" w:color="auto"/>
            <w:left w:val="none" w:sz="0" w:space="0" w:color="auto"/>
            <w:bottom w:val="none" w:sz="0" w:space="0" w:color="auto"/>
            <w:right w:val="none" w:sz="0" w:space="0" w:color="auto"/>
          </w:divBdr>
        </w:div>
        <w:div w:id="196283349">
          <w:marLeft w:val="0"/>
          <w:marRight w:val="0"/>
          <w:marTop w:val="0"/>
          <w:marBottom w:val="0"/>
          <w:divBdr>
            <w:top w:val="none" w:sz="0" w:space="0" w:color="auto"/>
            <w:left w:val="none" w:sz="0" w:space="0" w:color="auto"/>
            <w:bottom w:val="none" w:sz="0" w:space="0" w:color="auto"/>
            <w:right w:val="none" w:sz="0" w:space="0" w:color="auto"/>
          </w:divBdr>
        </w:div>
        <w:div w:id="2085371875">
          <w:marLeft w:val="0"/>
          <w:marRight w:val="0"/>
          <w:marTop w:val="0"/>
          <w:marBottom w:val="0"/>
          <w:divBdr>
            <w:top w:val="none" w:sz="0" w:space="0" w:color="auto"/>
            <w:left w:val="none" w:sz="0" w:space="0" w:color="auto"/>
            <w:bottom w:val="none" w:sz="0" w:space="0" w:color="auto"/>
            <w:right w:val="none" w:sz="0" w:space="0" w:color="auto"/>
          </w:divBdr>
        </w:div>
        <w:div w:id="2090033655">
          <w:marLeft w:val="0"/>
          <w:marRight w:val="0"/>
          <w:marTop w:val="0"/>
          <w:marBottom w:val="0"/>
          <w:divBdr>
            <w:top w:val="none" w:sz="0" w:space="0" w:color="auto"/>
            <w:left w:val="none" w:sz="0" w:space="0" w:color="auto"/>
            <w:bottom w:val="none" w:sz="0" w:space="0" w:color="auto"/>
            <w:right w:val="none" w:sz="0" w:space="0" w:color="auto"/>
          </w:divBdr>
        </w:div>
        <w:div w:id="1883519422">
          <w:marLeft w:val="0"/>
          <w:marRight w:val="0"/>
          <w:marTop w:val="0"/>
          <w:marBottom w:val="0"/>
          <w:divBdr>
            <w:top w:val="none" w:sz="0" w:space="0" w:color="auto"/>
            <w:left w:val="none" w:sz="0" w:space="0" w:color="auto"/>
            <w:bottom w:val="none" w:sz="0" w:space="0" w:color="auto"/>
            <w:right w:val="none" w:sz="0" w:space="0" w:color="auto"/>
          </w:divBdr>
        </w:div>
        <w:div w:id="874929003">
          <w:marLeft w:val="0"/>
          <w:marRight w:val="0"/>
          <w:marTop w:val="0"/>
          <w:marBottom w:val="0"/>
          <w:divBdr>
            <w:top w:val="none" w:sz="0" w:space="0" w:color="auto"/>
            <w:left w:val="none" w:sz="0" w:space="0" w:color="auto"/>
            <w:bottom w:val="none" w:sz="0" w:space="0" w:color="auto"/>
            <w:right w:val="none" w:sz="0" w:space="0" w:color="auto"/>
          </w:divBdr>
        </w:div>
        <w:div w:id="1082676880">
          <w:marLeft w:val="0"/>
          <w:marRight w:val="0"/>
          <w:marTop w:val="0"/>
          <w:marBottom w:val="0"/>
          <w:divBdr>
            <w:top w:val="none" w:sz="0" w:space="0" w:color="auto"/>
            <w:left w:val="none" w:sz="0" w:space="0" w:color="auto"/>
            <w:bottom w:val="none" w:sz="0" w:space="0" w:color="auto"/>
            <w:right w:val="none" w:sz="0" w:space="0" w:color="auto"/>
          </w:divBdr>
        </w:div>
        <w:div w:id="2041122290">
          <w:marLeft w:val="0"/>
          <w:marRight w:val="0"/>
          <w:marTop w:val="0"/>
          <w:marBottom w:val="0"/>
          <w:divBdr>
            <w:top w:val="none" w:sz="0" w:space="0" w:color="auto"/>
            <w:left w:val="none" w:sz="0" w:space="0" w:color="auto"/>
            <w:bottom w:val="none" w:sz="0" w:space="0" w:color="auto"/>
            <w:right w:val="none" w:sz="0" w:space="0" w:color="auto"/>
          </w:divBdr>
        </w:div>
        <w:div w:id="2078091395">
          <w:marLeft w:val="0"/>
          <w:marRight w:val="0"/>
          <w:marTop w:val="0"/>
          <w:marBottom w:val="0"/>
          <w:divBdr>
            <w:top w:val="none" w:sz="0" w:space="0" w:color="auto"/>
            <w:left w:val="none" w:sz="0" w:space="0" w:color="auto"/>
            <w:bottom w:val="none" w:sz="0" w:space="0" w:color="auto"/>
            <w:right w:val="none" w:sz="0" w:space="0" w:color="auto"/>
          </w:divBdr>
        </w:div>
        <w:div w:id="1335495902">
          <w:marLeft w:val="0"/>
          <w:marRight w:val="0"/>
          <w:marTop w:val="0"/>
          <w:marBottom w:val="0"/>
          <w:divBdr>
            <w:top w:val="none" w:sz="0" w:space="0" w:color="auto"/>
            <w:left w:val="none" w:sz="0" w:space="0" w:color="auto"/>
            <w:bottom w:val="none" w:sz="0" w:space="0" w:color="auto"/>
            <w:right w:val="none" w:sz="0" w:space="0" w:color="auto"/>
          </w:divBdr>
        </w:div>
        <w:div w:id="1028065574">
          <w:marLeft w:val="0"/>
          <w:marRight w:val="0"/>
          <w:marTop w:val="0"/>
          <w:marBottom w:val="0"/>
          <w:divBdr>
            <w:top w:val="none" w:sz="0" w:space="0" w:color="auto"/>
            <w:left w:val="none" w:sz="0" w:space="0" w:color="auto"/>
            <w:bottom w:val="none" w:sz="0" w:space="0" w:color="auto"/>
            <w:right w:val="none" w:sz="0" w:space="0" w:color="auto"/>
          </w:divBdr>
        </w:div>
        <w:div w:id="339698896">
          <w:marLeft w:val="0"/>
          <w:marRight w:val="0"/>
          <w:marTop w:val="0"/>
          <w:marBottom w:val="0"/>
          <w:divBdr>
            <w:top w:val="none" w:sz="0" w:space="0" w:color="auto"/>
            <w:left w:val="none" w:sz="0" w:space="0" w:color="auto"/>
            <w:bottom w:val="none" w:sz="0" w:space="0" w:color="auto"/>
            <w:right w:val="none" w:sz="0" w:space="0" w:color="auto"/>
          </w:divBdr>
        </w:div>
        <w:div w:id="681053288">
          <w:marLeft w:val="0"/>
          <w:marRight w:val="0"/>
          <w:marTop w:val="0"/>
          <w:marBottom w:val="0"/>
          <w:divBdr>
            <w:top w:val="none" w:sz="0" w:space="0" w:color="auto"/>
            <w:left w:val="none" w:sz="0" w:space="0" w:color="auto"/>
            <w:bottom w:val="none" w:sz="0" w:space="0" w:color="auto"/>
            <w:right w:val="none" w:sz="0" w:space="0" w:color="auto"/>
          </w:divBdr>
        </w:div>
        <w:div w:id="2034379150">
          <w:marLeft w:val="0"/>
          <w:marRight w:val="0"/>
          <w:marTop w:val="0"/>
          <w:marBottom w:val="0"/>
          <w:divBdr>
            <w:top w:val="none" w:sz="0" w:space="0" w:color="auto"/>
            <w:left w:val="none" w:sz="0" w:space="0" w:color="auto"/>
            <w:bottom w:val="none" w:sz="0" w:space="0" w:color="auto"/>
            <w:right w:val="none" w:sz="0" w:space="0" w:color="auto"/>
          </w:divBdr>
        </w:div>
        <w:div w:id="987633665">
          <w:marLeft w:val="0"/>
          <w:marRight w:val="0"/>
          <w:marTop w:val="0"/>
          <w:marBottom w:val="0"/>
          <w:divBdr>
            <w:top w:val="none" w:sz="0" w:space="0" w:color="auto"/>
            <w:left w:val="none" w:sz="0" w:space="0" w:color="auto"/>
            <w:bottom w:val="none" w:sz="0" w:space="0" w:color="auto"/>
            <w:right w:val="none" w:sz="0" w:space="0" w:color="auto"/>
          </w:divBdr>
        </w:div>
        <w:div w:id="1662541767">
          <w:marLeft w:val="0"/>
          <w:marRight w:val="0"/>
          <w:marTop w:val="0"/>
          <w:marBottom w:val="0"/>
          <w:divBdr>
            <w:top w:val="none" w:sz="0" w:space="0" w:color="auto"/>
            <w:left w:val="none" w:sz="0" w:space="0" w:color="auto"/>
            <w:bottom w:val="none" w:sz="0" w:space="0" w:color="auto"/>
            <w:right w:val="none" w:sz="0" w:space="0" w:color="auto"/>
          </w:divBdr>
        </w:div>
        <w:div w:id="101073572">
          <w:marLeft w:val="0"/>
          <w:marRight w:val="0"/>
          <w:marTop w:val="0"/>
          <w:marBottom w:val="0"/>
          <w:divBdr>
            <w:top w:val="none" w:sz="0" w:space="0" w:color="auto"/>
            <w:left w:val="none" w:sz="0" w:space="0" w:color="auto"/>
            <w:bottom w:val="none" w:sz="0" w:space="0" w:color="auto"/>
            <w:right w:val="none" w:sz="0" w:space="0" w:color="auto"/>
          </w:divBdr>
        </w:div>
        <w:div w:id="820316204">
          <w:marLeft w:val="0"/>
          <w:marRight w:val="0"/>
          <w:marTop w:val="0"/>
          <w:marBottom w:val="0"/>
          <w:divBdr>
            <w:top w:val="none" w:sz="0" w:space="0" w:color="auto"/>
            <w:left w:val="none" w:sz="0" w:space="0" w:color="auto"/>
            <w:bottom w:val="none" w:sz="0" w:space="0" w:color="auto"/>
            <w:right w:val="none" w:sz="0" w:space="0" w:color="auto"/>
          </w:divBdr>
        </w:div>
        <w:div w:id="408768233">
          <w:marLeft w:val="0"/>
          <w:marRight w:val="0"/>
          <w:marTop w:val="0"/>
          <w:marBottom w:val="0"/>
          <w:divBdr>
            <w:top w:val="none" w:sz="0" w:space="0" w:color="auto"/>
            <w:left w:val="none" w:sz="0" w:space="0" w:color="auto"/>
            <w:bottom w:val="none" w:sz="0" w:space="0" w:color="auto"/>
            <w:right w:val="none" w:sz="0" w:space="0" w:color="auto"/>
          </w:divBdr>
        </w:div>
        <w:div w:id="1474256577">
          <w:marLeft w:val="0"/>
          <w:marRight w:val="0"/>
          <w:marTop w:val="0"/>
          <w:marBottom w:val="0"/>
          <w:divBdr>
            <w:top w:val="none" w:sz="0" w:space="0" w:color="auto"/>
            <w:left w:val="none" w:sz="0" w:space="0" w:color="auto"/>
            <w:bottom w:val="none" w:sz="0" w:space="0" w:color="auto"/>
            <w:right w:val="none" w:sz="0" w:space="0" w:color="auto"/>
          </w:divBdr>
        </w:div>
        <w:div w:id="1135290489">
          <w:marLeft w:val="0"/>
          <w:marRight w:val="0"/>
          <w:marTop w:val="0"/>
          <w:marBottom w:val="0"/>
          <w:divBdr>
            <w:top w:val="none" w:sz="0" w:space="0" w:color="auto"/>
            <w:left w:val="none" w:sz="0" w:space="0" w:color="auto"/>
            <w:bottom w:val="none" w:sz="0" w:space="0" w:color="auto"/>
            <w:right w:val="none" w:sz="0" w:space="0" w:color="auto"/>
          </w:divBdr>
        </w:div>
        <w:div w:id="1093673268">
          <w:marLeft w:val="0"/>
          <w:marRight w:val="0"/>
          <w:marTop w:val="0"/>
          <w:marBottom w:val="0"/>
          <w:divBdr>
            <w:top w:val="none" w:sz="0" w:space="0" w:color="auto"/>
            <w:left w:val="none" w:sz="0" w:space="0" w:color="auto"/>
            <w:bottom w:val="none" w:sz="0" w:space="0" w:color="auto"/>
            <w:right w:val="none" w:sz="0" w:space="0" w:color="auto"/>
          </w:divBdr>
        </w:div>
        <w:div w:id="1421565632">
          <w:marLeft w:val="0"/>
          <w:marRight w:val="0"/>
          <w:marTop w:val="0"/>
          <w:marBottom w:val="0"/>
          <w:divBdr>
            <w:top w:val="none" w:sz="0" w:space="0" w:color="auto"/>
            <w:left w:val="none" w:sz="0" w:space="0" w:color="auto"/>
            <w:bottom w:val="none" w:sz="0" w:space="0" w:color="auto"/>
            <w:right w:val="none" w:sz="0" w:space="0" w:color="auto"/>
          </w:divBdr>
        </w:div>
        <w:div w:id="393936974">
          <w:marLeft w:val="0"/>
          <w:marRight w:val="0"/>
          <w:marTop w:val="0"/>
          <w:marBottom w:val="0"/>
          <w:divBdr>
            <w:top w:val="none" w:sz="0" w:space="0" w:color="auto"/>
            <w:left w:val="none" w:sz="0" w:space="0" w:color="auto"/>
            <w:bottom w:val="none" w:sz="0" w:space="0" w:color="auto"/>
            <w:right w:val="none" w:sz="0" w:space="0" w:color="auto"/>
          </w:divBdr>
        </w:div>
        <w:div w:id="860901096">
          <w:marLeft w:val="0"/>
          <w:marRight w:val="0"/>
          <w:marTop w:val="0"/>
          <w:marBottom w:val="0"/>
          <w:divBdr>
            <w:top w:val="none" w:sz="0" w:space="0" w:color="auto"/>
            <w:left w:val="none" w:sz="0" w:space="0" w:color="auto"/>
            <w:bottom w:val="none" w:sz="0" w:space="0" w:color="auto"/>
            <w:right w:val="none" w:sz="0" w:space="0" w:color="auto"/>
          </w:divBdr>
        </w:div>
        <w:div w:id="1230530225">
          <w:marLeft w:val="0"/>
          <w:marRight w:val="0"/>
          <w:marTop w:val="0"/>
          <w:marBottom w:val="0"/>
          <w:divBdr>
            <w:top w:val="none" w:sz="0" w:space="0" w:color="auto"/>
            <w:left w:val="none" w:sz="0" w:space="0" w:color="auto"/>
            <w:bottom w:val="none" w:sz="0" w:space="0" w:color="auto"/>
            <w:right w:val="none" w:sz="0" w:space="0" w:color="auto"/>
          </w:divBdr>
        </w:div>
        <w:div w:id="677847246">
          <w:marLeft w:val="0"/>
          <w:marRight w:val="0"/>
          <w:marTop w:val="0"/>
          <w:marBottom w:val="0"/>
          <w:divBdr>
            <w:top w:val="none" w:sz="0" w:space="0" w:color="auto"/>
            <w:left w:val="none" w:sz="0" w:space="0" w:color="auto"/>
            <w:bottom w:val="none" w:sz="0" w:space="0" w:color="auto"/>
            <w:right w:val="none" w:sz="0" w:space="0" w:color="auto"/>
          </w:divBdr>
        </w:div>
        <w:div w:id="282152932">
          <w:marLeft w:val="0"/>
          <w:marRight w:val="0"/>
          <w:marTop w:val="0"/>
          <w:marBottom w:val="0"/>
          <w:divBdr>
            <w:top w:val="none" w:sz="0" w:space="0" w:color="auto"/>
            <w:left w:val="none" w:sz="0" w:space="0" w:color="auto"/>
            <w:bottom w:val="none" w:sz="0" w:space="0" w:color="auto"/>
            <w:right w:val="none" w:sz="0" w:space="0" w:color="auto"/>
          </w:divBdr>
        </w:div>
        <w:div w:id="217061154">
          <w:marLeft w:val="0"/>
          <w:marRight w:val="0"/>
          <w:marTop w:val="0"/>
          <w:marBottom w:val="0"/>
          <w:divBdr>
            <w:top w:val="none" w:sz="0" w:space="0" w:color="auto"/>
            <w:left w:val="none" w:sz="0" w:space="0" w:color="auto"/>
            <w:bottom w:val="none" w:sz="0" w:space="0" w:color="auto"/>
            <w:right w:val="none" w:sz="0" w:space="0" w:color="auto"/>
          </w:divBdr>
        </w:div>
        <w:div w:id="2091150875">
          <w:marLeft w:val="0"/>
          <w:marRight w:val="0"/>
          <w:marTop w:val="0"/>
          <w:marBottom w:val="0"/>
          <w:divBdr>
            <w:top w:val="none" w:sz="0" w:space="0" w:color="auto"/>
            <w:left w:val="none" w:sz="0" w:space="0" w:color="auto"/>
            <w:bottom w:val="none" w:sz="0" w:space="0" w:color="auto"/>
            <w:right w:val="none" w:sz="0" w:space="0" w:color="auto"/>
          </w:divBdr>
        </w:div>
        <w:div w:id="418257464">
          <w:marLeft w:val="0"/>
          <w:marRight w:val="0"/>
          <w:marTop w:val="0"/>
          <w:marBottom w:val="0"/>
          <w:divBdr>
            <w:top w:val="none" w:sz="0" w:space="0" w:color="auto"/>
            <w:left w:val="none" w:sz="0" w:space="0" w:color="auto"/>
            <w:bottom w:val="none" w:sz="0" w:space="0" w:color="auto"/>
            <w:right w:val="none" w:sz="0" w:space="0" w:color="auto"/>
          </w:divBdr>
        </w:div>
        <w:div w:id="1852792764">
          <w:marLeft w:val="0"/>
          <w:marRight w:val="0"/>
          <w:marTop w:val="0"/>
          <w:marBottom w:val="0"/>
          <w:divBdr>
            <w:top w:val="none" w:sz="0" w:space="0" w:color="auto"/>
            <w:left w:val="none" w:sz="0" w:space="0" w:color="auto"/>
            <w:bottom w:val="none" w:sz="0" w:space="0" w:color="auto"/>
            <w:right w:val="none" w:sz="0" w:space="0" w:color="auto"/>
          </w:divBdr>
        </w:div>
        <w:div w:id="1438137568">
          <w:marLeft w:val="0"/>
          <w:marRight w:val="0"/>
          <w:marTop w:val="0"/>
          <w:marBottom w:val="0"/>
          <w:divBdr>
            <w:top w:val="none" w:sz="0" w:space="0" w:color="auto"/>
            <w:left w:val="none" w:sz="0" w:space="0" w:color="auto"/>
            <w:bottom w:val="none" w:sz="0" w:space="0" w:color="auto"/>
            <w:right w:val="none" w:sz="0" w:space="0" w:color="auto"/>
          </w:divBdr>
        </w:div>
        <w:div w:id="2130927901">
          <w:marLeft w:val="0"/>
          <w:marRight w:val="0"/>
          <w:marTop w:val="0"/>
          <w:marBottom w:val="0"/>
          <w:divBdr>
            <w:top w:val="none" w:sz="0" w:space="0" w:color="auto"/>
            <w:left w:val="none" w:sz="0" w:space="0" w:color="auto"/>
            <w:bottom w:val="none" w:sz="0" w:space="0" w:color="auto"/>
            <w:right w:val="none" w:sz="0" w:space="0" w:color="auto"/>
          </w:divBdr>
        </w:div>
        <w:div w:id="928657137">
          <w:marLeft w:val="0"/>
          <w:marRight w:val="0"/>
          <w:marTop w:val="0"/>
          <w:marBottom w:val="0"/>
          <w:divBdr>
            <w:top w:val="none" w:sz="0" w:space="0" w:color="auto"/>
            <w:left w:val="none" w:sz="0" w:space="0" w:color="auto"/>
            <w:bottom w:val="none" w:sz="0" w:space="0" w:color="auto"/>
            <w:right w:val="none" w:sz="0" w:space="0" w:color="auto"/>
          </w:divBdr>
        </w:div>
        <w:div w:id="1482580707">
          <w:marLeft w:val="0"/>
          <w:marRight w:val="0"/>
          <w:marTop w:val="0"/>
          <w:marBottom w:val="0"/>
          <w:divBdr>
            <w:top w:val="none" w:sz="0" w:space="0" w:color="auto"/>
            <w:left w:val="none" w:sz="0" w:space="0" w:color="auto"/>
            <w:bottom w:val="none" w:sz="0" w:space="0" w:color="auto"/>
            <w:right w:val="none" w:sz="0" w:space="0" w:color="auto"/>
          </w:divBdr>
        </w:div>
        <w:div w:id="1372146043">
          <w:marLeft w:val="0"/>
          <w:marRight w:val="0"/>
          <w:marTop w:val="0"/>
          <w:marBottom w:val="0"/>
          <w:divBdr>
            <w:top w:val="none" w:sz="0" w:space="0" w:color="auto"/>
            <w:left w:val="none" w:sz="0" w:space="0" w:color="auto"/>
            <w:bottom w:val="none" w:sz="0" w:space="0" w:color="auto"/>
            <w:right w:val="none" w:sz="0" w:space="0" w:color="auto"/>
          </w:divBdr>
        </w:div>
        <w:div w:id="540484986">
          <w:marLeft w:val="0"/>
          <w:marRight w:val="0"/>
          <w:marTop w:val="0"/>
          <w:marBottom w:val="0"/>
          <w:divBdr>
            <w:top w:val="none" w:sz="0" w:space="0" w:color="auto"/>
            <w:left w:val="none" w:sz="0" w:space="0" w:color="auto"/>
            <w:bottom w:val="none" w:sz="0" w:space="0" w:color="auto"/>
            <w:right w:val="none" w:sz="0" w:space="0" w:color="auto"/>
          </w:divBdr>
        </w:div>
        <w:div w:id="1115716073">
          <w:marLeft w:val="0"/>
          <w:marRight w:val="0"/>
          <w:marTop w:val="0"/>
          <w:marBottom w:val="0"/>
          <w:divBdr>
            <w:top w:val="none" w:sz="0" w:space="0" w:color="auto"/>
            <w:left w:val="none" w:sz="0" w:space="0" w:color="auto"/>
            <w:bottom w:val="none" w:sz="0" w:space="0" w:color="auto"/>
            <w:right w:val="none" w:sz="0" w:space="0" w:color="auto"/>
          </w:divBdr>
        </w:div>
        <w:div w:id="2120027918">
          <w:marLeft w:val="0"/>
          <w:marRight w:val="0"/>
          <w:marTop w:val="0"/>
          <w:marBottom w:val="0"/>
          <w:divBdr>
            <w:top w:val="none" w:sz="0" w:space="0" w:color="auto"/>
            <w:left w:val="none" w:sz="0" w:space="0" w:color="auto"/>
            <w:bottom w:val="none" w:sz="0" w:space="0" w:color="auto"/>
            <w:right w:val="none" w:sz="0" w:space="0" w:color="auto"/>
          </w:divBdr>
        </w:div>
        <w:div w:id="241067728">
          <w:marLeft w:val="0"/>
          <w:marRight w:val="0"/>
          <w:marTop w:val="0"/>
          <w:marBottom w:val="0"/>
          <w:divBdr>
            <w:top w:val="none" w:sz="0" w:space="0" w:color="auto"/>
            <w:left w:val="none" w:sz="0" w:space="0" w:color="auto"/>
            <w:bottom w:val="none" w:sz="0" w:space="0" w:color="auto"/>
            <w:right w:val="none" w:sz="0" w:space="0" w:color="auto"/>
          </w:divBdr>
        </w:div>
        <w:div w:id="1404642164">
          <w:marLeft w:val="0"/>
          <w:marRight w:val="0"/>
          <w:marTop w:val="0"/>
          <w:marBottom w:val="0"/>
          <w:divBdr>
            <w:top w:val="none" w:sz="0" w:space="0" w:color="auto"/>
            <w:left w:val="none" w:sz="0" w:space="0" w:color="auto"/>
            <w:bottom w:val="none" w:sz="0" w:space="0" w:color="auto"/>
            <w:right w:val="none" w:sz="0" w:space="0" w:color="auto"/>
          </w:divBdr>
        </w:div>
        <w:div w:id="445318162">
          <w:marLeft w:val="0"/>
          <w:marRight w:val="0"/>
          <w:marTop w:val="0"/>
          <w:marBottom w:val="0"/>
          <w:divBdr>
            <w:top w:val="none" w:sz="0" w:space="0" w:color="auto"/>
            <w:left w:val="none" w:sz="0" w:space="0" w:color="auto"/>
            <w:bottom w:val="none" w:sz="0" w:space="0" w:color="auto"/>
            <w:right w:val="none" w:sz="0" w:space="0" w:color="auto"/>
          </w:divBdr>
        </w:div>
        <w:div w:id="904029940">
          <w:marLeft w:val="0"/>
          <w:marRight w:val="0"/>
          <w:marTop w:val="0"/>
          <w:marBottom w:val="0"/>
          <w:divBdr>
            <w:top w:val="none" w:sz="0" w:space="0" w:color="auto"/>
            <w:left w:val="none" w:sz="0" w:space="0" w:color="auto"/>
            <w:bottom w:val="none" w:sz="0" w:space="0" w:color="auto"/>
            <w:right w:val="none" w:sz="0" w:space="0" w:color="auto"/>
          </w:divBdr>
        </w:div>
        <w:div w:id="906912724">
          <w:marLeft w:val="0"/>
          <w:marRight w:val="0"/>
          <w:marTop w:val="0"/>
          <w:marBottom w:val="0"/>
          <w:divBdr>
            <w:top w:val="none" w:sz="0" w:space="0" w:color="auto"/>
            <w:left w:val="none" w:sz="0" w:space="0" w:color="auto"/>
            <w:bottom w:val="none" w:sz="0" w:space="0" w:color="auto"/>
            <w:right w:val="none" w:sz="0" w:space="0" w:color="auto"/>
          </w:divBdr>
        </w:div>
        <w:div w:id="1440417668">
          <w:marLeft w:val="0"/>
          <w:marRight w:val="0"/>
          <w:marTop w:val="0"/>
          <w:marBottom w:val="0"/>
          <w:divBdr>
            <w:top w:val="none" w:sz="0" w:space="0" w:color="auto"/>
            <w:left w:val="none" w:sz="0" w:space="0" w:color="auto"/>
            <w:bottom w:val="none" w:sz="0" w:space="0" w:color="auto"/>
            <w:right w:val="none" w:sz="0" w:space="0" w:color="auto"/>
          </w:divBdr>
        </w:div>
        <w:div w:id="1244603080">
          <w:marLeft w:val="0"/>
          <w:marRight w:val="0"/>
          <w:marTop w:val="0"/>
          <w:marBottom w:val="0"/>
          <w:divBdr>
            <w:top w:val="none" w:sz="0" w:space="0" w:color="auto"/>
            <w:left w:val="none" w:sz="0" w:space="0" w:color="auto"/>
            <w:bottom w:val="none" w:sz="0" w:space="0" w:color="auto"/>
            <w:right w:val="none" w:sz="0" w:space="0" w:color="auto"/>
          </w:divBdr>
        </w:div>
        <w:div w:id="1544907167">
          <w:marLeft w:val="0"/>
          <w:marRight w:val="0"/>
          <w:marTop w:val="0"/>
          <w:marBottom w:val="0"/>
          <w:divBdr>
            <w:top w:val="none" w:sz="0" w:space="0" w:color="auto"/>
            <w:left w:val="none" w:sz="0" w:space="0" w:color="auto"/>
            <w:bottom w:val="none" w:sz="0" w:space="0" w:color="auto"/>
            <w:right w:val="none" w:sz="0" w:space="0" w:color="auto"/>
          </w:divBdr>
        </w:div>
        <w:div w:id="372267262">
          <w:marLeft w:val="0"/>
          <w:marRight w:val="0"/>
          <w:marTop w:val="0"/>
          <w:marBottom w:val="0"/>
          <w:divBdr>
            <w:top w:val="none" w:sz="0" w:space="0" w:color="auto"/>
            <w:left w:val="none" w:sz="0" w:space="0" w:color="auto"/>
            <w:bottom w:val="none" w:sz="0" w:space="0" w:color="auto"/>
            <w:right w:val="none" w:sz="0" w:space="0" w:color="auto"/>
          </w:divBdr>
        </w:div>
        <w:div w:id="467213581">
          <w:marLeft w:val="0"/>
          <w:marRight w:val="0"/>
          <w:marTop w:val="0"/>
          <w:marBottom w:val="0"/>
          <w:divBdr>
            <w:top w:val="none" w:sz="0" w:space="0" w:color="auto"/>
            <w:left w:val="none" w:sz="0" w:space="0" w:color="auto"/>
            <w:bottom w:val="none" w:sz="0" w:space="0" w:color="auto"/>
            <w:right w:val="none" w:sz="0" w:space="0" w:color="auto"/>
          </w:divBdr>
        </w:div>
        <w:div w:id="440491898">
          <w:marLeft w:val="0"/>
          <w:marRight w:val="0"/>
          <w:marTop w:val="0"/>
          <w:marBottom w:val="0"/>
          <w:divBdr>
            <w:top w:val="none" w:sz="0" w:space="0" w:color="auto"/>
            <w:left w:val="none" w:sz="0" w:space="0" w:color="auto"/>
            <w:bottom w:val="none" w:sz="0" w:space="0" w:color="auto"/>
            <w:right w:val="none" w:sz="0" w:space="0" w:color="auto"/>
          </w:divBdr>
        </w:div>
        <w:div w:id="2080790148">
          <w:marLeft w:val="0"/>
          <w:marRight w:val="0"/>
          <w:marTop w:val="0"/>
          <w:marBottom w:val="0"/>
          <w:divBdr>
            <w:top w:val="none" w:sz="0" w:space="0" w:color="auto"/>
            <w:left w:val="none" w:sz="0" w:space="0" w:color="auto"/>
            <w:bottom w:val="none" w:sz="0" w:space="0" w:color="auto"/>
            <w:right w:val="none" w:sz="0" w:space="0" w:color="auto"/>
          </w:divBdr>
        </w:div>
        <w:div w:id="954990914">
          <w:marLeft w:val="0"/>
          <w:marRight w:val="0"/>
          <w:marTop w:val="0"/>
          <w:marBottom w:val="0"/>
          <w:divBdr>
            <w:top w:val="none" w:sz="0" w:space="0" w:color="auto"/>
            <w:left w:val="none" w:sz="0" w:space="0" w:color="auto"/>
            <w:bottom w:val="none" w:sz="0" w:space="0" w:color="auto"/>
            <w:right w:val="none" w:sz="0" w:space="0" w:color="auto"/>
          </w:divBdr>
        </w:div>
        <w:div w:id="1166045835">
          <w:marLeft w:val="0"/>
          <w:marRight w:val="0"/>
          <w:marTop w:val="0"/>
          <w:marBottom w:val="0"/>
          <w:divBdr>
            <w:top w:val="none" w:sz="0" w:space="0" w:color="auto"/>
            <w:left w:val="none" w:sz="0" w:space="0" w:color="auto"/>
            <w:bottom w:val="none" w:sz="0" w:space="0" w:color="auto"/>
            <w:right w:val="none" w:sz="0" w:space="0" w:color="auto"/>
          </w:divBdr>
        </w:div>
        <w:div w:id="1726491497">
          <w:marLeft w:val="0"/>
          <w:marRight w:val="0"/>
          <w:marTop w:val="0"/>
          <w:marBottom w:val="0"/>
          <w:divBdr>
            <w:top w:val="none" w:sz="0" w:space="0" w:color="auto"/>
            <w:left w:val="none" w:sz="0" w:space="0" w:color="auto"/>
            <w:bottom w:val="none" w:sz="0" w:space="0" w:color="auto"/>
            <w:right w:val="none" w:sz="0" w:space="0" w:color="auto"/>
          </w:divBdr>
        </w:div>
        <w:div w:id="1687486976">
          <w:marLeft w:val="0"/>
          <w:marRight w:val="0"/>
          <w:marTop w:val="0"/>
          <w:marBottom w:val="0"/>
          <w:divBdr>
            <w:top w:val="none" w:sz="0" w:space="0" w:color="auto"/>
            <w:left w:val="none" w:sz="0" w:space="0" w:color="auto"/>
            <w:bottom w:val="none" w:sz="0" w:space="0" w:color="auto"/>
            <w:right w:val="none" w:sz="0" w:space="0" w:color="auto"/>
          </w:divBdr>
        </w:div>
        <w:div w:id="1217355706">
          <w:marLeft w:val="0"/>
          <w:marRight w:val="0"/>
          <w:marTop w:val="0"/>
          <w:marBottom w:val="0"/>
          <w:divBdr>
            <w:top w:val="none" w:sz="0" w:space="0" w:color="auto"/>
            <w:left w:val="none" w:sz="0" w:space="0" w:color="auto"/>
            <w:bottom w:val="none" w:sz="0" w:space="0" w:color="auto"/>
            <w:right w:val="none" w:sz="0" w:space="0" w:color="auto"/>
          </w:divBdr>
        </w:div>
        <w:div w:id="197284193">
          <w:marLeft w:val="0"/>
          <w:marRight w:val="0"/>
          <w:marTop w:val="0"/>
          <w:marBottom w:val="0"/>
          <w:divBdr>
            <w:top w:val="none" w:sz="0" w:space="0" w:color="auto"/>
            <w:left w:val="none" w:sz="0" w:space="0" w:color="auto"/>
            <w:bottom w:val="none" w:sz="0" w:space="0" w:color="auto"/>
            <w:right w:val="none" w:sz="0" w:space="0" w:color="auto"/>
          </w:divBdr>
        </w:div>
        <w:div w:id="340161051">
          <w:marLeft w:val="0"/>
          <w:marRight w:val="0"/>
          <w:marTop w:val="0"/>
          <w:marBottom w:val="0"/>
          <w:divBdr>
            <w:top w:val="none" w:sz="0" w:space="0" w:color="auto"/>
            <w:left w:val="none" w:sz="0" w:space="0" w:color="auto"/>
            <w:bottom w:val="none" w:sz="0" w:space="0" w:color="auto"/>
            <w:right w:val="none" w:sz="0" w:space="0" w:color="auto"/>
          </w:divBdr>
        </w:div>
        <w:div w:id="430516507">
          <w:marLeft w:val="0"/>
          <w:marRight w:val="0"/>
          <w:marTop w:val="0"/>
          <w:marBottom w:val="0"/>
          <w:divBdr>
            <w:top w:val="none" w:sz="0" w:space="0" w:color="auto"/>
            <w:left w:val="none" w:sz="0" w:space="0" w:color="auto"/>
            <w:bottom w:val="none" w:sz="0" w:space="0" w:color="auto"/>
            <w:right w:val="none" w:sz="0" w:space="0" w:color="auto"/>
          </w:divBdr>
        </w:div>
        <w:div w:id="360740939">
          <w:marLeft w:val="0"/>
          <w:marRight w:val="0"/>
          <w:marTop w:val="0"/>
          <w:marBottom w:val="0"/>
          <w:divBdr>
            <w:top w:val="none" w:sz="0" w:space="0" w:color="auto"/>
            <w:left w:val="none" w:sz="0" w:space="0" w:color="auto"/>
            <w:bottom w:val="none" w:sz="0" w:space="0" w:color="auto"/>
            <w:right w:val="none" w:sz="0" w:space="0" w:color="auto"/>
          </w:divBdr>
        </w:div>
        <w:div w:id="2117671221">
          <w:marLeft w:val="0"/>
          <w:marRight w:val="0"/>
          <w:marTop w:val="0"/>
          <w:marBottom w:val="0"/>
          <w:divBdr>
            <w:top w:val="none" w:sz="0" w:space="0" w:color="auto"/>
            <w:left w:val="none" w:sz="0" w:space="0" w:color="auto"/>
            <w:bottom w:val="none" w:sz="0" w:space="0" w:color="auto"/>
            <w:right w:val="none" w:sz="0" w:space="0" w:color="auto"/>
          </w:divBdr>
        </w:div>
        <w:div w:id="88820866">
          <w:marLeft w:val="0"/>
          <w:marRight w:val="0"/>
          <w:marTop w:val="0"/>
          <w:marBottom w:val="0"/>
          <w:divBdr>
            <w:top w:val="none" w:sz="0" w:space="0" w:color="auto"/>
            <w:left w:val="none" w:sz="0" w:space="0" w:color="auto"/>
            <w:bottom w:val="none" w:sz="0" w:space="0" w:color="auto"/>
            <w:right w:val="none" w:sz="0" w:space="0" w:color="auto"/>
          </w:divBdr>
        </w:div>
        <w:div w:id="612522412">
          <w:marLeft w:val="0"/>
          <w:marRight w:val="0"/>
          <w:marTop w:val="0"/>
          <w:marBottom w:val="0"/>
          <w:divBdr>
            <w:top w:val="none" w:sz="0" w:space="0" w:color="auto"/>
            <w:left w:val="none" w:sz="0" w:space="0" w:color="auto"/>
            <w:bottom w:val="none" w:sz="0" w:space="0" w:color="auto"/>
            <w:right w:val="none" w:sz="0" w:space="0" w:color="auto"/>
          </w:divBdr>
        </w:div>
        <w:div w:id="827406932">
          <w:marLeft w:val="0"/>
          <w:marRight w:val="0"/>
          <w:marTop w:val="0"/>
          <w:marBottom w:val="0"/>
          <w:divBdr>
            <w:top w:val="none" w:sz="0" w:space="0" w:color="auto"/>
            <w:left w:val="none" w:sz="0" w:space="0" w:color="auto"/>
            <w:bottom w:val="none" w:sz="0" w:space="0" w:color="auto"/>
            <w:right w:val="none" w:sz="0" w:space="0" w:color="auto"/>
          </w:divBdr>
        </w:div>
        <w:div w:id="1413309883">
          <w:marLeft w:val="0"/>
          <w:marRight w:val="0"/>
          <w:marTop w:val="0"/>
          <w:marBottom w:val="0"/>
          <w:divBdr>
            <w:top w:val="none" w:sz="0" w:space="0" w:color="auto"/>
            <w:left w:val="none" w:sz="0" w:space="0" w:color="auto"/>
            <w:bottom w:val="none" w:sz="0" w:space="0" w:color="auto"/>
            <w:right w:val="none" w:sz="0" w:space="0" w:color="auto"/>
          </w:divBdr>
        </w:div>
      </w:divsChild>
    </w:div>
    <w:div w:id="1597782648">
      <w:bodyDiv w:val="1"/>
      <w:marLeft w:val="0"/>
      <w:marRight w:val="0"/>
      <w:marTop w:val="0"/>
      <w:marBottom w:val="0"/>
      <w:divBdr>
        <w:top w:val="none" w:sz="0" w:space="0" w:color="auto"/>
        <w:left w:val="none" w:sz="0" w:space="0" w:color="auto"/>
        <w:bottom w:val="none" w:sz="0" w:space="0" w:color="auto"/>
        <w:right w:val="none" w:sz="0" w:space="0" w:color="auto"/>
      </w:divBdr>
      <w:divsChild>
        <w:div w:id="808783495">
          <w:marLeft w:val="547"/>
          <w:marRight w:val="0"/>
          <w:marTop w:val="0"/>
          <w:marBottom w:val="0"/>
          <w:divBdr>
            <w:top w:val="none" w:sz="0" w:space="0" w:color="auto"/>
            <w:left w:val="none" w:sz="0" w:space="0" w:color="auto"/>
            <w:bottom w:val="none" w:sz="0" w:space="0" w:color="auto"/>
            <w:right w:val="none" w:sz="0" w:space="0" w:color="auto"/>
          </w:divBdr>
        </w:div>
      </w:divsChild>
    </w:div>
    <w:div w:id="1614095932">
      <w:bodyDiv w:val="1"/>
      <w:marLeft w:val="0"/>
      <w:marRight w:val="0"/>
      <w:marTop w:val="0"/>
      <w:marBottom w:val="0"/>
      <w:divBdr>
        <w:top w:val="none" w:sz="0" w:space="0" w:color="auto"/>
        <w:left w:val="none" w:sz="0" w:space="0" w:color="auto"/>
        <w:bottom w:val="none" w:sz="0" w:space="0" w:color="auto"/>
        <w:right w:val="none" w:sz="0" w:space="0" w:color="auto"/>
      </w:divBdr>
      <w:divsChild>
        <w:div w:id="1580746119">
          <w:marLeft w:val="547"/>
          <w:marRight w:val="0"/>
          <w:marTop w:val="0"/>
          <w:marBottom w:val="0"/>
          <w:divBdr>
            <w:top w:val="none" w:sz="0" w:space="0" w:color="auto"/>
            <w:left w:val="none" w:sz="0" w:space="0" w:color="auto"/>
            <w:bottom w:val="none" w:sz="0" w:space="0" w:color="auto"/>
            <w:right w:val="none" w:sz="0" w:space="0" w:color="auto"/>
          </w:divBdr>
        </w:div>
      </w:divsChild>
    </w:div>
    <w:div w:id="1645967195">
      <w:bodyDiv w:val="1"/>
      <w:marLeft w:val="0"/>
      <w:marRight w:val="0"/>
      <w:marTop w:val="0"/>
      <w:marBottom w:val="0"/>
      <w:divBdr>
        <w:top w:val="none" w:sz="0" w:space="0" w:color="auto"/>
        <w:left w:val="none" w:sz="0" w:space="0" w:color="auto"/>
        <w:bottom w:val="none" w:sz="0" w:space="0" w:color="auto"/>
        <w:right w:val="none" w:sz="0" w:space="0" w:color="auto"/>
      </w:divBdr>
      <w:divsChild>
        <w:div w:id="981076562">
          <w:marLeft w:val="0"/>
          <w:marRight w:val="0"/>
          <w:marTop w:val="0"/>
          <w:marBottom w:val="0"/>
          <w:divBdr>
            <w:top w:val="none" w:sz="0" w:space="0" w:color="auto"/>
            <w:left w:val="none" w:sz="0" w:space="0" w:color="auto"/>
            <w:bottom w:val="none" w:sz="0" w:space="0" w:color="auto"/>
            <w:right w:val="none" w:sz="0" w:space="0" w:color="auto"/>
          </w:divBdr>
        </w:div>
        <w:div w:id="1845054267">
          <w:marLeft w:val="0"/>
          <w:marRight w:val="0"/>
          <w:marTop w:val="0"/>
          <w:marBottom w:val="0"/>
          <w:divBdr>
            <w:top w:val="none" w:sz="0" w:space="0" w:color="auto"/>
            <w:left w:val="none" w:sz="0" w:space="0" w:color="auto"/>
            <w:bottom w:val="none" w:sz="0" w:space="0" w:color="auto"/>
            <w:right w:val="none" w:sz="0" w:space="0" w:color="auto"/>
          </w:divBdr>
        </w:div>
        <w:div w:id="744691235">
          <w:marLeft w:val="0"/>
          <w:marRight w:val="0"/>
          <w:marTop w:val="0"/>
          <w:marBottom w:val="0"/>
          <w:divBdr>
            <w:top w:val="none" w:sz="0" w:space="0" w:color="auto"/>
            <w:left w:val="none" w:sz="0" w:space="0" w:color="auto"/>
            <w:bottom w:val="none" w:sz="0" w:space="0" w:color="auto"/>
            <w:right w:val="none" w:sz="0" w:space="0" w:color="auto"/>
          </w:divBdr>
        </w:div>
        <w:div w:id="1270814025">
          <w:marLeft w:val="0"/>
          <w:marRight w:val="0"/>
          <w:marTop w:val="0"/>
          <w:marBottom w:val="0"/>
          <w:divBdr>
            <w:top w:val="none" w:sz="0" w:space="0" w:color="auto"/>
            <w:left w:val="none" w:sz="0" w:space="0" w:color="auto"/>
            <w:bottom w:val="none" w:sz="0" w:space="0" w:color="auto"/>
            <w:right w:val="none" w:sz="0" w:space="0" w:color="auto"/>
          </w:divBdr>
        </w:div>
        <w:div w:id="424423381">
          <w:marLeft w:val="0"/>
          <w:marRight w:val="0"/>
          <w:marTop w:val="0"/>
          <w:marBottom w:val="0"/>
          <w:divBdr>
            <w:top w:val="none" w:sz="0" w:space="0" w:color="auto"/>
            <w:left w:val="none" w:sz="0" w:space="0" w:color="auto"/>
            <w:bottom w:val="none" w:sz="0" w:space="0" w:color="auto"/>
            <w:right w:val="none" w:sz="0" w:space="0" w:color="auto"/>
          </w:divBdr>
        </w:div>
        <w:div w:id="44568787">
          <w:marLeft w:val="0"/>
          <w:marRight w:val="0"/>
          <w:marTop w:val="0"/>
          <w:marBottom w:val="0"/>
          <w:divBdr>
            <w:top w:val="none" w:sz="0" w:space="0" w:color="auto"/>
            <w:left w:val="none" w:sz="0" w:space="0" w:color="auto"/>
            <w:bottom w:val="none" w:sz="0" w:space="0" w:color="auto"/>
            <w:right w:val="none" w:sz="0" w:space="0" w:color="auto"/>
          </w:divBdr>
        </w:div>
        <w:div w:id="1829054591">
          <w:marLeft w:val="0"/>
          <w:marRight w:val="0"/>
          <w:marTop w:val="0"/>
          <w:marBottom w:val="0"/>
          <w:divBdr>
            <w:top w:val="none" w:sz="0" w:space="0" w:color="auto"/>
            <w:left w:val="none" w:sz="0" w:space="0" w:color="auto"/>
            <w:bottom w:val="none" w:sz="0" w:space="0" w:color="auto"/>
            <w:right w:val="none" w:sz="0" w:space="0" w:color="auto"/>
          </w:divBdr>
        </w:div>
        <w:div w:id="607808824">
          <w:marLeft w:val="0"/>
          <w:marRight w:val="0"/>
          <w:marTop w:val="0"/>
          <w:marBottom w:val="0"/>
          <w:divBdr>
            <w:top w:val="none" w:sz="0" w:space="0" w:color="auto"/>
            <w:left w:val="none" w:sz="0" w:space="0" w:color="auto"/>
            <w:bottom w:val="none" w:sz="0" w:space="0" w:color="auto"/>
            <w:right w:val="none" w:sz="0" w:space="0" w:color="auto"/>
          </w:divBdr>
        </w:div>
        <w:div w:id="407532228">
          <w:marLeft w:val="0"/>
          <w:marRight w:val="0"/>
          <w:marTop w:val="0"/>
          <w:marBottom w:val="0"/>
          <w:divBdr>
            <w:top w:val="none" w:sz="0" w:space="0" w:color="auto"/>
            <w:left w:val="none" w:sz="0" w:space="0" w:color="auto"/>
            <w:bottom w:val="none" w:sz="0" w:space="0" w:color="auto"/>
            <w:right w:val="none" w:sz="0" w:space="0" w:color="auto"/>
          </w:divBdr>
        </w:div>
        <w:div w:id="60712994">
          <w:marLeft w:val="0"/>
          <w:marRight w:val="0"/>
          <w:marTop w:val="0"/>
          <w:marBottom w:val="0"/>
          <w:divBdr>
            <w:top w:val="none" w:sz="0" w:space="0" w:color="auto"/>
            <w:left w:val="none" w:sz="0" w:space="0" w:color="auto"/>
            <w:bottom w:val="none" w:sz="0" w:space="0" w:color="auto"/>
            <w:right w:val="none" w:sz="0" w:space="0" w:color="auto"/>
          </w:divBdr>
        </w:div>
        <w:div w:id="135726316">
          <w:marLeft w:val="0"/>
          <w:marRight w:val="0"/>
          <w:marTop w:val="0"/>
          <w:marBottom w:val="0"/>
          <w:divBdr>
            <w:top w:val="none" w:sz="0" w:space="0" w:color="auto"/>
            <w:left w:val="none" w:sz="0" w:space="0" w:color="auto"/>
            <w:bottom w:val="none" w:sz="0" w:space="0" w:color="auto"/>
            <w:right w:val="none" w:sz="0" w:space="0" w:color="auto"/>
          </w:divBdr>
        </w:div>
        <w:div w:id="1668707791">
          <w:marLeft w:val="0"/>
          <w:marRight w:val="0"/>
          <w:marTop w:val="0"/>
          <w:marBottom w:val="0"/>
          <w:divBdr>
            <w:top w:val="none" w:sz="0" w:space="0" w:color="auto"/>
            <w:left w:val="none" w:sz="0" w:space="0" w:color="auto"/>
            <w:bottom w:val="none" w:sz="0" w:space="0" w:color="auto"/>
            <w:right w:val="none" w:sz="0" w:space="0" w:color="auto"/>
          </w:divBdr>
        </w:div>
        <w:div w:id="1078479664">
          <w:marLeft w:val="0"/>
          <w:marRight w:val="0"/>
          <w:marTop w:val="0"/>
          <w:marBottom w:val="0"/>
          <w:divBdr>
            <w:top w:val="none" w:sz="0" w:space="0" w:color="auto"/>
            <w:left w:val="none" w:sz="0" w:space="0" w:color="auto"/>
            <w:bottom w:val="none" w:sz="0" w:space="0" w:color="auto"/>
            <w:right w:val="none" w:sz="0" w:space="0" w:color="auto"/>
          </w:divBdr>
        </w:div>
        <w:div w:id="174923385">
          <w:marLeft w:val="0"/>
          <w:marRight w:val="0"/>
          <w:marTop w:val="0"/>
          <w:marBottom w:val="0"/>
          <w:divBdr>
            <w:top w:val="none" w:sz="0" w:space="0" w:color="auto"/>
            <w:left w:val="none" w:sz="0" w:space="0" w:color="auto"/>
            <w:bottom w:val="none" w:sz="0" w:space="0" w:color="auto"/>
            <w:right w:val="none" w:sz="0" w:space="0" w:color="auto"/>
          </w:divBdr>
        </w:div>
        <w:div w:id="379210997">
          <w:marLeft w:val="0"/>
          <w:marRight w:val="0"/>
          <w:marTop w:val="0"/>
          <w:marBottom w:val="0"/>
          <w:divBdr>
            <w:top w:val="none" w:sz="0" w:space="0" w:color="auto"/>
            <w:left w:val="none" w:sz="0" w:space="0" w:color="auto"/>
            <w:bottom w:val="none" w:sz="0" w:space="0" w:color="auto"/>
            <w:right w:val="none" w:sz="0" w:space="0" w:color="auto"/>
          </w:divBdr>
        </w:div>
        <w:div w:id="1724786768">
          <w:marLeft w:val="0"/>
          <w:marRight w:val="0"/>
          <w:marTop w:val="0"/>
          <w:marBottom w:val="0"/>
          <w:divBdr>
            <w:top w:val="none" w:sz="0" w:space="0" w:color="auto"/>
            <w:left w:val="none" w:sz="0" w:space="0" w:color="auto"/>
            <w:bottom w:val="none" w:sz="0" w:space="0" w:color="auto"/>
            <w:right w:val="none" w:sz="0" w:space="0" w:color="auto"/>
          </w:divBdr>
        </w:div>
        <w:div w:id="684401001">
          <w:marLeft w:val="0"/>
          <w:marRight w:val="0"/>
          <w:marTop w:val="0"/>
          <w:marBottom w:val="0"/>
          <w:divBdr>
            <w:top w:val="none" w:sz="0" w:space="0" w:color="auto"/>
            <w:left w:val="none" w:sz="0" w:space="0" w:color="auto"/>
            <w:bottom w:val="none" w:sz="0" w:space="0" w:color="auto"/>
            <w:right w:val="none" w:sz="0" w:space="0" w:color="auto"/>
          </w:divBdr>
        </w:div>
        <w:div w:id="1405370004">
          <w:marLeft w:val="0"/>
          <w:marRight w:val="0"/>
          <w:marTop w:val="0"/>
          <w:marBottom w:val="0"/>
          <w:divBdr>
            <w:top w:val="none" w:sz="0" w:space="0" w:color="auto"/>
            <w:left w:val="none" w:sz="0" w:space="0" w:color="auto"/>
            <w:bottom w:val="none" w:sz="0" w:space="0" w:color="auto"/>
            <w:right w:val="none" w:sz="0" w:space="0" w:color="auto"/>
          </w:divBdr>
        </w:div>
        <w:div w:id="1501195170">
          <w:marLeft w:val="0"/>
          <w:marRight w:val="0"/>
          <w:marTop w:val="0"/>
          <w:marBottom w:val="0"/>
          <w:divBdr>
            <w:top w:val="none" w:sz="0" w:space="0" w:color="auto"/>
            <w:left w:val="none" w:sz="0" w:space="0" w:color="auto"/>
            <w:bottom w:val="none" w:sz="0" w:space="0" w:color="auto"/>
            <w:right w:val="none" w:sz="0" w:space="0" w:color="auto"/>
          </w:divBdr>
        </w:div>
        <w:div w:id="1050425977">
          <w:marLeft w:val="0"/>
          <w:marRight w:val="0"/>
          <w:marTop w:val="0"/>
          <w:marBottom w:val="0"/>
          <w:divBdr>
            <w:top w:val="none" w:sz="0" w:space="0" w:color="auto"/>
            <w:left w:val="none" w:sz="0" w:space="0" w:color="auto"/>
            <w:bottom w:val="none" w:sz="0" w:space="0" w:color="auto"/>
            <w:right w:val="none" w:sz="0" w:space="0" w:color="auto"/>
          </w:divBdr>
        </w:div>
        <w:div w:id="1225027110">
          <w:marLeft w:val="0"/>
          <w:marRight w:val="0"/>
          <w:marTop w:val="0"/>
          <w:marBottom w:val="0"/>
          <w:divBdr>
            <w:top w:val="none" w:sz="0" w:space="0" w:color="auto"/>
            <w:left w:val="none" w:sz="0" w:space="0" w:color="auto"/>
            <w:bottom w:val="none" w:sz="0" w:space="0" w:color="auto"/>
            <w:right w:val="none" w:sz="0" w:space="0" w:color="auto"/>
          </w:divBdr>
        </w:div>
        <w:div w:id="1312177396">
          <w:marLeft w:val="0"/>
          <w:marRight w:val="0"/>
          <w:marTop w:val="0"/>
          <w:marBottom w:val="0"/>
          <w:divBdr>
            <w:top w:val="none" w:sz="0" w:space="0" w:color="auto"/>
            <w:left w:val="none" w:sz="0" w:space="0" w:color="auto"/>
            <w:bottom w:val="none" w:sz="0" w:space="0" w:color="auto"/>
            <w:right w:val="none" w:sz="0" w:space="0" w:color="auto"/>
          </w:divBdr>
        </w:div>
        <w:div w:id="1954706961">
          <w:marLeft w:val="0"/>
          <w:marRight w:val="0"/>
          <w:marTop w:val="0"/>
          <w:marBottom w:val="0"/>
          <w:divBdr>
            <w:top w:val="none" w:sz="0" w:space="0" w:color="auto"/>
            <w:left w:val="none" w:sz="0" w:space="0" w:color="auto"/>
            <w:bottom w:val="none" w:sz="0" w:space="0" w:color="auto"/>
            <w:right w:val="none" w:sz="0" w:space="0" w:color="auto"/>
          </w:divBdr>
        </w:div>
        <w:div w:id="399211622">
          <w:marLeft w:val="0"/>
          <w:marRight w:val="0"/>
          <w:marTop w:val="0"/>
          <w:marBottom w:val="0"/>
          <w:divBdr>
            <w:top w:val="none" w:sz="0" w:space="0" w:color="auto"/>
            <w:left w:val="none" w:sz="0" w:space="0" w:color="auto"/>
            <w:bottom w:val="none" w:sz="0" w:space="0" w:color="auto"/>
            <w:right w:val="none" w:sz="0" w:space="0" w:color="auto"/>
          </w:divBdr>
        </w:div>
        <w:div w:id="2048481197">
          <w:marLeft w:val="0"/>
          <w:marRight w:val="0"/>
          <w:marTop w:val="0"/>
          <w:marBottom w:val="0"/>
          <w:divBdr>
            <w:top w:val="none" w:sz="0" w:space="0" w:color="auto"/>
            <w:left w:val="none" w:sz="0" w:space="0" w:color="auto"/>
            <w:bottom w:val="none" w:sz="0" w:space="0" w:color="auto"/>
            <w:right w:val="none" w:sz="0" w:space="0" w:color="auto"/>
          </w:divBdr>
        </w:div>
        <w:div w:id="703166769">
          <w:marLeft w:val="0"/>
          <w:marRight w:val="0"/>
          <w:marTop w:val="0"/>
          <w:marBottom w:val="0"/>
          <w:divBdr>
            <w:top w:val="none" w:sz="0" w:space="0" w:color="auto"/>
            <w:left w:val="none" w:sz="0" w:space="0" w:color="auto"/>
            <w:bottom w:val="none" w:sz="0" w:space="0" w:color="auto"/>
            <w:right w:val="none" w:sz="0" w:space="0" w:color="auto"/>
          </w:divBdr>
        </w:div>
        <w:div w:id="1773892952">
          <w:marLeft w:val="0"/>
          <w:marRight w:val="0"/>
          <w:marTop w:val="0"/>
          <w:marBottom w:val="0"/>
          <w:divBdr>
            <w:top w:val="none" w:sz="0" w:space="0" w:color="auto"/>
            <w:left w:val="none" w:sz="0" w:space="0" w:color="auto"/>
            <w:bottom w:val="none" w:sz="0" w:space="0" w:color="auto"/>
            <w:right w:val="none" w:sz="0" w:space="0" w:color="auto"/>
          </w:divBdr>
        </w:div>
        <w:div w:id="1454641743">
          <w:marLeft w:val="0"/>
          <w:marRight w:val="0"/>
          <w:marTop w:val="0"/>
          <w:marBottom w:val="0"/>
          <w:divBdr>
            <w:top w:val="none" w:sz="0" w:space="0" w:color="auto"/>
            <w:left w:val="none" w:sz="0" w:space="0" w:color="auto"/>
            <w:bottom w:val="none" w:sz="0" w:space="0" w:color="auto"/>
            <w:right w:val="none" w:sz="0" w:space="0" w:color="auto"/>
          </w:divBdr>
        </w:div>
        <w:div w:id="1604606971">
          <w:marLeft w:val="0"/>
          <w:marRight w:val="0"/>
          <w:marTop w:val="0"/>
          <w:marBottom w:val="0"/>
          <w:divBdr>
            <w:top w:val="none" w:sz="0" w:space="0" w:color="auto"/>
            <w:left w:val="none" w:sz="0" w:space="0" w:color="auto"/>
            <w:bottom w:val="none" w:sz="0" w:space="0" w:color="auto"/>
            <w:right w:val="none" w:sz="0" w:space="0" w:color="auto"/>
          </w:divBdr>
        </w:div>
        <w:div w:id="1095201889">
          <w:marLeft w:val="0"/>
          <w:marRight w:val="0"/>
          <w:marTop w:val="0"/>
          <w:marBottom w:val="0"/>
          <w:divBdr>
            <w:top w:val="none" w:sz="0" w:space="0" w:color="auto"/>
            <w:left w:val="none" w:sz="0" w:space="0" w:color="auto"/>
            <w:bottom w:val="none" w:sz="0" w:space="0" w:color="auto"/>
            <w:right w:val="none" w:sz="0" w:space="0" w:color="auto"/>
          </w:divBdr>
        </w:div>
        <w:div w:id="1390955567">
          <w:marLeft w:val="0"/>
          <w:marRight w:val="0"/>
          <w:marTop w:val="0"/>
          <w:marBottom w:val="0"/>
          <w:divBdr>
            <w:top w:val="none" w:sz="0" w:space="0" w:color="auto"/>
            <w:left w:val="none" w:sz="0" w:space="0" w:color="auto"/>
            <w:bottom w:val="none" w:sz="0" w:space="0" w:color="auto"/>
            <w:right w:val="none" w:sz="0" w:space="0" w:color="auto"/>
          </w:divBdr>
        </w:div>
        <w:div w:id="1215241950">
          <w:marLeft w:val="0"/>
          <w:marRight w:val="0"/>
          <w:marTop w:val="0"/>
          <w:marBottom w:val="0"/>
          <w:divBdr>
            <w:top w:val="none" w:sz="0" w:space="0" w:color="auto"/>
            <w:left w:val="none" w:sz="0" w:space="0" w:color="auto"/>
            <w:bottom w:val="none" w:sz="0" w:space="0" w:color="auto"/>
            <w:right w:val="none" w:sz="0" w:space="0" w:color="auto"/>
          </w:divBdr>
        </w:div>
        <w:div w:id="956183223">
          <w:marLeft w:val="0"/>
          <w:marRight w:val="0"/>
          <w:marTop w:val="0"/>
          <w:marBottom w:val="0"/>
          <w:divBdr>
            <w:top w:val="none" w:sz="0" w:space="0" w:color="auto"/>
            <w:left w:val="none" w:sz="0" w:space="0" w:color="auto"/>
            <w:bottom w:val="none" w:sz="0" w:space="0" w:color="auto"/>
            <w:right w:val="none" w:sz="0" w:space="0" w:color="auto"/>
          </w:divBdr>
        </w:div>
        <w:div w:id="842860576">
          <w:marLeft w:val="0"/>
          <w:marRight w:val="0"/>
          <w:marTop w:val="0"/>
          <w:marBottom w:val="0"/>
          <w:divBdr>
            <w:top w:val="none" w:sz="0" w:space="0" w:color="auto"/>
            <w:left w:val="none" w:sz="0" w:space="0" w:color="auto"/>
            <w:bottom w:val="none" w:sz="0" w:space="0" w:color="auto"/>
            <w:right w:val="none" w:sz="0" w:space="0" w:color="auto"/>
          </w:divBdr>
        </w:div>
        <w:div w:id="960765801">
          <w:marLeft w:val="0"/>
          <w:marRight w:val="0"/>
          <w:marTop w:val="0"/>
          <w:marBottom w:val="0"/>
          <w:divBdr>
            <w:top w:val="none" w:sz="0" w:space="0" w:color="auto"/>
            <w:left w:val="none" w:sz="0" w:space="0" w:color="auto"/>
            <w:bottom w:val="none" w:sz="0" w:space="0" w:color="auto"/>
            <w:right w:val="none" w:sz="0" w:space="0" w:color="auto"/>
          </w:divBdr>
        </w:div>
        <w:div w:id="303629658">
          <w:marLeft w:val="0"/>
          <w:marRight w:val="0"/>
          <w:marTop w:val="0"/>
          <w:marBottom w:val="0"/>
          <w:divBdr>
            <w:top w:val="none" w:sz="0" w:space="0" w:color="auto"/>
            <w:left w:val="none" w:sz="0" w:space="0" w:color="auto"/>
            <w:bottom w:val="none" w:sz="0" w:space="0" w:color="auto"/>
            <w:right w:val="none" w:sz="0" w:space="0" w:color="auto"/>
          </w:divBdr>
        </w:div>
        <w:div w:id="1262838767">
          <w:marLeft w:val="0"/>
          <w:marRight w:val="0"/>
          <w:marTop w:val="0"/>
          <w:marBottom w:val="0"/>
          <w:divBdr>
            <w:top w:val="none" w:sz="0" w:space="0" w:color="auto"/>
            <w:left w:val="none" w:sz="0" w:space="0" w:color="auto"/>
            <w:bottom w:val="none" w:sz="0" w:space="0" w:color="auto"/>
            <w:right w:val="none" w:sz="0" w:space="0" w:color="auto"/>
          </w:divBdr>
        </w:div>
        <w:div w:id="2020616347">
          <w:marLeft w:val="0"/>
          <w:marRight w:val="0"/>
          <w:marTop w:val="0"/>
          <w:marBottom w:val="0"/>
          <w:divBdr>
            <w:top w:val="none" w:sz="0" w:space="0" w:color="auto"/>
            <w:left w:val="none" w:sz="0" w:space="0" w:color="auto"/>
            <w:bottom w:val="none" w:sz="0" w:space="0" w:color="auto"/>
            <w:right w:val="none" w:sz="0" w:space="0" w:color="auto"/>
          </w:divBdr>
        </w:div>
        <w:div w:id="1389377817">
          <w:marLeft w:val="0"/>
          <w:marRight w:val="0"/>
          <w:marTop w:val="0"/>
          <w:marBottom w:val="0"/>
          <w:divBdr>
            <w:top w:val="none" w:sz="0" w:space="0" w:color="auto"/>
            <w:left w:val="none" w:sz="0" w:space="0" w:color="auto"/>
            <w:bottom w:val="none" w:sz="0" w:space="0" w:color="auto"/>
            <w:right w:val="none" w:sz="0" w:space="0" w:color="auto"/>
          </w:divBdr>
        </w:div>
        <w:div w:id="401103871">
          <w:marLeft w:val="0"/>
          <w:marRight w:val="0"/>
          <w:marTop w:val="0"/>
          <w:marBottom w:val="0"/>
          <w:divBdr>
            <w:top w:val="none" w:sz="0" w:space="0" w:color="auto"/>
            <w:left w:val="none" w:sz="0" w:space="0" w:color="auto"/>
            <w:bottom w:val="none" w:sz="0" w:space="0" w:color="auto"/>
            <w:right w:val="none" w:sz="0" w:space="0" w:color="auto"/>
          </w:divBdr>
        </w:div>
        <w:div w:id="1952087534">
          <w:marLeft w:val="0"/>
          <w:marRight w:val="0"/>
          <w:marTop w:val="0"/>
          <w:marBottom w:val="0"/>
          <w:divBdr>
            <w:top w:val="none" w:sz="0" w:space="0" w:color="auto"/>
            <w:left w:val="none" w:sz="0" w:space="0" w:color="auto"/>
            <w:bottom w:val="none" w:sz="0" w:space="0" w:color="auto"/>
            <w:right w:val="none" w:sz="0" w:space="0" w:color="auto"/>
          </w:divBdr>
        </w:div>
        <w:div w:id="1246691770">
          <w:marLeft w:val="0"/>
          <w:marRight w:val="0"/>
          <w:marTop w:val="0"/>
          <w:marBottom w:val="0"/>
          <w:divBdr>
            <w:top w:val="none" w:sz="0" w:space="0" w:color="auto"/>
            <w:left w:val="none" w:sz="0" w:space="0" w:color="auto"/>
            <w:bottom w:val="none" w:sz="0" w:space="0" w:color="auto"/>
            <w:right w:val="none" w:sz="0" w:space="0" w:color="auto"/>
          </w:divBdr>
        </w:div>
        <w:div w:id="1381201715">
          <w:marLeft w:val="0"/>
          <w:marRight w:val="0"/>
          <w:marTop w:val="0"/>
          <w:marBottom w:val="0"/>
          <w:divBdr>
            <w:top w:val="none" w:sz="0" w:space="0" w:color="auto"/>
            <w:left w:val="none" w:sz="0" w:space="0" w:color="auto"/>
            <w:bottom w:val="none" w:sz="0" w:space="0" w:color="auto"/>
            <w:right w:val="none" w:sz="0" w:space="0" w:color="auto"/>
          </w:divBdr>
        </w:div>
        <w:div w:id="10692761">
          <w:marLeft w:val="0"/>
          <w:marRight w:val="0"/>
          <w:marTop w:val="0"/>
          <w:marBottom w:val="0"/>
          <w:divBdr>
            <w:top w:val="none" w:sz="0" w:space="0" w:color="auto"/>
            <w:left w:val="none" w:sz="0" w:space="0" w:color="auto"/>
            <w:bottom w:val="none" w:sz="0" w:space="0" w:color="auto"/>
            <w:right w:val="none" w:sz="0" w:space="0" w:color="auto"/>
          </w:divBdr>
        </w:div>
        <w:div w:id="368995158">
          <w:marLeft w:val="0"/>
          <w:marRight w:val="0"/>
          <w:marTop w:val="0"/>
          <w:marBottom w:val="0"/>
          <w:divBdr>
            <w:top w:val="none" w:sz="0" w:space="0" w:color="auto"/>
            <w:left w:val="none" w:sz="0" w:space="0" w:color="auto"/>
            <w:bottom w:val="none" w:sz="0" w:space="0" w:color="auto"/>
            <w:right w:val="none" w:sz="0" w:space="0" w:color="auto"/>
          </w:divBdr>
        </w:div>
        <w:div w:id="1772386253">
          <w:marLeft w:val="0"/>
          <w:marRight w:val="0"/>
          <w:marTop w:val="0"/>
          <w:marBottom w:val="0"/>
          <w:divBdr>
            <w:top w:val="none" w:sz="0" w:space="0" w:color="auto"/>
            <w:left w:val="none" w:sz="0" w:space="0" w:color="auto"/>
            <w:bottom w:val="none" w:sz="0" w:space="0" w:color="auto"/>
            <w:right w:val="none" w:sz="0" w:space="0" w:color="auto"/>
          </w:divBdr>
        </w:div>
        <w:div w:id="277034285">
          <w:marLeft w:val="0"/>
          <w:marRight w:val="0"/>
          <w:marTop w:val="0"/>
          <w:marBottom w:val="0"/>
          <w:divBdr>
            <w:top w:val="none" w:sz="0" w:space="0" w:color="auto"/>
            <w:left w:val="none" w:sz="0" w:space="0" w:color="auto"/>
            <w:bottom w:val="none" w:sz="0" w:space="0" w:color="auto"/>
            <w:right w:val="none" w:sz="0" w:space="0" w:color="auto"/>
          </w:divBdr>
        </w:div>
        <w:div w:id="528181444">
          <w:marLeft w:val="0"/>
          <w:marRight w:val="0"/>
          <w:marTop w:val="0"/>
          <w:marBottom w:val="0"/>
          <w:divBdr>
            <w:top w:val="none" w:sz="0" w:space="0" w:color="auto"/>
            <w:left w:val="none" w:sz="0" w:space="0" w:color="auto"/>
            <w:bottom w:val="none" w:sz="0" w:space="0" w:color="auto"/>
            <w:right w:val="none" w:sz="0" w:space="0" w:color="auto"/>
          </w:divBdr>
        </w:div>
        <w:div w:id="1405488616">
          <w:marLeft w:val="0"/>
          <w:marRight w:val="0"/>
          <w:marTop w:val="0"/>
          <w:marBottom w:val="0"/>
          <w:divBdr>
            <w:top w:val="none" w:sz="0" w:space="0" w:color="auto"/>
            <w:left w:val="none" w:sz="0" w:space="0" w:color="auto"/>
            <w:bottom w:val="none" w:sz="0" w:space="0" w:color="auto"/>
            <w:right w:val="none" w:sz="0" w:space="0" w:color="auto"/>
          </w:divBdr>
        </w:div>
        <w:div w:id="62337273">
          <w:marLeft w:val="0"/>
          <w:marRight w:val="0"/>
          <w:marTop w:val="0"/>
          <w:marBottom w:val="0"/>
          <w:divBdr>
            <w:top w:val="none" w:sz="0" w:space="0" w:color="auto"/>
            <w:left w:val="none" w:sz="0" w:space="0" w:color="auto"/>
            <w:bottom w:val="none" w:sz="0" w:space="0" w:color="auto"/>
            <w:right w:val="none" w:sz="0" w:space="0" w:color="auto"/>
          </w:divBdr>
        </w:div>
        <w:div w:id="1349523375">
          <w:marLeft w:val="0"/>
          <w:marRight w:val="0"/>
          <w:marTop w:val="0"/>
          <w:marBottom w:val="0"/>
          <w:divBdr>
            <w:top w:val="none" w:sz="0" w:space="0" w:color="auto"/>
            <w:left w:val="none" w:sz="0" w:space="0" w:color="auto"/>
            <w:bottom w:val="none" w:sz="0" w:space="0" w:color="auto"/>
            <w:right w:val="none" w:sz="0" w:space="0" w:color="auto"/>
          </w:divBdr>
        </w:div>
        <w:div w:id="375131706">
          <w:marLeft w:val="0"/>
          <w:marRight w:val="0"/>
          <w:marTop w:val="0"/>
          <w:marBottom w:val="0"/>
          <w:divBdr>
            <w:top w:val="none" w:sz="0" w:space="0" w:color="auto"/>
            <w:left w:val="none" w:sz="0" w:space="0" w:color="auto"/>
            <w:bottom w:val="none" w:sz="0" w:space="0" w:color="auto"/>
            <w:right w:val="none" w:sz="0" w:space="0" w:color="auto"/>
          </w:divBdr>
        </w:div>
        <w:div w:id="1650672559">
          <w:marLeft w:val="0"/>
          <w:marRight w:val="0"/>
          <w:marTop w:val="0"/>
          <w:marBottom w:val="0"/>
          <w:divBdr>
            <w:top w:val="none" w:sz="0" w:space="0" w:color="auto"/>
            <w:left w:val="none" w:sz="0" w:space="0" w:color="auto"/>
            <w:bottom w:val="none" w:sz="0" w:space="0" w:color="auto"/>
            <w:right w:val="none" w:sz="0" w:space="0" w:color="auto"/>
          </w:divBdr>
        </w:div>
        <w:div w:id="777335656">
          <w:marLeft w:val="0"/>
          <w:marRight w:val="0"/>
          <w:marTop w:val="0"/>
          <w:marBottom w:val="0"/>
          <w:divBdr>
            <w:top w:val="none" w:sz="0" w:space="0" w:color="auto"/>
            <w:left w:val="none" w:sz="0" w:space="0" w:color="auto"/>
            <w:bottom w:val="none" w:sz="0" w:space="0" w:color="auto"/>
            <w:right w:val="none" w:sz="0" w:space="0" w:color="auto"/>
          </w:divBdr>
        </w:div>
        <w:div w:id="896162865">
          <w:marLeft w:val="0"/>
          <w:marRight w:val="0"/>
          <w:marTop w:val="0"/>
          <w:marBottom w:val="0"/>
          <w:divBdr>
            <w:top w:val="none" w:sz="0" w:space="0" w:color="auto"/>
            <w:left w:val="none" w:sz="0" w:space="0" w:color="auto"/>
            <w:bottom w:val="none" w:sz="0" w:space="0" w:color="auto"/>
            <w:right w:val="none" w:sz="0" w:space="0" w:color="auto"/>
          </w:divBdr>
        </w:div>
        <w:div w:id="1942489972">
          <w:marLeft w:val="0"/>
          <w:marRight w:val="0"/>
          <w:marTop w:val="0"/>
          <w:marBottom w:val="0"/>
          <w:divBdr>
            <w:top w:val="none" w:sz="0" w:space="0" w:color="auto"/>
            <w:left w:val="none" w:sz="0" w:space="0" w:color="auto"/>
            <w:bottom w:val="none" w:sz="0" w:space="0" w:color="auto"/>
            <w:right w:val="none" w:sz="0" w:space="0" w:color="auto"/>
          </w:divBdr>
        </w:div>
        <w:div w:id="1544171884">
          <w:marLeft w:val="0"/>
          <w:marRight w:val="0"/>
          <w:marTop w:val="0"/>
          <w:marBottom w:val="0"/>
          <w:divBdr>
            <w:top w:val="none" w:sz="0" w:space="0" w:color="auto"/>
            <w:left w:val="none" w:sz="0" w:space="0" w:color="auto"/>
            <w:bottom w:val="none" w:sz="0" w:space="0" w:color="auto"/>
            <w:right w:val="none" w:sz="0" w:space="0" w:color="auto"/>
          </w:divBdr>
        </w:div>
        <w:div w:id="138042475">
          <w:marLeft w:val="0"/>
          <w:marRight w:val="0"/>
          <w:marTop w:val="0"/>
          <w:marBottom w:val="0"/>
          <w:divBdr>
            <w:top w:val="none" w:sz="0" w:space="0" w:color="auto"/>
            <w:left w:val="none" w:sz="0" w:space="0" w:color="auto"/>
            <w:bottom w:val="none" w:sz="0" w:space="0" w:color="auto"/>
            <w:right w:val="none" w:sz="0" w:space="0" w:color="auto"/>
          </w:divBdr>
        </w:div>
        <w:div w:id="596449571">
          <w:marLeft w:val="0"/>
          <w:marRight w:val="0"/>
          <w:marTop w:val="0"/>
          <w:marBottom w:val="0"/>
          <w:divBdr>
            <w:top w:val="none" w:sz="0" w:space="0" w:color="auto"/>
            <w:left w:val="none" w:sz="0" w:space="0" w:color="auto"/>
            <w:bottom w:val="none" w:sz="0" w:space="0" w:color="auto"/>
            <w:right w:val="none" w:sz="0" w:space="0" w:color="auto"/>
          </w:divBdr>
        </w:div>
        <w:div w:id="1557669774">
          <w:marLeft w:val="0"/>
          <w:marRight w:val="0"/>
          <w:marTop w:val="0"/>
          <w:marBottom w:val="0"/>
          <w:divBdr>
            <w:top w:val="none" w:sz="0" w:space="0" w:color="auto"/>
            <w:left w:val="none" w:sz="0" w:space="0" w:color="auto"/>
            <w:bottom w:val="none" w:sz="0" w:space="0" w:color="auto"/>
            <w:right w:val="none" w:sz="0" w:space="0" w:color="auto"/>
          </w:divBdr>
        </w:div>
        <w:div w:id="234170545">
          <w:marLeft w:val="0"/>
          <w:marRight w:val="0"/>
          <w:marTop w:val="0"/>
          <w:marBottom w:val="0"/>
          <w:divBdr>
            <w:top w:val="none" w:sz="0" w:space="0" w:color="auto"/>
            <w:left w:val="none" w:sz="0" w:space="0" w:color="auto"/>
            <w:bottom w:val="none" w:sz="0" w:space="0" w:color="auto"/>
            <w:right w:val="none" w:sz="0" w:space="0" w:color="auto"/>
          </w:divBdr>
        </w:div>
        <w:div w:id="692413727">
          <w:marLeft w:val="0"/>
          <w:marRight w:val="0"/>
          <w:marTop w:val="0"/>
          <w:marBottom w:val="0"/>
          <w:divBdr>
            <w:top w:val="none" w:sz="0" w:space="0" w:color="auto"/>
            <w:left w:val="none" w:sz="0" w:space="0" w:color="auto"/>
            <w:bottom w:val="none" w:sz="0" w:space="0" w:color="auto"/>
            <w:right w:val="none" w:sz="0" w:space="0" w:color="auto"/>
          </w:divBdr>
        </w:div>
        <w:div w:id="2048212684">
          <w:marLeft w:val="0"/>
          <w:marRight w:val="0"/>
          <w:marTop w:val="0"/>
          <w:marBottom w:val="0"/>
          <w:divBdr>
            <w:top w:val="none" w:sz="0" w:space="0" w:color="auto"/>
            <w:left w:val="none" w:sz="0" w:space="0" w:color="auto"/>
            <w:bottom w:val="none" w:sz="0" w:space="0" w:color="auto"/>
            <w:right w:val="none" w:sz="0" w:space="0" w:color="auto"/>
          </w:divBdr>
        </w:div>
        <w:div w:id="548491714">
          <w:marLeft w:val="0"/>
          <w:marRight w:val="0"/>
          <w:marTop w:val="0"/>
          <w:marBottom w:val="0"/>
          <w:divBdr>
            <w:top w:val="none" w:sz="0" w:space="0" w:color="auto"/>
            <w:left w:val="none" w:sz="0" w:space="0" w:color="auto"/>
            <w:bottom w:val="none" w:sz="0" w:space="0" w:color="auto"/>
            <w:right w:val="none" w:sz="0" w:space="0" w:color="auto"/>
          </w:divBdr>
        </w:div>
        <w:div w:id="368188738">
          <w:marLeft w:val="0"/>
          <w:marRight w:val="0"/>
          <w:marTop w:val="0"/>
          <w:marBottom w:val="0"/>
          <w:divBdr>
            <w:top w:val="none" w:sz="0" w:space="0" w:color="auto"/>
            <w:left w:val="none" w:sz="0" w:space="0" w:color="auto"/>
            <w:bottom w:val="none" w:sz="0" w:space="0" w:color="auto"/>
            <w:right w:val="none" w:sz="0" w:space="0" w:color="auto"/>
          </w:divBdr>
        </w:div>
        <w:div w:id="223108729">
          <w:marLeft w:val="0"/>
          <w:marRight w:val="0"/>
          <w:marTop w:val="0"/>
          <w:marBottom w:val="0"/>
          <w:divBdr>
            <w:top w:val="none" w:sz="0" w:space="0" w:color="auto"/>
            <w:left w:val="none" w:sz="0" w:space="0" w:color="auto"/>
            <w:bottom w:val="none" w:sz="0" w:space="0" w:color="auto"/>
            <w:right w:val="none" w:sz="0" w:space="0" w:color="auto"/>
          </w:divBdr>
        </w:div>
        <w:div w:id="1982080648">
          <w:marLeft w:val="0"/>
          <w:marRight w:val="0"/>
          <w:marTop w:val="0"/>
          <w:marBottom w:val="0"/>
          <w:divBdr>
            <w:top w:val="none" w:sz="0" w:space="0" w:color="auto"/>
            <w:left w:val="none" w:sz="0" w:space="0" w:color="auto"/>
            <w:bottom w:val="none" w:sz="0" w:space="0" w:color="auto"/>
            <w:right w:val="none" w:sz="0" w:space="0" w:color="auto"/>
          </w:divBdr>
        </w:div>
        <w:div w:id="1365211259">
          <w:marLeft w:val="0"/>
          <w:marRight w:val="0"/>
          <w:marTop w:val="0"/>
          <w:marBottom w:val="0"/>
          <w:divBdr>
            <w:top w:val="none" w:sz="0" w:space="0" w:color="auto"/>
            <w:left w:val="none" w:sz="0" w:space="0" w:color="auto"/>
            <w:bottom w:val="none" w:sz="0" w:space="0" w:color="auto"/>
            <w:right w:val="none" w:sz="0" w:space="0" w:color="auto"/>
          </w:divBdr>
        </w:div>
        <w:div w:id="1058437271">
          <w:marLeft w:val="0"/>
          <w:marRight w:val="0"/>
          <w:marTop w:val="0"/>
          <w:marBottom w:val="0"/>
          <w:divBdr>
            <w:top w:val="none" w:sz="0" w:space="0" w:color="auto"/>
            <w:left w:val="none" w:sz="0" w:space="0" w:color="auto"/>
            <w:bottom w:val="none" w:sz="0" w:space="0" w:color="auto"/>
            <w:right w:val="none" w:sz="0" w:space="0" w:color="auto"/>
          </w:divBdr>
        </w:div>
        <w:div w:id="1819611481">
          <w:marLeft w:val="0"/>
          <w:marRight w:val="0"/>
          <w:marTop w:val="0"/>
          <w:marBottom w:val="0"/>
          <w:divBdr>
            <w:top w:val="none" w:sz="0" w:space="0" w:color="auto"/>
            <w:left w:val="none" w:sz="0" w:space="0" w:color="auto"/>
            <w:bottom w:val="none" w:sz="0" w:space="0" w:color="auto"/>
            <w:right w:val="none" w:sz="0" w:space="0" w:color="auto"/>
          </w:divBdr>
        </w:div>
        <w:div w:id="424158118">
          <w:marLeft w:val="0"/>
          <w:marRight w:val="0"/>
          <w:marTop w:val="0"/>
          <w:marBottom w:val="0"/>
          <w:divBdr>
            <w:top w:val="none" w:sz="0" w:space="0" w:color="auto"/>
            <w:left w:val="none" w:sz="0" w:space="0" w:color="auto"/>
            <w:bottom w:val="none" w:sz="0" w:space="0" w:color="auto"/>
            <w:right w:val="none" w:sz="0" w:space="0" w:color="auto"/>
          </w:divBdr>
        </w:div>
        <w:div w:id="779304913">
          <w:marLeft w:val="0"/>
          <w:marRight w:val="0"/>
          <w:marTop w:val="0"/>
          <w:marBottom w:val="0"/>
          <w:divBdr>
            <w:top w:val="none" w:sz="0" w:space="0" w:color="auto"/>
            <w:left w:val="none" w:sz="0" w:space="0" w:color="auto"/>
            <w:bottom w:val="none" w:sz="0" w:space="0" w:color="auto"/>
            <w:right w:val="none" w:sz="0" w:space="0" w:color="auto"/>
          </w:divBdr>
        </w:div>
        <w:div w:id="1383022437">
          <w:marLeft w:val="0"/>
          <w:marRight w:val="0"/>
          <w:marTop w:val="0"/>
          <w:marBottom w:val="0"/>
          <w:divBdr>
            <w:top w:val="none" w:sz="0" w:space="0" w:color="auto"/>
            <w:left w:val="none" w:sz="0" w:space="0" w:color="auto"/>
            <w:bottom w:val="none" w:sz="0" w:space="0" w:color="auto"/>
            <w:right w:val="none" w:sz="0" w:space="0" w:color="auto"/>
          </w:divBdr>
        </w:div>
        <w:div w:id="511645244">
          <w:marLeft w:val="0"/>
          <w:marRight w:val="0"/>
          <w:marTop w:val="0"/>
          <w:marBottom w:val="0"/>
          <w:divBdr>
            <w:top w:val="none" w:sz="0" w:space="0" w:color="auto"/>
            <w:left w:val="none" w:sz="0" w:space="0" w:color="auto"/>
            <w:bottom w:val="none" w:sz="0" w:space="0" w:color="auto"/>
            <w:right w:val="none" w:sz="0" w:space="0" w:color="auto"/>
          </w:divBdr>
        </w:div>
        <w:div w:id="205214694">
          <w:marLeft w:val="0"/>
          <w:marRight w:val="0"/>
          <w:marTop w:val="0"/>
          <w:marBottom w:val="0"/>
          <w:divBdr>
            <w:top w:val="none" w:sz="0" w:space="0" w:color="auto"/>
            <w:left w:val="none" w:sz="0" w:space="0" w:color="auto"/>
            <w:bottom w:val="none" w:sz="0" w:space="0" w:color="auto"/>
            <w:right w:val="none" w:sz="0" w:space="0" w:color="auto"/>
          </w:divBdr>
        </w:div>
        <w:div w:id="1368332723">
          <w:marLeft w:val="0"/>
          <w:marRight w:val="0"/>
          <w:marTop w:val="0"/>
          <w:marBottom w:val="0"/>
          <w:divBdr>
            <w:top w:val="none" w:sz="0" w:space="0" w:color="auto"/>
            <w:left w:val="none" w:sz="0" w:space="0" w:color="auto"/>
            <w:bottom w:val="none" w:sz="0" w:space="0" w:color="auto"/>
            <w:right w:val="none" w:sz="0" w:space="0" w:color="auto"/>
          </w:divBdr>
        </w:div>
        <w:div w:id="21707995">
          <w:marLeft w:val="0"/>
          <w:marRight w:val="0"/>
          <w:marTop w:val="0"/>
          <w:marBottom w:val="0"/>
          <w:divBdr>
            <w:top w:val="none" w:sz="0" w:space="0" w:color="auto"/>
            <w:left w:val="none" w:sz="0" w:space="0" w:color="auto"/>
            <w:bottom w:val="none" w:sz="0" w:space="0" w:color="auto"/>
            <w:right w:val="none" w:sz="0" w:space="0" w:color="auto"/>
          </w:divBdr>
        </w:div>
        <w:div w:id="661855494">
          <w:marLeft w:val="0"/>
          <w:marRight w:val="0"/>
          <w:marTop w:val="0"/>
          <w:marBottom w:val="0"/>
          <w:divBdr>
            <w:top w:val="none" w:sz="0" w:space="0" w:color="auto"/>
            <w:left w:val="none" w:sz="0" w:space="0" w:color="auto"/>
            <w:bottom w:val="none" w:sz="0" w:space="0" w:color="auto"/>
            <w:right w:val="none" w:sz="0" w:space="0" w:color="auto"/>
          </w:divBdr>
        </w:div>
        <w:div w:id="159741265">
          <w:marLeft w:val="0"/>
          <w:marRight w:val="0"/>
          <w:marTop w:val="0"/>
          <w:marBottom w:val="0"/>
          <w:divBdr>
            <w:top w:val="none" w:sz="0" w:space="0" w:color="auto"/>
            <w:left w:val="none" w:sz="0" w:space="0" w:color="auto"/>
            <w:bottom w:val="none" w:sz="0" w:space="0" w:color="auto"/>
            <w:right w:val="none" w:sz="0" w:space="0" w:color="auto"/>
          </w:divBdr>
        </w:div>
        <w:div w:id="1300846711">
          <w:marLeft w:val="0"/>
          <w:marRight w:val="0"/>
          <w:marTop w:val="0"/>
          <w:marBottom w:val="0"/>
          <w:divBdr>
            <w:top w:val="none" w:sz="0" w:space="0" w:color="auto"/>
            <w:left w:val="none" w:sz="0" w:space="0" w:color="auto"/>
            <w:bottom w:val="none" w:sz="0" w:space="0" w:color="auto"/>
            <w:right w:val="none" w:sz="0" w:space="0" w:color="auto"/>
          </w:divBdr>
        </w:div>
        <w:div w:id="1847478878">
          <w:marLeft w:val="0"/>
          <w:marRight w:val="0"/>
          <w:marTop w:val="0"/>
          <w:marBottom w:val="0"/>
          <w:divBdr>
            <w:top w:val="none" w:sz="0" w:space="0" w:color="auto"/>
            <w:left w:val="none" w:sz="0" w:space="0" w:color="auto"/>
            <w:bottom w:val="none" w:sz="0" w:space="0" w:color="auto"/>
            <w:right w:val="none" w:sz="0" w:space="0" w:color="auto"/>
          </w:divBdr>
        </w:div>
        <w:div w:id="465320838">
          <w:marLeft w:val="0"/>
          <w:marRight w:val="0"/>
          <w:marTop w:val="0"/>
          <w:marBottom w:val="0"/>
          <w:divBdr>
            <w:top w:val="none" w:sz="0" w:space="0" w:color="auto"/>
            <w:left w:val="none" w:sz="0" w:space="0" w:color="auto"/>
            <w:bottom w:val="none" w:sz="0" w:space="0" w:color="auto"/>
            <w:right w:val="none" w:sz="0" w:space="0" w:color="auto"/>
          </w:divBdr>
        </w:div>
        <w:div w:id="605969383">
          <w:marLeft w:val="0"/>
          <w:marRight w:val="0"/>
          <w:marTop w:val="0"/>
          <w:marBottom w:val="0"/>
          <w:divBdr>
            <w:top w:val="none" w:sz="0" w:space="0" w:color="auto"/>
            <w:left w:val="none" w:sz="0" w:space="0" w:color="auto"/>
            <w:bottom w:val="none" w:sz="0" w:space="0" w:color="auto"/>
            <w:right w:val="none" w:sz="0" w:space="0" w:color="auto"/>
          </w:divBdr>
        </w:div>
        <w:div w:id="1624336939">
          <w:marLeft w:val="0"/>
          <w:marRight w:val="0"/>
          <w:marTop w:val="0"/>
          <w:marBottom w:val="0"/>
          <w:divBdr>
            <w:top w:val="none" w:sz="0" w:space="0" w:color="auto"/>
            <w:left w:val="none" w:sz="0" w:space="0" w:color="auto"/>
            <w:bottom w:val="none" w:sz="0" w:space="0" w:color="auto"/>
            <w:right w:val="none" w:sz="0" w:space="0" w:color="auto"/>
          </w:divBdr>
        </w:div>
        <w:div w:id="402721503">
          <w:marLeft w:val="0"/>
          <w:marRight w:val="0"/>
          <w:marTop w:val="0"/>
          <w:marBottom w:val="0"/>
          <w:divBdr>
            <w:top w:val="none" w:sz="0" w:space="0" w:color="auto"/>
            <w:left w:val="none" w:sz="0" w:space="0" w:color="auto"/>
            <w:bottom w:val="none" w:sz="0" w:space="0" w:color="auto"/>
            <w:right w:val="none" w:sz="0" w:space="0" w:color="auto"/>
          </w:divBdr>
        </w:div>
        <w:div w:id="140973695">
          <w:marLeft w:val="0"/>
          <w:marRight w:val="0"/>
          <w:marTop w:val="0"/>
          <w:marBottom w:val="0"/>
          <w:divBdr>
            <w:top w:val="none" w:sz="0" w:space="0" w:color="auto"/>
            <w:left w:val="none" w:sz="0" w:space="0" w:color="auto"/>
            <w:bottom w:val="none" w:sz="0" w:space="0" w:color="auto"/>
            <w:right w:val="none" w:sz="0" w:space="0" w:color="auto"/>
          </w:divBdr>
        </w:div>
        <w:div w:id="353458345">
          <w:marLeft w:val="0"/>
          <w:marRight w:val="0"/>
          <w:marTop w:val="0"/>
          <w:marBottom w:val="0"/>
          <w:divBdr>
            <w:top w:val="none" w:sz="0" w:space="0" w:color="auto"/>
            <w:left w:val="none" w:sz="0" w:space="0" w:color="auto"/>
            <w:bottom w:val="none" w:sz="0" w:space="0" w:color="auto"/>
            <w:right w:val="none" w:sz="0" w:space="0" w:color="auto"/>
          </w:divBdr>
        </w:div>
      </w:divsChild>
    </w:div>
    <w:div w:id="1656840619">
      <w:bodyDiv w:val="1"/>
      <w:marLeft w:val="0"/>
      <w:marRight w:val="0"/>
      <w:marTop w:val="0"/>
      <w:marBottom w:val="0"/>
      <w:divBdr>
        <w:top w:val="none" w:sz="0" w:space="0" w:color="auto"/>
        <w:left w:val="none" w:sz="0" w:space="0" w:color="auto"/>
        <w:bottom w:val="none" w:sz="0" w:space="0" w:color="auto"/>
        <w:right w:val="none" w:sz="0" w:space="0" w:color="auto"/>
      </w:divBdr>
      <w:divsChild>
        <w:div w:id="153881007">
          <w:marLeft w:val="0"/>
          <w:marRight w:val="0"/>
          <w:marTop w:val="0"/>
          <w:marBottom w:val="0"/>
          <w:divBdr>
            <w:top w:val="none" w:sz="0" w:space="0" w:color="auto"/>
            <w:left w:val="none" w:sz="0" w:space="0" w:color="auto"/>
            <w:bottom w:val="none" w:sz="0" w:space="0" w:color="auto"/>
            <w:right w:val="none" w:sz="0" w:space="0" w:color="auto"/>
          </w:divBdr>
        </w:div>
        <w:div w:id="197858973">
          <w:marLeft w:val="0"/>
          <w:marRight w:val="0"/>
          <w:marTop w:val="0"/>
          <w:marBottom w:val="0"/>
          <w:divBdr>
            <w:top w:val="none" w:sz="0" w:space="0" w:color="auto"/>
            <w:left w:val="none" w:sz="0" w:space="0" w:color="auto"/>
            <w:bottom w:val="none" w:sz="0" w:space="0" w:color="auto"/>
            <w:right w:val="none" w:sz="0" w:space="0" w:color="auto"/>
          </w:divBdr>
        </w:div>
        <w:div w:id="204172410">
          <w:marLeft w:val="0"/>
          <w:marRight w:val="0"/>
          <w:marTop w:val="0"/>
          <w:marBottom w:val="0"/>
          <w:divBdr>
            <w:top w:val="none" w:sz="0" w:space="0" w:color="auto"/>
            <w:left w:val="none" w:sz="0" w:space="0" w:color="auto"/>
            <w:bottom w:val="none" w:sz="0" w:space="0" w:color="auto"/>
            <w:right w:val="none" w:sz="0" w:space="0" w:color="auto"/>
          </w:divBdr>
        </w:div>
        <w:div w:id="472791708">
          <w:marLeft w:val="0"/>
          <w:marRight w:val="0"/>
          <w:marTop w:val="0"/>
          <w:marBottom w:val="0"/>
          <w:divBdr>
            <w:top w:val="none" w:sz="0" w:space="0" w:color="auto"/>
            <w:left w:val="none" w:sz="0" w:space="0" w:color="auto"/>
            <w:bottom w:val="none" w:sz="0" w:space="0" w:color="auto"/>
            <w:right w:val="none" w:sz="0" w:space="0" w:color="auto"/>
          </w:divBdr>
        </w:div>
        <w:div w:id="2028869783">
          <w:marLeft w:val="0"/>
          <w:marRight w:val="0"/>
          <w:marTop w:val="0"/>
          <w:marBottom w:val="0"/>
          <w:divBdr>
            <w:top w:val="none" w:sz="0" w:space="0" w:color="auto"/>
            <w:left w:val="none" w:sz="0" w:space="0" w:color="auto"/>
            <w:bottom w:val="none" w:sz="0" w:space="0" w:color="auto"/>
            <w:right w:val="none" w:sz="0" w:space="0" w:color="auto"/>
          </w:divBdr>
        </w:div>
      </w:divsChild>
    </w:div>
    <w:div w:id="1691838780">
      <w:bodyDiv w:val="1"/>
      <w:marLeft w:val="0"/>
      <w:marRight w:val="0"/>
      <w:marTop w:val="0"/>
      <w:marBottom w:val="0"/>
      <w:divBdr>
        <w:top w:val="none" w:sz="0" w:space="0" w:color="auto"/>
        <w:left w:val="none" w:sz="0" w:space="0" w:color="auto"/>
        <w:bottom w:val="none" w:sz="0" w:space="0" w:color="auto"/>
        <w:right w:val="none" w:sz="0" w:space="0" w:color="auto"/>
      </w:divBdr>
    </w:div>
    <w:div w:id="1752388508">
      <w:bodyDiv w:val="1"/>
      <w:marLeft w:val="0"/>
      <w:marRight w:val="0"/>
      <w:marTop w:val="0"/>
      <w:marBottom w:val="0"/>
      <w:divBdr>
        <w:top w:val="none" w:sz="0" w:space="0" w:color="auto"/>
        <w:left w:val="none" w:sz="0" w:space="0" w:color="auto"/>
        <w:bottom w:val="none" w:sz="0" w:space="0" w:color="auto"/>
        <w:right w:val="none" w:sz="0" w:space="0" w:color="auto"/>
      </w:divBdr>
      <w:divsChild>
        <w:div w:id="296762128">
          <w:marLeft w:val="0"/>
          <w:marRight w:val="0"/>
          <w:marTop w:val="0"/>
          <w:marBottom w:val="0"/>
          <w:divBdr>
            <w:top w:val="none" w:sz="0" w:space="0" w:color="auto"/>
            <w:left w:val="none" w:sz="0" w:space="0" w:color="auto"/>
            <w:bottom w:val="none" w:sz="0" w:space="0" w:color="auto"/>
            <w:right w:val="none" w:sz="0" w:space="0" w:color="auto"/>
          </w:divBdr>
        </w:div>
        <w:div w:id="622544039">
          <w:marLeft w:val="0"/>
          <w:marRight w:val="0"/>
          <w:marTop w:val="0"/>
          <w:marBottom w:val="0"/>
          <w:divBdr>
            <w:top w:val="none" w:sz="0" w:space="0" w:color="auto"/>
            <w:left w:val="none" w:sz="0" w:space="0" w:color="auto"/>
            <w:bottom w:val="none" w:sz="0" w:space="0" w:color="auto"/>
            <w:right w:val="none" w:sz="0" w:space="0" w:color="auto"/>
          </w:divBdr>
        </w:div>
        <w:div w:id="666634792">
          <w:marLeft w:val="0"/>
          <w:marRight w:val="0"/>
          <w:marTop w:val="0"/>
          <w:marBottom w:val="0"/>
          <w:divBdr>
            <w:top w:val="none" w:sz="0" w:space="0" w:color="auto"/>
            <w:left w:val="none" w:sz="0" w:space="0" w:color="auto"/>
            <w:bottom w:val="none" w:sz="0" w:space="0" w:color="auto"/>
            <w:right w:val="none" w:sz="0" w:space="0" w:color="auto"/>
          </w:divBdr>
        </w:div>
        <w:div w:id="728115595">
          <w:marLeft w:val="0"/>
          <w:marRight w:val="0"/>
          <w:marTop w:val="0"/>
          <w:marBottom w:val="0"/>
          <w:divBdr>
            <w:top w:val="none" w:sz="0" w:space="0" w:color="auto"/>
            <w:left w:val="none" w:sz="0" w:space="0" w:color="auto"/>
            <w:bottom w:val="none" w:sz="0" w:space="0" w:color="auto"/>
            <w:right w:val="none" w:sz="0" w:space="0" w:color="auto"/>
          </w:divBdr>
        </w:div>
        <w:div w:id="788817679">
          <w:marLeft w:val="0"/>
          <w:marRight w:val="0"/>
          <w:marTop w:val="0"/>
          <w:marBottom w:val="0"/>
          <w:divBdr>
            <w:top w:val="none" w:sz="0" w:space="0" w:color="auto"/>
            <w:left w:val="none" w:sz="0" w:space="0" w:color="auto"/>
            <w:bottom w:val="none" w:sz="0" w:space="0" w:color="auto"/>
            <w:right w:val="none" w:sz="0" w:space="0" w:color="auto"/>
          </w:divBdr>
        </w:div>
        <w:div w:id="841433715">
          <w:marLeft w:val="0"/>
          <w:marRight w:val="0"/>
          <w:marTop w:val="0"/>
          <w:marBottom w:val="0"/>
          <w:divBdr>
            <w:top w:val="none" w:sz="0" w:space="0" w:color="auto"/>
            <w:left w:val="none" w:sz="0" w:space="0" w:color="auto"/>
            <w:bottom w:val="none" w:sz="0" w:space="0" w:color="auto"/>
            <w:right w:val="none" w:sz="0" w:space="0" w:color="auto"/>
          </w:divBdr>
        </w:div>
        <w:div w:id="852383337">
          <w:marLeft w:val="0"/>
          <w:marRight w:val="0"/>
          <w:marTop w:val="0"/>
          <w:marBottom w:val="0"/>
          <w:divBdr>
            <w:top w:val="none" w:sz="0" w:space="0" w:color="auto"/>
            <w:left w:val="none" w:sz="0" w:space="0" w:color="auto"/>
            <w:bottom w:val="none" w:sz="0" w:space="0" w:color="auto"/>
            <w:right w:val="none" w:sz="0" w:space="0" w:color="auto"/>
          </w:divBdr>
        </w:div>
        <w:div w:id="999239008">
          <w:marLeft w:val="0"/>
          <w:marRight w:val="0"/>
          <w:marTop w:val="0"/>
          <w:marBottom w:val="0"/>
          <w:divBdr>
            <w:top w:val="none" w:sz="0" w:space="0" w:color="auto"/>
            <w:left w:val="none" w:sz="0" w:space="0" w:color="auto"/>
            <w:bottom w:val="none" w:sz="0" w:space="0" w:color="auto"/>
            <w:right w:val="none" w:sz="0" w:space="0" w:color="auto"/>
          </w:divBdr>
        </w:div>
        <w:div w:id="1139960283">
          <w:marLeft w:val="0"/>
          <w:marRight w:val="0"/>
          <w:marTop w:val="0"/>
          <w:marBottom w:val="0"/>
          <w:divBdr>
            <w:top w:val="none" w:sz="0" w:space="0" w:color="auto"/>
            <w:left w:val="none" w:sz="0" w:space="0" w:color="auto"/>
            <w:bottom w:val="none" w:sz="0" w:space="0" w:color="auto"/>
            <w:right w:val="none" w:sz="0" w:space="0" w:color="auto"/>
          </w:divBdr>
        </w:div>
        <w:div w:id="1151100479">
          <w:marLeft w:val="0"/>
          <w:marRight w:val="0"/>
          <w:marTop w:val="0"/>
          <w:marBottom w:val="0"/>
          <w:divBdr>
            <w:top w:val="none" w:sz="0" w:space="0" w:color="auto"/>
            <w:left w:val="none" w:sz="0" w:space="0" w:color="auto"/>
            <w:bottom w:val="none" w:sz="0" w:space="0" w:color="auto"/>
            <w:right w:val="none" w:sz="0" w:space="0" w:color="auto"/>
          </w:divBdr>
        </w:div>
        <w:div w:id="1155488910">
          <w:marLeft w:val="0"/>
          <w:marRight w:val="0"/>
          <w:marTop w:val="0"/>
          <w:marBottom w:val="0"/>
          <w:divBdr>
            <w:top w:val="none" w:sz="0" w:space="0" w:color="auto"/>
            <w:left w:val="none" w:sz="0" w:space="0" w:color="auto"/>
            <w:bottom w:val="none" w:sz="0" w:space="0" w:color="auto"/>
            <w:right w:val="none" w:sz="0" w:space="0" w:color="auto"/>
          </w:divBdr>
        </w:div>
        <w:div w:id="1162623014">
          <w:marLeft w:val="0"/>
          <w:marRight w:val="0"/>
          <w:marTop w:val="0"/>
          <w:marBottom w:val="0"/>
          <w:divBdr>
            <w:top w:val="none" w:sz="0" w:space="0" w:color="auto"/>
            <w:left w:val="none" w:sz="0" w:space="0" w:color="auto"/>
            <w:bottom w:val="none" w:sz="0" w:space="0" w:color="auto"/>
            <w:right w:val="none" w:sz="0" w:space="0" w:color="auto"/>
          </w:divBdr>
        </w:div>
        <w:div w:id="1172138851">
          <w:marLeft w:val="0"/>
          <w:marRight w:val="0"/>
          <w:marTop w:val="0"/>
          <w:marBottom w:val="0"/>
          <w:divBdr>
            <w:top w:val="none" w:sz="0" w:space="0" w:color="auto"/>
            <w:left w:val="none" w:sz="0" w:space="0" w:color="auto"/>
            <w:bottom w:val="none" w:sz="0" w:space="0" w:color="auto"/>
            <w:right w:val="none" w:sz="0" w:space="0" w:color="auto"/>
          </w:divBdr>
        </w:div>
        <w:div w:id="1284576042">
          <w:marLeft w:val="0"/>
          <w:marRight w:val="0"/>
          <w:marTop w:val="0"/>
          <w:marBottom w:val="0"/>
          <w:divBdr>
            <w:top w:val="none" w:sz="0" w:space="0" w:color="auto"/>
            <w:left w:val="none" w:sz="0" w:space="0" w:color="auto"/>
            <w:bottom w:val="none" w:sz="0" w:space="0" w:color="auto"/>
            <w:right w:val="none" w:sz="0" w:space="0" w:color="auto"/>
          </w:divBdr>
        </w:div>
        <w:div w:id="1306547389">
          <w:marLeft w:val="0"/>
          <w:marRight w:val="0"/>
          <w:marTop w:val="0"/>
          <w:marBottom w:val="0"/>
          <w:divBdr>
            <w:top w:val="none" w:sz="0" w:space="0" w:color="auto"/>
            <w:left w:val="none" w:sz="0" w:space="0" w:color="auto"/>
            <w:bottom w:val="none" w:sz="0" w:space="0" w:color="auto"/>
            <w:right w:val="none" w:sz="0" w:space="0" w:color="auto"/>
          </w:divBdr>
        </w:div>
        <w:div w:id="1338732567">
          <w:marLeft w:val="0"/>
          <w:marRight w:val="0"/>
          <w:marTop w:val="0"/>
          <w:marBottom w:val="0"/>
          <w:divBdr>
            <w:top w:val="none" w:sz="0" w:space="0" w:color="auto"/>
            <w:left w:val="none" w:sz="0" w:space="0" w:color="auto"/>
            <w:bottom w:val="none" w:sz="0" w:space="0" w:color="auto"/>
            <w:right w:val="none" w:sz="0" w:space="0" w:color="auto"/>
          </w:divBdr>
        </w:div>
        <w:div w:id="1389112445">
          <w:marLeft w:val="0"/>
          <w:marRight w:val="0"/>
          <w:marTop w:val="0"/>
          <w:marBottom w:val="0"/>
          <w:divBdr>
            <w:top w:val="none" w:sz="0" w:space="0" w:color="auto"/>
            <w:left w:val="none" w:sz="0" w:space="0" w:color="auto"/>
            <w:bottom w:val="none" w:sz="0" w:space="0" w:color="auto"/>
            <w:right w:val="none" w:sz="0" w:space="0" w:color="auto"/>
          </w:divBdr>
        </w:div>
        <w:div w:id="1389911298">
          <w:marLeft w:val="0"/>
          <w:marRight w:val="0"/>
          <w:marTop w:val="0"/>
          <w:marBottom w:val="0"/>
          <w:divBdr>
            <w:top w:val="none" w:sz="0" w:space="0" w:color="auto"/>
            <w:left w:val="none" w:sz="0" w:space="0" w:color="auto"/>
            <w:bottom w:val="none" w:sz="0" w:space="0" w:color="auto"/>
            <w:right w:val="none" w:sz="0" w:space="0" w:color="auto"/>
          </w:divBdr>
        </w:div>
        <w:div w:id="1482652820">
          <w:marLeft w:val="0"/>
          <w:marRight w:val="0"/>
          <w:marTop w:val="0"/>
          <w:marBottom w:val="0"/>
          <w:divBdr>
            <w:top w:val="none" w:sz="0" w:space="0" w:color="auto"/>
            <w:left w:val="none" w:sz="0" w:space="0" w:color="auto"/>
            <w:bottom w:val="none" w:sz="0" w:space="0" w:color="auto"/>
            <w:right w:val="none" w:sz="0" w:space="0" w:color="auto"/>
          </w:divBdr>
        </w:div>
        <w:div w:id="1494833334">
          <w:marLeft w:val="0"/>
          <w:marRight w:val="0"/>
          <w:marTop w:val="0"/>
          <w:marBottom w:val="0"/>
          <w:divBdr>
            <w:top w:val="none" w:sz="0" w:space="0" w:color="auto"/>
            <w:left w:val="none" w:sz="0" w:space="0" w:color="auto"/>
            <w:bottom w:val="none" w:sz="0" w:space="0" w:color="auto"/>
            <w:right w:val="none" w:sz="0" w:space="0" w:color="auto"/>
          </w:divBdr>
        </w:div>
        <w:div w:id="1503669079">
          <w:marLeft w:val="0"/>
          <w:marRight w:val="0"/>
          <w:marTop w:val="0"/>
          <w:marBottom w:val="0"/>
          <w:divBdr>
            <w:top w:val="none" w:sz="0" w:space="0" w:color="auto"/>
            <w:left w:val="none" w:sz="0" w:space="0" w:color="auto"/>
            <w:bottom w:val="none" w:sz="0" w:space="0" w:color="auto"/>
            <w:right w:val="none" w:sz="0" w:space="0" w:color="auto"/>
          </w:divBdr>
        </w:div>
        <w:div w:id="1583098585">
          <w:marLeft w:val="0"/>
          <w:marRight w:val="0"/>
          <w:marTop w:val="0"/>
          <w:marBottom w:val="0"/>
          <w:divBdr>
            <w:top w:val="none" w:sz="0" w:space="0" w:color="auto"/>
            <w:left w:val="none" w:sz="0" w:space="0" w:color="auto"/>
            <w:bottom w:val="none" w:sz="0" w:space="0" w:color="auto"/>
            <w:right w:val="none" w:sz="0" w:space="0" w:color="auto"/>
          </w:divBdr>
        </w:div>
        <w:div w:id="1625116580">
          <w:marLeft w:val="0"/>
          <w:marRight w:val="0"/>
          <w:marTop w:val="0"/>
          <w:marBottom w:val="0"/>
          <w:divBdr>
            <w:top w:val="none" w:sz="0" w:space="0" w:color="auto"/>
            <w:left w:val="none" w:sz="0" w:space="0" w:color="auto"/>
            <w:bottom w:val="none" w:sz="0" w:space="0" w:color="auto"/>
            <w:right w:val="none" w:sz="0" w:space="0" w:color="auto"/>
          </w:divBdr>
        </w:div>
        <w:div w:id="1671711054">
          <w:marLeft w:val="0"/>
          <w:marRight w:val="0"/>
          <w:marTop w:val="0"/>
          <w:marBottom w:val="0"/>
          <w:divBdr>
            <w:top w:val="none" w:sz="0" w:space="0" w:color="auto"/>
            <w:left w:val="none" w:sz="0" w:space="0" w:color="auto"/>
            <w:bottom w:val="none" w:sz="0" w:space="0" w:color="auto"/>
            <w:right w:val="none" w:sz="0" w:space="0" w:color="auto"/>
          </w:divBdr>
        </w:div>
        <w:div w:id="1710303283">
          <w:marLeft w:val="0"/>
          <w:marRight w:val="0"/>
          <w:marTop w:val="0"/>
          <w:marBottom w:val="0"/>
          <w:divBdr>
            <w:top w:val="none" w:sz="0" w:space="0" w:color="auto"/>
            <w:left w:val="none" w:sz="0" w:space="0" w:color="auto"/>
            <w:bottom w:val="none" w:sz="0" w:space="0" w:color="auto"/>
            <w:right w:val="none" w:sz="0" w:space="0" w:color="auto"/>
          </w:divBdr>
        </w:div>
        <w:div w:id="1730306534">
          <w:marLeft w:val="0"/>
          <w:marRight w:val="0"/>
          <w:marTop w:val="0"/>
          <w:marBottom w:val="0"/>
          <w:divBdr>
            <w:top w:val="none" w:sz="0" w:space="0" w:color="auto"/>
            <w:left w:val="none" w:sz="0" w:space="0" w:color="auto"/>
            <w:bottom w:val="none" w:sz="0" w:space="0" w:color="auto"/>
            <w:right w:val="none" w:sz="0" w:space="0" w:color="auto"/>
          </w:divBdr>
        </w:div>
        <w:div w:id="1762410743">
          <w:marLeft w:val="0"/>
          <w:marRight w:val="0"/>
          <w:marTop w:val="0"/>
          <w:marBottom w:val="0"/>
          <w:divBdr>
            <w:top w:val="none" w:sz="0" w:space="0" w:color="auto"/>
            <w:left w:val="none" w:sz="0" w:space="0" w:color="auto"/>
            <w:bottom w:val="none" w:sz="0" w:space="0" w:color="auto"/>
            <w:right w:val="none" w:sz="0" w:space="0" w:color="auto"/>
          </w:divBdr>
        </w:div>
        <w:div w:id="1809474293">
          <w:marLeft w:val="0"/>
          <w:marRight w:val="0"/>
          <w:marTop w:val="0"/>
          <w:marBottom w:val="0"/>
          <w:divBdr>
            <w:top w:val="none" w:sz="0" w:space="0" w:color="auto"/>
            <w:left w:val="none" w:sz="0" w:space="0" w:color="auto"/>
            <w:bottom w:val="none" w:sz="0" w:space="0" w:color="auto"/>
            <w:right w:val="none" w:sz="0" w:space="0" w:color="auto"/>
          </w:divBdr>
        </w:div>
        <w:div w:id="1924021438">
          <w:marLeft w:val="0"/>
          <w:marRight w:val="0"/>
          <w:marTop w:val="0"/>
          <w:marBottom w:val="0"/>
          <w:divBdr>
            <w:top w:val="none" w:sz="0" w:space="0" w:color="auto"/>
            <w:left w:val="none" w:sz="0" w:space="0" w:color="auto"/>
            <w:bottom w:val="none" w:sz="0" w:space="0" w:color="auto"/>
            <w:right w:val="none" w:sz="0" w:space="0" w:color="auto"/>
          </w:divBdr>
        </w:div>
        <w:div w:id="2020887165">
          <w:marLeft w:val="0"/>
          <w:marRight w:val="0"/>
          <w:marTop w:val="0"/>
          <w:marBottom w:val="0"/>
          <w:divBdr>
            <w:top w:val="none" w:sz="0" w:space="0" w:color="auto"/>
            <w:left w:val="none" w:sz="0" w:space="0" w:color="auto"/>
            <w:bottom w:val="none" w:sz="0" w:space="0" w:color="auto"/>
            <w:right w:val="none" w:sz="0" w:space="0" w:color="auto"/>
          </w:divBdr>
        </w:div>
        <w:div w:id="2102873913">
          <w:marLeft w:val="0"/>
          <w:marRight w:val="0"/>
          <w:marTop w:val="0"/>
          <w:marBottom w:val="0"/>
          <w:divBdr>
            <w:top w:val="none" w:sz="0" w:space="0" w:color="auto"/>
            <w:left w:val="none" w:sz="0" w:space="0" w:color="auto"/>
            <w:bottom w:val="none" w:sz="0" w:space="0" w:color="auto"/>
            <w:right w:val="none" w:sz="0" w:space="0" w:color="auto"/>
          </w:divBdr>
        </w:div>
      </w:divsChild>
    </w:div>
    <w:div w:id="1782721161">
      <w:bodyDiv w:val="1"/>
      <w:marLeft w:val="0"/>
      <w:marRight w:val="0"/>
      <w:marTop w:val="0"/>
      <w:marBottom w:val="0"/>
      <w:divBdr>
        <w:top w:val="none" w:sz="0" w:space="0" w:color="auto"/>
        <w:left w:val="none" w:sz="0" w:space="0" w:color="auto"/>
        <w:bottom w:val="none" w:sz="0" w:space="0" w:color="auto"/>
        <w:right w:val="none" w:sz="0" w:space="0" w:color="auto"/>
      </w:divBdr>
    </w:div>
    <w:div w:id="1807550980">
      <w:bodyDiv w:val="1"/>
      <w:marLeft w:val="0"/>
      <w:marRight w:val="0"/>
      <w:marTop w:val="0"/>
      <w:marBottom w:val="0"/>
      <w:divBdr>
        <w:top w:val="none" w:sz="0" w:space="0" w:color="auto"/>
        <w:left w:val="none" w:sz="0" w:space="0" w:color="auto"/>
        <w:bottom w:val="none" w:sz="0" w:space="0" w:color="auto"/>
        <w:right w:val="none" w:sz="0" w:space="0" w:color="auto"/>
      </w:divBdr>
      <w:divsChild>
        <w:div w:id="1453402778">
          <w:marLeft w:val="720"/>
          <w:marRight w:val="0"/>
          <w:marTop w:val="86"/>
          <w:marBottom w:val="0"/>
          <w:divBdr>
            <w:top w:val="none" w:sz="0" w:space="0" w:color="auto"/>
            <w:left w:val="none" w:sz="0" w:space="0" w:color="auto"/>
            <w:bottom w:val="none" w:sz="0" w:space="0" w:color="auto"/>
            <w:right w:val="none" w:sz="0" w:space="0" w:color="auto"/>
          </w:divBdr>
        </w:div>
      </w:divsChild>
    </w:div>
    <w:div w:id="1833062711">
      <w:bodyDiv w:val="1"/>
      <w:marLeft w:val="0"/>
      <w:marRight w:val="0"/>
      <w:marTop w:val="0"/>
      <w:marBottom w:val="0"/>
      <w:divBdr>
        <w:top w:val="none" w:sz="0" w:space="0" w:color="auto"/>
        <w:left w:val="none" w:sz="0" w:space="0" w:color="auto"/>
        <w:bottom w:val="none" w:sz="0" w:space="0" w:color="auto"/>
        <w:right w:val="none" w:sz="0" w:space="0" w:color="auto"/>
      </w:divBdr>
    </w:div>
    <w:div w:id="1912419570">
      <w:bodyDiv w:val="1"/>
      <w:marLeft w:val="0"/>
      <w:marRight w:val="0"/>
      <w:marTop w:val="0"/>
      <w:marBottom w:val="0"/>
      <w:divBdr>
        <w:top w:val="none" w:sz="0" w:space="0" w:color="auto"/>
        <w:left w:val="none" w:sz="0" w:space="0" w:color="auto"/>
        <w:bottom w:val="none" w:sz="0" w:space="0" w:color="auto"/>
        <w:right w:val="none" w:sz="0" w:space="0" w:color="auto"/>
      </w:divBdr>
      <w:divsChild>
        <w:div w:id="1758751273">
          <w:marLeft w:val="446"/>
          <w:marRight w:val="0"/>
          <w:marTop w:val="120"/>
          <w:marBottom w:val="60"/>
          <w:divBdr>
            <w:top w:val="none" w:sz="0" w:space="0" w:color="auto"/>
            <w:left w:val="none" w:sz="0" w:space="0" w:color="auto"/>
            <w:bottom w:val="none" w:sz="0" w:space="0" w:color="auto"/>
            <w:right w:val="none" w:sz="0" w:space="0" w:color="auto"/>
          </w:divBdr>
        </w:div>
        <w:div w:id="1238200394">
          <w:marLeft w:val="446"/>
          <w:marRight w:val="0"/>
          <w:marTop w:val="120"/>
          <w:marBottom w:val="60"/>
          <w:divBdr>
            <w:top w:val="none" w:sz="0" w:space="0" w:color="auto"/>
            <w:left w:val="none" w:sz="0" w:space="0" w:color="auto"/>
            <w:bottom w:val="none" w:sz="0" w:space="0" w:color="auto"/>
            <w:right w:val="none" w:sz="0" w:space="0" w:color="auto"/>
          </w:divBdr>
        </w:div>
        <w:div w:id="1220290477">
          <w:marLeft w:val="1080"/>
          <w:marRight w:val="0"/>
          <w:marTop w:val="120"/>
          <w:marBottom w:val="60"/>
          <w:divBdr>
            <w:top w:val="none" w:sz="0" w:space="0" w:color="auto"/>
            <w:left w:val="none" w:sz="0" w:space="0" w:color="auto"/>
            <w:bottom w:val="none" w:sz="0" w:space="0" w:color="auto"/>
            <w:right w:val="none" w:sz="0" w:space="0" w:color="auto"/>
          </w:divBdr>
        </w:div>
        <w:div w:id="1627084254">
          <w:marLeft w:val="1080"/>
          <w:marRight w:val="0"/>
          <w:marTop w:val="120"/>
          <w:marBottom w:val="60"/>
          <w:divBdr>
            <w:top w:val="none" w:sz="0" w:space="0" w:color="auto"/>
            <w:left w:val="none" w:sz="0" w:space="0" w:color="auto"/>
            <w:bottom w:val="none" w:sz="0" w:space="0" w:color="auto"/>
            <w:right w:val="none" w:sz="0" w:space="0" w:color="auto"/>
          </w:divBdr>
        </w:div>
        <w:div w:id="886837804">
          <w:marLeft w:val="1080"/>
          <w:marRight w:val="0"/>
          <w:marTop w:val="120"/>
          <w:marBottom w:val="60"/>
          <w:divBdr>
            <w:top w:val="none" w:sz="0" w:space="0" w:color="auto"/>
            <w:left w:val="none" w:sz="0" w:space="0" w:color="auto"/>
            <w:bottom w:val="none" w:sz="0" w:space="0" w:color="auto"/>
            <w:right w:val="none" w:sz="0" w:space="0" w:color="auto"/>
          </w:divBdr>
        </w:div>
        <w:div w:id="890194643">
          <w:marLeft w:val="1080"/>
          <w:marRight w:val="0"/>
          <w:marTop w:val="120"/>
          <w:marBottom w:val="60"/>
          <w:divBdr>
            <w:top w:val="none" w:sz="0" w:space="0" w:color="auto"/>
            <w:left w:val="none" w:sz="0" w:space="0" w:color="auto"/>
            <w:bottom w:val="none" w:sz="0" w:space="0" w:color="auto"/>
            <w:right w:val="none" w:sz="0" w:space="0" w:color="auto"/>
          </w:divBdr>
        </w:div>
        <w:div w:id="1862620992">
          <w:marLeft w:val="1080"/>
          <w:marRight w:val="0"/>
          <w:marTop w:val="120"/>
          <w:marBottom w:val="60"/>
          <w:divBdr>
            <w:top w:val="none" w:sz="0" w:space="0" w:color="auto"/>
            <w:left w:val="none" w:sz="0" w:space="0" w:color="auto"/>
            <w:bottom w:val="none" w:sz="0" w:space="0" w:color="auto"/>
            <w:right w:val="none" w:sz="0" w:space="0" w:color="auto"/>
          </w:divBdr>
        </w:div>
        <w:div w:id="440489475">
          <w:marLeft w:val="1080"/>
          <w:marRight w:val="0"/>
          <w:marTop w:val="120"/>
          <w:marBottom w:val="60"/>
          <w:divBdr>
            <w:top w:val="none" w:sz="0" w:space="0" w:color="auto"/>
            <w:left w:val="none" w:sz="0" w:space="0" w:color="auto"/>
            <w:bottom w:val="none" w:sz="0" w:space="0" w:color="auto"/>
            <w:right w:val="none" w:sz="0" w:space="0" w:color="auto"/>
          </w:divBdr>
        </w:div>
        <w:div w:id="1805389838">
          <w:marLeft w:val="1080"/>
          <w:marRight w:val="0"/>
          <w:marTop w:val="120"/>
          <w:marBottom w:val="60"/>
          <w:divBdr>
            <w:top w:val="none" w:sz="0" w:space="0" w:color="auto"/>
            <w:left w:val="none" w:sz="0" w:space="0" w:color="auto"/>
            <w:bottom w:val="none" w:sz="0" w:space="0" w:color="auto"/>
            <w:right w:val="none" w:sz="0" w:space="0" w:color="auto"/>
          </w:divBdr>
        </w:div>
        <w:div w:id="551648421">
          <w:marLeft w:val="1080"/>
          <w:marRight w:val="0"/>
          <w:marTop w:val="120"/>
          <w:marBottom w:val="60"/>
          <w:divBdr>
            <w:top w:val="none" w:sz="0" w:space="0" w:color="auto"/>
            <w:left w:val="none" w:sz="0" w:space="0" w:color="auto"/>
            <w:bottom w:val="none" w:sz="0" w:space="0" w:color="auto"/>
            <w:right w:val="none" w:sz="0" w:space="0" w:color="auto"/>
          </w:divBdr>
        </w:div>
      </w:divsChild>
    </w:div>
    <w:div w:id="2009401097">
      <w:bodyDiv w:val="1"/>
      <w:marLeft w:val="0"/>
      <w:marRight w:val="0"/>
      <w:marTop w:val="0"/>
      <w:marBottom w:val="0"/>
      <w:divBdr>
        <w:top w:val="none" w:sz="0" w:space="0" w:color="auto"/>
        <w:left w:val="none" w:sz="0" w:space="0" w:color="auto"/>
        <w:bottom w:val="none" w:sz="0" w:space="0" w:color="auto"/>
        <w:right w:val="none" w:sz="0" w:space="0" w:color="auto"/>
      </w:divBdr>
    </w:div>
    <w:div w:id="209796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dicaid.gov/federal-policy-guidance/downloads/sho-13-007.pdf" TargetMode="Externa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FE79-9361-44F3-9E33-D305451E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16107</Words>
  <Characters>99636</Characters>
  <Application>Microsoft Office Word</Application>
  <DocSecurity>4</DocSecurity>
  <Lines>830</Lines>
  <Paragraphs>231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115512</CharactersWithSpaces>
  <SharedDoc>false</SharedDoc>
  <HLinks>
    <vt:vector size="390" baseType="variant">
      <vt:variant>
        <vt:i4>7143460</vt:i4>
      </vt:variant>
      <vt:variant>
        <vt:i4>396</vt:i4>
      </vt:variant>
      <vt:variant>
        <vt:i4>0</vt:i4>
      </vt:variant>
      <vt:variant>
        <vt:i4>5</vt:i4>
      </vt:variant>
      <vt:variant>
        <vt:lpwstr>http://www.ncqa.org/Portals/0/Public Policy/2012_NCQA_Medicaid_Managed_Care_Toolkit_Summary_-_March_2012_Final.pdf</vt:lpwstr>
      </vt:variant>
      <vt:variant>
        <vt:lpwstr/>
      </vt:variant>
      <vt:variant>
        <vt:i4>1245209</vt:i4>
      </vt:variant>
      <vt:variant>
        <vt:i4>375</vt:i4>
      </vt:variant>
      <vt:variant>
        <vt:i4>0</vt:i4>
      </vt:variant>
      <vt:variant>
        <vt:i4>5</vt:i4>
      </vt:variant>
      <vt:variant>
        <vt:lpwstr>https://www.medicaid.gov/federal-policy-guidance/downloads/sho-13-007.pdf</vt:lpwstr>
      </vt:variant>
      <vt:variant>
        <vt:lpwstr/>
      </vt:variant>
      <vt:variant>
        <vt:i4>1572916</vt:i4>
      </vt:variant>
      <vt:variant>
        <vt:i4>368</vt:i4>
      </vt:variant>
      <vt:variant>
        <vt:i4>0</vt:i4>
      </vt:variant>
      <vt:variant>
        <vt:i4>5</vt:i4>
      </vt:variant>
      <vt:variant>
        <vt:lpwstr/>
      </vt:variant>
      <vt:variant>
        <vt:lpwstr>_Toc492563409</vt:lpwstr>
      </vt:variant>
      <vt:variant>
        <vt:i4>1572916</vt:i4>
      </vt:variant>
      <vt:variant>
        <vt:i4>362</vt:i4>
      </vt:variant>
      <vt:variant>
        <vt:i4>0</vt:i4>
      </vt:variant>
      <vt:variant>
        <vt:i4>5</vt:i4>
      </vt:variant>
      <vt:variant>
        <vt:lpwstr/>
      </vt:variant>
      <vt:variant>
        <vt:lpwstr>_Toc492563408</vt:lpwstr>
      </vt:variant>
      <vt:variant>
        <vt:i4>1572916</vt:i4>
      </vt:variant>
      <vt:variant>
        <vt:i4>356</vt:i4>
      </vt:variant>
      <vt:variant>
        <vt:i4>0</vt:i4>
      </vt:variant>
      <vt:variant>
        <vt:i4>5</vt:i4>
      </vt:variant>
      <vt:variant>
        <vt:lpwstr/>
      </vt:variant>
      <vt:variant>
        <vt:lpwstr>_Toc492563407</vt:lpwstr>
      </vt:variant>
      <vt:variant>
        <vt:i4>1572916</vt:i4>
      </vt:variant>
      <vt:variant>
        <vt:i4>350</vt:i4>
      </vt:variant>
      <vt:variant>
        <vt:i4>0</vt:i4>
      </vt:variant>
      <vt:variant>
        <vt:i4>5</vt:i4>
      </vt:variant>
      <vt:variant>
        <vt:lpwstr/>
      </vt:variant>
      <vt:variant>
        <vt:lpwstr>_Toc492563406</vt:lpwstr>
      </vt:variant>
      <vt:variant>
        <vt:i4>1572916</vt:i4>
      </vt:variant>
      <vt:variant>
        <vt:i4>344</vt:i4>
      </vt:variant>
      <vt:variant>
        <vt:i4>0</vt:i4>
      </vt:variant>
      <vt:variant>
        <vt:i4>5</vt:i4>
      </vt:variant>
      <vt:variant>
        <vt:lpwstr/>
      </vt:variant>
      <vt:variant>
        <vt:lpwstr>_Toc492563405</vt:lpwstr>
      </vt:variant>
      <vt:variant>
        <vt:i4>1572916</vt:i4>
      </vt:variant>
      <vt:variant>
        <vt:i4>338</vt:i4>
      </vt:variant>
      <vt:variant>
        <vt:i4>0</vt:i4>
      </vt:variant>
      <vt:variant>
        <vt:i4>5</vt:i4>
      </vt:variant>
      <vt:variant>
        <vt:lpwstr/>
      </vt:variant>
      <vt:variant>
        <vt:lpwstr>_Toc492563404</vt:lpwstr>
      </vt:variant>
      <vt:variant>
        <vt:i4>1572916</vt:i4>
      </vt:variant>
      <vt:variant>
        <vt:i4>332</vt:i4>
      </vt:variant>
      <vt:variant>
        <vt:i4>0</vt:i4>
      </vt:variant>
      <vt:variant>
        <vt:i4>5</vt:i4>
      </vt:variant>
      <vt:variant>
        <vt:lpwstr/>
      </vt:variant>
      <vt:variant>
        <vt:lpwstr>_Toc492563403</vt:lpwstr>
      </vt:variant>
      <vt:variant>
        <vt:i4>1572916</vt:i4>
      </vt:variant>
      <vt:variant>
        <vt:i4>326</vt:i4>
      </vt:variant>
      <vt:variant>
        <vt:i4>0</vt:i4>
      </vt:variant>
      <vt:variant>
        <vt:i4>5</vt:i4>
      </vt:variant>
      <vt:variant>
        <vt:lpwstr/>
      </vt:variant>
      <vt:variant>
        <vt:lpwstr>_Toc492563402</vt:lpwstr>
      </vt:variant>
      <vt:variant>
        <vt:i4>1572916</vt:i4>
      </vt:variant>
      <vt:variant>
        <vt:i4>320</vt:i4>
      </vt:variant>
      <vt:variant>
        <vt:i4>0</vt:i4>
      </vt:variant>
      <vt:variant>
        <vt:i4>5</vt:i4>
      </vt:variant>
      <vt:variant>
        <vt:lpwstr/>
      </vt:variant>
      <vt:variant>
        <vt:lpwstr>_Toc492563401</vt:lpwstr>
      </vt:variant>
      <vt:variant>
        <vt:i4>1572916</vt:i4>
      </vt:variant>
      <vt:variant>
        <vt:i4>314</vt:i4>
      </vt:variant>
      <vt:variant>
        <vt:i4>0</vt:i4>
      </vt:variant>
      <vt:variant>
        <vt:i4>5</vt:i4>
      </vt:variant>
      <vt:variant>
        <vt:lpwstr/>
      </vt:variant>
      <vt:variant>
        <vt:lpwstr>_Toc492563400</vt:lpwstr>
      </vt:variant>
      <vt:variant>
        <vt:i4>1114163</vt:i4>
      </vt:variant>
      <vt:variant>
        <vt:i4>308</vt:i4>
      </vt:variant>
      <vt:variant>
        <vt:i4>0</vt:i4>
      </vt:variant>
      <vt:variant>
        <vt:i4>5</vt:i4>
      </vt:variant>
      <vt:variant>
        <vt:lpwstr/>
      </vt:variant>
      <vt:variant>
        <vt:lpwstr>_Toc492563399</vt:lpwstr>
      </vt:variant>
      <vt:variant>
        <vt:i4>1114163</vt:i4>
      </vt:variant>
      <vt:variant>
        <vt:i4>302</vt:i4>
      </vt:variant>
      <vt:variant>
        <vt:i4>0</vt:i4>
      </vt:variant>
      <vt:variant>
        <vt:i4>5</vt:i4>
      </vt:variant>
      <vt:variant>
        <vt:lpwstr/>
      </vt:variant>
      <vt:variant>
        <vt:lpwstr>_Toc492563398</vt:lpwstr>
      </vt:variant>
      <vt:variant>
        <vt:i4>1114163</vt:i4>
      </vt:variant>
      <vt:variant>
        <vt:i4>296</vt:i4>
      </vt:variant>
      <vt:variant>
        <vt:i4>0</vt:i4>
      </vt:variant>
      <vt:variant>
        <vt:i4>5</vt:i4>
      </vt:variant>
      <vt:variant>
        <vt:lpwstr/>
      </vt:variant>
      <vt:variant>
        <vt:lpwstr>_Toc492563397</vt:lpwstr>
      </vt:variant>
      <vt:variant>
        <vt:i4>1114163</vt:i4>
      </vt:variant>
      <vt:variant>
        <vt:i4>290</vt:i4>
      </vt:variant>
      <vt:variant>
        <vt:i4>0</vt:i4>
      </vt:variant>
      <vt:variant>
        <vt:i4>5</vt:i4>
      </vt:variant>
      <vt:variant>
        <vt:lpwstr/>
      </vt:variant>
      <vt:variant>
        <vt:lpwstr>_Toc492563396</vt:lpwstr>
      </vt:variant>
      <vt:variant>
        <vt:i4>1114163</vt:i4>
      </vt:variant>
      <vt:variant>
        <vt:i4>284</vt:i4>
      </vt:variant>
      <vt:variant>
        <vt:i4>0</vt:i4>
      </vt:variant>
      <vt:variant>
        <vt:i4>5</vt:i4>
      </vt:variant>
      <vt:variant>
        <vt:lpwstr/>
      </vt:variant>
      <vt:variant>
        <vt:lpwstr>_Toc492563395</vt:lpwstr>
      </vt:variant>
      <vt:variant>
        <vt:i4>1114163</vt:i4>
      </vt:variant>
      <vt:variant>
        <vt:i4>278</vt:i4>
      </vt:variant>
      <vt:variant>
        <vt:i4>0</vt:i4>
      </vt:variant>
      <vt:variant>
        <vt:i4>5</vt:i4>
      </vt:variant>
      <vt:variant>
        <vt:lpwstr/>
      </vt:variant>
      <vt:variant>
        <vt:lpwstr>_Toc492563394</vt:lpwstr>
      </vt:variant>
      <vt:variant>
        <vt:i4>1114163</vt:i4>
      </vt:variant>
      <vt:variant>
        <vt:i4>272</vt:i4>
      </vt:variant>
      <vt:variant>
        <vt:i4>0</vt:i4>
      </vt:variant>
      <vt:variant>
        <vt:i4>5</vt:i4>
      </vt:variant>
      <vt:variant>
        <vt:lpwstr/>
      </vt:variant>
      <vt:variant>
        <vt:lpwstr>_Toc492563393</vt:lpwstr>
      </vt:variant>
      <vt:variant>
        <vt:i4>1114163</vt:i4>
      </vt:variant>
      <vt:variant>
        <vt:i4>266</vt:i4>
      </vt:variant>
      <vt:variant>
        <vt:i4>0</vt:i4>
      </vt:variant>
      <vt:variant>
        <vt:i4>5</vt:i4>
      </vt:variant>
      <vt:variant>
        <vt:lpwstr/>
      </vt:variant>
      <vt:variant>
        <vt:lpwstr>_Toc492563392</vt:lpwstr>
      </vt:variant>
      <vt:variant>
        <vt:i4>1114163</vt:i4>
      </vt:variant>
      <vt:variant>
        <vt:i4>260</vt:i4>
      </vt:variant>
      <vt:variant>
        <vt:i4>0</vt:i4>
      </vt:variant>
      <vt:variant>
        <vt:i4>5</vt:i4>
      </vt:variant>
      <vt:variant>
        <vt:lpwstr/>
      </vt:variant>
      <vt:variant>
        <vt:lpwstr>_Toc492563391</vt:lpwstr>
      </vt:variant>
      <vt:variant>
        <vt:i4>1114163</vt:i4>
      </vt:variant>
      <vt:variant>
        <vt:i4>254</vt:i4>
      </vt:variant>
      <vt:variant>
        <vt:i4>0</vt:i4>
      </vt:variant>
      <vt:variant>
        <vt:i4>5</vt:i4>
      </vt:variant>
      <vt:variant>
        <vt:lpwstr/>
      </vt:variant>
      <vt:variant>
        <vt:lpwstr>_Toc492563390</vt:lpwstr>
      </vt:variant>
      <vt:variant>
        <vt:i4>1048627</vt:i4>
      </vt:variant>
      <vt:variant>
        <vt:i4>248</vt:i4>
      </vt:variant>
      <vt:variant>
        <vt:i4>0</vt:i4>
      </vt:variant>
      <vt:variant>
        <vt:i4>5</vt:i4>
      </vt:variant>
      <vt:variant>
        <vt:lpwstr/>
      </vt:variant>
      <vt:variant>
        <vt:lpwstr>_Toc492563389</vt:lpwstr>
      </vt:variant>
      <vt:variant>
        <vt:i4>1048627</vt:i4>
      </vt:variant>
      <vt:variant>
        <vt:i4>242</vt:i4>
      </vt:variant>
      <vt:variant>
        <vt:i4>0</vt:i4>
      </vt:variant>
      <vt:variant>
        <vt:i4>5</vt:i4>
      </vt:variant>
      <vt:variant>
        <vt:lpwstr/>
      </vt:variant>
      <vt:variant>
        <vt:lpwstr>_Toc492563388</vt:lpwstr>
      </vt:variant>
      <vt:variant>
        <vt:i4>1048627</vt:i4>
      </vt:variant>
      <vt:variant>
        <vt:i4>236</vt:i4>
      </vt:variant>
      <vt:variant>
        <vt:i4>0</vt:i4>
      </vt:variant>
      <vt:variant>
        <vt:i4>5</vt:i4>
      </vt:variant>
      <vt:variant>
        <vt:lpwstr/>
      </vt:variant>
      <vt:variant>
        <vt:lpwstr>_Toc492563387</vt:lpwstr>
      </vt:variant>
      <vt:variant>
        <vt:i4>1048627</vt:i4>
      </vt:variant>
      <vt:variant>
        <vt:i4>230</vt:i4>
      </vt:variant>
      <vt:variant>
        <vt:i4>0</vt:i4>
      </vt:variant>
      <vt:variant>
        <vt:i4>5</vt:i4>
      </vt:variant>
      <vt:variant>
        <vt:lpwstr/>
      </vt:variant>
      <vt:variant>
        <vt:lpwstr>_Toc492563386</vt:lpwstr>
      </vt:variant>
      <vt:variant>
        <vt:i4>1048627</vt:i4>
      </vt:variant>
      <vt:variant>
        <vt:i4>224</vt:i4>
      </vt:variant>
      <vt:variant>
        <vt:i4>0</vt:i4>
      </vt:variant>
      <vt:variant>
        <vt:i4>5</vt:i4>
      </vt:variant>
      <vt:variant>
        <vt:lpwstr/>
      </vt:variant>
      <vt:variant>
        <vt:lpwstr>_Toc492563385</vt:lpwstr>
      </vt:variant>
      <vt:variant>
        <vt:i4>1048627</vt:i4>
      </vt:variant>
      <vt:variant>
        <vt:i4>218</vt:i4>
      </vt:variant>
      <vt:variant>
        <vt:i4>0</vt:i4>
      </vt:variant>
      <vt:variant>
        <vt:i4>5</vt:i4>
      </vt:variant>
      <vt:variant>
        <vt:lpwstr/>
      </vt:variant>
      <vt:variant>
        <vt:lpwstr>_Toc492563384</vt:lpwstr>
      </vt:variant>
      <vt:variant>
        <vt:i4>1048627</vt:i4>
      </vt:variant>
      <vt:variant>
        <vt:i4>212</vt:i4>
      </vt:variant>
      <vt:variant>
        <vt:i4>0</vt:i4>
      </vt:variant>
      <vt:variant>
        <vt:i4>5</vt:i4>
      </vt:variant>
      <vt:variant>
        <vt:lpwstr/>
      </vt:variant>
      <vt:variant>
        <vt:lpwstr>_Toc492563383</vt:lpwstr>
      </vt:variant>
      <vt:variant>
        <vt:i4>1048627</vt:i4>
      </vt:variant>
      <vt:variant>
        <vt:i4>206</vt:i4>
      </vt:variant>
      <vt:variant>
        <vt:i4>0</vt:i4>
      </vt:variant>
      <vt:variant>
        <vt:i4>5</vt:i4>
      </vt:variant>
      <vt:variant>
        <vt:lpwstr/>
      </vt:variant>
      <vt:variant>
        <vt:lpwstr>_Toc492563382</vt:lpwstr>
      </vt:variant>
      <vt:variant>
        <vt:i4>1048627</vt:i4>
      </vt:variant>
      <vt:variant>
        <vt:i4>200</vt:i4>
      </vt:variant>
      <vt:variant>
        <vt:i4>0</vt:i4>
      </vt:variant>
      <vt:variant>
        <vt:i4>5</vt:i4>
      </vt:variant>
      <vt:variant>
        <vt:lpwstr/>
      </vt:variant>
      <vt:variant>
        <vt:lpwstr>_Toc492563381</vt:lpwstr>
      </vt:variant>
      <vt:variant>
        <vt:i4>1048627</vt:i4>
      </vt:variant>
      <vt:variant>
        <vt:i4>194</vt:i4>
      </vt:variant>
      <vt:variant>
        <vt:i4>0</vt:i4>
      </vt:variant>
      <vt:variant>
        <vt:i4>5</vt:i4>
      </vt:variant>
      <vt:variant>
        <vt:lpwstr/>
      </vt:variant>
      <vt:variant>
        <vt:lpwstr>_Toc492563380</vt:lpwstr>
      </vt:variant>
      <vt:variant>
        <vt:i4>2031667</vt:i4>
      </vt:variant>
      <vt:variant>
        <vt:i4>188</vt:i4>
      </vt:variant>
      <vt:variant>
        <vt:i4>0</vt:i4>
      </vt:variant>
      <vt:variant>
        <vt:i4>5</vt:i4>
      </vt:variant>
      <vt:variant>
        <vt:lpwstr/>
      </vt:variant>
      <vt:variant>
        <vt:lpwstr>_Toc492563379</vt:lpwstr>
      </vt:variant>
      <vt:variant>
        <vt:i4>2031667</vt:i4>
      </vt:variant>
      <vt:variant>
        <vt:i4>182</vt:i4>
      </vt:variant>
      <vt:variant>
        <vt:i4>0</vt:i4>
      </vt:variant>
      <vt:variant>
        <vt:i4>5</vt:i4>
      </vt:variant>
      <vt:variant>
        <vt:lpwstr/>
      </vt:variant>
      <vt:variant>
        <vt:lpwstr>_Toc492563378</vt:lpwstr>
      </vt:variant>
      <vt:variant>
        <vt:i4>2031667</vt:i4>
      </vt:variant>
      <vt:variant>
        <vt:i4>176</vt:i4>
      </vt:variant>
      <vt:variant>
        <vt:i4>0</vt:i4>
      </vt:variant>
      <vt:variant>
        <vt:i4>5</vt:i4>
      </vt:variant>
      <vt:variant>
        <vt:lpwstr/>
      </vt:variant>
      <vt:variant>
        <vt:lpwstr>_Toc492563377</vt:lpwstr>
      </vt:variant>
      <vt:variant>
        <vt:i4>2031667</vt:i4>
      </vt:variant>
      <vt:variant>
        <vt:i4>170</vt:i4>
      </vt:variant>
      <vt:variant>
        <vt:i4>0</vt:i4>
      </vt:variant>
      <vt:variant>
        <vt:i4>5</vt:i4>
      </vt:variant>
      <vt:variant>
        <vt:lpwstr/>
      </vt:variant>
      <vt:variant>
        <vt:lpwstr>_Toc492563376</vt:lpwstr>
      </vt:variant>
      <vt:variant>
        <vt:i4>2031667</vt:i4>
      </vt:variant>
      <vt:variant>
        <vt:i4>164</vt:i4>
      </vt:variant>
      <vt:variant>
        <vt:i4>0</vt:i4>
      </vt:variant>
      <vt:variant>
        <vt:i4>5</vt:i4>
      </vt:variant>
      <vt:variant>
        <vt:lpwstr/>
      </vt:variant>
      <vt:variant>
        <vt:lpwstr>_Toc492563375</vt:lpwstr>
      </vt:variant>
      <vt:variant>
        <vt:i4>2031667</vt:i4>
      </vt:variant>
      <vt:variant>
        <vt:i4>158</vt:i4>
      </vt:variant>
      <vt:variant>
        <vt:i4>0</vt:i4>
      </vt:variant>
      <vt:variant>
        <vt:i4>5</vt:i4>
      </vt:variant>
      <vt:variant>
        <vt:lpwstr/>
      </vt:variant>
      <vt:variant>
        <vt:lpwstr>_Toc492563374</vt:lpwstr>
      </vt:variant>
      <vt:variant>
        <vt:i4>2031667</vt:i4>
      </vt:variant>
      <vt:variant>
        <vt:i4>152</vt:i4>
      </vt:variant>
      <vt:variant>
        <vt:i4>0</vt:i4>
      </vt:variant>
      <vt:variant>
        <vt:i4>5</vt:i4>
      </vt:variant>
      <vt:variant>
        <vt:lpwstr/>
      </vt:variant>
      <vt:variant>
        <vt:lpwstr>_Toc492563373</vt:lpwstr>
      </vt:variant>
      <vt:variant>
        <vt:i4>2031667</vt:i4>
      </vt:variant>
      <vt:variant>
        <vt:i4>146</vt:i4>
      </vt:variant>
      <vt:variant>
        <vt:i4>0</vt:i4>
      </vt:variant>
      <vt:variant>
        <vt:i4>5</vt:i4>
      </vt:variant>
      <vt:variant>
        <vt:lpwstr/>
      </vt:variant>
      <vt:variant>
        <vt:lpwstr>_Toc492563372</vt:lpwstr>
      </vt:variant>
      <vt:variant>
        <vt:i4>2031667</vt:i4>
      </vt:variant>
      <vt:variant>
        <vt:i4>140</vt:i4>
      </vt:variant>
      <vt:variant>
        <vt:i4>0</vt:i4>
      </vt:variant>
      <vt:variant>
        <vt:i4>5</vt:i4>
      </vt:variant>
      <vt:variant>
        <vt:lpwstr/>
      </vt:variant>
      <vt:variant>
        <vt:lpwstr>_Toc492563371</vt:lpwstr>
      </vt:variant>
      <vt:variant>
        <vt:i4>2031667</vt:i4>
      </vt:variant>
      <vt:variant>
        <vt:i4>134</vt:i4>
      </vt:variant>
      <vt:variant>
        <vt:i4>0</vt:i4>
      </vt:variant>
      <vt:variant>
        <vt:i4>5</vt:i4>
      </vt:variant>
      <vt:variant>
        <vt:lpwstr/>
      </vt:variant>
      <vt:variant>
        <vt:lpwstr>_Toc492563370</vt:lpwstr>
      </vt:variant>
      <vt:variant>
        <vt:i4>1966131</vt:i4>
      </vt:variant>
      <vt:variant>
        <vt:i4>128</vt:i4>
      </vt:variant>
      <vt:variant>
        <vt:i4>0</vt:i4>
      </vt:variant>
      <vt:variant>
        <vt:i4>5</vt:i4>
      </vt:variant>
      <vt:variant>
        <vt:lpwstr/>
      </vt:variant>
      <vt:variant>
        <vt:lpwstr>_Toc492563369</vt:lpwstr>
      </vt:variant>
      <vt:variant>
        <vt:i4>1966131</vt:i4>
      </vt:variant>
      <vt:variant>
        <vt:i4>122</vt:i4>
      </vt:variant>
      <vt:variant>
        <vt:i4>0</vt:i4>
      </vt:variant>
      <vt:variant>
        <vt:i4>5</vt:i4>
      </vt:variant>
      <vt:variant>
        <vt:lpwstr/>
      </vt:variant>
      <vt:variant>
        <vt:lpwstr>_Toc492563368</vt:lpwstr>
      </vt:variant>
      <vt:variant>
        <vt:i4>1966131</vt:i4>
      </vt:variant>
      <vt:variant>
        <vt:i4>116</vt:i4>
      </vt:variant>
      <vt:variant>
        <vt:i4>0</vt:i4>
      </vt:variant>
      <vt:variant>
        <vt:i4>5</vt:i4>
      </vt:variant>
      <vt:variant>
        <vt:lpwstr/>
      </vt:variant>
      <vt:variant>
        <vt:lpwstr>_Toc492563367</vt:lpwstr>
      </vt:variant>
      <vt:variant>
        <vt:i4>1966131</vt:i4>
      </vt:variant>
      <vt:variant>
        <vt:i4>110</vt:i4>
      </vt:variant>
      <vt:variant>
        <vt:i4>0</vt:i4>
      </vt:variant>
      <vt:variant>
        <vt:i4>5</vt:i4>
      </vt:variant>
      <vt:variant>
        <vt:lpwstr/>
      </vt:variant>
      <vt:variant>
        <vt:lpwstr>_Toc492563366</vt:lpwstr>
      </vt:variant>
      <vt:variant>
        <vt:i4>1966131</vt:i4>
      </vt:variant>
      <vt:variant>
        <vt:i4>104</vt:i4>
      </vt:variant>
      <vt:variant>
        <vt:i4>0</vt:i4>
      </vt:variant>
      <vt:variant>
        <vt:i4>5</vt:i4>
      </vt:variant>
      <vt:variant>
        <vt:lpwstr/>
      </vt:variant>
      <vt:variant>
        <vt:lpwstr>_Toc492563365</vt:lpwstr>
      </vt:variant>
      <vt:variant>
        <vt:i4>1966131</vt:i4>
      </vt:variant>
      <vt:variant>
        <vt:i4>98</vt:i4>
      </vt:variant>
      <vt:variant>
        <vt:i4>0</vt:i4>
      </vt:variant>
      <vt:variant>
        <vt:i4>5</vt:i4>
      </vt:variant>
      <vt:variant>
        <vt:lpwstr/>
      </vt:variant>
      <vt:variant>
        <vt:lpwstr>_Toc492563364</vt:lpwstr>
      </vt:variant>
      <vt:variant>
        <vt:i4>1966131</vt:i4>
      </vt:variant>
      <vt:variant>
        <vt:i4>92</vt:i4>
      </vt:variant>
      <vt:variant>
        <vt:i4>0</vt:i4>
      </vt:variant>
      <vt:variant>
        <vt:i4>5</vt:i4>
      </vt:variant>
      <vt:variant>
        <vt:lpwstr/>
      </vt:variant>
      <vt:variant>
        <vt:lpwstr>_Toc492563363</vt:lpwstr>
      </vt:variant>
      <vt:variant>
        <vt:i4>1966131</vt:i4>
      </vt:variant>
      <vt:variant>
        <vt:i4>86</vt:i4>
      </vt:variant>
      <vt:variant>
        <vt:i4>0</vt:i4>
      </vt:variant>
      <vt:variant>
        <vt:i4>5</vt:i4>
      </vt:variant>
      <vt:variant>
        <vt:lpwstr/>
      </vt:variant>
      <vt:variant>
        <vt:lpwstr>_Toc492563362</vt:lpwstr>
      </vt:variant>
      <vt:variant>
        <vt:i4>1966131</vt:i4>
      </vt:variant>
      <vt:variant>
        <vt:i4>80</vt:i4>
      </vt:variant>
      <vt:variant>
        <vt:i4>0</vt:i4>
      </vt:variant>
      <vt:variant>
        <vt:i4>5</vt:i4>
      </vt:variant>
      <vt:variant>
        <vt:lpwstr/>
      </vt:variant>
      <vt:variant>
        <vt:lpwstr>_Toc492563361</vt:lpwstr>
      </vt:variant>
      <vt:variant>
        <vt:i4>1966131</vt:i4>
      </vt:variant>
      <vt:variant>
        <vt:i4>74</vt:i4>
      </vt:variant>
      <vt:variant>
        <vt:i4>0</vt:i4>
      </vt:variant>
      <vt:variant>
        <vt:i4>5</vt:i4>
      </vt:variant>
      <vt:variant>
        <vt:lpwstr/>
      </vt:variant>
      <vt:variant>
        <vt:lpwstr>_Toc492563360</vt:lpwstr>
      </vt:variant>
      <vt:variant>
        <vt:i4>1900595</vt:i4>
      </vt:variant>
      <vt:variant>
        <vt:i4>68</vt:i4>
      </vt:variant>
      <vt:variant>
        <vt:i4>0</vt:i4>
      </vt:variant>
      <vt:variant>
        <vt:i4>5</vt:i4>
      </vt:variant>
      <vt:variant>
        <vt:lpwstr/>
      </vt:variant>
      <vt:variant>
        <vt:lpwstr>_Toc492563359</vt:lpwstr>
      </vt:variant>
      <vt:variant>
        <vt:i4>1900595</vt:i4>
      </vt:variant>
      <vt:variant>
        <vt:i4>62</vt:i4>
      </vt:variant>
      <vt:variant>
        <vt:i4>0</vt:i4>
      </vt:variant>
      <vt:variant>
        <vt:i4>5</vt:i4>
      </vt:variant>
      <vt:variant>
        <vt:lpwstr/>
      </vt:variant>
      <vt:variant>
        <vt:lpwstr>_Toc492563356</vt:lpwstr>
      </vt:variant>
      <vt:variant>
        <vt:i4>1900595</vt:i4>
      </vt:variant>
      <vt:variant>
        <vt:i4>56</vt:i4>
      </vt:variant>
      <vt:variant>
        <vt:i4>0</vt:i4>
      </vt:variant>
      <vt:variant>
        <vt:i4>5</vt:i4>
      </vt:variant>
      <vt:variant>
        <vt:lpwstr/>
      </vt:variant>
      <vt:variant>
        <vt:lpwstr>_Toc492563355</vt:lpwstr>
      </vt:variant>
      <vt:variant>
        <vt:i4>1900595</vt:i4>
      </vt:variant>
      <vt:variant>
        <vt:i4>50</vt:i4>
      </vt:variant>
      <vt:variant>
        <vt:i4>0</vt:i4>
      </vt:variant>
      <vt:variant>
        <vt:i4>5</vt:i4>
      </vt:variant>
      <vt:variant>
        <vt:lpwstr/>
      </vt:variant>
      <vt:variant>
        <vt:lpwstr>_Toc492563354</vt:lpwstr>
      </vt:variant>
      <vt:variant>
        <vt:i4>1900595</vt:i4>
      </vt:variant>
      <vt:variant>
        <vt:i4>44</vt:i4>
      </vt:variant>
      <vt:variant>
        <vt:i4>0</vt:i4>
      </vt:variant>
      <vt:variant>
        <vt:i4>5</vt:i4>
      </vt:variant>
      <vt:variant>
        <vt:lpwstr/>
      </vt:variant>
      <vt:variant>
        <vt:lpwstr>_Toc492563352</vt:lpwstr>
      </vt:variant>
      <vt:variant>
        <vt:i4>1900595</vt:i4>
      </vt:variant>
      <vt:variant>
        <vt:i4>38</vt:i4>
      </vt:variant>
      <vt:variant>
        <vt:i4>0</vt:i4>
      </vt:variant>
      <vt:variant>
        <vt:i4>5</vt:i4>
      </vt:variant>
      <vt:variant>
        <vt:lpwstr/>
      </vt:variant>
      <vt:variant>
        <vt:lpwstr>_Toc492563351</vt:lpwstr>
      </vt:variant>
      <vt:variant>
        <vt:i4>1900595</vt:i4>
      </vt:variant>
      <vt:variant>
        <vt:i4>32</vt:i4>
      </vt:variant>
      <vt:variant>
        <vt:i4>0</vt:i4>
      </vt:variant>
      <vt:variant>
        <vt:i4>5</vt:i4>
      </vt:variant>
      <vt:variant>
        <vt:lpwstr/>
      </vt:variant>
      <vt:variant>
        <vt:lpwstr>_Toc492563350</vt:lpwstr>
      </vt:variant>
      <vt:variant>
        <vt:i4>1835059</vt:i4>
      </vt:variant>
      <vt:variant>
        <vt:i4>26</vt:i4>
      </vt:variant>
      <vt:variant>
        <vt:i4>0</vt:i4>
      </vt:variant>
      <vt:variant>
        <vt:i4>5</vt:i4>
      </vt:variant>
      <vt:variant>
        <vt:lpwstr/>
      </vt:variant>
      <vt:variant>
        <vt:lpwstr>_Toc492563348</vt:lpwstr>
      </vt:variant>
      <vt:variant>
        <vt:i4>1835059</vt:i4>
      </vt:variant>
      <vt:variant>
        <vt:i4>20</vt:i4>
      </vt:variant>
      <vt:variant>
        <vt:i4>0</vt:i4>
      </vt:variant>
      <vt:variant>
        <vt:i4>5</vt:i4>
      </vt:variant>
      <vt:variant>
        <vt:lpwstr/>
      </vt:variant>
      <vt:variant>
        <vt:lpwstr>_Toc492563347</vt:lpwstr>
      </vt:variant>
      <vt:variant>
        <vt:i4>1835059</vt:i4>
      </vt:variant>
      <vt:variant>
        <vt:i4>14</vt:i4>
      </vt:variant>
      <vt:variant>
        <vt:i4>0</vt:i4>
      </vt:variant>
      <vt:variant>
        <vt:i4>5</vt:i4>
      </vt:variant>
      <vt:variant>
        <vt:lpwstr/>
      </vt:variant>
      <vt:variant>
        <vt:lpwstr>_Toc492563345</vt:lpwstr>
      </vt:variant>
      <vt:variant>
        <vt:i4>1835059</vt:i4>
      </vt:variant>
      <vt:variant>
        <vt:i4>8</vt:i4>
      </vt:variant>
      <vt:variant>
        <vt:i4>0</vt:i4>
      </vt:variant>
      <vt:variant>
        <vt:i4>5</vt:i4>
      </vt:variant>
      <vt:variant>
        <vt:lpwstr/>
      </vt:variant>
      <vt:variant>
        <vt:lpwstr>_Toc492563344</vt:lpwstr>
      </vt:variant>
      <vt:variant>
        <vt:i4>1835059</vt:i4>
      </vt:variant>
      <vt:variant>
        <vt:i4>2</vt:i4>
      </vt:variant>
      <vt:variant>
        <vt:i4>0</vt:i4>
      </vt:variant>
      <vt:variant>
        <vt:i4>5</vt:i4>
      </vt:variant>
      <vt:variant>
        <vt:lpwstr/>
      </vt:variant>
      <vt:variant>
        <vt:lpwstr>_Toc492563343</vt:lpwstr>
      </vt:variant>
      <vt:variant>
        <vt:i4>6291552</vt:i4>
      </vt:variant>
      <vt:variant>
        <vt:i4>0</vt:i4>
      </vt:variant>
      <vt:variant>
        <vt:i4>0</vt:i4>
      </vt:variant>
      <vt:variant>
        <vt:i4>5</vt:i4>
      </vt:variant>
      <vt:variant>
        <vt:lpwstr>http://www.mass.gov/eohhs/docs/eohhs/cms-waiver/1115-waiver-extension-approval-11-04-16.pdf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LShaughnessy;CBasham</dc:creator>
  <cp:lastModifiedBy>Administrator</cp:lastModifiedBy>
  <cp:revision>2</cp:revision>
  <cp:lastPrinted>2018-12-27T15:46:00Z</cp:lastPrinted>
  <dcterms:created xsi:type="dcterms:W3CDTF">2018-12-27T15:55:00Z</dcterms:created>
  <dcterms:modified xsi:type="dcterms:W3CDTF">2018-12-27T15:55:00Z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760280254</vt:i4>
  </property>
</Properties>
</file>