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FE733" w14:textId="3C2EA5DD" w:rsidR="009231BB" w:rsidRPr="004A5165" w:rsidRDefault="00B767E7" w:rsidP="004A5165">
      <w:pPr>
        <w:pStyle w:val="Heading1"/>
      </w:pPr>
      <w:r>
        <w:t>MassHealth Delivery System Restructuring: 202</w:t>
      </w:r>
      <w:r w:rsidR="539417A2">
        <w:t>2</w:t>
      </w:r>
      <w:r>
        <w:t xml:space="preserve"> Update Report</w:t>
      </w:r>
    </w:p>
    <w:p w14:paraId="20C0F2E8" w14:textId="7A14600E" w:rsidR="00B767E7" w:rsidRPr="007B12DC" w:rsidRDefault="00B767E7" w:rsidP="007B12DC">
      <w:pPr>
        <w:pStyle w:val="Subtitle"/>
        <w:spacing w:before="160"/>
        <w:rPr>
          <w:sz w:val="24"/>
          <w:szCs w:val="24"/>
        </w:rPr>
      </w:pPr>
      <w:r w:rsidRPr="007B12DC">
        <w:rPr>
          <w:sz w:val="24"/>
          <w:szCs w:val="24"/>
        </w:rPr>
        <w:t>Executive Office of Health &amp; Human Services</w:t>
      </w:r>
    </w:p>
    <w:p w14:paraId="7FDC6971" w14:textId="4B33B271" w:rsidR="00B767E7" w:rsidRPr="007B12DC" w:rsidRDefault="39A27AFC" w:rsidP="047AFE96">
      <w:pPr>
        <w:pStyle w:val="Subtitle"/>
        <w:spacing w:before="160"/>
        <w:rPr>
          <w:sz w:val="24"/>
          <w:szCs w:val="24"/>
        </w:rPr>
      </w:pPr>
      <w:r w:rsidRPr="047AFE96">
        <w:rPr>
          <w:sz w:val="24"/>
          <w:szCs w:val="24"/>
        </w:rPr>
        <w:t xml:space="preserve">December </w:t>
      </w:r>
      <w:r w:rsidR="3B46910A" w:rsidRPr="047AFE96">
        <w:rPr>
          <w:sz w:val="24"/>
          <w:szCs w:val="24"/>
        </w:rPr>
        <w:t>202</w:t>
      </w:r>
      <w:r w:rsidR="204433D0" w:rsidRPr="047AFE96">
        <w:rPr>
          <w:sz w:val="24"/>
          <w:szCs w:val="24"/>
        </w:rPr>
        <w:t>4</w:t>
      </w:r>
      <w:r w:rsidR="3B46910A" w:rsidRPr="047AFE96">
        <w:rPr>
          <w:sz w:val="24"/>
          <w:szCs w:val="24"/>
        </w:rPr>
        <w:t xml:space="preserve"> </w:t>
      </w:r>
    </w:p>
    <w:p w14:paraId="56AA1928" w14:textId="089B4526" w:rsidR="00B767E7" w:rsidRPr="00F81CFB" w:rsidRDefault="00B767E7" w:rsidP="00F81CFB">
      <w:pPr>
        <w:pStyle w:val="Heading2"/>
      </w:pPr>
      <w:r w:rsidRPr="00F81CFB">
        <w:t xml:space="preserve">Executive Summary </w:t>
      </w:r>
    </w:p>
    <w:p w14:paraId="3AD9F032" w14:textId="65764F8D" w:rsidR="00B767E7" w:rsidRPr="007B12DC" w:rsidRDefault="50534DBA" w:rsidP="008240EA">
      <w:pPr>
        <w:pStyle w:val="ListParagraph"/>
        <w:numPr>
          <w:ilvl w:val="0"/>
          <w:numId w:val="58"/>
        </w:numPr>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In 2018, Massachusetts implemented its most significant Medicaid restructuring</w:t>
      </w:r>
      <w:r w:rsidR="00B767E7" w:rsidRPr="5AA89864">
        <w:rPr>
          <w:rStyle w:val="FootnoteReference"/>
          <w:rFonts w:asciiTheme="majorHAnsi" w:eastAsiaTheme="majorEastAsia" w:hAnsiTheme="majorHAnsi" w:cstheme="majorBidi"/>
          <w:sz w:val="24"/>
          <w:szCs w:val="24"/>
        </w:rPr>
        <w:footnoteReference w:id="2"/>
      </w:r>
      <w:r w:rsidRPr="5AA89864">
        <w:rPr>
          <w:rFonts w:asciiTheme="majorHAnsi" w:eastAsiaTheme="majorEastAsia" w:hAnsiTheme="majorHAnsi" w:cstheme="majorBidi"/>
          <w:sz w:val="24"/>
          <w:szCs w:val="24"/>
        </w:rPr>
        <w:t xml:space="preserve"> in 20 years to move away from a fee-for-service model by creating: </w:t>
      </w:r>
    </w:p>
    <w:p w14:paraId="10EF2094" w14:textId="77777777" w:rsidR="00B767E7" w:rsidRPr="007B12DC" w:rsidRDefault="50534DBA" w:rsidP="008240EA">
      <w:pPr>
        <w:pStyle w:val="ListParagraph"/>
        <w:numPr>
          <w:ilvl w:val="1"/>
          <w:numId w:val="58"/>
        </w:numPr>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 xml:space="preserve">Accountable Care Organizations (ACOs) </w:t>
      </w:r>
    </w:p>
    <w:p w14:paraId="70D9D4B4" w14:textId="77777777" w:rsidR="00B767E7" w:rsidRPr="007B12DC" w:rsidRDefault="50534DBA" w:rsidP="008240EA">
      <w:pPr>
        <w:pStyle w:val="ListParagraph"/>
        <w:numPr>
          <w:ilvl w:val="1"/>
          <w:numId w:val="58"/>
        </w:numPr>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 xml:space="preserve">Community Partners (CPs), serving members with complex needs </w:t>
      </w:r>
    </w:p>
    <w:p w14:paraId="62A028EA" w14:textId="77777777" w:rsidR="00B767E7" w:rsidRPr="007B12DC" w:rsidRDefault="50534DBA" w:rsidP="008240EA">
      <w:pPr>
        <w:pStyle w:val="ListParagraph"/>
        <w:numPr>
          <w:ilvl w:val="1"/>
          <w:numId w:val="58"/>
        </w:numPr>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 xml:space="preserve">Delivery System Reform Incentive Payment (DSRIP) Program, investing in statewide infrastructure </w:t>
      </w:r>
    </w:p>
    <w:p w14:paraId="06CCA0BD" w14:textId="208D7ADE" w:rsidR="00B767E7" w:rsidRPr="007B12DC" w:rsidRDefault="50534DBA" w:rsidP="008240EA">
      <w:pPr>
        <w:pStyle w:val="ListParagraph"/>
        <w:numPr>
          <w:ilvl w:val="0"/>
          <w:numId w:val="58"/>
        </w:numPr>
        <w:rPr>
          <w:rStyle w:val="FootnoteReference"/>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 xml:space="preserve">This is the </w:t>
      </w:r>
      <w:r w:rsidR="28E6DBEF" w:rsidRPr="5AA89864">
        <w:rPr>
          <w:rFonts w:asciiTheme="majorHAnsi" w:eastAsiaTheme="majorEastAsia" w:hAnsiTheme="majorHAnsi" w:cstheme="majorBidi"/>
          <w:sz w:val="24"/>
          <w:szCs w:val="24"/>
        </w:rPr>
        <w:t>fifth</w:t>
      </w:r>
      <w:r w:rsidRPr="5AA89864">
        <w:rPr>
          <w:rFonts w:asciiTheme="majorHAnsi" w:eastAsiaTheme="majorEastAsia" w:hAnsiTheme="majorHAnsi" w:cstheme="majorBidi"/>
          <w:sz w:val="24"/>
          <w:szCs w:val="24"/>
        </w:rPr>
        <w:t xml:space="preserve"> public report on the MassHealth delivery system restructuring</w:t>
      </w:r>
      <w:r w:rsidR="259ECC9C" w:rsidRPr="5AA89864">
        <w:rPr>
          <w:rFonts w:asciiTheme="majorHAnsi" w:eastAsiaTheme="majorEastAsia" w:hAnsiTheme="majorHAnsi" w:cstheme="majorBidi"/>
          <w:sz w:val="24"/>
          <w:szCs w:val="24"/>
        </w:rPr>
        <w:t xml:space="preserve">—this report </w:t>
      </w:r>
      <w:r w:rsidRPr="5AA89864">
        <w:rPr>
          <w:rFonts w:asciiTheme="majorHAnsi" w:eastAsiaTheme="majorEastAsia" w:hAnsiTheme="majorHAnsi" w:cstheme="majorBidi"/>
          <w:sz w:val="24"/>
          <w:szCs w:val="24"/>
        </w:rPr>
        <w:t xml:space="preserve">covers </w:t>
      </w:r>
      <w:r w:rsidR="7D23ABE6" w:rsidRPr="5AA89864">
        <w:rPr>
          <w:rFonts w:asciiTheme="majorHAnsi" w:eastAsiaTheme="majorEastAsia" w:hAnsiTheme="majorHAnsi" w:cstheme="majorBidi"/>
          <w:sz w:val="24"/>
          <w:szCs w:val="24"/>
        </w:rPr>
        <w:t>the program’s</w:t>
      </w:r>
      <w:r w:rsidR="6077A7B5" w:rsidRPr="5AA89864">
        <w:rPr>
          <w:rFonts w:asciiTheme="majorHAnsi" w:eastAsiaTheme="majorEastAsia" w:hAnsiTheme="majorHAnsi" w:cstheme="majorBidi"/>
          <w:sz w:val="24"/>
          <w:szCs w:val="24"/>
        </w:rPr>
        <w:t xml:space="preserve"> f</w:t>
      </w:r>
      <w:r w:rsidR="287AB612" w:rsidRPr="5AA89864">
        <w:rPr>
          <w:rFonts w:asciiTheme="majorHAnsi" w:eastAsiaTheme="majorEastAsia" w:hAnsiTheme="majorHAnsi" w:cstheme="majorBidi"/>
          <w:sz w:val="24"/>
          <w:szCs w:val="24"/>
        </w:rPr>
        <w:t>ifth</w:t>
      </w:r>
      <w:r w:rsidR="5B06E602" w:rsidRPr="5AA89864">
        <w:rPr>
          <w:rFonts w:asciiTheme="majorHAnsi" w:eastAsiaTheme="majorEastAsia" w:hAnsiTheme="majorHAnsi" w:cstheme="majorBidi"/>
          <w:sz w:val="24"/>
          <w:szCs w:val="24"/>
        </w:rPr>
        <w:t xml:space="preserve"> calendar</w:t>
      </w:r>
      <w:r w:rsidRPr="5AA89864">
        <w:rPr>
          <w:rFonts w:asciiTheme="majorHAnsi" w:eastAsiaTheme="majorEastAsia" w:hAnsiTheme="majorHAnsi" w:cstheme="majorBidi"/>
          <w:sz w:val="24"/>
          <w:szCs w:val="24"/>
        </w:rPr>
        <w:t xml:space="preserve"> year (202</w:t>
      </w:r>
      <w:r w:rsidR="43EC846C" w:rsidRPr="5AA89864">
        <w:rPr>
          <w:rFonts w:asciiTheme="majorHAnsi" w:eastAsiaTheme="majorEastAsia" w:hAnsiTheme="majorHAnsi" w:cstheme="majorBidi"/>
          <w:sz w:val="24"/>
          <w:szCs w:val="24"/>
        </w:rPr>
        <w:t>2</w:t>
      </w:r>
      <w:r w:rsidRPr="5AA89864">
        <w:rPr>
          <w:rFonts w:asciiTheme="majorHAnsi" w:eastAsiaTheme="majorEastAsia" w:hAnsiTheme="majorHAnsi" w:cstheme="majorBidi"/>
          <w:sz w:val="24"/>
          <w:szCs w:val="24"/>
        </w:rPr>
        <w:t>)</w:t>
      </w:r>
      <w:r w:rsidR="5104F48E" w:rsidRPr="5AA89864">
        <w:rPr>
          <w:rFonts w:asciiTheme="majorHAnsi" w:eastAsiaTheme="majorEastAsia" w:hAnsiTheme="majorHAnsi" w:cstheme="majorBidi"/>
          <w:sz w:val="24"/>
          <w:szCs w:val="24"/>
        </w:rPr>
        <w:t xml:space="preserve"> through the first quarter of 2023 which marked the end of that ACO contract period.</w:t>
      </w:r>
      <w:r w:rsidR="00B767E7" w:rsidRPr="5AA89864">
        <w:rPr>
          <w:rStyle w:val="FootnoteReference"/>
          <w:rFonts w:asciiTheme="majorHAnsi" w:eastAsiaTheme="majorEastAsia" w:hAnsiTheme="majorHAnsi" w:cstheme="majorBidi"/>
          <w:sz w:val="24"/>
          <w:szCs w:val="24"/>
        </w:rPr>
        <w:footnoteReference w:id="3"/>
      </w:r>
    </w:p>
    <w:p w14:paraId="54FE6FF6" w14:textId="3DA40B9C" w:rsidR="00B767E7" w:rsidRPr="007B12DC" w:rsidRDefault="50534DBA" w:rsidP="008240EA">
      <w:pPr>
        <w:pStyle w:val="ListParagraph"/>
        <w:numPr>
          <w:ilvl w:val="0"/>
          <w:numId w:val="58"/>
        </w:numPr>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During 202</w:t>
      </w:r>
      <w:r w:rsidR="4A212A0C" w:rsidRPr="5AA89864">
        <w:rPr>
          <w:rFonts w:asciiTheme="majorHAnsi" w:eastAsiaTheme="majorEastAsia" w:hAnsiTheme="majorHAnsi" w:cstheme="majorBidi"/>
          <w:sz w:val="24"/>
          <w:szCs w:val="24"/>
        </w:rPr>
        <w:t>2</w:t>
      </w:r>
      <w:r w:rsidRPr="5AA89864">
        <w:rPr>
          <w:rFonts w:asciiTheme="majorHAnsi" w:eastAsiaTheme="majorEastAsia" w:hAnsiTheme="majorHAnsi" w:cstheme="majorBidi"/>
          <w:sz w:val="24"/>
          <w:szCs w:val="24"/>
        </w:rPr>
        <w:t>, MassHealth had 17 ACOs providing care for ~1.</w:t>
      </w:r>
      <w:r w:rsidR="5F96BCB8" w:rsidRPr="5AA89864">
        <w:rPr>
          <w:rFonts w:asciiTheme="majorHAnsi" w:eastAsiaTheme="majorEastAsia" w:hAnsiTheme="majorHAnsi" w:cstheme="majorBidi"/>
          <w:sz w:val="24"/>
          <w:szCs w:val="24"/>
        </w:rPr>
        <w:t>2</w:t>
      </w:r>
      <w:r w:rsidRPr="5AA89864">
        <w:rPr>
          <w:rFonts w:asciiTheme="majorHAnsi" w:eastAsiaTheme="majorEastAsia" w:hAnsiTheme="majorHAnsi" w:cstheme="majorBidi"/>
          <w:sz w:val="24"/>
          <w:szCs w:val="24"/>
        </w:rPr>
        <w:t>M members with a composite expense of ~$6.</w:t>
      </w:r>
      <w:r w:rsidR="4B447B5C" w:rsidRPr="5AA89864">
        <w:rPr>
          <w:rFonts w:asciiTheme="majorHAnsi" w:eastAsiaTheme="majorEastAsia" w:hAnsiTheme="majorHAnsi" w:cstheme="majorBidi"/>
          <w:sz w:val="24"/>
          <w:szCs w:val="24"/>
        </w:rPr>
        <w:t>9</w:t>
      </w:r>
      <w:r w:rsidRPr="5AA89864">
        <w:rPr>
          <w:rFonts w:asciiTheme="majorHAnsi" w:eastAsiaTheme="majorEastAsia" w:hAnsiTheme="majorHAnsi" w:cstheme="majorBidi"/>
          <w:sz w:val="24"/>
          <w:szCs w:val="24"/>
        </w:rPr>
        <w:t xml:space="preserve">B. </w:t>
      </w:r>
    </w:p>
    <w:p w14:paraId="24D57575" w14:textId="72EF40CC" w:rsidR="5F724167" w:rsidRDefault="2304C2B0" w:rsidP="008240EA">
      <w:pPr>
        <w:pStyle w:val="ListParagraph"/>
        <w:numPr>
          <w:ilvl w:val="1"/>
          <w:numId w:val="58"/>
        </w:numPr>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When including Q1 2023, through the end of the ACO contract, and additional ~$1.</w:t>
      </w:r>
      <w:r w:rsidR="29AF06A6" w:rsidRPr="5AA89864">
        <w:rPr>
          <w:rFonts w:asciiTheme="majorHAnsi" w:eastAsiaTheme="majorEastAsia" w:hAnsiTheme="majorHAnsi" w:cstheme="majorBidi"/>
          <w:sz w:val="24"/>
          <w:szCs w:val="24"/>
        </w:rPr>
        <w:t>8</w:t>
      </w:r>
      <w:r w:rsidRPr="5AA89864">
        <w:rPr>
          <w:rFonts w:asciiTheme="majorHAnsi" w:eastAsiaTheme="majorEastAsia" w:hAnsiTheme="majorHAnsi" w:cstheme="majorBidi"/>
          <w:sz w:val="24"/>
          <w:szCs w:val="24"/>
        </w:rPr>
        <w:t>B was spent for a total five-qua</w:t>
      </w:r>
      <w:r w:rsidR="17D6BF15" w:rsidRPr="5AA89864">
        <w:rPr>
          <w:rFonts w:asciiTheme="majorHAnsi" w:eastAsiaTheme="majorEastAsia" w:hAnsiTheme="majorHAnsi" w:cstheme="majorBidi"/>
          <w:sz w:val="24"/>
          <w:szCs w:val="24"/>
        </w:rPr>
        <w:t>r</w:t>
      </w:r>
      <w:r w:rsidRPr="5AA89864">
        <w:rPr>
          <w:rFonts w:asciiTheme="majorHAnsi" w:eastAsiaTheme="majorEastAsia" w:hAnsiTheme="majorHAnsi" w:cstheme="majorBidi"/>
          <w:sz w:val="24"/>
          <w:szCs w:val="24"/>
        </w:rPr>
        <w:t>ter period expense of $8</w:t>
      </w:r>
      <w:r w:rsidR="1602F907" w:rsidRPr="5AA89864">
        <w:rPr>
          <w:rFonts w:asciiTheme="majorHAnsi" w:eastAsiaTheme="majorEastAsia" w:hAnsiTheme="majorHAnsi" w:cstheme="majorBidi"/>
          <w:sz w:val="24"/>
          <w:szCs w:val="24"/>
        </w:rPr>
        <w:t>.7B</w:t>
      </w:r>
    </w:p>
    <w:p w14:paraId="5A10591B" w14:textId="2BAE3CD6" w:rsidR="00B767E7" w:rsidRPr="007B12DC" w:rsidRDefault="50534DBA" w:rsidP="008240EA">
      <w:pPr>
        <w:pStyle w:val="ListParagraph"/>
        <w:numPr>
          <w:ilvl w:val="0"/>
          <w:numId w:val="58"/>
        </w:numPr>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 xml:space="preserve">The COVID-19 pandemic </w:t>
      </w:r>
      <w:r w:rsidR="7F5CCE75" w:rsidRPr="5AA89864">
        <w:rPr>
          <w:rFonts w:asciiTheme="majorHAnsi" w:eastAsiaTheme="majorEastAsia" w:hAnsiTheme="majorHAnsi" w:cstheme="majorBidi"/>
          <w:sz w:val="24"/>
          <w:szCs w:val="24"/>
        </w:rPr>
        <w:t>began to wane with a decline in case counts and severity of illness, yet the residual effects of the pandemic continued to challenge the health care deli</w:t>
      </w:r>
      <w:r w:rsidR="1A093A03" w:rsidRPr="5AA89864">
        <w:rPr>
          <w:rFonts w:asciiTheme="majorHAnsi" w:eastAsiaTheme="majorEastAsia" w:hAnsiTheme="majorHAnsi" w:cstheme="majorBidi"/>
          <w:sz w:val="24"/>
          <w:szCs w:val="24"/>
        </w:rPr>
        <w:t xml:space="preserve">very system and to have an impact on health needs and outcomes. </w:t>
      </w:r>
    </w:p>
    <w:p w14:paraId="31B3FB0F" w14:textId="1B5F3F44" w:rsidR="00B767E7" w:rsidRPr="007B12DC" w:rsidRDefault="50534DBA" w:rsidP="008240EA">
      <w:pPr>
        <w:pStyle w:val="ListParagraph"/>
        <w:numPr>
          <w:ilvl w:val="1"/>
          <w:numId w:val="58"/>
        </w:numPr>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 xml:space="preserve">MassHealth caseload and ACO enrollment significantly increased due to Medicaid coverage protections during the federal Public Health Emergency (PHE), and as a result total </w:t>
      </w:r>
      <w:proofErr w:type="gramStart"/>
      <w:r w:rsidRPr="5AA89864">
        <w:rPr>
          <w:rFonts w:asciiTheme="majorHAnsi" w:eastAsiaTheme="majorEastAsia" w:hAnsiTheme="majorHAnsi" w:cstheme="majorBidi"/>
          <w:sz w:val="24"/>
          <w:szCs w:val="24"/>
        </w:rPr>
        <w:t>spend</w:t>
      </w:r>
      <w:proofErr w:type="gramEnd"/>
      <w:r w:rsidRPr="5AA89864">
        <w:rPr>
          <w:rFonts w:asciiTheme="majorHAnsi" w:eastAsiaTheme="majorEastAsia" w:hAnsiTheme="majorHAnsi" w:cstheme="majorBidi"/>
          <w:sz w:val="24"/>
          <w:szCs w:val="24"/>
        </w:rPr>
        <w:t xml:space="preserve"> increased</w:t>
      </w:r>
      <w:r w:rsidR="7EDBA05C" w:rsidRPr="5AA89864">
        <w:rPr>
          <w:rFonts w:asciiTheme="majorHAnsi" w:eastAsiaTheme="majorEastAsia" w:hAnsiTheme="majorHAnsi" w:cstheme="majorBidi"/>
          <w:sz w:val="24"/>
          <w:szCs w:val="24"/>
        </w:rPr>
        <w:t>.</w:t>
      </w:r>
    </w:p>
    <w:p w14:paraId="70426B52" w14:textId="77777777" w:rsidR="00B767E7" w:rsidRPr="007B12DC" w:rsidRDefault="50534DBA" w:rsidP="008240EA">
      <w:pPr>
        <w:pStyle w:val="ListParagraph"/>
        <w:numPr>
          <w:ilvl w:val="1"/>
          <w:numId w:val="58"/>
        </w:numPr>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 xml:space="preserve">In response to concerns over the pandemic’s impact on individual quality measures, MassHealth and CMS agreed to certain benchmark reductions for ACO/CP measures. </w:t>
      </w:r>
    </w:p>
    <w:p w14:paraId="599F6365" w14:textId="3323EA18" w:rsidR="00B767E7" w:rsidRPr="007B12DC" w:rsidRDefault="50534DBA" w:rsidP="008240EA">
      <w:pPr>
        <w:pStyle w:val="ListParagraph"/>
        <w:numPr>
          <w:ilvl w:val="0"/>
          <w:numId w:val="58"/>
        </w:numPr>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This report is focused on the 2017-2022 1115 demonstration's performance data. At the time of this report’s release, MassHealth is implementing the 2022-2027 1115 demonstration. This report does not cover this extension.</w:t>
      </w:r>
    </w:p>
    <w:p w14:paraId="2CC0507F" w14:textId="77777777" w:rsidR="008C615B" w:rsidRPr="007B12DC" w:rsidRDefault="008C615B" w:rsidP="5AA89864">
      <w:pPr>
        <w:pStyle w:val="ListParagraph"/>
        <w:rPr>
          <w:rFonts w:asciiTheme="majorHAnsi" w:eastAsiaTheme="majorEastAsia" w:hAnsiTheme="majorHAnsi" w:cstheme="majorBidi"/>
          <w:sz w:val="24"/>
          <w:szCs w:val="24"/>
        </w:rPr>
      </w:pPr>
    </w:p>
    <w:p w14:paraId="2A0A4F5F" w14:textId="706C3CC3" w:rsidR="00130301" w:rsidRPr="007B12DC" w:rsidRDefault="2FFF7B51" w:rsidP="008240EA">
      <w:pPr>
        <w:pStyle w:val="ListParagraph"/>
        <w:numPr>
          <w:ilvl w:val="0"/>
          <w:numId w:val="58"/>
        </w:numPr>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By 202</w:t>
      </w:r>
      <w:r w:rsidR="34AB3E5D" w:rsidRPr="5AA89864">
        <w:rPr>
          <w:rFonts w:asciiTheme="majorHAnsi" w:eastAsiaTheme="majorEastAsia" w:hAnsiTheme="majorHAnsi" w:cstheme="majorBidi"/>
          <w:sz w:val="24"/>
          <w:szCs w:val="24"/>
        </w:rPr>
        <w:t>2</w:t>
      </w:r>
      <w:r w:rsidRPr="5AA89864">
        <w:rPr>
          <w:rFonts w:asciiTheme="majorHAnsi" w:eastAsiaTheme="majorEastAsia" w:hAnsiTheme="majorHAnsi" w:cstheme="majorBidi"/>
          <w:sz w:val="24"/>
          <w:szCs w:val="24"/>
        </w:rPr>
        <w:t>, ACOs were showing early signs of impact.</w:t>
      </w:r>
    </w:p>
    <w:p w14:paraId="06276C0B" w14:textId="4C590795" w:rsidR="00130301" w:rsidRPr="007B12DC" w:rsidRDefault="13EC9A0C" w:rsidP="008240EA">
      <w:pPr>
        <w:pStyle w:val="ListParagraph"/>
        <w:numPr>
          <w:ilvl w:val="1"/>
          <w:numId w:val="58"/>
        </w:numPr>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 xml:space="preserve">MassHealth members in </w:t>
      </w:r>
      <w:r w:rsidR="097F2544" w:rsidRPr="5AA89864">
        <w:rPr>
          <w:rFonts w:asciiTheme="majorHAnsi" w:eastAsiaTheme="majorEastAsia" w:hAnsiTheme="majorHAnsi" w:cstheme="majorBidi"/>
          <w:sz w:val="24"/>
          <w:szCs w:val="24"/>
        </w:rPr>
        <w:t>ACO</w:t>
      </w:r>
      <w:r w:rsidR="5EA72273" w:rsidRPr="5AA89864">
        <w:rPr>
          <w:rFonts w:asciiTheme="majorHAnsi" w:eastAsiaTheme="majorEastAsia" w:hAnsiTheme="majorHAnsi" w:cstheme="majorBidi"/>
          <w:sz w:val="24"/>
          <w:szCs w:val="24"/>
        </w:rPr>
        <w:t xml:space="preserve"> plans had </w:t>
      </w:r>
      <w:r w:rsidR="097F2544" w:rsidRPr="5AA89864">
        <w:rPr>
          <w:rFonts w:asciiTheme="majorHAnsi" w:eastAsiaTheme="majorEastAsia" w:hAnsiTheme="majorHAnsi" w:cstheme="majorBidi"/>
          <w:b/>
          <w:bCs/>
          <w:sz w:val="24"/>
          <w:szCs w:val="24"/>
        </w:rPr>
        <w:t>higher primary care utilization</w:t>
      </w:r>
      <w:r w:rsidR="097F2544" w:rsidRPr="5AA89864">
        <w:rPr>
          <w:rFonts w:asciiTheme="majorHAnsi" w:eastAsiaTheme="majorEastAsia" w:hAnsiTheme="majorHAnsi" w:cstheme="majorBidi"/>
          <w:sz w:val="24"/>
          <w:szCs w:val="24"/>
        </w:rPr>
        <w:t xml:space="preserve"> relative to other plans, even during the pandemic when access was an issue. PCP visits were 1</w:t>
      </w:r>
      <w:r w:rsidR="1A9EB136" w:rsidRPr="5AA89864">
        <w:rPr>
          <w:rFonts w:asciiTheme="majorHAnsi" w:eastAsiaTheme="majorEastAsia" w:hAnsiTheme="majorHAnsi" w:cstheme="majorBidi"/>
          <w:sz w:val="24"/>
          <w:szCs w:val="24"/>
        </w:rPr>
        <w:t>4</w:t>
      </w:r>
      <w:r w:rsidR="097F2544" w:rsidRPr="5AA89864">
        <w:rPr>
          <w:rFonts w:asciiTheme="majorHAnsi" w:eastAsiaTheme="majorEastAsia" w:hAnsiTheme="majorHAnsi" w:cstheme="majorBidi"/>
          <w:sz w:val="24"/>
          <w:szCs w:val="24"/>
        </w:rPr>
        <w:t xml:space="preserve">% higher for </w:t>
      </w:r>
      <w:r w:rsidR="5F6CBE2D" w:rsidRPr="5AA89864">
        <w:rPr>
          <w:rFonts w:asciiTheme="majorHAnsi" w:eastAsiaTheme="majorEastAsia" w:hAnsiTheme="majorHAnsi" w:cstheme="majorBidi"/>
          <w:sz w:val="24"/>
          <w:szCs w:val="24"/>
        </w:rPr>
        <w:t xml:space="preserve">members in </w:t>
      </w:r>
      <w:r w:rsidR="097F2544" w:rsidRPr="5AA89864">
        <w:rPr>
          <w:rFonts w:asciiTheme="majorHAnsi" w:eastAsiaTheme="majorEastAsia" w:hAnsiTheme="majorHAnsi" w:cstheme="majorBidi"/>
          <w:sz w:val="24"/>
          <w:szCs w:val="24"/>
        </w:rPr>
        <w:t xml:space="preserve">ACOs than </w:t>
      </w:r>
      <w:r w:rsidR="170856A3" w:rsidRPr="5AA89864">
        <w:rPr>
          <w:rFonts w:asciiTheme="majorHAnsi" w:eastAsiaTheme="majorEastAsia" w:hAnsiTheme="majorHAnsi" w:cstheme="majorBidi"/>
          <w:sz w:val="24"/>
          <w:szCs w:val="24"/>
        </w:rPr>
        <w:t xml:space="preserve">for members not in </w:t>
      </w:r>
      <w:r w:rsidR="097F2544" w:rsidRPr="5AA89864">
        <w:rPr>
          <w:rFonts w:asciiTheme="majorHAnsi" w:eastAsiaTheme="majorEastAsia" w:hAnsiTheme="majorHAnsi" w:cstheme="majorBidi"/>
          <w:sz w:val="24"/>
          <w:szCs w:val="24"/>
        </w:rPr>
        <w:t>ACOs on average from 2019 to 202</w:t>
      </w:r>
      <w:r w:rsidR="76284880" w:rsidRPr="5AA89864">
        <w:rPr>
          <w:rFonts w:asciiTheme="majorHAnsi" w:eastAsiaTheme="majorEastAsia" w:hAnsiTheme="majorHAnsi" w:cstheme="majorBidi"/>
          <w:sz w:val="24"/>
          <w:szCs w:val="24"/>
        </w:rPr>
        <w:t>2</w:t>
      </w:r>
      <w:r w:rsidR="097F2544" w:rsidRPr="5AA89864">
        <w:rPr>
          <w:rFonts w:asciiTheme="majorHAnsi" w:eastAsiaTheme="majorEastAsia" w:hAnsiTheme="majorHAnsi" w:cstheme="majorBidi"/>
          <w:sz w:val="24"/>
          <w:szCs w:val="24"/>
        </w:rPr>
        <w:t>. </w:t>
      </w:r>
    </w:p>
    <w:p w14:paraId="516820CD" w14:textId="64D3FF59" w:rsidR="004C3DE0" w:rsidRPr="007B12DC" w:rsidRDefault="0B4375A4" w:rsidP="008240EA">
      <w:pPr>
        <w:pStyle w:val="ListParagraph"/>
        <w:numPr>
          <w:ilvl w:val="1"/>
          <w:numId w:val="58"/>
        </w:numPr>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lastRenderedPageBreak/>
        <w:t xml:space="preserve">ACOs had the structure to </w:t>
      </w:r>
      <w:r w:rsidRPr="5AA89864">
        <w:rPr>
          <w:rFonts w:asciiTheme="majorHAnsi" w:eastAsiaTheme="majorEastAsia" w:hAnsiTheme="majorHAnsi" w:cstheme="majorBidi"/>
          <w:b/>
          <w:bCs/>
          <w:sz w:val="24"/>
          <w:szCs w:val="24"/>
        </w:rPr>
        <w:t>respond to</w:t>
      </w:r>
      <w:r w:rsidR="0ADD7ECD" w:rsidRPr="5AA89864">
        <w:rPr>
          <w:rFonts w:asciiTheme="majorHAnsi" w:eastAsiaTheme="majorEastAsia" w:hAnsiTheme="majorHAnsi" w:cstheme="majorBidi"/>
          <w:b/>
          <w:bCs/>
          <w:sz w:val="24"/>
          <w:szCs w:val="24"/>
        </w:rPr>
        <w:t xml:space="preserve"> </w:t>
      </w:r>
      <w:r w:rsidR="2A07F03E" w:rsidRPr="5AA89864">
        <w:rPr>
          <w:rFonts w:asciiTheme="majorHAnsi" w:eastAsiaTheme="majorEastAsia" w:hAnsiTheme="majorHAnsi" w:cstheme="majorBidi"/>
          <w:b/>
          <w:bCs/>
          <w:sz w:val="24"/>
          <w:szCs w:val="24"/>
        </w:rPr>
        <w:t xml:space="preserve">growing challenges with behavioral health (BH) emergency department (ED) boarding and better support members with high BH risk </w:t>
      </w:r>
      <w:r w:rsidR="34FA6A65" w:rsidRPr="5AA89864">
        <w:rPr>
          <w:rFonts w:asciiTheme="majorHAnsi" w:eastAsiaTheme="majorEastAsia" w:hAnsiTheme="majorHAnsi" w:cstheme="majorBidi"/>
          <w:b/>
          <w:bCs/>
          <w:sz w:val="24"/>
          <w:szCs w:val="24"/>
        </w:rPr>
        <w:t>during a time with limited access to BH inpatient bed</w:t>
      </w:r>
      <w:r w:rsidR="0E003163" w:rsidRPr="5AA89864">
        <w:rPr>
          <w:rFonts w:asciiTheme="majorHAnsi" w:eastAsiaTheme="majorEastAsia" w:hAnsiTheme="majorHAnsi" w:cstheme="majorBidi"/>
          <w:b/>
          <w:bCs/>
          <w:sz w:val="24"/>
          <w:szCs w:val="24"/>
        </w:rPr>
        <w:t xml:space="preserve">s. </w:t>
      </w:r>
      <w:r w:rsidR="34FA6A65" w:rsidRPr="5AA89864">
        <w:rPr>
          <w:rFonts w:asciiTheme="majorHAnsi" w:eastAsiaTheme="majorEastAsia" w:hAnsiTheme="majorHAnsi" w:cstheme="majorBidi"/>
          <w:b/>
          <w:bCs/>
          <w:sz w:val="24"/>
          <w:szCs w:val="24"/>
        </w:rPr>
        <w:t xml:space="preserve"> </w:t>
      </w:r>
    </w:p>
    <w:p w14:paraId="54BC2828" w14:textId="160F6D19" w:rsidR="005D4DBD" w:rsidRPr="007B12DC" w:rsidRDefault="16DDD0EF" w:rsidP="008240EA">
      <w:pPr>
        <w:pStyle w:val="ListParagraph"/>
        <w:numPr>
          <w:ilvl w:val="2"/>
          <w:numId w:val="58"/>
        </w:numPr>
        <w:rPr>
          <w:rFonts w:asciiTheme="majorHAnsi" w:eastAsiaTheme="majorEastAsia" w:hAnsiTheme="majorHAnsi" w:cstheme="majorBidi"/>
          <w:sz w:val="24"/>
          <w:szCs w:val="24"/>
        </w:rPr>
      </w:pPr>
      <w:r w:rsidRPr="5AA89864">
        <w:rPr>
          <w:rFonts w:asciiTheme="majorHAnsi" w:eastAsiaTheme="majorEastAsia" w:hAnsiTheme="majorHAnsi" w:cstheme="majorBidi"/>
          <w:b/>
          <w:bCs/>
          <w:sz w:val="24"/>
          <w:szCs w:val="24"/>
        </w:rPr>
        <w:t>ACOs were able to effectively partner with MassHealth to improve engagement on high impact interventions for these members.</w:t>
      </w:r>
    </w:p>
    <w:p w14:paraId="4331391E" w14:textId="621DE50F" w:rsidR="005D4DBD" w:rsidRPr="007B12DC" w:rsidRDefault="240DF20F" w:rsidP="008240EA">
      <w:pPr>
        <w:pStyle w:val="ListParagraph"/>
        <w:numPr>
          <w:ilvl w:val="0"/>
          <w:numId w:val="57"/>
        </w:numPr>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 xml:space="preserve">In 2022, quality measures rebounded after declines in 2020, </w:t>
      </w:r>
      <w:r w:rsidRPr="5AA89864">
        <w:rPr>
          <w:rFonts w:asciiTheme="majorHAnsi" w:eastAsiaTheme="majorEastAsia" w:hAnsiTheme="majorHAnsi" w:cstheme="majorBidi"/>
          <w:b/>
          <w:bCs/>
          <w:sz w:val="24"/>
          <w:szCs w:val="24"/>
        </w:rPr>
        <w:t>though some measures did not reach their pre-pandemic performance levels</w:t>
      </w:r>
      <w:r w:rsidRPr="5AA89864">
        <w:rPr>
          <w:rFonts w:asciiTheme="majorHAnsi" w:eastAsiaTheme="majorEastAsia" w:hAnsiTheme="majorHAnsi" w:cstheme="majorBidi"/>
          <w:sz w:val="24"/>
          <w:szCs w:val="24"/>
        </w:rPr>
        <w:t xml:space="preserve">. The confounding effects of the pandemic made cost and quality outcomes difficult to interpret. </w:t>
      </w:r>
    </w:p>
    <w:p w14:paraId="254ED725" w14:textId="3F1E1EE4" w:rsidR="00B1380A" w:rsidRPr="007B12DC" w:rsidRDefault="15DF6209" w:rsidP="008240EA">
      <w:pPr>
        <w:pStyle w:val="ListParagraph"/>
        <w:numPr>
          <w:ilvl w:val="0"/>
          <w:numId w:val="57"/>
        </w:numPr>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 xml:space="preserve">Community Partners (CPs), which provide community-based care coordination for members with significant behavioral health and long-term services and </w:t>
      </w:r>
      <w:proofErr w:type="gramStart"/>
      <w:r w:rsidRPr="5AA89864">
        <w:rPr>
          <w:rFonts w:asciiTheme="majorHAnsi" w:eastAsiaTheme="majorEastAsia" w:hAnsiTheme="majorHAnsi" w:cstheme="majorBidi"/>
          <w:sz w:val="24"/>
          <w:szCs w:val="24"/>
        </w:rPr>
        <w:t>supports</w:t>
      </w:r>
      <w:proofErr w:type="gramEnd"/>
      <w:r w:rsidRPr="5AA89864">
        <w:rPr>
          <w:rFonts w:asciiTheme="majorHAnsi" w:eastAsiaTheme="majorEastAsia" w:hAnsiTheme="majorHAnsi" w:cstheme="majorBidi"/>
          <w:sz w:val="24"/>
          <w:szCs w:val="24"/>
        </w:rPr>
        <w:t xml:space="preserve"> (LTSS) needs, engaged with 44,000 unique mem</w:t>
      </w:r>
      <w:r w:rsidR="4D36CFF8" w:rsidRPr="5AA89864">
        <w:rPr>
          <w:rFonts w:asciiTheme="majorHAnsi" w:eastAsiaTheme="majorEastAsia" w:hAnsiTheme="majorHAnsi" w:cstheme="majorBidi"/>
          <w:sz w:val="24"/>
          <w:szCs w:val="24"/>
        </w:rPr>
        <w:t xml:space="preserve">bers in 2022. </w:t>
      </w:r>
    </w:p>
    <w:p w14:paraId="4BA72AEB" w14:textId="548B1552" w:rsidR="00B1380A" w:rsidRPr="007B12DC" w:rsidRDefault="6AECAA11" w:rsidP="008240EA">
      <w:pPr>
        <w:pStyle w:val="ListParagraph"/>
        <w:numPr>
          <w:ilvl w:val="0"/>
          <w:numId w:val="57"/>
        </w:numPr>
        <w:rPr>
          <w:rFonts w:asciiTheme="majorHAnsi" w:eastAsiaTheme="majorEastAsia" w:hAnsiTheme="majorHAnsi" w:cstheme="majorBidi"/>
          <w:b/>
          <w:bCs/>
          <w:sz w:val="24"/>
          <w:szCs w:val="24"/>
        </w:rPr>
      </w:pPr>
      <w:r w:rsidRPr="5AA89864">
        <w:rPr>
          <w:rFonts w:asciiTheme="majorHAnsi" w:eastAsiaTheme="majorEastAsia" w:hAnsiTheme="majorHAnsi" w:cstheme="majorBidi"/>
          <w:sz w:val="24"/>
          <w:szCs w:val="24"/>
        </w:rPr>
        <w:t xml:space="preserve">The </w:t>
      </w:r>
      <w:r w:rsidRPr="5AA89864">
        <w:rPr>
          <w:rFonts w:asciiTheme="majorHAnsi" w:eastAsiaTheme="majorEastAsia" w:hAnsiTheme="majorHAnsi" w:cstheme="majorBidi"/>
          <w:b/>
          <w:bCs/>
          <w:sz w:val="24"/>
          <w:szCs w:val="24"/>
        </w:rPr>
        <w:t>Flexible Services Program, </w:t>
      </w:r>
      <w:r w:rsidRPr="5AA89864">
        <w:rPr>
          <w:rFonts w:asciiTheme="majorHAnsi" w:eastAsiaTheme="majorEastAsia" w:hAnsiTheme="majorHAnsi" w:cstheme="majorBidi"/>
          <w:sz w:val="24"/>
          <w:szCs w:val="24"/>
        </w:rPr>
        <w:t xml:space="preserve">which provides housing and nutrition support to certain members, </w:t>
      </w:r>
      <w:r w:rsidR="0A619F7F" w:rsidRPr="5AA89864">
        <w:rPr>
          <w:rFonts w:asciiTheme="majorHAnsi" w:eastAsiaTheme="majorEastAsia" w:hAnsiTheme="majorHAnsi" w:cstheme="majorBidi"/>
          <w:sz w:val="24"/>
          <w:szCs w:val="24"/>
        </w:rPr>
        <w:t xml:space="preserve">had </w:t>
      </w:r>
      <w:r w:rsidRPr="5AA89864">
        <w:rPr>
          <w:rFonts w:asciiTheme="majorHAnsi" w:eastAsiaTheme="majorEastAsia" w:hAnsiTheme="majorHAnsi" w:cstheme="majorBidi"/>
          <w:b/>
          <w:bCs/>
          <w:sz w:val="24"/>
          <w:szCs w:val="24"/>
        </w:rPr>
        <w:t xml:space="preserve">rapid </w:t>
      </w:r>
      <w:r w:rsidR="289E0875" w:rsidRPr="5AA89864">
        <w:rPr>
          <w:rFonts w:asciiTheme="majorHAnsi" w:eastAsiaTheme="majorEastAsia" w:hAnsiTheme="majorHAnsi" w:cstheme="majorBidi"/>
          <w:b/>
          <w:bCs/>
          <w:sz w:val="24"/>
          <w:szCs w:val="24"/>
        </w:rPr>
        <w:t xml:space="preserve">and substantial </w:t>
      </w:r>
      <w:r w:rsidRPr="5AA89864">
        <w:rPr>
          <w:rFonts w:asciiTheme="majorHAnsi" w:eastAsiaTheme="majorEastAsia" w:hAnsiTheme="majorHAnsi" w:cstheme="majorBidi"/>
          <w:b/>
          <w:bCs/>
          <w:sz w:val="24"/>
          <w:szCs w:val="24"/>
        </w:rPr>
        <w:t>growth</w:t>
      </w:r>
      <w:r w:rsidR="2D20FC44" w:rsidRPr="5AA89864">
        <w:rPr>
          <w:rFonts w:asciiTheme="majorHAnsi" w:eastAsiaTheme="majorEastAsia" w:hAnsiTheme="majorHAnsi" w:cstheme="majorBidi"/>
          <w:b/>
          <w:bCs/>
          <w:sz w:val="24"/>
          <w:szCs w:val="24"/>
        </w:rPr>
        <w:t xml:space="preserve">, </w:t>
      </w:r>
      <w:r w:rsidRPr="5AA89864">
        <w:rPr>
          <w:rFonts w:asciiTheme="majorHAnsi" w:eastAsiaTheme="majorEastAsia" w:hAnsiTheme="majorHAnsi" w:cstheme="majorBidi"/>
          <w:sz w:val="24"/>
          <w:szCs w:val="24"/>
        </w:rPr>
        <w:t>and</w:t>
      </w:r>
      <w:r w:rsidR="0EE2A64C" w:rsidRPr="5AA89864">
        <w:rPr>
          <w:rFonts w:asciiTheme="majorHAnsi" w:eastAsiaTheme="majorEastAsia" w:hAnsiTheme="majorHAnsi" w:cstheme="majorBidi"/>
          <w:sz w:val="24"/>
          <w:szCs w:val="24"/>
        </w:rPr>
        <w:t xml:space="preserve"> provided &gt;51K services in 2022 (more than doubled compared to the previous year).</w:t>
      </w:r>
      <w:r w:rsidRPr="5AA89864">
        <w:rPr>
          <w:rFonts w:asciiTheme="majorHAnsi" w:eastAsiaTheme="majorEastAsia" w:hAnsiTheme="majorHAnsi" w:cstheme="majorBidi"/>
          <w:sz w:val="24"/>
          <w:szCs w:val="24"/>
        </w:rPr>
        <w:t xml:space="preserve"> </w:t>
      </w:r>
    </w:p>
    <w:p w14:paraId="36BD5A60" w14:textId="4F676263" w:rsidR="002274ED" w:rsidRPr="00F81CFB" w:rsidRDefault="00B82ECC" w:rsidP="007B12DC">
      <w:pPr>
        <w:pStyle w:val="Heading2"/>
      </w:pPr>
      <w:r w:rsidRPr="39445480">
        <w:rPr>
          <w:rStyle w:val="Heading2Char"/>
        </w:rPr>
        <w:t>Contex</w:t>
      </w:r>
      <w:r w:rsidR="00F40B81" w:rsidRPr="39445480">
        <w:rPr>
          <w:rStyle w:val="Heading2Char"/>
        </w:rPr>
        <w:t>t</w:t>
      </w:r>
    </w:p>
    <w:p w14:paraId="475E68C1" w14:textId="2D8EFCB3" w:rsidR="002274ED" w:rsidRPr="00F81CFB" w:rsidRDefault="6E8C39D9" w:rsidP="39445480">
      <w:pPr>
        <w:pStyle w:val="Heading4"/>
      </w:pPr>
      <w:r>
        <w:t xml:space="preserve">Slide 5: Context for Delivery System Restructuring Efforts: 1115 Waiver Renewal </w:t>
      </w:r>
    </w:p>
    <w:p w14:paraId="24E5DC7D" w14:textId="085587C5" w:rsidR="002274ED" w:rsidRPr="00F81CFB" w:rsidRDefault="4F3845D1" w:rsidP="008240EA">
      <w:pPr>
        <w:pStyle w:val="ListParagraph"/>
        <w:numPr>
          <w:ilvl w:val="0"/>
          <w:numId w:val="56"/>
        </w:numPr>
        <w:rPr>
          <w:sz w:val="24"/>
          <w:szCs w:val="24"/>
        </w:rPr>
      </w:pPr>
      <w:r w:rsidRPr="047AFE96">
        <w:rPr>
          <w:sz w:val="24"/>
          <w:szCs w:val="24"/>
        </w:rPr>
        <w:t xml:space="preserve">This report covers the final year of the 2017-2022 1115 demonstration. The Period of performance was January 1, </w:t>
      </w:r>
      <w:proofErr w:type="gramStart"/>
      <w:r w:rsidRPr="047AFE96">
        <w:rPr>
          <w:sz w:val="24"/>
          <w:szCs w:val="24"/>
        </w:rPr>
        <w:t>2022</w:t>
      </w:r>
      <w:proofErr w:type="gramEnd"/>
      <w:r w:rsidRPr="047AFE96">
        <w:rPr>
          <w:sz w:val="24"/>
          <w:szCs w:val="24"/>
        </w:rPr>
        <w:t xml:space="preserve"> through March 31, </w:t>
      </w:r>
      <w:r w:rsidR="19D225CD" w:rsidRPr="047AFE96">
        <w:rPr>
          <w:sz w:val="24"/>
          <w:szCs w:val="24"/>
        </w:rPr>
        <w:t xml:space="preserve">2023. </w:t>
      </w:r>
      <w:r w:rsidR="524A22C1" w:rsidRPr="047AFE96">
        <w:rPr>
          <w:sz w:val="24"/>
          <w:szCs w:val="24"/>
        </w:rPr>
        <w:t xml:space="preserve"> </w:t>
      </w:r>
    </w:p>
    <w:p w14:paraId="5B7A4421" w14:textId="1E0E9B9A" w:rsidR="002274ED" w:rsidRPr="00F81CFB" w:rsidRDefault="41F4991F" w:rsidP="008240EA">
      <w:pPr>
        <w:pStyle w:val="ListParagraph"/>
        <w:numPr>
          <w:ilvl w:val="0"/>
          <w:numId w:val="56"/>
        </w:numPr>
        <w:rPr>
          <w:sz w:val="24"/>
          <w:szCs w:val="24"/>
        </w:rPr>
      </w:pPr>
      <w:r w:rsidRPr="047AFE96">
        <w:rPr>
          <w:sz w:val="24"/>
          <w:szCs w:val="24"/>
        </w:rPr>
        <w:t>MassHealth collaborated with the Center for Medicare &amp; Medicaid Services (CMS), its ACOs, CPs, and other providers involved i</w:t>
      </w:r>
      <w:r w:rsidR="7AE6FDB5" w:rsidRPr="047AFE96">
        <w:rPr>
          <w:sz w:val="24"/>
          <w:szCs w:val="24"/>
        </w:rPr>
        <w:t xml:space="preserve">n the restructuring efforts on the design of the subsequent 1115 waiver (2022-2027). </w:t>
      </w:r>
    </w:p>
    <w:p w14:paraId="29CDF43F" w14:textId="4E2674E7" w:rsidR="6EC51F03" w:rsidRDefault="7AE6FDB5" w:rsidP="008240EA">
      <w:pPr>
        <w:pStyle w:val="ListParagraph"/>
        <w:numPr>
          <w:ilvl w:val="0"/>
          <w:numId w:val="56"/>
        </w:numPr>
        <w:rPr>
          <w:sz w:val="24"/>
          <w:szCs w:val="24"/>
        </w:rPr>
      </w:pPr>
      <w:r w:rsidRPr="047AFE96">
        <w:rPr>
          <w:sz w:val="24"/>
          <w:szCs w:val="24"/>
        </w:rPr>
        <w:t>2022 was also the last full year of the Delivery S</w:t>
      </w:r>
      <w:r w:rsidR="4EE34E11" w:rsidRPr="047AFE96">
        <w:rPr>
          <w:sz w:val="24"/>
          <w:szCs w:val="24"/>
        </w:rPr>
        <w:t>y</w:t>
      </w:r>
      <w:r w:rsidRPr="047AFE96">
        <w:rPr>
          <w:sz w:val="24"/>
          <w:szCs w:val="24"/>
        </w:rPr>
        <w:t>stem Reform Incentive Payment (DSRIP) Program:</w:t>
      </w:r>
    </w:p>
    <w:p w14:paraId="030D67B7" w14:textId="11299235" w:rsidR="6EC51F03" w:rsidRDefault="7AE6FDB5" w:rsidP="008240EA">
      <w:pPr>
        <w:pStyle w:val="ListParagraph"/>
        <w:numPr>
          <w:ilvl w:val="1"/>
          <w:numId w:val="56"/>
        </w:numPr>
        <w:rPr>
          <w:sz w:val="24"/>
          <w:szCs w:val="24"/>
        </w:rPr>
      </w:pPr>
      <w:r w:rsidRPr="047AFE96">
        <w:rPr>
          <w:sz w:val="24"/>
          <w:szCs w:val="24"/>
        </w:rPr>
        <w:t xml:space="preserve">ACOs identified which high-impact programs should continue in whole or in part beyond DSRIP, and accordingly developed sustainability plans and identified funding sources </w:t>
      </w:r>
    </w:p>
    <w:p w14:paraId="5D4A2090" w14:textId="0A709BC4" w:rsidR="6EC51F03" w:rsidRDefault="7AE6FDB5" w:rsidP="008240EA">
      <w:pPr>
        <w:pStyle w:val="ListParagraph"/>
        <w:numPr>
          <w:ilvl w:val="1"/>
          <w:numId w:val="56"/>
        </w:numPr>
        <w:rPr>
          <w:sz w:val="24"/>
          <w:szCs w:val="24"/>
        </w:rPr>
      </w:pPr>
      <w:r w:rsidRPr="047AFE96">
        <w:rPr>
          <w:sz w:val="24"/>
          <w:szCs w:val="24"/>
        </w:rPr>
        <w:t>ACOs also identified which pro</w:t>
      </w:r>
      <w:r w:rsidR="23D8B98D" w:rsidRPr="047AFE96">
        <w:rPr>
          <w:sz w:val="24"/>
          <w:szCs w:val="24"/>
        </w:rPr>
        <w:t>g</w:t>
      </w:r>
      <w:r w:rsidRPr="047AFE96">
        <w:rPr>
          <w:sz w:val="24"/>
          <w:szCs w:val="24"/>
        </w:rPr>
        <w:t xml:space="preserve">rams were less impactful and should be discontinued. </w:t>
      </w:r>
    </w:p>
    <w:p w14:paraId="0976AAC9" w14:textId="0D2E917D" w:rsidR="6EC51F03" w:rsidRDefault="7AE6FDB5" w:rsidP="008240EA">
      <w:pPr>
        <w:pStyle w:val="ListParagraph"/>
        <w:numPr>
          <w:ilvl w:val="0"/>
          <w:numId w:val="56"/>
        </w:numPr>
        <w:rPr>
          <w:sz w:val="24"/>
          <w:szCs w:val="24"/>
        </w:rPr>
      </w:pPr>
      <w:r w:rsidRPr="047AFE96">
        <w:rPr>
          <w:sz w:val="24"/>
          <w:szCs w:val="24"/>
        </w:rPr>
        <w:t xml:space="preserve">The 2022-2017 1115 waiver was approved on September 28, </w:t>
      </w:r>
      <w:proofErr w:type="gramStart"/>
      <w:r w:rsidRPr="047AFE96">
        <w:rPr>
          <w:sz w:val="24"/>
          <w:szCs w:val="24"/>
        </w:rPr>
        <w:t>2022</w:t>
      </w:r>
      <w:proofErr w:type="gramEnd"/>
      <w:r w:rsidRPr="047AFE96">
        <w:rPr>
          <w:sz w:val="24"/>
          <w:szCs w:val="24"/>
        </w:rPr>
        <w:t xml:space="preserve"> effective October 1, 2022 through December 31, 2027. Among many broad authorities, the 1115 extension authorized the </w:t>
      </w:r>
      <w:r w:rsidR="79430DD7" w:rsidRPr="047AFE96">
        <w:rPr>
          <w:sz w:val="24"/>
          <w:szCs w:val="24"/>
        </w:rPr>
        <w:t xml:space="preserve">continuation of the ACO program. </w:t>
      </w:r>
    </w:p>
    <w:p w14:paraId="393AE12E" w14:textId="3653FF0C" w:rsidR="7BF6A2D3" w:rsidRDefault="79430DD7" w:rsidP="008240EA">
      <w:pPr>
        <w:pStyle w:val="ListParagraph"/>
        <w:numPr>
          <w:ilvl w:val="0"/>
          <w:numId w:val="56"/>
        </w:numPr>
        <w:rPr>
          <w:sz w:val="24"/>
          <w:szCs w:val="24"/>
        </w:rPr>
      </w:pPr>
      <w:r w:rsidRPr="047AFE96">
        <w:rPr>
          <w:sz w:val="24"/>
          <w:szCs w:val="24"/>
        </w:rPr>
        <w:t>The ACO contracts that began in 2018 ended on March 31, 2023. During 2022</w:t>
      </w:r>
      <w:r w:rsidR="6473E109" w:rsidRPr="047AFE96">
        <w:rPr>
          <w:sz w:val="24"/>
          <w:szCs w:val="24"/>
        </w:rPr>
        <w:t>, th</w:t>
      </w:r>
      <w:r w:rsidRPr="047AFE96">
        <w:rPr>
          <w:sz w:val="24"/>
          <w:szCs w:val="24"/>
        </w:rPr>
        <w:t xml:space="preserve">e ACO program was being re-procured. </w:t>
      </w:r>
    </w:p>
    <w:p w14:paraId="698BB799" w14:textId="78762C18" w:rsidR="7BF6A2D3" w:rsidRDefault="79430DD7" w:rsidP="008240EA">
      <w:pPr>
        <w:pStyle w:val="ListParagraph"/>
        <w:numPr>
          <w:ilvl w:val="1"/>
          <w:numId w:val="56"/>
        </w:numPr>
        <w:rPr>
          <w:sz w:val="24"/>
          <w:szCs w:val="24"/>
        </w:rPr>
      </w:pPr>
      <w:r w:rsidRPr="047AFE96">
        <w:rPr>
          <w:sz w:val="24"/>
          <w:szCs w:val="24"/>
        </w:rPr>
        <w:t>ACOs spent time throughout 2022 preparing the</w:t>
      </w:r>
      <w:r w:rsidR="5682B8BD" w:rsidRPr="047AFE96">
        <w:rPr>
          <w:sz w:val="24"/>
          <w:szCs w:val="24"/>
        </w:rPr>
        <w:t>i</w:t>
      </w:r>
      <w:r w:rsidRPr="047AFE96">
        <w:rPr>
          <w:sz w:val="24"/>
          <w:szCs w:val="24"/>
        </w:rPr>
        <w:t xml:space="preserve">r bids and setting strategy for the next contract period, including changes in partnerships </w:t>
      </w:r>
      <w:r w:rsidR="5B621817" w:rsidRPr="047AFE96">
        <w:rPr>
          <w:sz w:val="24"/>
          <w:szCs w:val="24"/>
        </w:rPr>
        <w:t xml:space="preserve">and/or models. </w:t>
      </w:r>
    </w:p>
    <w:p w14:paraId="5746B693" w14:textId="57C8E2CE" w:rsidR="002274ED" w:rsidRPr="00647CE5" w:rsidRDefault="25015326" w:rsidP="7EE3AA59">
      <w:pPr>
        <w:pStyle w:val="Heading4"/>
      </w:pPr>
      <w:r>
        <w:t xml:space="preserve">Slide </w:t>
      </w:r>
      <w:r w:rsidR="4D7ADF05">
        <w:t>6</w:t>
      </w:r>
      <w:r>
        <w:t xml:space="preserve">: </w:t>
      </w:r>
      <w:r w:rsidR="17F4FE85">
        <w:t xml:space="preserve">Context for Delivery System Restructuring Efforts: the COVID-19 </w:t>
      </w:r>
      <w:r w:rsidR="34A9A86C">
        <w:t>P</w:t>
      </w:r>
      <w:r w:rsidR="17F4FE85">
        <w:t>andemic</w:t>
      </w:r>
    </w:p>
    <w:p w14:paraId="73BF8955" w14:textId="4F552962" w:rsidR="001F42CB" w:rsidRPr="007B12DC" w:rsidRDefault="10AB1C4E" w:rsidP="7EE3AA59">
      <w:pPr>
        <w:rPr>
          <w:sz w:val="24"/>
          <w:szCs w:val="24"/>
        </w:rPr>
      </w:pPr>
      <w:r w:rsidRPr="047AFE96">
        <w:rPr>
          <w:sz w:val="24"/>
          <w:szCs w:val="24"/>
        </w:rPr>
        <w:t>In 202</w:t>
      </w:r>
      <w:r w:rsidR="71E536ED" w:rsidRPr="047AFE96">
        <w:rPr>
          <w:sz w:val="24"/>
          <w:szCs w:val="24"/>
        </w:rPr>
        <w:t>2</w:t>
      </w:r>
      <w:r w:rsidRPr="047AFE96">
        <w:rPr>
          <w:sz w:val="24"/>
          <w:szCs w:val="24"/>
        </w:rPr>
        <w:t xml:space="preserve">, the </w:t>
      </w:r>
      <w:r w:rsidR="279C907C" w:rsidRPr="047AFE96">
        <w:rPr>
          <w:sz w:val="24"/>
          <w:szCs w:val="24"/>
        </w:rPr>
        <w:t>Massachusetts health care delivery system continued to ex</w:t>
      </w:r>
      <w:r w:rsidR="52D1B077" w:rsidRPr="047AFE96">
        <w:rPr>
          <w:sz w:val="24"/>
          <w:szCs w:val="24"/>
        </w:rPr>
        <w:t xml:space="preserve">perience </w:t>
      </w:r>
      <w:r w:rsidR="279C907C" w:rsidRPr="047AFE96">
        <w:rPr>
          <w:sz w:val="24"/>
          <w:szCs w:val="24"/>
        </w:rPr>
        <w:t xml:space="preserve">the effects of the </w:t>
      </w:r>
      <w:r w:rsidRPr="047AFE96">
        <w:rPr>
          <w:sz w:val="24"/>
          <w:szCs w:val="24"/>
        </w:rPr>
        <w:t>COVID-19 pandemic</w:t>
      </w:r>
      <w:r w:rsidR="46849BBA" w:rsidRPr="047AFE96">
        <w:rPr>
          <w:sz w:val="24"/>
          <w:szCs w:val="24"/>
        </w:rPr>
        <w:t xml:space="preserve"> on </w:t>
      </w:r>
      <w:r w:rsidRPr="047AFE96">
        <w:rPr>
          <w:sz w:val="24"/>
          <w:szCs w:val="24"/>
        </w:rPr>
        <w:t>health care delivery, utilization, and access. </w:t>
      </w:r>
    </w:p>
    <w:p w14:paraId="20E2D88A" w14:textId="6FD4AADD" w:rsidR="00F12943" w:rsidRPr="007B12DC" w:rsidRDefault="19C516A8" w:rsidP="008240EA">
      <w:pPr>
        <w:pStyle w:val="ListParagraph"/>
        <w:numPr>
          <w:ilvl w:val="0"/>
          <w:numId w:val="59"/>
        </w:numPr>
        <w:rPr>
          <w:b/>
          <w:bCs/>
          <w:sz w:val="24"/>
          <w:szCs w:val="24"/>
        </w:rPr>
      </w:pPr>
      <w:r w:rsidRPr="047AFE96">
        <w:rPr>
          <w:sz w:val="24"/>
          <w:szCs w:val="24"/>
        </w:rPr>
        <w:lastRenderedPageBreak/>
        <w:t xml:space="preserve">The pandemic </w:t>
      </w:r>
      <w:r w:rsidR="6E0DC1D8" w:rsidRPr="047AFE96">
        <w:rPr>
          <w:sz w:val="24"/>
          <w:szCs w:val="24"/>
        </w:rPr>
        <w:t xml:space="preserve">placed </w:t>
      </w:r>
      <w:r w:rsidR="6E0DC1D8" w:rsidRPr="006A5649">
        <w:rPr>
          <w:b/>
          <w:bCs/>
          <w:sz w:val="24"/>
          <w:szCs w:val="24"/>
        </w:rPr>
        <w:t>a strain on the healthcare workforce</w:t>
      </w:r>
      <w:r w:rsidR="6E0DC1D8" w:rsidRPr="047AFE96">
        <w:rPr>
          <w:sz w:val="24"/>
          <w:szCs w:val="24"/>
        </w:rPr>
        <w:t xml:space="preserve"> and resulted in </w:t>
      </w:r>
      <w:r w:rsidR="6E0DC1D8" w:rsidRPr="006A5649">
        <w:rPr>
          <w:b/>
          <w:bCs/>
          <w:sz w:val="24"/>
          <w:szCs w:val="24"/>
        </w:rPr>
        <w:t>significant workforce shortages</w:t>
      </w:r>
      <w:r w:rsidR="6E0DC1D8" w:rsidRPr="047AFE96">
        <w:rPr>
          <w:sz w:val="24"/>
          <w:szCs w:val="24"/>
        </w:rPr>
        <w:t>, leadin</w:t>
      </w:r>
      <w:r w:rsidR="5201EC29" w:rsidRPr="047AFE96">
        <w:rPr>
          <w:sz w:val="24"/>
          <w:szCs w:val="24"/>
        </w:rPr>
        <w:t xml:space="preserve">g to system-wide capacity strains and barriers to healthcare access. </w:t>
      </w:r>
    </w:p>
    <w:p w14:paraId="2C08B3C0" w14:textId="193B46E8" w:rsidR="001F42CB" w:rsidRPr="007B12DC" w:rsidRDefault="4612CDC0" w:rsidP="008240EA">
      <w:pPr>
        <w:pStyle w:val="ListParagraph"/>
        <w:numPr>
          <w:ilvl w:val="0"/>
          <w:numId w:val="59"/>
        </w:numPr>
        <w:rPr>
          <w:sz w:val="24"/>
          <w:szCs w:val="24"/>
        </w:rPr>
      </w:pPr>
      <w:r w:rsidRPr="047AFE96">
        <w:rPr>
          <w:b/>
          <w:bCs/>
          <w:sz w:val="24"/>
          <w:szCs w:val="24"/>
        </w:rPr>
        <w:t xml:space="preserve">Behavioral and mental health needs rose </w:t>
      </w:r>
      <w:proofErr w:type="gramStart"/>
      <w:r w:rsidRPr="047AFE96">
        <w:rPr>
          <w:sz w:val="24"/>
          <w:szCs w:val="24"/>
        </w:rPr>
        <w:t>as a result of</w:t>
      </w:r>
      <w:proofErr w:type="gramEnd"/>
      <w:r w:rsidRPr="047AFE96">
        <w:rPr>
          <w:sz w:val="24"/>
          <w:szCs w:val="24"/>
        </w:rPr>
        <w:t xml:space="preserve"> the pandemic</w:t>
      </w:r>
      <w:r w:rsidR="4B1EAEF3" w:rsidRPr="047AFE96">
        <w:rPr>
          <w:sz w:val="24"/>
          <w:szCs w:val="24"/>
        </w:rPr>
        <w:t xml:space="preserve"> </w:t>
      </w:r>
      <w:r w:rsidR="0EB3B633" w:rsidRPr="047AFE96">
        <w:rPr>
          <w:sz w:val="24"/>
          <w:szCs w:val="24"/>
        </w:rPr>
        <w:t>w</w:t>
      </w:r>
      <w:r w:rsidR="6971B495" w:rsidRPr="047AFE96">
        <w:rPr>
          <w:sz w:val="24"/>
          <w:szCs w:val="24"/>
        </w:rPr>
        <w:t xml:space="preserve">hile service capacity was limited particularly for inpatient BH beds. </w:t>
      </w:r>
      <w:r w:rsidR="15826977" w:rsidRPr="047AFE96">
        <w:rPr>
          <w:sz w:val="24"/>
          <w:szCs w:val="24"/>
        </w:rPr>
        <w:t xml:space="preserve">This led to a large </w:t>
      </w:r>
      <w:proofErr w:type="gramStart"/>
      <w:r w:rsidR="15826977" w:rsidRPr="047AFE96">
        <w:rPr>
          <w:sz w:val="24"/>
          <w:szCs w:val="24"/>
        </w:rPr>
        <w:t>volume</w:t>
      </w:r>
      <w:proofErr w:type="gramEnd"/>
      <w:r w:rsidR="15826977" w:rsidRPr="047AFE96">
        <w:rPr>
          <w:sz w:val="24"/>
          <w:szCs w:val="24"/>
        </w:rPr>
        <w:t xml:space="preserve"> of members waiting in the ED for extended periods for a BH inpatient placement. </w:t>
      </w:r>
    </w:p>
    <w:p w14:paraId="576A3059" w14:textId="412362F4" w:rsidR="001F42CB" w:rsidRPr="007B12DC" w:rsidRDefault="3588E9A9" w:rsidP="008240EA">
      <w:pPr>
        <w:pStyle w:val="ListParagraph"/>
        <w:numPr>
          <w:ilvl w:val="0"/>
          <w:numId w:val="59"/>
        </w:numPr>
        <w:rPr>
          <w:sz w:val="24"/>
          <w:szCs w:val="24"/>
        </w:rPr>
      </w:pPr>
      <w:r w:rsidRPr="047AFE96">
        <w:rPr>
          <w:sz w:val="24"/>
          <w:szCs w:val="24"/>
        </w:rPr>
        <w:t xml:space="preserve">The </w:t>
      </w:r>
      <w:r w:rsidRPr="006A5649">
        <w:rPr>
          <w:b/>
          <w:bCs/>
          <w:sz w:val="24"/>
          <w:szCs w:val="24"/>
        </w:rPr>
        <w:t xml:space="preserve">use of telehealth declined </w:t>
      </w:r>
      <w:r w:rsidRPr="047AFE96">
        <w:rPr>
          <w:sz w:val="24"/>
          <w:szCs w:val="24"/>
        </w:rPr>
        <w:t xml:space="preserve">although it remained higher than pre-pandemic; most telehealth utilization was BH-related. </w:t>
      </w:r>
    </w:p>
    <w:p w14:paraId="1766ED22" w14:textId="25F95F07" w:rsidR="001F42CB" w:rsidRPr="007B12DC" w:rsidRDefault="5F0F5741" w:rsidP="008240EA">
      <w:pPr>
        <w:pStyle w:val="ListParagraph"/>
        <w:numPr>
          <w:ilvl w:val="0"/>
          <w:numId w:val="59"/>
        </w:numPr>
        <w:rPr>
          <w:sz w:val="24"/>
          <w:szCs w:val="24"/>
        </w:rPr>
      </w:pPr>
      <w:r w:rsidRPr="047AFE96">
        <w:rPr>
          <w:b/>
          <w:bCs/>
          <w:sz w:val="24"/>
          <w:szCs w:val="24"/>
        </w:rPr>
        <w:t xml:space="preserve">Utilization remained lower </w:t>
      </w:r>
      <w:r w:rsidRPr="047AFE96">
        <w:rPr>
          <w:sz w:val="24"/>
          <w:szCs w:val="24"/>
        </w:rPr>
        <w:t>in most areas compared to pre-pandemic, including acute care utilization (inpatient and ED)</w:t>
      </w:r>
    </w:p>
    <w:p w14:paraId="2AAAFBA5" w14:textId="460615DD" w:rsidR="001F42CB" w:rsidRPr="007B12DC" w:rsidRDefault="6D7D3652" w:rsidP="008240EA">
      <w:pPr>
        <w:pStyle w:val="ListParagraph"/>
        <w:numPr>
          <w:ilvl w:val="0"/>
          <w:numId w:val="59"/>
        </w:numPr>
        <w:rPr>
          <w:sz w:val="24"/>
          <w:szCs w:val="24"/>
        </w:rPr>
      </w:pPr>
      <w:r w:rsidRPr="006A5649">
        <w:rPr>
          <w:b/>
          <w:bCs/>
          <w:sz w:val="24"/>
          <w:szCs w:val="24"/>
        </w:rPr>
        <w:t>Clinical quality performance</w:t>
      </w:r>
      <w:r w:rsidRPr="047AFE96">
        <w:rPr>
          <w:sz w:val="24"/>
          <w:szCs w:val="24"/>
        </w:rPr>
        <w:t xml:space="preserve"> improved for ACOs, and all 5 measures with declines </w:t>
      </w:r>
      <w:r w:rsidR="435A9224" w:rsidRPr="047AFE96">
        <w:rPr>
          <w:sz w:val="24"/>
          <w:szCs w:val="24"/>
        </w:rPr>
        <w:t xml:space="preserve">during the pandemic showed a partial or full recovery </w:t>
      </w:r>
    </w:p>
    <w:p w14:paraId="515A9835" w14:textId="68EE43D4" w:rsidR="5F2622A9" w:rsidRDefault="435A9224" w:rsidP="008240EA">
      <w:pPr>
        <w:pStyle w:val="ListParagraph"/>
        <w:numPr>
          <w:ilvl w:val="0"/>
          <w:numId w:val="59"/>
        </w:numPr>
        <w:rPr>
          <w:sz w:val="24"/>
          <w:szCs w:val="24"/>
        </w:rPr>
      </w:pPr>
      <w:r w:rsidRPr="18B1B932">
        <w:rPr>
          <w:b/>
          <w:bCs/>
          <w:sz w:val="24"/>
          <w:szCs w:val="24"/>
        </w:rPr>
        <w:t xml:space="preserve">Per member spend increased </w:t>
      </w:r>
      <w:r w:rsidRPr="18B1B932">
        <w:rPr>
          <w:sz w:val="24"/>
          <w:szCs w:val="24"/>
        </w:rPr>
        <w:t xml:space="preserve">by 2% compared to 2021 among ACO members, with increases concentrated in the child population, </w:t>
      </w:r>
      <w:r w:rsidRPr="18B1B932">
        <w:rPr>
          <w:b/>
          <w:bCs/>
          <w:sz w:val="24"/>
          <w:szCs w:val="24"/>
        </w:rPr>
        <w:t>Tot</w:t>
      </w:r>
      <w:r w:rsidR="5522DCB7" w:rsidRPr="18B1B932">
        <w:rPr>
          <w:b/>
          <w:bCs/>
          <w:sz w:val="24"/>
          <w:szCs w:val="24"/>
        </w:rPr>
        <w:t>al spend increased</w:t>
      </w:r>
      <w:r w:rsidR="5522DCB7" w:rsidRPr="18B1B932">
        <w:rPr>
          <w:sz w:val="24"/>
          <w:szCs w:val="24"/>
        </w:rPr>
        <w:t xml:space="preserve"> in part due to increases in caseload. </w:t>
      </w:r>
    </w:p>
    <w:p w14:paraId="47C9043A" w14:textId="3BB48353" w:rsidR="5F2622A9" w:rsidRDefault="6FEEAA2A" w:rsidP="008240EA">
      <w:pPr>
        <w:pStyle w:val="ListParagraph"/>
        <w:numPr>
          <w:ilvl w:val="0"/>
          <w:numId w:val="59"/>
        </w:numPr>
      </w:pPr>
      <w:r w:rsidRPr="18B1B932">
        <w:rPr>
          <w:b/>
          <w:bCs/>
        </w:rPr>
        <w:t>Caseload and ACO enrollment continued to increase significantly.</w:t>
      </w:r>
      <w:r>
        <w:t xml:space="preserve"> MassHealth paused routine redeterminations of members’ eligibility in acc</w:t>
      </w:r>
      <w:r w:rsidR="249BC777">
        <w:t xml:space="preserve">ordance with federal guidance starting in March 2020, leading caseload to increase by 10% in 2020, 13.5% in 2021, and 7% in 2022. </w:t>
      </w:r>
    </w:p>
    <w:p w14:paraId="18FD775C" w14:textId="55D7B942" w:rsidR="5F2622A9" w:rsidRDefault="5F2622A9" w:rsidP="18B1B932">
      <w:pPr>
        <w:pStyle w:val="Heading4"/>
      </w:pPr>
      <w:r>
        <w:t xml:space="preserve">Slide </w:t>
      </w:r>
      <w:r w:rsidR="67C7C182">
        <w:t>7</w:t>
      </w:r>
      <w:r>
        <w:t xml:space="preserve">: </w:t>
      </w:r>
      <w:r w:rsidR="1BD50AAD">
        <w:t xml:space="preserve">Context for Delivery System Restructuring: </w:t>
      </w:r>
      <w:r>
        <w:t xml:space="preserve">ACO Caseload </w:t>
      </w:r>
    </w:p>
    <w:p w14:paraId="7F4661E5" w14:textId="7EED9ED2" w:rsidR="2312C5B4" w:rsidRDefault="2312C5B4" w:rsidP="7C093D37">
      <w:r>
        <w:t>Graph 1:</w:t>
      </w:r>
    </w:p>
    <w:p w14:paraId="78A5F065" w14:textId="19EAD575" w:rsidR="00C9084B" w:rsidRPr="007B12DC" w:rsidRDefault="7ED33282" w:rsidP="047AFE96">
      <w:r>
        <w:rPr>
          <w:noProof/>
        </w:rPr>
        <w:drawing>
          <wp:inline distT="0" distB="0" distL="0" distR="0" wp14:anchorId="02A876D5" wp14:editId="777EC64B">
            <wp:extent cx="4769094" cy="3327571"/>
            <wp:effectExtent l="0" t="0" r="0" b="0"/>
            <wp:docPr id="1174760072" name="Picture 1174760072" descr="Graph shows weekly snapshots with the average number of members in ACOs in 2022.  Reference key takeaway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760072"/>
                    <pic:cNvPicPr/>
                  </pic:nvPicPr>
                  <pic:blipFill>
                    <a:blip r:embed="rId11">
                      <a:extLst>
                        <a:ext uri="{28A0092B-C50C-407E-A947-70E740481C1C}">
                          <a14:useLocalDpi xmlns:a14="http://schemas.microsoft.com/office/drawing/2010/main" val="0"/>
                        </a:ext>
                      </a:extLst>
                    </a:blip>
                    <a:stretch>
                      <a:fillRect/>
                    </a:stretch>
                  </pic:blipFill>
                  <pic:spPr>
                    <a:xfrm>
                      <a:off x="0" y="0"/>
                      <a:ext cx="4769094" cy="3327571"/>
                    </a:xfrm>
                    <a:prstGeom prst="rect">
                      <a:avLst/>
                    </a:prstGeom>
                  </pic:spPr>
                </pic:pic>
              </a:graphicData>
            </a:graphic>
          </wp:inline>
        </w:drawing>
      </w:r>
    </w:p>
    <w:p w14:paraId="7DBEF605" w14:textId="5BC6F684" w:rsidR="00C9084B" w:rsidRPr="007B12DC" w:rsidRDefault="734F82BD" w:rsidP="047AFE96">
      <w:r>
        <w:t xml:space="preserve">Table 1: </w:t>
      </w:r>
    </w:p>
    <w:tbl>
      <w:tblPr>
        <w:tblStyle w:val="TableGrid"/>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6A0" w:firstRow="1" w:lastRow="0" w:firstColumn="1" w:lastColumn="0" w:noHBand="1" w:noVBand="1"/>
      </w:tblPr>
      <w:tblGrid>
        <w:gridCol w:w="3120"/>
        <w:gridCol w:w="3120"/>
        <w:gridCol w:w="3120"/>
      </w:tblGrid>
      <w:tr w:rsidR="7C093D37" w14:paraId="7A0187F2" w14:textId="77777777" w:rsidTr="05FD1449">
        <w:trPr>
          <w:trHeight w:val="300"/>
        </w:trPr>
        <w:tc>
          <w:tcPr>
            <w:tcW w:w="3120" w:type="dxa"/>
            <w:shd w:val="clear" w:color="auto" w:fill="D9E2F3" w:themeFill="accent1" w:themeFillTint="33"/>
          </w:tcPr>
          <w:p w14:paraId="50070DEF" w14:textId="76A50023" w:rsidR="7C093D37" w:rsidRDefault="7C093D37" w:rsidP="7C093D37">
            <w:pPr>
              <w:rPr>
                <w:rFonts w:asciiTheme="majorHAnsi" w:hAnsiTheme="majorHAnsi" w:cstheme="majorBidi"/>
                <w:b/>
                <w:bCs/>
                <w:sz w:val="24"/>
                <w:szCs w:val="24"/>
              </w:rPr>
            </w:pPr>
          </w:p>
        </w:tc>
        <w:tc>
          <w:tcPr>
            <w:tcW w:w="3120" w:type="dxa"/>
            <w:shd w:val="clear" w:color="auto" w:fill="D9E2F3" w:themeFill="accent1" w:themeFillTint="33"/>
          </w:tcPr>
          <w:p w14:paraId="20559DC3" w14:textId="2448F60F" w:rsidR="3C6891BF" w:rsidRDefault="0F4489F6" w:rsidP="5AA89864">
            <w:pPr>
              <w:rPr>
                <w:rFonts w:asciiTheme="majorHAnsi" w:hAnsiTheme="majorHAnsi" w:cstheme="majorBidi"/>
                <w:b/>
                <w:bCs/>
                <w:sz w:val="24"/>
                <w:szCs w:val="24"/>
              </w:rPr>
            </w:pPr>
            <w:r w:rsidRPr="5AA89864">
              <w:rPr>
                <w:rFonts w:asciiTheme="majorHAnsi" w:hAnsiTheme="majorHAnsi" w:cstheme="majorBidi"/>
                <w:b/>
                <w:bCs/>
                <w:sz w:val="24"/>
                <w:szCs w:val="24"/>
              </w:rPr>
              <w:t>Average Members</w:t>
            </w:r>
          </w:p>
        </w:tc>
        <w:tc>
          <w:tcPr>
            <w:tcW w:w="3120" w:type="dxa"/>
            <w:shd w:val="clear" w:color="auto" w:fill="D9E2F3" w:themeFill="accent1" w:themeFillTint="33"/>
          </w:tcPr>
          <w:p w14:paraId="3D51AB7B" w14:textId="5DA8C083" w:rsidR="3C6891BF" w:rsidRDefault="3C6891BF" w:rsidP="7C093D37">
            <w:pPr>
              <w:rPr>
                <w:rFonts w:asciiTheme="majorHAnsi" w:hAnsiTheme="majorHAnsi" w:cstheme="majorBidi"/>
                <w:b/>
                <w:bCs/>
                <w:sz w:val="24"/>
                <w:szCs w:val="24"/>
              </w:rPr>
            </w:pPr>
            <w:r w:rsidRPr="7C093D37">
              <w:rPr>
                <w:rFonts w:asciiTheme="majorHAnsi" w:hAnsiTheme="majorHAnsi" w:cstheme="majorBidi"/>
                <w:b/>
                <w:bCs/>
                <w:sz w:val="24"/>
                <w:szCs w:val="24"/>
              </w:rPr>
              <w:t>% Change</w:t>
            </w:r>
          </w:p>
        </w:tc>
      </w:tr>
      <w:tr w:rsidR="7C093D37" w14:paraId="3696DCA3" w14:textId="77777777" w:rsidTr="05FD1449">
        <w:trPr>
          <w:trHeight w:val="300"/>
        </w:trPr>
        <w:tc>
          <w:tcPr>
            <w:tcW w:w="3120" w:type="dxa"/>
            <w:shd w:val="clear" w:color="auto" w:fill="D9E2F3" w:themeFill="accent1" w:themeFillTint="33"/>
          </w:tcPr>
          <w:p w14:paraId="681A5B4B" w14:textId="1E538501" w:rsidR="3C6891BF" w:rsidRDefault="3C6891BF" w:rsidP="7C093D37">
            <w:pPr>
              <w:rPr>
                <w:rFonts w:asciiTheme="majorHAnsi" w:hAnsiTheme="majorHAnsi" w:cstheme="majorBidi"/>
                <w:b/>
                <w:bCs/>
                <w:sz w:val="24"/>
                <w:szCs w:val="24"/>
              </w:rPr>
            </w:pPr>
            <w:r w:rsidRPr="7C093D37">
              <w:rPr>
                <w:rFonts w:asciiTheme="majorHAnsi" w:hAnsiTheme="majorHAnsi" w:cstheme="majorBidi"/>
                <w:b/>
                <w:bCs/>
                <w:sz w:val="24"/>
                <w:szCs w:val="24"/>
              </w:rPr>
              <w:lastRenderedPageBreak/>
              <w:t>2019</w:t>
            </w:r>
          </w:p>
        </w:tc>
        <w:tc>
          <w:tcPr>
            <w:tcW w:w="3120" w:type="dxa"/>
          </w:tcPr>
          <w:p w14:paraId="42DDB82F" w14:textId="5BFF3EC2" w:rsidR="3C6891BF" w:rsidRDefault="3C6891BF" w:rsidP="7C093D37">
            <w:pPr>
              <w:rPr>
                <w:rFonts w:asciiTheme="majorHAnsi" w:hAnsiTheme="majorHAnsi" w:cstheme="majorBidi"/>
                <w:b/>
                <w:bCs/>
                <w:sz w:val="24"/>
                <w:szCs w:val="24"/>
              </w:rPr>
            </w:pPr>
            <w:r w:rsidRPr="7C093D37">
              <w:rPr>
                <w:rFonts w:asciiTheme="majorHAnsi" w:hAnsiTheme="majorHAnsi" w:cstheme="majorBidi"/>
                <w:b/>
                <w:bCs/>
                <w:sz w:val="24"/>
                <w:szCs w:val="24"/>
              </w:rPr>
              <w:t>888,421</w:t>
            </w:r>
          </w:p>
        </w:tc>
        <w:tc>
          <w:tcPr>
            <w:tcW w:w="3120" w:type="dxa"/>
          </w:tcPr>
          <w:p w14:paraId="460FF9DA" w14:textId="705F97CF" w:rsidR="7C093D37" w:rsidRDefault="7C093D37" w:rsidP="7C093D37">
            <w:pPr>
              <w:rPr>
                <w:rFonts w:asciiTheme="majorHAnsi" w:hAnsiTheme="majorHAnsi" w:cstheme="majorBidi"/>
                <w:b/>
                <w:bCs/>
                <w:sz w:val="24"/>
                <w:szCs w:val="24"/>
              </w:rPr>
            </w:pPr>
          </w:p>
        </w:tc>
      </w:tr>
      <w:tr w:rsidR="7C093D37" w14:paraId="54E21931" w14:textId="77777777" w:rsidTr="05FD1449">
        <w:trPr>
          <w:trHeight w:val="300"/>
        </w:trPr>
        <w:tc>
          <w:tcPr>
            <w:tcW w:w="3120" w:type="dxa"/>
            <w:shd w:val="clear" w:color="auto" w:fill="D9E2F3" w:themeFill="accent1" w:themeFillTint="33"/>
          </w:tcPr>
          <w:p w14:paraId="2A97D25D" w14:textId="2CEAC3F9" w:rsidR="3C6891BF" w:rsidRDefault="3C6891BF" w:rsidP="7C093D37">
            <w:pPr>
              <w:rPr>
                <w:rFonts w:asciiTheme="majorHAnsi" w:hAnsiTheme="majorHAnsi" w:cstheme="majorBidi"/>
                <w:b/>
                <w:bCs/>
                <w:sz w:val="24"/>
                <w:szCs w:val="24"/>
              </w:rPr>
            </w:pPr>
            <w:r w:rsidRPr="7C093D37">
              <w:rPr>
                <w:rFonts w:asciiTheme="majorHAnsi" w:hAnsiTheme="majorHAnsi" w:cstheme="majorBidi"/>
                <w:b/>
                <w:bCs/>
                <w:sz w:val="24"/>
                <w:szCs w:val="24"/>
              </w:rPr>
              <w:t>2020</w:t>
            </w:r>
          </w:p>
        </w:tc>
        <w:tc>
          <w:tcPr>
            <w:tcW w:w="3120" w:type="dxa"/>
          </w:tcPr>
          <w:p w14:paraId="50EE8979" w14:textId="36D17483" w:rsidR="3C6891BF" w:rsidRDefault="3C6891BF" w:rsidP="7C093D37">
            <w:pPr>
              <w:rPr>
                <w:rFonts w:asciiTheme="majorHAnsi" w:hAnsiTheme="majorHAnsi" w:cstheme="majorBidi"/>
                <w:b/>
                <w:bCs/>
                <w:sz w:val="24"/>
                <w:szCs w:val="24"/>
              </w:rPr>
            </w:pPr>
            <w:r w:rsidRPr="7C093D37">
              <w:rPr>
                <w:rFonts w:asciiTheme="majorHAnsi" w:hAnsiTheme="majorHAnsi" w:cstheme="majorBidi"/>
                <w:b/>
                <w:bCs/>
                <w:sz w:val="24"/>
                <w:szCs w:val="24"/>
              </w:rPr>
              <w:t>974,558</w:t>
            </w:r>
          </w:p>
        </w:tc>
        <w:tc>
          <w:tcPr>
            <w:tcW w:w="3120" w:type="dxa"/>
          </w:tcPr>
          <w:p w14:paraId="42B15172" w14:textId="766F4CE7" w:rsidR="3C6891BF" w:rsidRDefault="3C6891BF" w:rsidP="7C093D37">
            <w:pPr>
              <w:rPr>
                <w:rFonts w:asciiTheme="majorHAnsi" w:hAnsiTheme="majorHAnsi" w:cstheme="majorBidi"/>
                <w:b/>
                <w:bCs/>
                <w:sz w:val="24"/>
                <w:szCs w:val="24"/>
              </w:rPr>
            </w:pPr>
            <w:r w:rsidRPr="7C093D37">
              <w:rPr>
                <w:rFonts w:asciiTheme="majorHAnsi" w:hAnsiTheme="majorHAnsi" w:cstheme="majorBidi"/>
                <w:b/>
                <w:bCs/>
                <w:sz w:val="24"/>
                <w:szCs w:val="24"/>
              </w:rPr>
              <w:t>9.7%</w:t>
            </w:r>
          </w:p>
        </w:tc>
      </w:tr>
      <w:tr w:rsidR="7C093D37" w14:paraId="10EB70E6" w14:textId="77777777" w:rsidTr="05FD1449">
        <w:trPr>
          <w:trHeight w:val="300"/>
        </w:trPr>
        <w:tc>
          <w:tcPr>
            <w:tcW w:w="3120" w:type="dxa"/>
            <w:shd w:val="clear" w:color="auto" w:fill="D9E2F3" w:themeFill="accent1" w:themeFillTint="33"/>
          </w:tcPr>
          <w:p w14:paraId="3A7AF550" w14:textId="733116F4" w:rsidR="3C6891BF" w:rsidRDefault="3C6891BF" w:rsidP="7C093D37">
            <w:pPr>
              <w:rPr>
                <w:rFonts w:asciiTheme="majorHAnsi" w:hAnsiTheme="majorHAnsi" w:cstheme="majorBidi"/>
                <w:b/>
                <w:bCs/>
                <w:sz w:val="24"/>
                <w:szCs w:val="24"/>
              </w:rPr>
            </w:pPr>
            <w:r w:rsidRPr="7C093D37">
              <w:rPr>
                <w:rFonts w:asciiTheme="majorHAnsi" w:hAnsiTheme="majorHAnsi" w:cstheme="majorBidi"/>
                <w:b/>
                <w:bCs/>
                <w:sz w:val="24"/>
                <w:szCs w:val="24"/>
              </w:rPr>
              <w:t>2021</w:t>
            </w:r>
          </w:p>
        </w:tc>
        <w:tc>
          <w:tcPr>
            <w:tcW w:w="3120" w:type="dxa"/>
          </w:tcPr>
          <w:p w14:paraId="541A2759" w14:textId="7F343455" w:rsidR="3C6891BF" w:rsidRDefault="3C6891BF" w:rsidP="7C093D37">
            <w:pPr>
              <w:rPr>
                <w:rFonts w:asciiTheme="majorHAnsi" w:hAnsiTheme="majorHAnsi" w:cstheme="majorBidi"/>
                <w:b/>
                <w:bCs/>
                <w:sz w:val="24"/>
                <w:szCs w:val="24"/>
              </w:rPr>
            </w:pPr>
            <w:r w:rsidRPr="7C093D37">
              <w:rPr>
                <w:rFonts w:asciiTheme="majorHAnsi" w:hAnsiTheme="majorHAnsi" w:cstheme="majorBidi"/>
                <w:b/>
                <w:bCs/>
                <w:sz w:val="24"/>
                <w:szCs w:val="24"/>
              </w:rPr>
              <w:t>1,105,665</w:t>
            </w:r>
          </w:p>
        </w:tc>
        <w:tc>
          <w:tcPr>
            <w:tcW w:w="3120" w:type="dxa"/>
          </w:tcPr>
          <w:p w14:paraId="24BD7196" w14:textId="54E545D5" w:rsidR="3C6891BF" w:rsidRDefault="3C6891BF" w:rsidP="7C093D37">
            <w:pPr>
              <w:rPr>
                <w:rFonts w:asciiTheme="majorHAnsi" w:hAnsiTheme="majorHAnsi" w:cstheme="majorBidi"/>
                <w:b/>
                <w:bCs/>
                <w:sz w:val="24"/>
                <w:szCs w:val="24"/>
              </w:rPr>
            </w:pPr>
            <w:r w:rsidRPr="7C093D37">
              <w:rPr>
                <w:rFonts w:asciiTheme="majorHAnsi" w:hAnsiTheme="majorHAnsi" w:cstheme="majorBidi"/>
                <w:b/>
                <w:bCs/>
                <w:sz w:val="24"/>
                <w:szCs w:val="24"/>
              </w:rPr>
              <w:t>13.5%</w:t>
            </w:r>
          </w:p>
        </w:tc>
      </w:tr>
      <w:tr w:rsidR="7C093D37" w14:paraId="376D90E7" w14:textId="77777777" w:rsidTr="05FD1449">
        <w:trPr>
          <w:trHeight w:val="300"/>
        </w:trPr>
        <w:tc>
          <w:tcPr>
            <w:tcW w:w="3120" w:type="dxa"/>
            <w:shd w:val="clear" w:color="auto" w:fill="E2EFD9" w:themeFill="accent6" w:themeFillTint="33"/>
          </w:tcPr>
          <w:p w14:paraId="27B20EAE" w14:textId="786378D3" w:rsidR="3C6891BF" w:rsidRDefault="3C6891BF" w:rsidP="7C093D37">
            <w:pPr>
              <w:rPr>
                <w:rFonts w:asciiTheme="majorHAnsi" w:hAnsiTheme="majorHAnsi" w:cstheme="majorBidi"/>
                <w:b/>
                <w:bCs/>
                <w:sz w:val="24"/>
                <w:szCs w:val="24"/>
              </w:rPr>
            </w:pPr>
            <w:r w:rsidRPr="7C093D37">
              <w:rPr>
                <w:rFonts w:asciiTheme="majorHAnsi" w:hAnsiTheme="majorHAnsi" w:cstheme="majorBidi"/>
                <w:b/>
                <w:bCs/>
                <w:sz w:val="24"/>
                <w:szCs w:val="24"/>
              </w:rPr>
              <w:t>2022</w:t>
            </w:r>
          </w:p>
        </w:tc>
        <w:tc>
          <w:tcPr>
            <w:tcW w:w="3120" w:type="dxa"/>
            <w:shd w:val="clear" w:color="auto" w:fill="E2EFD9" w:themeFill="accent6" w:themeFillTint="33"/>
          </w:tcPr>
          <w:p w14:paraId="4B8C8691" w14:textId="02610B7E" w:rsidR="3C6891BF" w:rsidRDefault="3C6891BF" w:rsidP="7C093D37">
            <w:pPr>
              <w:rPr>
                <w:rFonts w:asciiTheme="majorHAnsi" w:hAnsiTheme="majorHAnsi" w:cstheme="majorBidi"/>
                <w:b/>
                <w:bCs/>
                <w:sz w:val="24"/>
                <w:szCs w:val="24"/>
              </w:rPr>
            </w:pPr>
            <w:r w:rsidRPr="7C093D37">
              <w:rPr>
                <w:rFonts w:asciiTheme="majorHAnsi" w:hAnsiTheme="majorHAnsi" w:cstheme="majorBidi"/>
                <w:b/>
                <w:bCs/>
                <w:sz w:val="24"/>
                <w:szCs w:val="24"/>
              </w:rPr>
              <w:t>1,183,050</w:t>
            </w:r>
          </w:p>
        </w:tc>
        <w:tc>
          <w:tcPr>
            <w:tcW w:w="3120" w:type="dxa"/>
            <w:shd w:val="clear" w:color="auto" w:fill="E2EFD9" w:themeFill="accent6" w:themeFillTint="33"/>
          </w:tcPr>
          <w:p w14:paraId="4070FA59" w14:textId="057DC53A" w:rsidR="3C6891BF" w:rsidRDefault="3C6891BF" w:rsidP="7C093D37">
            <w:pPr>
              <w:rPr>
                <w:rFonts w:asciiTheme="majorHAnsi" w:hAnsiTheme="majorHAnsi" w:cstheme="majorBidi"/>
                <w:b/>
                <w:bCs/>
                <w:sz w:val="24"/>
                <w:szCs w:val="24"/>
              </w:rPr>
            </w:pPr>
            <w:r w:rsidRPr="7C093D37">
              <w:rPr>
                <w:rFonts w:asciiTheme="majorHAnsi" w:hAnsiTheme="majorHAnsi" w:cstheme="majorBidi"/>
                <w:b/>
                <w:bCs/>
                <w:sz w:val="24"/>
                <w:szCs w:val="24"/>
              </w:rPr>
              <w:t>7%</w:t>
            </w:r>
          </w:p>
        </w:tc>
      </w:tr>
    </w:tbl>
    <w:p w14:paraId="09F14B5C" w14:textId="606C23F4" w:rsidR="00C9084B" w:rsidRPr="007B12DC" w:rsidRDefault="25D9E541" w:rsidP="7C093D37">
      <w:pPr>
        <w:rPr>
          <w:rFonts w:asciiTheme="majorHAnsi" w:hAnsiTheme="majorHAnsi" w:cstheme="majorBidi"/>
          <w:b/>
          <w:bCs/>
          <w:sz w:val="24"/>
          <w:szCs w:val="24"/>
        </w:rPr>
      </w:pPr>
      <w:r w:rsidRPr="7C093D37">
        <w:rPr>
          <w:rFonts w:asciiTheme="majorHAnsi" w:hAnsiTheme="majorHAnsi" w:cstheme="majorBidi"/>
          <w:b/>
          <w:bCs/>
          <w:sz w:val="24"/>
          <w:szCs w:val="24"/>
        </w:rPr>
        <w:t>Notes for the graphic</w:t>
      </w:r>
      <w:r w:rsidR="52748AF0" w:rsidRPr="7C093D37">
        <w:rPr>
          <w:rFonts w:asciiTheme="majorHAnsi" w:hAnsiTheme="majorHAnsi" w:cstheme="majorBidi"/>
          <w:b/>
          <w:bCs/>
          <w:sz w:val="24"/>
          <w:szCs w:val="24"/>
        </w:rPr>
        <w:t>s</w:t>
      </w:r>
      <w:r w:rsidR="466B08AA" w:rsidRPr="7C093D37">
        <w:rPr>
          <w:rFonts w:asciiTheme="majorHAnsi" w:hAnsiTheme="majorHAnsi" w:cstheme="majorBidi"/>
          <w:b/>
          <w:bCs/>
          <w:sz w:val="24"/>
          <w:szCs w:val="24"/>
        </w:rPr>
        <w:t xml:space="preserve">: </w:t>
      </w:r>
    </w:p>
    <w:p w14:paraId="52B3096D" w14:textId="49050815" w:rsidR="00C9084B" w:rsidRPr="007B12DC" w:rsidRDefault="7AA1EE05" w:rsidP="7EE3AA59">
      <w:pPr>
        <w:rPr>
          <w:sz w:val="24"/>
          <w:szCs w:val="24"/>
        </w:rPr>
      </w:pPr>
      <w:r w:rsidRPr="7C093D37">
        <w:rPr>
          <w:rFonts w:asciiTheme="majorHAnsi" w:hAnsiTheme="majorHAnsi" w:cstheme="majorBidi"/>
          <w:sz w:val="24"/>
          <w:szCs w:val="24"/>
        </w:rPr>
        <w:t>Graph 1</w:t>
      </w:r>
      <w:proofErr w:type="gramStart"/>
      <w:r w:rsidRPr="7C093D37">
        <w:rPr>
          <w:rFonts w:asciiTheme="majorHAnsi" w:hAnsiTheme="majorHAnsi" w:cstheme="majorBidi"/>
          <w:sz w:val="24"/>
          <w:szCs w:val="24"/>
        </w:rPr>
        <w:t xml:space="preserve">: </w:t>
      </w:r>
      <w:r w:rsidR="25D9E541" w:rsidRPr="7C093D37">
        <w:rPr>
          <w:rFonts w:asciiTheme="majorHAnsi" w:hAnsiTheme="majorHAnsi" w:cstheme="majorBidi"/>
          <w:sz w:val="24"/>
          <w:szCs w:val="24"/>
        </w:rPr>
        <w:t xml:space="preserve"> </w:t>
      </w:r>
      <w:r w:rsidR="21628D98" w:rsidRPr="7C093D37">
        <w:rPr>
          <w:rFonts w:asciiTheme="majorHAnsi" w:hAnsiTheme="majorHAnsi" w:cstheme="majorBidi"/>
          <w:sz w:val="24"/>
          <w:szCs w:val="24"/>
        </w:rPr>
        <w:t>Includes</w:t>
      </w:r>
      <w:proofErr w:type="gramEnd"/>
      <w:r w:rsidR="21628D98" w:rsidRPr="7C093D37">
        <w:rPr>
          <w:rFonts w:asciiTheme="majorHAnsi" w:hAnsiTheme="majorHAnsi" w:cstheme="majorBidi"/>
          <w:sz w:val="24"/>
          <w:szCs w:val="24"/>
        </w:rPr>
        <w:t xml:space="preserve"> 13 Accountable Care Partnership Plans (ACPPs), which are partnerships between ACOs and managed care plans, and three Primary Care ACOs (PCACOs), which are provider ACOs contracted directly with MassHealth. Excludes MCO-Administered ACOs. See </w:t>
      </w:r>
      <w:proofErr w:type="gramStart"/>
      <w:r w:rsidR="21628D98" w:rsidRPr="7C093D37">
        <w:rPr>
          <w:rFonts w:asciiTheme="majorHAnsi" w:hAnsiTheme="majorHAnsi" w:cstheme="majorBidi"/>
          <w:sz w:val="24"/>
          <w:szCs w:val="24"/>
        </w:rPr>
        <w:t>appendix</w:t>
      </w:r>
      <w:proofErr w:type="gramEnd"/>
      <w:r w:rsidR="21628D98" w:rsidRPr="7C093D37">
        <w:rPr>
          <w:rFonts w:asciiTheme="majorHAnsi" w:hAnsiTheme="majorHAnsi" w:cstheme="majorBidi"/>
          <w:sz w:val="24"/>
          <w:szCs w:val="24"/>
        </w:rPr>
        <w:t xml:space="preserve"> for more information about ACOs.</w:t>
      </w:r>
      <w:r w:rsidR="25D9E541" w:rsidRPr="7C093D37">
        <w:rPr>
          <w:rFonts w:asciiTheme="majorHAnsi" w:hAnsiTheme="majorHAnsi" w:cstheme="majorBidi"/>
          <w:sz w:val="24"/>
          <w:szCs w:val="24"/>
        </w:rPr>
        <w:t xml:space="preserve"> </w:t>
      </w:r>
    </w:p>
    <w:p w14:paraId="140A9A47" w14:textId="64B86704" w:rsidR="00C9084B" w:rsidRPr="007B12DC" w:rsidRDefault="2A12F7D3" w:rsidP="7EE3AA59">
      <w:pPr>
        <w:rPr>
          <w:sz w:val="24"/>
          <w:szCs w:val="24"/>
        </w:rPr>
      </w:pPr>
      <w:r w:rsidRPr="7C093D37">
        <w:rPr>
          <w:sz w:val="24"/>
          <w:szCs w:val="24"/>
        </w:rPr>
        <w:t xml:space="preserve">Table 1: </w:t>
      </w:r>
      <w:r w:rsidR="21628D98" w:rsidRPr="7C093D37">
        <w:rPr>
          <w:sz w:val="24"/>
          <w:szCs w:val="24"/>
        </w:rPr>
        <w:t>January – December 202</w:t>
      </w:r>
      <w:r w:rsidR="11480F51" w:rsidRPr="7C093D37">
        <w:rPr>
          <w:sz w:val="24"/>
          <w:szCs w:val="24"/>
        </w:rPr>
        <w:t>2</w:t>
      </w:r>
      <w:r w:rsidR="21628D98" w:rsidRPr="7C093D37">
        <w:rPr>
          <w:sz w:val="24"/>
          <w:szCs w:val="24"/>
        </w:rPr>
        <w:t xml:space="preserve"> average member months for ACPP and PCACO models.  Year-over-year % change is restricted to the ACPP and PCACO population.</w:t>
      </w:r>
    </w:p>
    <w:p w14:paraId="25B3519D" w14:textId="250B8588" w:rsidR="00CF4D98" w:rsidRPr="007B12DC" w:rsidRDefault="66D9410C" w:rsidP="05FD1449">
      <w:pPr>
        <w:spacing w:after="0"/>
        <w:rPr>
          <w:b/>
          <w:bCs/>
          <w:sz w:val="24"/>
          <w:szCs w:val="24"/>
        </w:rPr>
      </w:pPr>
      <w:r w:rsidRPr="05FD1449">
        <w:rPr>
          <w:rFonts w:asciiTheme="majorHAnsi" w:hAnsiTheme="majorHAnsi" w:cstheme="majorBidi"/>
          <w:b/>
          <w:bCs/>
          <w:sz w:val="24"/>
          <w:szCs w:val="24"/>
        </w:rPr>
        <w:t>Key Takeaways:</w:t>
      </w:r>
      <w:r w:rsidR="49CDE498" w:rsidRPr="05FD1449">
        <w:rPr>
          <w:rFonts w:asciiTheme="majorHAnsi" w:hAnsiTheme="majorHAnsi" w:cstheme="majorBidi"/>
          <w:b/>
          <w:bCs/>
          <w:sz w:val="24"/>
          <w:szCs w:val="24"/>
        </w:rPr>
        <w:t xml:space="preserve"> </w:t>
      </w:r>
    </w:p>
    <w:p w14:paraId="02168436" w14:textId="6D056723" w:rsidR="00A669F1" w:rsidRPr="007B12DC" w:rsidRDefault="49CDE498" w:rsidP="008240EA">
      <w:pPr>
        <w:pStyle w:val="ListParagraph"/>
        <w:numPr>
          <w:ilvl w:val="0"/>
          <w:numId w:val="59"/>
        </w:numPr>
        <w:spacing w:after="0"/>
        <w:rPr>
          <w:rFonts w:asciiTheme="majorHAnsi" w:hAnsiTheme="majorHAnsi" w:cstheme="majorBidi"/>
          <w:sz w:val="24"/>
          <w:szCs w:val="24"/>
        </w:rPr>
      </w:pPr>
      <w:r w:rsidRPr="05FD1449">
        <w:rPr>
          <w:rFonts w:asciiTheme="majorHAnsi" w:hAnsiTheme="majorHAnsi" w:cstheme="majorBidi"/>
          <w:sz w:val="24"/>
          <w:szCs w:val="24"/>
        </w:rPr>
        <w:t>Redeterminations paused in March 2020 and remained paused throughout 202</w:t>
      </w:r>
      <w:r w:rsidR="2EACF655" w:rsidRPr="05FD1449">
        <w:rPr>
          <w:rFonts w:asciiTheme="majorHAnsi" w:hAnsiTheme="majorHAnsi" w:cstheme="majorBidi"/>
          <w:sz w:val="24"/>
          <w:szCs w:val="24"/>
        </w:rPr>
        <w:t>2</w:t>
      </w:r>
      <w:r w:rsidRPr="05FD1449">
        <w:rPr>
          <w:rFonts w:asciiTheme="majorHAnsi" w:hAnsiTheme="majorHAnsi" w:cstheme="majorBidi"/>
          <w:sz w:val="24"/>
          <w:szCs w:val="24"/>
        </w:rPr>
        <w:t xml:space="preserve"> due to the federal PHE</w:t>
      </w:r>
    </w:p>
    <w:p w14:paraId="31FE16CD" w14:textId="2D852108" w:rsidR="00BE58A3" w:rsidRPr="007B12DC" w:rsidRDefault="20F81AA2" w:rsidP="008240EA">
      <w:pPr>
        <w:pStyle w:val="ListParagraph"/>
        <w:numPr>
          <w:ilvl w:val="0"/>
          <w:numId w:val="59"/>
        </w:numPr>
        <w:rPr>
          <w:rFonts w:asciiTheme="majorHAnsi" w:hAnsiTheme="majorHAnsi" w:cstheme="majorBidi"/>
          <w:sz w:val="24"/>
          <w:szCs w:val="24"/>
        </w:rPr>
      </w:pPr>
      <w:r w:rsidRPr="047AFE96">
        <w:rPr>
          <w:rFonts w:asciiTheme="majorHAnsi" w:hAnsiTheme="majorHAnsi" w:cstheme="majorBidi"/>
          <w:sz w:val="24"/>
          <w:szCs w:val="24"/>
        </w:rPr>
        <w:t xml:space="preserve">Growth of </w:t>
      </w:r>
      <w:r w:rsidR="35453A05" w:rsidRPr="047AFE96">
        <w:rPr>
          <w:rFonts w:asciiTheme="majorHAnsi" w:hAnsiTheme="majorHAnsi" w:cstheme="majorBidi"/>
          <w:sz w:val="24"/>
          <w:szCs w:val="24"/>
        </w:rPr>
        <w:t>6</w:t>
      </w:r>
      <w:r w:rsidRPr="047AFE96">
        <w:rPr>
          <w:rFonts w:asciiTheme="majorHAnsi" w:hAnsiTheme="majorHAnsi" w:cstheme="majorBidi"/>
          <w:sz w:val="24"/>
          <w:szCs w:val="24"/>
        </w:rPr>
        <w:t>% from January 202</w:t>
      </w:r>
      <w:r w:rsidR="1B6CE4B9" w:rsidRPr="047AFE96">
        <w:rPr>
          <w:rFonts w:asciiTheme="majorHAnsi" w:hAnsiTheme="majorHAnsi" w:cstheme="majorBidi"/>
          <w:sz w:val="24"/>
          <w:szCs w:val="24"/>
        </w:rPr>
        <w:t>2</w:t>
      </w:r>
      <w:r w:rsidRPr="047AFE96">
        <w:rPr>
          <w:rFonts w:asciiTheme="majorHAnsi" w:hAnsiTheme="majorHAnsi" w:cstheme="majorBidi"/>
          <w:sz w:val="24"/>
          <w:szCs w:val="24"/>
        </w:rPr>
        <w:t xml:space="preserve"> to December 202</w:t>
      </w:r>
      <w:r w:rsidR="41D248F9" w:rsidRPr="047AFE96">
        <w:rPr>
          <w:rFonts w:asciiTheme="majorHAnsi" w:hAnsiTheme="majorHAnsi" w:cstheme="majorBidi"/>
          <w:sz w:val="24"/>
          <w:szCs w:val="24"/>
        </w:rPr>
        <w:t>2</w:t>
      </w:r>
    </w:p>
    <w:p w14:paraId="5B54B933" w14:textId="6E3DB694" w:rsidR="00BE58A3" w:rsidRPr="007B12DC" w:rsidRDefault="20F81AA2" w:rsidP="008240EA">
      <w:pPr>
        <w:pStyle w:val="ListParagraph"/>
        <w:numPr>
          <w:ilvl w:val="0"/>
          <w:numId w:val="59"/>
        </w:numPr>
        <w:rPr>
          <w:rFonts w:asciiTheme="majorHAnsi" w:hAnsiTheme="majorHAnsi" w:cstheme="majorBidi"/>
          <w:sz w:val="24"/>
          <w:szCs w:val="24"/>
        </w:rPr>
      </w:pPr>
      <w:r w:rsidRPr="047AFE96">
        <w:rPr>
          <w:rFonts w:asciiTheme="majorHAnsi" w:hAnsiTheme="majorHAnsi" w:cstheme="majorBidi"/>
          <w:sz w:val="24"/>
          <w:szCs w:val="24"/>
        </w:rPr>
        <w:t xml:space="preserve">Average annual membership growth of </w:t>
      </w:r>
      <w:r w:rsidR="3B9C9274" w:rsidRPr="047AFE96">
        <w:rPr>
          <w:rFonts w:asciiTheme="majorHAnsi" w:hAnsiTheme="majorHAnsi" w:cstheme="majorBidi"/>
          <w:sz w:val="24"/>
          <w:szCs w:val="24"/>
        </w:rPr>
        <w:t>7%</w:t>
      </w:r>
      <w:r w:rsidRPr="047AFE96">
        <w:rPr>
          <w:rFonts w:asciiTheme="majorHAnsi" w:hAnsiTheme="majorHAnsi" w:cstheme="majorBidi"/>
          <w:sz w:val="24"/>
          <w:szCs w:val="24"/>
        </w:rPr>
        <w:t xml:space="preserve"> over 202</w:t>
      </w:r>
      <w:r w:rsidR="1B6281FD" w:rsidRPr="047AFE96">
        <w:rPr>
          <w:rFonts w:asciiTheme="majorHAnsi" w:hAnsiTheme="majorHAnsi" w:cstheme="majorBidi"/>
          <w:sz w:val="24"/>
          <w:szCs w:val="24"/>
        </w:rPr>
        <w:t>2</w:t>
      </w:r>
    </w:p>
    <w:p w14:paraId="165E523C" w14:textId="7C7D2B7C" w:rsidR="001212B6" w:rsidRPr="007B12DC" w:rsidRDefault="5E3E5EBB" w:rsidP="008240EA">
      <w:pPr>
        <w:pStyle w:val="ListParagraph"/>
        <w:numPr>
          <w:ilvl w:val="0"/>
          <w:numId w:val="59"/>
        </w:numPr>
        <w:rPr>
          <w:rFonts w:asciiTheme="majorHAnsi" w:hAnsiTheme="majorHAnsi" w:cstheme="majorBidi"/>
          <w:sz w:val="24"/>
          <w:szCs w:val="24"/>
        </w:rPr>
      </w:pPr>
      <w:proofErr w:type="gramStart"/>
      <w:r w:rsidRPr="047AFE96">
        <w:rPr>
          <w:rFonts w:asciiTheme="majorHAnsi" w:hAnsiTheme="majorHAnsi" w:cstheme="majorBidi"/>
          <w:sz w:val="24"/>
          <w:szCs w:val="24"/>
        </w:rPr>
        <w:t>ACO</w:t>
      </w:r>
      <w:proofErr w:type="gramEnd"/>
      <w:r w:rsidRPr="047AFE96">
        <w:rPr>
          <w:rFonts w:asciiTheme="majorHAnsi" w:hAnsiTheme="majorHAnsi" w:cstheme="majorBidi"/>
          <w:sz w:val="24"/>
          <w:szCs w:val="24"/>
        </w:rPr>
        <w:t xml:space="preserve"> caseload was 52% of total MassHealth caseload in 2022 </w:t>
      </w:r>
      <w:r w:rsidR="79DDA14B" w:rsidRPr="047AFE96">
        <w:rPr>
          <w:rFonts w:asciiTheme="majorHAnsi" w:hAnsiTheme="majorHAnsi" w:cstheme="majorBidi"/>
          <w:sz w:val="24"/>
          <w:szCs w:val="24"/>
        </w:rPr>
        <w:t> </w:t>
      </w:r>
    </w:p>
    <w:p w14:paraId="3B50B209" w14:textId="3F37B51C" w:rsidR="007D0815" w:rsidRPr="00647CE5" w:rsidRDefault="175A436D" w:rsidP="7EE3AA59">
      <w:pPr>
        <w:pStyle w:val="Heading4"/>
      </w:pPr>
      <w:r>
        <w:t xml:space="preserve">Slide </w:t>
      </w:r>
      <w:r w:rsidR="511FE6F3">
        <w:t>8</w:t>
      </w:r>
      <w:r>
        <w:t xml:space="preserve">: </w:t>
      </w:r>
      <w:r w:rsidR="6F71CC25">
        <w:t>MassHealth’s Restructuring Efforts Were Already Showing Early Promising Results in 2022</w:t>
      </w:r>
    </w:p>
    <w:p w14:paraId="56E5685B" w14:textId="4C15C0C3" w:rsidR="00F40B81" w:rsidRPr="007B12DC" w:rsidRDefault="00AD72CE" w:rsidP="05FD1449">
      <w:pPr>
        <w:spacing w:after="0"/>
        <w:rPr>
          <w:rFonts w:asciiTheme="majorHAnsi" w:hAnsiTheme="majorHAnsi" w:cstheme="majorBidi"/>
          <w:b/>
          <w:bCs/>
          <w:color w:val="000000" w:themeColor="text1"/>
          <w:sz w:val="24"/>
          <w:szCs w:val="24"/>
          <w:u w:val="single"/>
        </w:rPr>
      </w:pPr>
      <w:r w:rsidRPr="05FD1449">
        <w:rPr>
          <w:rFonts w:asciiTheme="majorHAnsi" w:hAnsiTheme="majorHAnsi" w:cstheme="majorBidi"/>
          <w:b/>
          <w:bCs/>
          <w:color w:val="000000" w:themeColor="text1"/>
          <w:sz w:val="24"/>
          <w:szCs w:val="24"/>
          <w:u w:val="single"/>
        </w:rPr>
        <w:t>Key Examples of Progress</w:t>
      </w:r>
    </w:p>
    <w:p w14:paraId="093CA29B" w14:textId="35592D16" w:rsidR="00F40B81" w:rsidRPr="007B12DC" w:rsidRDefault="21A2029F" w:rsidP="008240EA">
      <w:pPr>
        <w:pStyle w:val="ListParagraph"/>
        <w:numPr>
          <w:ilvl w:val="0"/>
          <w:numId w:val="55"/>
        </w:numPr>
        <w:spacing w:after="0"/>
        <w:rPr>
          <w:rFonts w:asciiTheme="majorHAnsi" w:hAnsiTheme="majorHAnsi" w:cstheme="majorBidi"/>
          <w:color w:val="000000" w:themeColor="text1"/>
          <w:sz w:val="24"/>
          <w:szCs w:val="24"/>
        </w:rPr>
      </w:pPr>
      <w:r w:rsidRPr="05FD1449">
        <w:rPr>
          <w:rFonts w:asciiTheme="majorHAnsi" w:hAnsiTheme="majorHAnsi" w:cstheme="majorBidi"/>
          <w:b/>
          <w:bCs/>
          <w:color w:val="000000" w:themeColor="text1"/>
          <w:sz w:val="24"/>
          <w:szCs w:val="24"/>
        </w:rPr>
        <w:t>ACOs retained strong member connection to primary care</w:t>
      </w:r>
      <w:r w:rsidRPr="05FD1449">
        <w:rPr>
          <w:rFonts w:asciiTheme="majorHAnsi" w:hAnsiTheme="majorHAnsi" w:cstheme="majorBidi"/>
          <w:color w:val="000000" w:themeColor="text1"/>
          <w:sz w:val="24"/>
          <w:szCs w:val="24"/>
        </w:rPr>
        <w:t>. PCP visits were 14% higher for ACOs than n</w:t>
      </w:r>
      <w:r w:rsidR="009023EA" w:rsidRPr="05FD1449">
        <w:rPr>
          <w:rFonts w:asciiTheme="majorHAnsi" w:hAnsiTheme="majorHAnsi" w:cstheme="majorBidi"/>
          <w:color w:val="000000" w:themeColor="text1"/>
          <w:sz w:val="24"/>
          <w:szCs w:val="24"/>
        </w:rPr>
        <w:t>on ACOs on average from 2019 to 2022</w:t>
      </w:r>
    </w:p>
    <w:p w14:paraId="2042C142" w14:textId="651D08E1" w:rsidR="00F40B81" w:rsidRPr="007B12DC" w:rsidRDefault="7A0477AA" w:rsidP="008240EA">
      <w:pPr>
        <w:pStyle w:val="ListParagraph"/>
        <w:numPr>
          <w:ilvl w:val="0"/>
          <w:numId w:val="55"/>
        </w:numPr>
        <w:rPr>
          <w:rFonts w:asciiTheme="majorHAnsi" w:hAnsiTheme="majorHAnsi" w:cstheme="majorBidi"/>
          <w:color w:val="000000" w:themeColor="text1"/>
          <w:sz w:val="24"/>
          <w:szCs w:val="24"/>
        </w:rPr>
      </w:pPr>
      <w:r w:rsidRPr="5AA89864">
        <w:rPr>
          <w:rFonts w:asciiTheme="majorHAnsi" w:hAnsiTheme="majorHAnsi" w:cstheme="majorBidi"/>
          <w:b/>
          <w:bCs/>
          <w:color w:val="000000" w:themeColor="text1"/>
          <w:sz w:val="24"/>
          <w:szCs w:val="24"/>
        </w:rPr>
        <w:t>ACO members saw greater declines in inpatient admissions</w:t>
      </w:r>
      <w:r w:rsidR="00F40B81" w:rsidRPr="7EE3AA59">
        <w:rPr>
          <w:rStyle w:val="FootnoteReference"/>
          <w:sz w:val="24"/>
          <w:szCs w:val="24"/>
        </w:rPr>
        <w:footnoteReference w:id="4"/>
      </w:r>
      <w:r w:rsidRPr="5AA89864">
        <w:rPr>
          <w:rFonts w:asciiTheme="majorHAnsi" w:hAnsiTheme="majorHAnsi" w:cstheme="majorBidi"/>
          <w:color w:val="000000" w:themeColor="text1"/>
          <w:sz w:val="24"/>
          <w:szCs w:val="24"/>
        </w:rPr>
        <w:t xml:space="preserve"> from 2019 to 2022 where ACOs saw a 21% decli</w:t>
      </w:r>
      <w:r w:rsidR="24FEFA49" w:rsidRPr="5AA89864">
        <w:rPr>
          <w:rFonts w:asciiTheme="majorHAnsi" w:hAnsiTheme="majorHAnsi" w:cstheme="majorBidi"/>
          <w:color w:val="000000" w:themeColor="text1"/>
          <w:sz w:val="24"/>
          <w:szCs w:val="24"/>
        </w:rPr>
        <w:t xml:space="preserve">ne versus a 14% decline for non-ACO members. </w:t>
      </w:r>
    </w:p>
    <w:p w14:paraId="7603F947" w14:textId="3C27AF58" w:rsidR="00F40B81" w:rsidRPr="007B12DC" w:rsidRDefault="06D3ADA2" w:rsidP="008240EA">
      <w:pPr>
        <w:pStyle w:val="ListParagraph"/>
        <w:numPr>
          <w:ilvl w:val="0"/>
          <w:numId w:val="55"/>
        </w:numPr>
        <w:rPr>
          <w:rFonts w:asciiTheme="majorHAnsi" w:hAnsiTheme="majorHAnsi" w:cstheme="majorBidi"/>
          <w:color w:val="000000" w:themeColor="text1"/>
          <w:sz w:val="24"/>
          <w:szCs w:val="24"/>
        </w:rPr>
      </w:pPr>
      <w:r w:rsidRPr="7C093D37">
        <w:rPr>
          <w:rFonts w:asciiTheme="majorHAnsi" w:hAnsiTheme="majorHAnsi" w:cstheme="majorBidi"/>
          <w:b/>
          <w:bCs/>
          <w:color w:val="000000" w:themeColor="text1"/>
          <w:sz w:val="24"/>
          <w:szCs w:val="24"/>
        </w:rPr>
        <w:t>ACOs improved clinical quality.</w:t>
      </w:r>
      <w:r w:rsidRPr="7C093D37">
        <w:rPr>
          <w:rFonts w:asciiTheme="majorHAnsi" w:hAnsiTheme="majorHAnsi" w:cstheme="majorBidi"/>
          <w:color w:val="000000" w:themeColor="text1"/>
          <w:sz w:val="24"/>
          <w:szCs w:val="24"/>
        </w:rPr>
        <w:t xml:space="preserve"> In 2022, all ACOs showed a partial or full recovery of quality metrics from their respective previous declines during the pandemic. </w:t>
      </w:r>
      <w:r w:rsidRPr="7C093D37">
        <w:rPr>
          <w:rFonts w:asciiTheme="majorHAnsi" w:hAnsiTheme="majorHAnsi" w:cstheme="majorBidi"/>
          <w:b/>
          <w:bCs/>
          <w:color w:val="000000" w:themeColor="text1"/>
          <w:sz w:val="24"/>
          <w:szCs w:val="24"/>
        </w:rPr>
        <w:t>Overall clinical quality performance improved for ACO</w:t>
      </w:r>
      <w:r w:rsidR="4E5D0937" w:rsidRPr="7C093D37">
        <w:rPr>
          <w:rFonts w:asciiTheme="majorHAnsi" w:hAnsiTheme="majorHAnsi" w:cstheme="majorBidi"/>
          <w:b/>
          <w:bCs/>
          <w:color w:val="000000" w:themeColor="text1"/>
          <w:sz w:val="24"/>
          <w:szCs w:val="24"/>
        </w:rPr>
        <w:t>s</w:t>
      </w:r>
      <w:r w:rsidR="4E5D0937" w:rsidRPr="7C093D37">
        <w:rPr>
          <w:rFonts w:asciiTheme="majorHAnsi" w:hAnsiTheme="majorHAnsi" w:cstheme="majorBidi"/>
          <w:color w:val="000000" w:themeColor="text1"/>
          <w:sz w:val="24"/>
          <w:szCs w:val="24"/>
        </w:rPr>
        <w:t xml:space="preserve"> from 2021.</w:t>
      </w:r>
    </w:p>
    <w:p w14:paraId="17A9A0DF" w14:textId="2A9AA5F0" w:rsidR="001104D1" w:rsidRPr="00F81CFB" w:rsidRDefault="4E5D0937" w:rsidP="008240EA">
      <w:pPr>
        <w:pStyle w:val="ListParagraph"/>
        <w:numPr>
          <w:ilvl w:val="0"/>
          <w:numId w:val="55"/>
        </w:numPr>
        <w:rPr>
          <w:rFonts w:asciiTheme="majorHAnsi" w:hAnsiTheme="majorHAnsi" w:cstheme="majorBidi"/>
          <w:b/>
          <w:bCs/>
          <w:color w:val="000000" w:themeColor="text1"/>
          <w:sz w:val="24"/>
          <w:szCs w:val="24"/>
        </w:rPr>
      </w:pPr>
      <w:r w:rsidRPr="7C093D37">
        <w:rPr>
          <w:rFonts w:asciiTheme="majorHAnsi" w:hAnsiTheme="majorHAnsi" w:cstheme="majorBidi"/>
          <w:b/>
          <w:bCs/>
          <w:color w:val="000000" w:themeColor="text1"/>
          <w:sz w:val="24"/>
          <w:szCs w:val="24"/>
        </w:rPr>
        <w:t xml:space="preserve">CPs succeeded </w:t>
      </w:r>
      <w:proofErr w:type="gramStart"/>
      <w:r w:rsidRPr="7C093D37">
        <w:rPr>
          <w:rFonts w:asciiTheme="majorHAnsi" w:hAnsiTheme="majorHAnsi" w:cstheme="majorBidi"/>
          <w:b/>
          <w:bCs/>
          <w:color w:val="000000" w:themeColor="text1"/>
          <w:sz w:val="24"/>
          <w:szCs w:val="24"/>
        </w:rPr>
        <w:t>at</w:t>
      </w:r>
      <w:proofErr w:type="gramEnd"/>
      <w:r w:rsidRPr="7C093D37">
        <w:rPr>
          <w:rFonts w:asciiTheme="majorHAnsi" w:hAnsiTheme="majorHAnsi" w:cstheme="majorBidi"/>
          <w:b/>
          <w:bCs/>
          <w:color w:val="000000" w:themeColor="text1"/>
          <w:sz w:val="24"/>
          <w:szCs w:val="24"/>
        </w:rPr>
        <w:t xml:space="preserve"> engaging members</w:t>
      </w:r>
      <w:r w:rsidRPr="7C093D37">
        <w:rPr>
          <w:rFonts w:asciiTheme="majorHAnsi" w:hAnsiTheme="majorHAnsi" w:cstheme="majorBidi"/>
          <w:color w:val="000000" w:themeColor="text1"/>
          <w:sz w:val="24"/>
          <w:szCs w:val="24"/>
        </w:rPr>
        <w:t xml:space="preserve"> with complex BH and LTSS needs. In 2022, CPs served ~44,000 unique members, increased engagement rated over pre-pandemic levels, and sust</w:t>
      </w:r>
      <w:r w:rsidR="2D484CD6" w:rsidRPr="7C093D37">
        <w:rPr>
          <w:rFonts w:asciiTheme="majorHAnsi" w:hAnsiTheme="majorHAnsi" w:cstheme="majorBidi"/>
          <w:color w:val="000000" w:themeColor="text1"/>
          <w:sz w:val="24"/>
          <w:szCs w:val="24"/>
        </w:rPr>
        <w:t>ained improvement on members’ cost and outcomes including trends that pre-dated the pandemic’s impact on care patterns.</w:t>
      </w:r>
    </w:p>
    <w:p w14:paraId="0181CFD4" w14:textId="4D2E5989" w:rsidR="001104D1" w:rsidRPr="00F81CFB" w:rsidRDefault="2D484CD6" w:rsidP="008240EA">
      <w:pPr>
        <w:pStyle w:val="ListParagraph"/>
        <w:numPr>
          <w:ilvl w:val="0"/>
          <w:numId w:val="55"/>
        </w:numPr>
      </w:pPr>
      <w:r w:rsidRPr="5D8C8835">
        <w:rPr>
          <w:rFonts w:asciiTheme="majorHAnsi" w:hAnsiTheme="majorHAnsi" w:cstheme="majorBidi"/>
          <w:color w:val="000000" w:themeColor="text1"/>
          <w:sz w:val="24"/>
          <w:szCs w:val="24"/>
        </w:rPr>
        <w:t xml:space="preserve">The </w:t>
      </w:r>
      <w:r w:rsidRPr="006A5649">
        <w:rPr>
          <w:rFonts w:asciiTheme="majorHAnsi" w:hAnsiTheme="majorHAnsi" w:cstheme="majorBidi"/>
          <w:b/>
          <w:bCs/>
          <w:color w:val="000000" w:themeColor="text1"/>
          <w:sz w:val="24"/>
          <w:szCs w:val="24"/>
        </w:rPr>
        <w:t>Flexible Services Program,</w:t>
      </w:r>
      <w:r w:rsidRPr="5D8C8835">
        <w:rPr>
          <w:rFonts w:asciiTheme="majorHAnsi" w:hAnsiTheme="majorHAnsi" w:cstheme="majorBidi"/>
          <w:color w:val="000000" w:themeColor="text1"/>
          <w:sz w:val="24"/>
          <w:szCs w:val="24"/>
        </w:rPr>
        <w:t xml:space="preserve"> which provides nutrition and housing support to certain members, saw rapid and substantial growth </w:t>
      </w:r>
      <w:r w:rsidRPr="5D8C8835">
        <w:rPr>
          <w:rFonts w:asciiTheme="majorHAnsi" w:hAnsiTheme="majorHAnsi" w:cstheme="majorBidi"/>
          <w:b/>
          <w:bCs/>
          <w:color w:val="000000" w:themeColor="text1"/>
          <w:sz w:val="24"/>
          <w:szCs w:val="24"/>
        </w:rPr>
        <w:t xml:space="preserve">increasing the number of unique members served by 60% from 2021. </w:t>
      </w:r>
    </w:p>
    <w:p w14:paraId="13761013" w14:textId="193FBCD8" w:rsidR="00A17154" w:rsidRPr="00F81CFB" w:rsidRDefault="0C802DC1" w:rsidP="5D8C8835">
      <w:pPr>
        <w:pStyle w:val="Heading2"/>
      </w:pPr>
      <w:r>
        <w:lastRenderedPageBreak/>
        <w:t xml:space="preserve">Delivery System Reform Updates </w:t>
      </w:r>
    </w:p>
    <w:p w14:paraId="54CABD38" w14:textId="3BB9CF97" w:rsidR="00A17154" w:rsidRPr="00F81CFB" w:rsidRDefault="001104D1" w:rsidP="007B12DC">
      <w:pPr>
        <w:pStyle w:val="Heading3"/>
      </w:pPr>
      <w:r>
        <w:t>ACOs</w:t>
      </w:r>
    </w:p>
    <w:p w14:paraId="40D55A6E" w14:textId="25C18CE8" w:rsidR="00E74C4A" w:rsidRPr="007B12DC" w:rsidRDefault="51B5174A" w:rsidP="7EE3AA59">
      <w:pPr>
        <w:pStyle w:val="Heading4"/>
      </w:pPr>
      <w:r>
        <w:t xml:space="preserve">Slide </w:t>
      </w:r>
      <w:r w:rsidR="1660AC6A">
        <w:t>10</w:t>
      </w:r>
      <w:r>
        <w:t>:</w:t>
      </w:r>
      <w:r w:rsidR="4439BC44">
        <w:t xml:space="preserve"> Delivery System Reform: ACOs</w:t>
      </w:r>
    </w:p>
    <w:p w14:paraId="56D78001" w14:textId="5274D589" w:rsidR="00FF6316" w:rsidRPr="007B12DC" w:rsidRDefault="3EC9EF45" w:rsidP="7EE3AA59">
      <w:pPr>
        <w:rPr>
          <w:rFonts w:asciiTheme="majorHAnsi" w:hAnsiTheme="majorHAnsi" w:cstheme="majorBidi"/>
          <w:sz w:val="24"/>
          <w:szCs w:val="24"/>
        </w:rPr>
      </w:pPr>
      <w:r w:rsidRPr="5AA89864">
        <w:rPr>
          <w:rFonts w:asciiTheme="majorHAnsi" w:hAnsiTheme="majorHAnsi" w:cstheme="majorBidi"/>
          <w:b/>
          <w:bCs/>
          <w:sz w:val="24"/>
          <w:szCs w:val="24"/>
        </w:rPr>
        <w:t>In 202</w:t>
      </w:r>
      <w:r w:rsidR="606B8DC8" w:rsidRPr="5AA89864">
        <w:rPr>
          <w:rFonts w:asciiTheme="majorHAnsi" w:hAnsiTheme="majorHAnsi" w:cstheme="majorBidi"/>
          <w:b/>
          <w:bCs/>
          <w:sz w:val="24"/>
          <w:szCs w:val="24"/>
        </w:rPr>
        <w:t>2</w:t>
      </w:r>
      <w:r w:rsidR="00FF6316" w:rsidRPr="5AA89864">
        <w:rPr>
          <w:rStyle w:val="FootnoteReference"/>
          <w:rFonts w:asciiTheme="majorHAnsi" w:hAnsiTheme="majorHAnsi" w:cstheme="majorBidi"/>
          <w:b/>
          <w:bCs/>
          <w:sz w:val="24"/>
          <w:szCs w:val="24"/>
        </w:rPr>
        <w:footnoteReference w:id="5"/>
      </w:r>
      <w:r w:rsidRPr="5AA89864">
        <w:rPr>
          <w:rFonts w:asciiTheme="majorHAnsi" w:hAnsiTheme="majorHAnsi" w:cstheme="majorBidi"/>
          <w:b/>
          <w:bCs/>
          <w:sz w:val="24"/>
          <w:szCs w:val="24"/>
        </w:rPr>
        <w:t>,</w:t>
      </w:r>
      <w:r w:rsidR="03F72343" w:rsidRPr="5AA89864">
        <w:rPr>
          <w:rFonts w:asciiTheme="majorHAnsi" w:hAnsiTheme="majorHAnsi" w:cstheme="majorBidi"/>
          <w:b/>
          <w:bCs/>
          <w:sz w:val="24"/>
          <w:szCs w:val="24"/>
        </w:rPr>
        <w:t xml:space="preserve"> </w:t>
      </w:r>
      <w:r w:rsidR="0E2F3D43" w:rsidRPr="5AA89864">
        <w:rPr>
          <w:rFonts w:asciiTheme="majorHAnsi" w:hAnsiTheme="majorHAnsi" w:cstheme="majorBidi"/>
          <w:b/>
          <w:bCs/>
          <w:sz w:val="24"/>
          <w:szCs w:val="24"/>
        </w:rPr>
        <w:t xml:space="preserve">the Covid-19 pandemic was </w:t>
      </w:r>
      <w:proofErr w:type="gramStart"/>
      <w:r w:rsidR="0E2F3D43" w:rsidRPr="5AA89864">
        <w:rPr>
          <w:rFonts w:asciiTheme="majorHAnsi" w:hAnsiTheme="majorHAnsi" w:cstheme="majorBidi"/>
          <w:b/>
          <w:bCs/>
          <w:sz w:val="24"/>
          <w:szCs w:val="24"/>
        </w:rPr>
        <w:t>waning</w:t>
      </w:r>
      <w:proofErr w:type="gramEnd"/>
      <w:r w:rsidR="0E2F3D43" w:rsidRPr="5AA89864">
        <w:rPr>
          <w:rFonts w:asciiTheme="majorHAnsi" w:hAnsiTheme="majorHAnsi" w:cstheme="majorBidi"/>
          <w:b/>
          <w:bCs/>
          <w:sz w:val="24"/>
          <w:szCs w:val="24"/>
        </w:rPr>
        <w:t xml:space="preserve"> however residual effects continued including ongoing enrollment increases and capacity constraints particularly in behavioral health. This also marked the last full year of DSRIP funding for ACOs.</w:t>
      </w:r>
      <w:r w:rsidR="62D70802" w:rsidRPr="5AA89864">
        <w:rPr>
          <w:rFonts w:asciiTheme="majorHAnsi" w:hAnsiTheme="majorHAnsi" w:cstheme="majorBidi"/>
          <w:b/>
          <w:bCs/>
          <w:sz w:val="24"/>
          <w:szCs w:val="24"/>
        </w:rPr>
        <w:t xml:space="preserve"> A few</w:t>
      </w:r>
      <w:r w:rsidRPr="5AA89864">
        <w:rPr>
          <w:rFonts w:asciiTheme="majorHAnsi" w:hAnsiTheme="majorHAnsi" w:cstheme="majorBidi"/>
          <w:sz w:val="24"/>
          <w:szCs w:val="24"/>
        </w:rPr>
        <w:t xml:space="preserve"> themes emerged during this period: </w:t>
      </w:r>
    </w:p>
    <w:p w14:paraId="1E714FBB" w14:textId="5A9E68A0" w:rsidR="001D61D8" w:rsidRPr="007B12DC" w:rsidRDefault="5B6DC47B" w:rsidP="008240EA">
      <w:pPr>
        <w:pStyle w:val="ListParagraph"/>
        <w:numPr>
          <w:ilvl w:val="0"/>
          <w:numId w:val="60"/>
        </w:numPr>
        <w:rPr>
          <w:rFonts w:asciiTheme="majorHAnsi" w:hAnsiTheme="majorHAnsi" w:cstheme="majorBidi"/>
          <w:sz w:val="24"/>
          <w:szCs w:val="24"/>
        </w:rPr>
      </w:pPr>
      <w:r w:rsidRPr="047AFE96">
        <w:rPr>
          <w:rFonts w:asciiTheme="majorHAnsi" w:hAnsiTheme="majorHAnsi" w:cstheme="majorBidi"/>
          <w:sz w:val="24"/>
          <w:szCs w:val="24"/>
        </w:rPr>
        <w:t xml:space="preserve">ACOs retained members and </w:t>
      </w:r>
      <w:r w:rsidRPr="047AFE96">
        <w:rPr>
          <w:rFonts w:asciiTheme="majorHAnsi" w:hAnsiTheme="majorHAnsi" w:cstheme="majorBidi"/>
          <w:b/>
          <w:bCs/>
          <w:sz w:val="24"/>
          <w:szCs w:val="24"/>
        </w:rPr>
        <w:t>increased enrollment over the course of 202</w:t>
      </w:r>
      <w:r w:rsidR="6F76EF8A" w:rsidRPr="047AFE96">
        <w:rPr>
          <w:rFonts w:asciiTheme="majorHAnsi" w:hAnsiTheme="majorHAnsi" w:cstheme="majorBidi"/>
          <w:b/>
          <w:bCs/>
          <w:sz w:val="24"/>
          <w:szCs w:val="24"/>
        </w:rPr>
        <w:t>2</w:t>
      </w:r>
      <w:r w:rsidRPr="047AFE96">
        <w:rPr>
          <w:rFonts w:asciiTheme="majorHAnsi" w:hAnsiTheme="majorHAnsi" w:cstheme="majorBidi"/>
          <w:b/>
          <w:bCs/>
          <w:sz w:val="24"/>
          <w:szCs w:val="24"/>
        </w:rPr>
        <w:t>,</w:t>
      </w:r>
      <w:r w:rsidRPr="047AFE96">
        <w:rPr>
          <w:rFonts w:asciiTheme="majorHAnsi" w:hAnsiTheme="majorHAnsi" w:cstheme="majorBidi"/>
          <w:sz w:val="24"/>
          <w:szCs w:val="24"/>
        </w:rPr>
        <w:t xml:space="preserve"> growing to a total average enrollment of </w:t>
      </w:r>
      <w:r w:rsidR="426C81FC" w:rsidRPr="047AFE96">
        <w:rPr>
          <w:rFonts w:asciiTheme="majorHAnsi" w:hAnsiTheme="majorHAnsi" w:cstheme="majorBidi"/>
          <w:b/>
          <w:bCs/>
          <w:sz w:val="24"/>
          <w:szCs w:val="24"/>
        </w:rPr>
        <w:t>1,196,381</w:t>
      </w:r>
      <w:r w:rsidR="25A53AE1" w:rsidRPr="047AFE96">
        <w:rPr>
          <w:rFonts w:asciiTheme="majorHAnsi" w:hAnsiTheme="majorHAnsi" w:cstheme="majorBidi"/>
          <w:b/>
          <w:bCs/>
          <w:sz w:val="24"/>
          <w:szCs w:val="24"/>
        </w:rPr>
        <w:t xml:space="preserve"> </w:t>
      </w:r>
      <w:r w:rsidRPr="047AFE96">
        <w:rPr>
          <w:rFonts w:asciiTheme="majorHAnsi" w:hAnsiTheme="majorHAnsi" w:cstheme="majorBidi"/>
          <w:sz w:val="24"/>
          <w:szCs w:val="24"/>
        </w:rPr>
        <w:t>(</w:t>
      </w:r>
      <w:r w:rsidR="09316E31" w:rsidRPr="047AFE96">
        <w:rPr>
          <w:rFonts w:asciiTheme="majorHAnsi" w:hAnsiTheme="majorHAnsi" w:cstheme="majorBidi"/>
          <w:sz w:val="24"/>
          <w:szCs w:val="24"/>
        </w:rPr>
        <w:t>7%</w:t>
      </w:r>
      <w:r w:rsidRPr="047AFE96">
        <w:rPr>
          <w:rFonts w:asciiTheme="majorHAnsi" w:hAnsiTheme="majorHAnsi" w:cstheme="majorBidi"/>
          <w:sz w:val="24"/>
          <w:szCs w:val="24"/>
        </w:rPr>
        <w:t xml:space="preserve"> growth over year-end 202</w:t>
      </w:r>
      <w:r w:rsidR="7C62960D" w:rsidRPr="047AFE96">
        <w:rPr>
          <w:rFonts w:asciiTheme="majorHAnsi" w:hAnsiTheme="majorHAnsi" w:cstheme="majorBidi"/>
          <w:sz w:val="24"/>
          <w:szCs w:val="24"/>
        </w:rPr>
        <w:t>1</w:t>
      </w:r>
      <w:r w:rsidRPr="047AFE96">
        <w:rPr>
          <w:rFonts w:asciiTheme="majorHAnsi" w:hAnsiTheme="majorHAnsi" w:cstheme="majorBidi"/>
          <w:sz w:val="24"/>
          <w:szCs w:val="24"/>
        </w:rPr>
        <w:t>).</w:t>
      </w:r>
    </w:p>
    <w:p w14:paraId="4165C990" w14:textId="55B6BB70" w:rsidR="003012DC" w:rsidRPr="007B12DC" w:rsidRDefault="25F7A896" w:rsidP="008240EA">
      <w:pPr>
        <w:pStyle w:val="ListParagraph"/>
        <w:numPr>
          <w:ilvl w:val="0"/>
          <w:numId w:val="60"/>
        </w:numPr>
        <w:rPr>
          <w:rFonts w:asciiTheme="majorHAnsi" w:hAnsiTheme="majorHAnsi" w:cstheme="majorBidi"/>
          <w:color w:val="0070C0"/>
          <w:sz w:val="24"/>
          <w:szCs w:val="24"/>
        </w:rPr>
      </w:pPr>
      <w:r w:rsidRPr="047AFE96">
        <w:rPr>
          <w:rFonts w:asciiTheme="majorHAnsi" w:hAnsiTheme="majorHAnsi" w:cstheme="majorBidi"/>
          <w:sz w:val="24"/>
          <w:szCs w:val="24"/>
        </w:rPr>
        <w:t xml:space="preserve">The ACO program </w:t>
      </w:r>
      <w:r w:rsidR="113D820F" w:rsidRPr="00862391">
        <w:rPr>
          <w:rFonts w:asciiTheme="majorHAnsi" w:hAnsiTheme="majorHAnsi" w:cstheme="majorBidi"/>
          <w:b/>
          <w:bCs/>
          <w:sz w:val="24"/>
          <w:szCs w:val="24"/>
        </w:rPr>
        <w:t>saw</w:t>
      </w:r>
      <w:r w:rsidR="37F132F2" w:rsidRPr="00862391">
        <w:rPr>
          <w:rFonts w:asciiTheme="majorHAnsi" w:hAnsiTheme="majorHAnsi" w:cstheme="majorBidi"/>
          <w:b/>
          <w:bCs/>
          <w:sz w:val="24"/>
          <w:szCs w:val="24"/>
        </w:rPr>
        <w:t xml:space="preserve"> </w:t>
      </w:r>
      <w:r w:rsidRPr="047AFE96">
        <w:rPr>
          <w:rFonts w:asciiTheme="majorHAnsi" w:hAnsiTheme="majorHAnsi" w:cstheme="majorBidi"/>
          <w:b/>
          <w:bCs/>
          <w:sz w:val="24"/>
          <w:szCs w:val="24"/>
        </w:rPr>
        <w:t>utilization declines from 2019 to 202</w:t>
      </w:r>
      <w:r w:rsidR="55B66BC2" w:rsidRPr="047AFE96">
        <w:rPr>
          <w:rFonts w:asciiTheme="majorHAnsi" w:hAnsiTheme="majorHAnsi" w:cstheme="majorBidi"/>
          <w:b/>
          <w:bCs/>
          <w:sz w:val="24"/>
          <w:szCs w:val="24"/>
        </w:rPr>
        <w:t>2</w:t>
      </w:r>
      <w:r w:rsidRPr="047AFE96">
        <w:rPr>
          <w:rFonts w:asciiTheme="majorHAnsi" w:hAnsiTheme="majorHAnsi" w:cstheme="majorBidi"/>
          <w:b/>
          <w:bCs/>
          <w:sz w:val="24"/>
          <w:szCs w:val="24"/>
        </w:rPr>
        <w:t xml:space="preserve"> </w:t>
      </w:r>
      <w:r w:rsidRPr="047AFE96">
        <w:rPr>
          <w:rFonts w:asciiTheme="majorHAnsi" w:hAnsiTheme="majorHAnsi" w:cstheme="majorBidi"/>
          <w:sz w:val="24"/>
          <w:szCs w:val="24"/>
        </w:rPr>
        <w:t xml:space="preserve">driven by ongoing impacts of the pandemic. However, </w:t>
      </w:r>
      <w:r w:rsidR="4F81C7D9" w:rsidRPr="047AFE96">
        <w:rPr>
          <w:rFonts w:asciiTheme="majorHAnsi" w:hAnsiTheme="majorHAnsi" w:cstheme="majorBidi"/>
          <w:sz w:val="24"/>
          <w:szCs w:val="24"/>
        </w:rPr>
        <w:t xml:space="preserve">from 2021-2022 the pediatric population saw increases in acute services likely due to a surge of pediatric respiratory illnesses. </w:t>
      </w:r>
    </w:p>
    <w:p w14:paraId="5D89A087" w14:textId="3D87B791" w:rsidR="00F96930" w:rsidRPr="007B12DC" w:rsidRDefault="1D9C0FCC" w:rsidP="008240EA">
      <w:pPr>
        <w:pStyle w:val="ListParagraph"/>
        <w:numPr>
          <w:ilvl w:val="0"/>
          <w:numId w:val="60"/>
        </w:numPr>
        <w:rPr>
          <w:rFonts w:asciiTheme="majorHAnsi" w:hAnsiTheme="majorHAnsi" w:cstheme="majorBidi"/>
          <w:sz w:val="24"/>
          <w:szCs w:val="24"/>
        </w:rPr>
      </w:pPr>
      <w:r w:rsidRPr="00862391">
        <w:rPr>
          <w:rFonts w:asciiTheme="majorHAnsi" w:hAnsiTheme="majorHAnsi" w:cstheme="majorBidi"/>
          <w:sz w:val="24"/>
          <w:szCs w:val="24"/>
        </w:rPr>
        <w:t xml:space="preserve">ACOs </w:t>
      </w:r>
      <w:r w:rsidR="7927C620" w:rsidRPr="00862391">
        <w:rPr>
          <w:rFonts w:asciiTheme="majorHAnsi" w:hAnsiTheme="majorHAnsi" w:cstheme="majorBidi"/>
          <w:sz w:val="24"/>
          <w:szCs w:val="24"/>
        </w:rPr>
        <w:t xml:space="preserve">collaborated with MassHealth to </w:t>
      </w:r>
      <w:r w:rsidR="7927C620" w:rsidRPr="7EE3AA59">
        <w:rPr>
          <w:rFonts w:asciiTheme="majorHAnsi" w:hAnsiTheme="majorHAnsi" w:cstheme="majorBidi"/>
          <w:b/>
          <w:bCs/>
          <w:sz w:val="24"/>
          <w:szCs w:val="24"/>
        </w:rPr>
        <w:t xml:space="preserve">address BH ED boarding and better support members with high BH risk </w:t>
      </w:r>
      <w:r w:rsidR="7927C620" w:rsidRPr="00862391">
        <w:rPr>
          <w:rFonts w:asciiTheme="majorHAnsi" w:hAnsiTheme="majorHAnsi" w:cstheme="majorBidi"/>
          <w:sz w:val="24"/>
          <w:szCs w:val="24"/>
        </w:rPr>
        <w:t>during a time with limited access to BH inpatient bends resulting in a lar</w:t>
      </w:r>
      <w:r w:rsidR="548F46E3" w:rsidRPr="00862391">
        <w:rPr>
          <w:rFonts w:asciiTheme="majorHAnsi" w:hAnsiTheme="majorHAnsi" w:cstheme="majorBidi"/>
          <w:sz w:val="24"/>
          <w:szCs w:val="24"/>
        </w:rPr>
        <w:t>g</w:t>
      </w:r>
      <w:r w:rsidR="7927C620" w:rsidRPr="00862391">
        <w:rPr>
          <w:rFonts w:asciiTheme="majorHAnsi" w:hAnsiTheme="majorHAnsi" w:cstheme="majorBidi"/>
          <w:sz w:val="24"/>
          <w:szCs w:val="24"/>
        </w:rPr>
        <w:t xml:space="preserve">e volume of members waiting in the ED for extended </w:t>
      </w:r>
      <w:r w:rsidR="79E84580" w:rsidRPr="7EE3AA59">
        <w:rPr>
          <w:rFonts w:asciiTheme="majorHAnsi" w:hAnsiTheme="majorHAnsi" w:cstheme="majorBidi"/>
          <w:sz w:val="24"/>
          <w:szCs w:val="24"/>
        </w:rPr>
        <w:t>periods</w:t>
      </w:r>
      <w:r w:rsidR="7927C620" w:rsidRPr="00862391">
        <w:rPr>
          <w:rFonts w:asciiTheme="majorHAnsi" w:hAnsiTheme="majorHAnsi" w:cstheme="majorBidi"/>
          <w:sz w:val="24"/>
          <w:szCs w:val="24"/>
        </w:rPr>
        <w:t xml:space="preserve"> for a BH inpatient pl</w:t>
      </w:r>
      <w:r w:rsidR="09CC381A" w:rsidRPr="00862391">
        <w:rPr>
          <w:rFonts w:asciiTheme="majorHAnsi" w:hAnsiTheme="majorHAnsi" w:cstheme="majorBidi"/>
          <w:sz w:val="24"/>
          <w:szCs w:val="24"/>
        </w:rPr>
        <w:t>acement</w:t>
      </w:r>
      <w:r w:rsidR="5EFD45A8" w:rsidRPr="7EE3AA59">
        <w:rPr>
          <w:rFonts w:asciiTheme="majorHAnsi" w:hAnsiTheme="majorHAnsi" w:cstheme="majorBidi"/>
          <w:sz w:val="24"/>
          <w:szCs w:val="24"/>
        </w:rPr>
        <w:t>.</w:t>
      </w:r>
    </w:p>
    <w:p w14:paraId="50EB5102" w14:textId="33E773E3" w:rsidR="00A14DE7" w:rsidRPr="007B12DC" w:rsidRDefault="5EFD45A8" w:rsidP="008240EA">
      <w:pPr>
        <w:pStyle w:val="ListParagraph"/>
        <w:numPr>
          <w:ilvl w:val="0"/>
          <w:numId w:val="60"/>
        </w:numPr>
        <w:rPr>
          <w:rFonts w:asciiTheme="majorHAnsi" w:hAnsiTheme="majorHAnsi" w:cstheme="majorBidi"/>
          <w:sz w:val="24"/>
          <w:szCs w:val="24"/>
        </w:rPr>
      </w:pPr>
      <w:r w:rsidRPr="047AFE96">
        <w:rPr>
          <w:rFonts w:asciiTheme="majorHAnsi" w:hAnsiTheme="majorHAnsi" w:cstheme="majorBidi"/>
          <w:sz w:val="24"/>
          <w:szCs w:val="24"/>
        </w:rPr>
        <w:t xml:space="preserve">2022 was the last year of </w:t>
      </w:r>
      <w:r w:rsidR="4E93DA9D" w:rsidRPr="047AFE96">
        <w:rPr>
          <w:rFonts w:asciiTheme="majorHAnsi" w:hAnsiTheme="majorHAnsi" w:cstheme="majorBidi"/>
          <w:sz w:val="24"/>
          <w:szCs w:val="24"/>
        </w:rPr>
        <w:t xml:space="preserve">DSRIP </w:t>
      </w:r>
      <w:r w:rsidR="6EE54CB1" w:rsidRPr="047AFE96">
        <w:rPr>
          <w:rFonts w:asciiTheme="majorHAnsi" w:hAnsiTheme="majorHAnsi" w:cstheme="majorBidi"/>
          <w:sz w:val="24"/>
          <w:szCs w:val="24"/>
        </w:rPr>
        <w:t xml:space="preserve">funding during which ACOs </w:t>
      </w:r>
      <w:r w:rsidR="6F23A362" w:rsidRPr="047AFE96">
        <w:rPr>
          <w:rFonts w:asciiTheme="majorHAnsi" w:hAnsiTheme="majorHAnsi" w:cstheme="majorBidi"/>
          <w:sz w:val="24"/>
          <w:szCs w:val="24"/>
        </w:rPr>
        <w:t xml:space="preserve">made </w:t>
      </w:r>
      <w:r w:rsidR="4E93DA9D" w:rsidRPr="00862391">
        <w:rPr>
          <w:rFonts w:asciiTheme="majorHAnsi" w:hAnsiTheme="majorHAnsi" w:cstheme="majorBidi"/>
          <w:b/>
          <w:bCs/>
          <w:sz w:val="24"/>
          <w:szCs w:val="24"/>
        </w:rPr>
        <w:t xml:space="preserve">ongoing </w:t>
      </w:r>
      <w:r w:rsidR="4E93DA9D" w:rsidRPr="047AFE96">
        <w:rPr>
          <w:rFonts w:asciiTheme="majorHAnsi" w:hAnsiTheme="majorHAnsi" w:cstheme="majorBidi"/>
          <w:b/>
          <w:bCs/>
          <w:sz w:val="24"/>
          <w:szCs w:val="24"/>
        </w:rPr>
        <w:t>funding decisions based on demonstrated outcomes and experience of their DSRIP programs.</w:t>
      </w:r>
      <w:r w:rsidR="3B04DA6C" w:rsidRPr="047AFE96">
        <w:rPr>
          <w:rFonts w:asciiTheme="majorHAnsi" w:hAnsiTheme="majorHAnsi" w:cstheme="majorBidi"/>
          <w:b/>
          <w:bCs/>
          <w:sz w:val="24"/>
          <w:szCs w:val="24"/>
        </w:rPr>
        <w:t xml:space="preserve"> </w:t>
      </w:r>
      <w:r w:rsidR="3B04DA6C" w:rsidRPr="047AFE96">
        <w:rPr>
          <w:rFonts w:asciiTheme="majorHAnsi" w:hAnsiTheme="majorHAnsi" w:cstheme="majorBidi"/>
          <w:sz w:val="24"/>
          <w:szCs w:val="24"/>
        </w:rPr>
        <w:t>This included sustaining programs with clear impact, while discontinuing other effort</w:t>
      </w:r>
      <w:r w:rsidR="4119182F" w:rsidRPr="047AFE96">
        <w:rPr>
          <w:rFonts w:asciiTheme="majorHAnsi" w:hAnsiTheme="majorHAnsi" w:cstheme="majorBidi"/>
          <w:sz w:val="24"/>
          <w:szCs w:val="24"/>
        </w:rPr>
        <w:t xml:space="preserve">s. </w:t>
      </w:r>
    </w:p>
    <w:p w14:paraId="311D84EA" w14:textId="2B3F5647" w:rsidR="00A14DE7" w:rsidRPr="007B12DC" w:rsidRDefault="4E93DA9D" w:rsidP="008240EA">
      <w:pPr>
        <w:pStyle w:val="ListParagraph"/>
        <w:numPr>
          <w:ilvl w:val="0"/>
          <w:numId w:val="60"/>
        </w:numPr>
        <w:rPr>
          <w:rFonts w:asciiTheme="majorHAnsi" w:hAnsiTheme="majorHAnsi" w:cstheme="majorBidi"/>
          <w:sz w:val="24"/>
          <w:szCs w:val="24"/>
        </w:rPr>
      </w:pPr>
      <w:r w:rsidRPr="7EE3AA59">
        <w:rPr>
          <w:rFonts w:asciiTheme="majorHAnsi" w:hAnsiTheme="majorHAnsi" w:cstheme="majorBidi"/>
          <w:sz w:val="24"/>
          <w:szCs w:val="24"/>
        </w:rPr>
        <w:t xml:space="preserve">ACOs </w:t>
      </w:r>
      <w:r w:rsidR="7B600AEB" w:rsidRPr="7EE3AA59">
        <w:rPr>
          <w:rFonts w:asciiTheme="majorHAnsi" w:hAnsiTheme="majorHAnsi" w:cstheme="majorBidi"/>
          <w:sz w:val="24"/>
          <w:szCs w:val="24"/>
        </w:rPr>
        <w:t xml:space="preserve">continued </w:t>
      </w:r>
      <w:r w:rsidRPr="7EE3AA59">
        <w:rPr>
          <w:rFonts w:asciiTheme="majorHAnsi" w:hAnsiTheme="majorHAnsi" w:cstheme="majorBidi"/>
          <w:b/>
          <w:bCs/>
          <w:sz w:val="24"/>
          <w:szCs w:val="24"/>
        </w:rPr>
        <w:t xml:space="preserve">rapid and substantial growth in the </w:t>
      </w:r>
      <w:r w:rsidR="5631F464" w:rsidRPr="7EE3AA59">
        <w:rPr>
          <w:rFonts w:asciiTheme="majorHAnsi" w:hAnsiTheme="majorHAnsi" w:cstheme="majorBidi"/>
          <w:b/>
          <w:bCs/>
          <w:sz w:val="24"/>
          <w:szCs w:val="24"/>
        </w:rPr>
        <w:t xml:space="preserve">third </w:t>
      </w:r>
      <w:r w:rsidRPr="7EE3AA59">
        <w:rPr>
          <w:rFonts w:asciiTheme="majorHAnsi" w:hAnsiTheme="majorHAnsi" w:cstheme="majorBidi"/>
          <w:b/>
          <w:bCs/>
          <w:sz w:val="24"/>
          <w:szCs w:val="24"/>
        </w:rPr>
        <w:t>year of the Flexible Services Program.</w:t>
      </w:r>
      <w:r w:rsidRPr="7EE3AA59">
        <w:rPr>
          <w:rFonts w:asciiTheme="majorHAnsi" w:hAnsiTheme="majorHAnsi" w:cstheme="majorBidi"/>
          <w:sz w:val="24"/>
          <w:szCs w:val="24"/>
        </w:rPr>
        <w:t xml:space="preserve"> Flexible Services </w:t>
      </w:r>
      <w:r w:rsidR="4C3B8F22" w:rsidRPr="7EE3AA59">
        <w:rPr>
          <w:rFonts w:asciiTheme="majorHAnsi" w:hAnsiTheme="majorHAnsi" w:cstheme="majorBidi"/>
          <w:b/>
          <w:bCs/>
          <w:sz w:val="24"/>
          <w:szCs w:val="24"/>
        </w:rPr>
        <w:t>grew faster in 2022 than in 2021</w:t>
      </w:r>
      <w:r w:rsidR="4C3B8F22" w:rsidRPr="7EE3AA59">
        <w:rPr>
          <w:rFonts w:asciiTheme="majorHAnsi" w:hAnsiTheme="majorHAnsi" w:cstheme="majorBidi"/>
          <w:sz w:val="24"/>
          <w:szCs w:val="24"/>
        </w:rPr>
        <w:t xml:space="preserve"> </w:t>
      </w:r>
      <w:r w:rsidRPr="7EE3AA59">
        <w:rPr>
          <w:rFonts w:asciiTheme="majorHAnsi" w:hAnsiTheme="majorHAnsi" w:cstheme="majorBidi"/>
          <w:sz w:val="24"/>
          <w:szCs w:val="24"/>
        </w:rPr>
        <w:t>with services provided more than doubling from 202</w:t>
      </w:r>
      <w:r w:rsidR="4404BF46" w:rsidRPr="7EE3AA59">
        <w:rPr>
          <w:rFonts w:asciiTheme="majorHAnsi" w:hAnsiTheme="majorHAnsi" w:cstheme="majorBidi"/>
          <w:sz w:val="24"/>
          <w:szCs w:val="24"/>
        </w:rPr>
        <w:t>1</w:t>
      </w:r>
      <w:r w:rsidRPr="7EE3AA59">
        <w:rPr>
          <w:rFonts w:asciiTheme="majorHAnsi" w:hAnsiTheme="majorHAnsi" w:cstheme="majorBidi"/>
          <w:sz w:val="24"/>
          <w:szCs w:val="24"/>
        </w:rPr>
        <w:t xml:space="preserve"> </w:t>
      </w:r>
      <w:r w:rsidRPr="7EE3AA59">
        <w:rPr>
          <w:rFonts w:asciiTheme="majorHAnsi" w:hAnsiTheme="majorHAnsi" w:cstheme="majorBidi"/>
          <w:i/>
          <w:iCs/>
          <w:sz w:val="24"/>
          <w:szCs w:val="24"/>
        </w:rPr>
        <w:t>(see next section of this report for detail)</w:t>
      </w:r>
    </w:p>
    <w:p w14:paraId="0E4CBE4A" w14:textId="3C4A94D3" w:rsidR="00A14DE7" w:rsidRPr="00647CE5" w:rsidRDefault="31C6591F" w:rsidP="4C08FE90">
      <w:pPr>
        <w:pStyle w:val="Heading4"/>
      </w:pPr>
      <w:r>
        <w:t>Slide 1</w:t>
      </w:r>
      <w:r w:rsidR="4BC2C3A7">
        <w:t>1</w:t>
      </w:r>
      <w:r>
        <w:t xml:space="preserve">: </w:t>
      </w:r>
      <w:r w:rsidR="1C275BE5">
        <w:t>ACOs Retained Members and Increased Enrollment from 202</w:t>
      </w:r>
      <w:r w:rsidR="63BA045D">
        <w:t>1</w:t>
      </w:r>
      <w:r w:rsidR="1C275BE5">
        <w:t> to 202</w:t>
      </w:r>
      <w:r w:rsidR="016F62C7">
        <w:t>2</w:t>
      </w:r>
    </w:p>
    <w:p w14:paraId="2CC6C90A" w14:textId="031E82C3" w:rsidR="002D2939" w:rsidRDefault="1720986B" w:rsidP="00493274">
      <w:pPr>
        <w:rPr>
          <w:sz w:val="24"/>
          <w:szCs w:val="24"/>
        </w:rPr>
      </w:pPr>
      <w:r w:rsidRPr="4C08FE90">
        <w:rPr>
          <w:sz w:val="24"/>
          <w:szCs w:val="24"/>
        </w:rPr>
        <w:t>Table below shows e</w:t>
      </w:r>
      <w:r w:rsidR="529B1D4E" w:rsidRPr="4C08FE90">
        <w:rPr>
          <w:sz w:val="24"/>
          <w:szCs w:val="24"/>
        </w:rPr>
        <w:t>nrollment as of 12/31/2</w:t>
      </w:r>
      <w:r w:rsidR="3F9216B0" w:rsidRPr="4C08FE90">
        <w:rPr>
          <w:sz w:val="24"/>
          <w:szCs w:val="24"/>
        </w:rPr>
        <w:t>2</w:t>
      </w:r>
      <w:r w:rsidR="529B1D4E" w:rsidRPr="4C08FE90">
        <w:rPr>
          <w:sz w:val="24"/>
          <w:szCs w:val="24"/>
        </w:rPr>
        <w:t>, data pulled on 0</w:t>
      </w:r>
      <w:r w:rsidR="7C5E7C6E" w:rsidRPr="4C08FE90">
        <w:rPr>
          <w:sz w:val="24"/>
          <w:szCs w:val="24"/>
        </w:rPr>
        <w:t>8</w:t>
      </w:r>
      <w:r w:rsidR="529B1D4E" w:rsidRPr="4C08FE90">
        <w:rPr>
          <w:sz w:val="24"/>
          <w:szCs w:val="24"/>
        </w:rPr>
        <w:t>/</w:t>
      </w:r>
      <w:r w:rsidR="25E50B59" w:rsidRPr="4C08FE90">
        <w:rPr>
          <w:sz w:val="24"/>
          <w:szCs w:val="24"/>
        </w:rPr>
        <w:t>09</w:t>
      </w:r>
      <w:r w:rsidR="529B1D4E" w:rsidRPr="4C08FE90">
        <w:rPr>
          <w:sz w:val="24"/>
          <w:szCs w:val="24"/>
        </w:rPr>
        <w:t>/202</w:t>
      </w:r>
      <w:r w:rsidR="449E4FA4" w:rsidRPr="4C08FE90">
        <w:rPr>
          <w:sz w:val="24"/>
          <w:szCs w:val="24"/>
        </w:rPr>
        <w:t>4</w:t>
      </w:r>
      <w:r w:rsidR="529B1D4E" w:rsidRPr="4C08FE90">
        <w:rPr>
          <w:sz w:val="24"/>
          <w:szCs w:val="24"/>
        </w:rPr>
        <w:t xml:space="preserve">; MCO-administered ACO data pulled on </w:t>
      </w:r>
      <w:r w:rsidR="3D1701EF" w:rsidRPr="4C08FE90">
        <w:rPr>
          <w:sz w:val="24"/>
          <w:szCs w:val="24"/>
        </w:rPr>
        <w:t>07/15/2024</w:t>
      </w:r>
    </w:p>
    <w:p w14:paraId="1DCB96A4" w14:textId="29759F68" w:rsidR="002D2939" w:rsidRPr="007B12DC" w:rsidRDefault="6FFE2396" w:rsidP="4C08FE90">
      <w:pPr>
        <w:rPr>
          <w:sz w:val="24"/>
          <w:szCs w:val="24"/>
        </w:rPr>
      </w:pPr>
      <w:r w:rsidRPr="7C093D37">
        <w:rPr>
          <w:sz w:val="24"/>
          <w:szCs w:val="24"/>
        </w:rPr>
        <w:t xml:space="preserve">*Note this reflects average members enrolled; see appendix (p. </w:t>
      </w:r>
      <w:r w:rsidRPr="78634FAE">
        <w:rPr>
          <w:sz w:val="24"/>
          <w:szCs w:val="24"/>
        </w:rPr>
        <w:t>6</w:t>
      </w:r>
      <w:r w:rsidR="4C6E9C0D" w:rsidRPr="78634FAE">
        <w:rPr>
          <w:sz w:val="24"/>
          <w:szCs w:val="24"/>
        </w:rPr>
        <w:t>4</w:t>
      </w:r>
      <w:r w:rsidRPr="7C093D37">
        <w:rPr>
          <w:sz w:val="24"/>
          <w:szCs w:val="24"/>
        </w:rPr>
        <w:t>) for total unique members enrolled by managed care optio</w:t>
      </w:r>
      <w:r w:rsidR="08754767" w:rsidRPr="7C093D37">
        <w:rPr>
          <w:sz w:val="24"/>
          <w:szCs w:val="24"/>
        </w:rPr>
        <w:t>n.</w:t>
      </w:r>
    </w:p>
    <w:p w14:paraId="545C6200" w14:textId="2476843D" w:rsidR="48CD1907" w:rsidRDefault="48CD1907" w:rsidP="7C093D37">
      <w:pPr>
        <w:rPr>
          <w:sz w:val="24"/>
          <w:szCs w:val="24"/>
        </w:rPr>
      </w:pPr>
      <w:r w:rsidRPr="7C093D37">
        <w:rPr>
          <w:sz w:val="24"/>
          <w:szCs w:val="24"/>
        </w:rPr>
        <w:t>Table 2:</w:t>
      </w:r>
    </w:p>
    <w:tbl>
      <w:tblPr>
        <w:tblStyle w:val="GridTable4-Accent1"/>
        <w:tblW w:w="9273" w:type="dxa"/>
        <w:tblBorders>
          <w:top w:val="single" w:sz="2" w:space="0" w:color="0D0D0D" w:themeColor="text1" w:themeTint="F2" w:themeShade="00"/>
          <w:left w:val="single" w:sz="2" w:space="0" w:color="0D0D0D" w:themeColor="text1" w:themeTint="F2" w:themeShade="00"/>
          <w:bottom w:val="single" w:sz="2" w:space="0" w:color="0D0D0D" w:themeColor="text1" w:themeTint="F2" w:themeShade="00"/>
          <w:right w:val="single" w:sz="2" w:space="0" w:color="0D0D0D" w:themeColor="text1" w:themeTint="F2" w:themeShade="00"/>
          <w:insideH w:val="single" w:sz="2" w:space="0" w:color="0D0D0D" w:themeColor="text1" w:themeTint="F2" w:themeShade="00"/>
          <w:insideV w:val="single" w:sz="2" w:space="0" w:color="0D0D0D" w:themeColor="text1" w:themeTint="F2" w:themeShade="00"/>
        </w:tblBorders>
        <w:tblLayout w:type="fixed"/>
        <w:tblLook w:val="0420" w:firstRow="1" w:lastRow="0" w:firstColumn="0" w:lastColumn="0" w:noHBand="0" w:noVBand="1"/>
      </w:tblPr>
      <w:tblGrid>
        <w:gridCol w:w="1070"/>
        <w:gridCol w:w="1360"/>
        <w:gridCol w:w="2445"/>
        <w:gridCol w:w="1065"/>
        <w:gridCol w:w="1346"/>
        <w:gridCol w:w="971"/>
        <w:gridCol w:w="1016"/>
      </w:tblGrid>
      <w:tr w:rsidR="00862391" w14:paraId="3CD2101E" w14:textId="77777777" w:rsidTr="05FD1449">
        <w:trPr>
          <w:cnfStyle w:val="100000000000" w:firstRow="1" w:lastRow="0" w:firstColumn="0" w:lastColumn="0" w:oddVBand="0" w:evenVBand="0" w:oddHBand="0" w:evenHBand="0" w:firstRowFirstColumn="0" w:firstRowLastColumn="0" w:lastRowFirstColumn="0" w:lastRowLastColumn="0"/>
          <w:trHeight w:val="825"/>
        </w:trPr>
        <w:tc>
          <w:tcPr>
            <w:tcW w:w="1070" w:type="dxa"/>
            <w:shd w:val="clear" w:color="auto" w:fill="D9E2F3" w:themeFill="accent1" w:themeFillTint="33"/>
            <w:vAlign w:val="center"/>
          </w:tcPr>
          <w:p w14:paraId="68855574" w14:textId="7603CF82" w:rsidR="4C08FE90" w:rsidRDefault="4C08FE90" w:rsidP="6BB48F2E">
            <w:pPr>
              <w:jc w:val="center"/>
              <w:rPr>
                <w:rFonts w:ascii="Calibri" w:eastAsia="Calibri" w:hAnsi="Calibri" w:cs="Calibri"/>
                <w:b w:val="0"/>
                <w:bCs w:val="0"/>
                <w:color w:val="000000" w:themeColor="text1"/>
              </w:rPr>
            </w:pPr>
            <w:r w:rsidRPr="4C08FE90">
              <w:rPr>
                <w:rFonts w:ascii="Calibri" w:eastAsia="Calibri" w:hAnsi="Calibri" w:cs="Calibri"/>
                <w:b w:val="0"/>
                <w:color w:val="000000" w:themeColor="text1"/>
              </w:rPr>
              <w:t>ACO Ty</w:t>
            </w:r>
            <w:r w:rsidR="2A9A51EF" w:rsidRPr="4C08FE90">
              <w:rPr>
                <w:rFonts w:ascii="Calibri" w:eastAsia="Calibri" w:hAnsi="Calibri" w:cs="Calibri"/>
                <w:b w:val="0"/>
                <w:color w:val="000000" w:themeColor="text1"/>
              </w:rPr>
              <w:t>p</w:t>
            </w:r>
            <w:r w:rsidRPr="4C08FE90">
              <w:rPr>
                <w:rFonts w:ascii="Calibri" w:eastAsia="Calibri" w:hAnsi="Calibri" w:cs="Calibri"/>
                <w:b w:val="0"/>
                <w:color w:val="000000" w:themeColor="text1"/>
              </w:rPr>
              <w:t>e</w:t>
            </w:r>
          </w:p>
        </w:tc>
        <w:tc>
          <w:tcPr>
            <w:tcW w:w="1360" w:type="dxa"/>
            <w:shd w:val="clear" w:color="auto" w:fill="D9E2F3" w:themeFill="accent1" w:themeFillTint="33"/>
            <w:vAlign w:val="center"/>
          </w:tcPr>
          <w:p w14:paraId="549FFC98" w14:textId="585FCF79" w:rsidR="4C08FE90" w:rsidRDefault="4C08FE90" w:rsidP="6BB48F2E">
            <w:pPr>
              <w:jc w:val="center"/>
              <w:rPr>
                <w:rFonts w:ascii="Calibri" w:eastAsia="Calibri" w:hAnsi="Calibri" w:cs="Calibri"/>
                <w:b w:val="0"/>
                <w:bCs w:val="0"/>
                <w:color w:val="000000" w:themeColor="text1"/>
              </w:rPr>
            </w:pPr>
            <w:r w:rsidRPr="4C08FE90">
              <w:rPr>
                <w:rFonts w:ascii="Calibri" w:eastAsia="Calibri" w:hAnsi="Calibri" w:cs="Calibri"/>
                <w:b w:val="0"/>
                <w:color w:val="000000" w:themeColor="text1"/>
              </w:rPr>
              <w:t>Health Plan</w:t>
            </w:r>
          </w:p>
        </w:tc>
        <w:tc>
          <w:tcPr>
            <w:tcW w:w="0" w:type="dxa"/>
            <w:shd w:val="clear" w:color="auto" w:fill="D9E2F3" w:themeFill="accent1" w:themeFillTint="33"/>
            <w:vAlign w:val="center"/>
          </w:tcPr>
          <w:p w14:paraId="3B9AEFC4" w14:textId="57A136C5" w:rsidR="4C08FE90" w:rsidRDefault="4C08FE90" w:rsidP="6BB48F2E">
            <w:pPr>
              <w:jc w:val="center"/>
              <w:rPr>
                <w:rFonts w:ascii="Calibri" w:eastAsia="Calibri" w:hAnsi="Calibri" w:cs="Calibri"/>
                <w:b w:val="0"/>
                <w:bCs w:val="0"/>
                <w:color w:val="000000" w:themeColor="text1"/>
              </w:rPr>
            </w:pPr>
            <w:r w:rsidRPr="4C08FE90">
              <w:rPr>
                <w:rFonts w:ascii="Calibri" w:eastAsia="Calibri" w:hAnsi="Calibri" w:cs="Calibri"/>
                <w:b w:val="0"/>
                <w:color w:val="000000" w:themeColor="text1"/>
              </w:rPr>
              <w:t>ACO Name</w:t>
            </w:r>
          </w:p>
        </w:tc>
        <w:tc>
          <w:tcPr>
            <w:tcW w:w="0" w:type="dxa"/>
            <w:shd w:val="clear" w:color="auto" w:fill="D9E2F3" w:themeFill="accent1" w:themeFillTint="33"/>
            <w:vAlign w:val="center"/>
          </w:tcPr>
          <w:p w14:paraId="000F71BC" w14:textId="0E3B5DA9" w:rsidR="4C08FE90" w:rsidRDefault="4C08FE90" w:rsidP="6BB48F2E">
            <w:pPr>
              <w:jc w:val="center"/>
              <w:rPr>
                <w:rFonts w:ascii="Calibri" w:eastAsia="Calibri" w:hAnsi="Calibri" w:cs="Calibri"/>
                <w:b w:val="0"/>
                <w:bCs w:val="0"/>
                <w:color w:val="000000" w:themeColor="text1"/>
              </w:rPr>
            </w:pPr>
            <w:r w:rsidRPr="4C08FE90">
              <w:rPr>
                <w:rFonts w:ascii="Calibri" w:eastAsia="Calibri" w:hAnsi="Calibri" w:cs="Calibri"/>
                <w:b w:val="0"/>
                <w:color w:val="000000" w:themeColor="text1"/>
              </w:rPr>
              <w:t>% of ACO Total</w:t>
            </w:r>
          </w:p>
        </w:tc>
        <w:tc>
          <w:tcPr>
            <w:tcW w:w="0" w:type="dxa"/>
            <w:shd w:val="clear" w:color="auto" w:fill="D9E2F3" w:themeFill="accent1" w:themeFillTint="33"/>
            <w:vAlign w:val="center"/>
          </w:tcPr>
          <w:p w14:paraId="2D7618CD" w14:textId="7851728D" w:rsidR="4C08FE90" w:rsidRDefault="4C08FE90" w:rsidP="6BB48F2E">
            <w:pPr>
              <w:jc w:val="center"/>
              <w:rPr>
                <w:rFonts w:ascii="Calibri" w:eastAsia="Calibri" w:hAnsi="Calibri" w:cs="Calibri"/>
                <w:b w:val="0"/>
                <w:bCs w:val="0"/>
                <w:color w:val="000000" w:themeColor="text1"/>
              </w:rPr>
            </w:pPr>
            <w:r w:rsidRPr="4C08FE90">
              <w:rPr>
                <w:rFonts w:ascii="Calibri" w:eastAsia="Calibri" w:hAnsi="Calibri" w:cs="Calibri"/>
                <w:b w:val="0"/>
                <w:color w:val="000000" w:themeColor="text1"/>
              </w:rPr>
              <w:t># of Average Members*</w:t>
            </w:r>
          </w:p>
        </w:tc>
        <w:tc>
          <w:tcPr>
            <w:tcW w:w="0" w:type="dxa"/>
            <w:shd w:val="clear" w:color="auto" w:fill="D9E2F3" w:themeFill="accent1" w:themeFillTint="33"/>
          </w:tcPr>
          <w:p w14:paraId="0CA8CC98" w14:textId="072A5571" w:rsidR="4C08FE90" w:rsidRDefault="4C08FE90" w:rsidP="6BB48F2E">
            <w:pPr>
              <w:jc w:val="center"/>
              <w:rPr>
                <w:rFonts w:ascii="Calibri" w:eastAsia="Calibri" w:hAnsi="Calibri" w:cs="Calibri"/>
                <w:b w:val="0"/>
                <w:bCs w:val="0"/>
                <w:color w:val="000000" w:themeColor="text1"/>
              </w:rPr>
            </w:pPr>
            <w:r w:rsidRPr="4C08FE90">
              <w:rPr>
                <w:rFonts w:ascii="Calibri" w:eastAsia="Calibri" w:hAnsi="Calibri" w:cs="Calibri"/>
                <w:b w:val="0"/>
                <w:color w:val="000000" w:themeColor="text1"/>
              </w:rPr>
              <w:t>% Adults</w:t>
            </w:r>
          </w:p>
        </w:tc>
        <w:tc>
          <w:tcPr>
            <w:tcW w:w="0" w:type="dxa"/>
            <w:shd w:val="clear" w:color="auto" w:fill="D9E2F3" w:themeFill="accent1" w:themeFillTint="33"/>
          </w:tcPr>
          <w:p w14:paraId="590F1C99" w14:textId="23FC1664" w:rsidR="4C08FE90" w:rsidRDefault="4C08FE90" w:rsidP="6BB48F2E">
            <w:pPr>
              <w:jc w:val="center"/>
              <w:rPr>
                <w:rFonts w:ascii="Calibri" w:eastAsia="Calibri" w:hAnsi="Calibri" w:cs="Calibri"/>
                <w:b w:val="0"/>
                <w:bCs w:val="0"/>
                <w:color w:val="000000" w:themeColor="text1"/>
              </w:rPr>
            </w:pPr>
            <w:r w:rsidRPr="4C08FE90">
              <w:rPr>
                <w:rFonts w:ascii="Calibri" w:eastAsia="Calibri" w:hAnsi="Calibri" w:cs="Calibri"/>
                <w:b w:val="0"/>
                <w:color w:val="000000" w:themeColor="text1"/>
              </w:rPr>
              <w:t>% Children</w:t>
            </w:r>
          </w:p>
        </w:tc>
      </w:tr>
      <w:tr w:rsidR="00862391" w14:paraId="15047CF1" w14:textId="77777777" w:rsidTr="05FD1449">
        <w:trPr>
          <w:cnfStyle w:val="000000100000" w:firstRow="0" w:lastRow="0" w:firstColumn="0" w:lastColumn="0" w:oddVBand="0" w:evenVBand="0" w:oddHBand="1" w:evenHBand="0" w:firstRowFirstColumn="0" w:firstRowLastColumn="0" w:lastRowFirstColumn="0" w:lastRowLastColumn="0"/>
          <w:trHeight w:val="300"/>
        </w:trPr>
        <w:tc>
          <w:tcPr>
            <w:tcW w:w="1070" w:type="dxa"/>
            <w:shd w:val="clear" w:color="auto" w:fill="D9D9D9" w:themeFill="background1" w:themeFillShade="D9"/>
            <w:vAlign w:val="center"/>
          </w:tcPr>
          <w:p w14:paraId="480238DF" w14:textId="0F6C58A6" w:rsidR="3DD4EA73" w:rsidRDefault="3DD4EA73" w:rsidP="4C08FE90">
            <w:r>
              <w:t>Accountable Care Partnership Plans (ACPP)</w:t>
            </w:r>
          </w:p>
        </w:tc>
        <w:tc>
          <w:tcPr>
            <w:tcW w:w="1360" w:type="dxa"/>
            <w:shd w:val="clear" w:color="auto" w:fill="D9D9D9" w:themeFill="background1" w:themeFillShade="D9"/>
            <w:vAlign w:val="center"/>
          </w:tcPr>
          <w:p w14:paraId="3282028C" w14:textId="14EBB6FD" w:rsidR="3DD4EA73" w:rsidRDefault="3DD4EA73" w:rsidP="4C08FE90">
            <w:r>
              <w:t>BMC Health Net Plan</w:t>
            </w:r>
          </w:p>
        </w:tc>
        <w:tc>
          <w:tcPr>
            <w:tcW w:w="0" w:type="dxa"/>
            <w:shd w:val="clear" w:color="auto" w:fill="D9D9D9" w:themeFill="background1" w:themeFillShade="D9"/>
            <w:vAlign w:val="center"/>
          </w:tcPr>
          <w:p w14:paraId="2EE70B91" w14:textId="5B0EB78C" w:rsidR="3DD4EA73" w:rsidRDefault="3DD4EA73" w:rsidP="4C08FE90">
            <w:r>
              <w:t xml:space="preserve">Boston Accountable Community Alliance </w:t>
            </w:r>
          </w:p>
        </w:tc>
        <w:tc>
          <w:tcPr>
            <w:tcW w:w="0" w:type="dxa"/>
            <w:shd w:val="clear" w:color="auto" w:fill="D9D9D9" w:themeFill="background1" w:themeFillShade="D9"/>
            <w:vAlign w:val="center"/>
          </w:tcPr>
          <w:p w14:paraId="7E4F069C" w14:textId="7AAD00C8" w:rsidR="3DD4EA73" w:rsidRDefault="3DD4EA73" w:rsidP="4C08FE90">
            <w:pPr>
              <w:jc w:val="center"/>
            </w:pPr>
            <w:r>
              <w:t>12.7%</w:t>
            </w:r>
          </w:p>
        </w:tc>
        <w:tc>
          <w:tcPr>
            <w:tcW w:w="0" w:type="dxa"/>
            <w:shd w:val="clear" w:color="auto" w:fill="D9D9D9" w:themeFill="background1" w:themeFillShade="D9"/>
            <w:vAlign w:val="center"/>
          </w:tcPr>
          <w:p w14:paraId="42F1746A" w14:textId="6BAF73A3" w:rsidR="3DD4EA73" w:rsidRDefault="3DD4EA73" w:rsidP="4C08FE90">
            <w:pPr>
              <w:jc w:val="center"/>
            </w:pPr>
            <w:r>
              <w:t>151,685</w:t>
            </w:r>
          </w:p>
        </w:tc>
        <w:tc>
          <w:tcPr>
            <w:tcW w:w="0" w:type="dxa"/>
            <w:shd w:val="clear" w:color="auto" w:fill="D9D9D9" w:themeFill="background1" w:themeFillShade="D9"/>
            <w:vAlign w:val="center"/>
          </w:tcPr>
          <w:p w14:paraId="295888E1" w14:textId="57D991CE" w:rsidR="3DD4EA73" w:rsidRDefault="3DD4EA73" w:rsidP="4C08FE90">
            <w:pPr>
              <w:jc w:val="center"/>
            </w:pPr>
            <w:r>
              <w:t>64%</w:t>
            </w:r>
          </w:p>
        </w:tc>
        <w:tc>
          <w:tcPr>
            <w:tcW w:w="0" w:type="dxa"/>
            <w:shd w:val="clear" w:color="auto" w:fill="D9D9D9" w:themeFill="background1" w:themeFillShade="D9"/>
            <w:vAlign w:val="center"/>
          </w:tcPr>
          <w:p w14:paraId="68F4D6FB" w14:textId="45C79A71" w:rsidR="3DD4EA73" w:rsidRDefault="3DD4EA73" w:rsidP="4C08FE90">
            <w:pPr>
              <w:jc w:val="center"/>
            </w:pPr>
            <w:r>
              <w:t>36%</w:t>
            </w:r>
          </w:p>
        </w:tc>
      </w:tr>
      <w:tr w:rsidR="00862391" w14:paraId="76F9D2BE" w14:textId="77777777" w:rsidTr="05FD1449">
        <w:trPr>
          <w:trHeight w:val="570"/>
        </w:trPr>
        <w:tc>
          <w:tcPr>
            <w:tcW w:w="1070" w:type="dxa"/>
            <w:shd w:val="clear" w:color="auto" w:fill="F2F2F2" w:themeFill="background1" w:themeFillShade="F2"/>
          </w:tcPr>
          <w:p w14:paraId="284C4C04" w14:textId="682AC882" w:rsidR="5699F101" w:rsidRDefault="5699F101">
            <w:r>
              <w:t>ACPP</w:t>
            </w:r>
          </w:p>
        </w:tc>
        <w:tc>
          <w:tcPr>
            <w:tcW w:w="1360" w:type="dxa"/>
            <w:shd w:val="clear" w:color="auto" w:fill="F2F2F2" w:themeFill="background1" w:themeFillShade="F2"/>
          </w:tcPr>
          <w:p w14:paraId="2795DFB4" w14:textId="14EBB6FD" w:rsidR="5699F101" w:rsidRDefault="5699F101" w:rsidP="4C08FE90">
            <w:r>
              <w:t>BMC Health Net Plan</w:t>
            </w:r>
          </w:p>
          <w:p w14:paraId="47F09B27" w14:textId="2AA52274" w:rsidR="4C08FE90" w:rsidRDefault="4C08FE90" w:rsidP="4C08FE90"/>
        </w:tc>
        <w:tc>
          <w:tcPr>
            <w:tcW w:w="2445" w:type="dxa"/>
            <w:shd w:val="clear" w:color="auto" w:fill="F2F2F2" w:themeFill="background1" w:themeFillShade="F2"/>
          </w:tcPr>
          <w:p w14:paraId="45B01D16" w14:textId="066C3081" w:rsidR="5699F101" w:rsidRDefault="5699F101">
            <w:r>
              <w:t>Mercy Medical Center</w:t>
            </w:r>
          </w:p>
        </w:tc>
        <w:tc>
          <w:tcPr>
            <w:tcW w:w="1065" w:type="dxa"/>
            <w:shd w:val="clear" w:color="auto" w:fill="F2F2F2" w:themeFill="background1" w:themeFillShade="F2"/>
            <w:vAlign w:val="center"/>
          </w:tcPr>
          <w:p w14:paraId="7E2F45AD" w14:textId="378ACAA5" w:rsidR="5699F101" w:rsidRDefault="5699F101" w:rsidP="00862391">
            <w:pPr>
              <w:jc w:val="center"/>
            </w:pPr>
            <w:r>
              <w:t>2.8%</w:t>
            </w:r>
          </w:p>
        </w:tc>
        <w:tc>
          <w:tcPr>
            <w:tcW w:w="1346" w:type="dxa"/>
            <w:shd w:val="clear" w:color="auto" w:fill="F2F2F2" w:themeFill="background1" w:themeFillShade="F2"/>
            <w:vAlign w:val="center"/>
          </w:tcPr>
          <w:p w14:paraId="60F78F2A" w14:textId="2485C55C" w:rsidR="5699F101" w:rsidRDefault="5699F101" w:rsidP="00862391">
            <w:pPr>
              <w:jc w:val="center"/>
            </w:pPr>
            <w:r>
              <w:t>33,901</w:t>
            </w:r>
          </w:p>
        </w:tc>
        <w:tc>
          <w:tcPr>
            <w:tcW w:w="971" w:type="dxa"/>
            <w:shd w:val="clear" w:color="auto" w:fill="F2F2F2" w:themeFill="background1" w:themeFillShade="F2"/>
            <w:vAlign w:val="center"/>
          </w:tcPr>
          <w:p w14:paraId="70AC7F64" w14:textId="0B38B0CB" w:rsidR="5699F101" w:rsidRDefault="5699F101" w:rsidP="00862391">
            <w:pPr>
              <w:jc w:val="center"/>
            </w:pPr>
            <w:r>
              <w:t>60%</w:t>
            </w:r>
          </w:p>
        </w:tc>
        <w:tc>
          <w:tcPr>
            <w:tcW w:w="1016" w:type="dxa"/>
            <w:shd w:val="clear" w:color="auto" w:fill="F2F2F2" w:themeFill="background1" w:themeFillShade="F2"/>
            <w:vAlign w:val="center"/>
          </w:tcPr>
          <w:p w14:paraId="31EE32FE" w14:textId="6445CE86" w:rsidR="5699F101" w:rsidRDefault="5699F101" w:rsidP="4C08FE90">
            <w:pPr>
              <w:jc w:val="center"/>
            </w:pPr>
            <w:r>
              <w:t>40%</w:t>
            </w:r>
          </w:p>
        </w:tc>
      </w:tr>
      <w:tr w:rsidR="00862391" w14:paraId="36CA28AB" w14:textId="77777777" w:rsidTr="05FD1449">
        <w:trPr>
          <w:cnfStyle w:val="000000100000" w:firstRow="0" w:lastRow="0" w:firstColumn="0" w:lastColumn="0" w:oddVBand="0" w:evenVBand="0" w:oddHBand="1" w:evenHBand="0" w:firstRowFirstColumn="0" w:firstRowLastColumn="0" w:lastRowFirstColumn="0" w:lastRowLastColumn="0"/>
          <w:trHeight w:val="300"/>
        </w:trPr>
        <w:tc>
          <w:tcPr>
            <w:tcW w:w="1070" w:type="dxa"/>
            <w:shd w:val="clear" w:color="auto" w:fill="D9D9D9" w:themeFill="background1" w:themeFillShade="D9"/>
          </w:tcPr>
          <w:p w14:paraId="21B26E43" w14:textId="65D2E374" w:rsidR="5699F101" w:rsidRDefault="5699F101">
            <w:r>
              <w:lastRenderedPageBreak/>
              <w:t>ACPP</w:t>
            </w:r>
          </w:p>
        </w:tc>
        <w:tc>
          <w:tcPr>
            <w:tcW w:w="1360" w:type="dxa"/>
            <w:shd w:val="clear" w:color="auto" w:fill="D9D9D9" w:themeFill="background1" w:themeFillShade="D9"/>
          </w:tcPr>
          <w:p w14:paraId="08A1E31B" w14:textId="2C10ADEB" w:rsidR="5699F101" w:rsidRDefault="5699F101">
            <w:r>
              <w:t>BMC Health Net Plan</w:t>
            </w:r>
          </w:p>
        </w:tc>
        <w:tc>
          <w:tcPr>
            <w:tcW w:w="0" w:type="dxa"/>
            <w:shd w:val="clear" w:color="auto" w:fill="D9D9D9" w:themeFill="background1" w:themeFillShade="D9"/>
          </w:tcPr>
          <w:p w14:paraId="51AD7BBD" w14:textId="70533036" w:rsidR="5699F101" w:rsidRDefault="5699F101">
            <w:r>
              <w:t>Signature Healthcare</w:t>
            </w:r>
          </w:p>
        </w:tc>
        <w:tc>
          <w:tcPr>
            <w:tcW w:w="0" w:type="dxa"/>
            <w:shd w:val="clear" w:color="auto" w:fill="D9D9D9" w:themeFill="background1" w:themeFillShade="D9"/>
            <w:vAlign w:val="center"/>
          </w:tcPr>
          <w:p w14:paraId="0790041A" w14:textId="33EA9BA9" w:rsidR="5699F101" w:rsidRDefault="5699F101" w:rsidP="4C08FE90">
            <w:pPr>
              <w:jc w:val="center"/>
            </w:pPr>
            <w:r>
              <w:t>2.0%</w:t>
            </w:r>
          </w:p>
        </w:tc>
        <w:tc>
          <w:tcPr>
            <w:tcW w:w="0" w:type="dxa"/>
            <w:shd w:val="clear" w:color="auto" w:fill="D9D9D9" w:themeFill="background1" w:themeFillShade="D9"/>
            <w:vAlign w:val="center"/>
          </w:tcPr>
          <w:p w14:paraId="11A13B15" w14:textId="677E534C" w:rsidR="5699F101" w:rsidRDefault="5699F101" w:rsidP="4C08FE90">
            <w:pPr>
              <w:jc w:val="center"/>
            </w:pPr>
            <w:r>
              <w:t>24,218</w:t>
            </w:r>
          </w:p>
        </w:tc>
        <w:tc>
          <w:tcPr>
            <w:tcW w:w="0" w:type="dxa"/>
            <w:shd w:val="clear" w:color="auto" w:fill="D9D9D9" w:themeFill="background1" w:themeFillShade="D9"/>
            <w:vAlign w:val="center"/>
          </w:tcPr>
          <w:p w14:paraId="031F6EAE" w14:textId="1FDEA0C9" w:rsidR="5699F101" w:rsidRDefault="5699F101" w:rsidP="4C08FE90">
            <w:pPr>
              <w:jc w:val="center"/>
            </w:pPr>
            <w:r>
              <w:t>65%</w:t>
            </w:r>
          </w:p>
        </w:tc>
        <w:tc>
          <w:tcPr>
            <w:tcW w:w="0" w:type="dxa"/>
            <w:shd w:val="clear" w:color="auto" w:fill="D9D9D9" w:themeFill="background1" w:themeFillShade="D9"/>
            <w:vAlign w:val="center"/>
          </w:tcPr>
          <w:p w14:paraId="18DBD8F0" w14:textId="37B95C0C" w:rsidR="5699F101" w:rsidRDefault="5699F101" w:rsidP="4C08FE90">
            <w:pPr>
              <w:jc w:val="center"/>
            </w:pPr>
            <w:r>
              <w:t>35%</w:t>
            </w:r>
          </w:p>
        </w:tc>
      </w:tr>
      <w:tr w:rsidR="00862391" w14:paraId="1BE862B8" w14:textId="77777777" w:rsidTr="05FD1449">
        <w:trPr>
          <w:trHeight w:val="300"/>
        </w:trPr>
        <w:tc>
          <w:tcPr>
            <w:tcW w:w="1070" w:type="dxa"/>
            <w:shd w:val="clear" w:color="auto" w:fill="F2F2F2" w:themeFill="background1" w:themeFillShade="F2"/>
          </w:tcPr>
          <w:p w14:paraId="78154177" w14:textId="4E6D39C7" w:rsidR="5699F101" w:rsidRDefault="5699F101">
            <w:r>
              <w:t>ACPP</w:t>
            </w:r>
          </w:p>
        </w:tc>
        <w:tc>
          <w:tcPr>
            <w:tcW w:w="1360" w:type="dxa"/>
            <w:shd w:val="clear" w:color="auto" w:fill="F2F2F2" w:themeFill="background1" w:themeFillShade="F2"/>
          </w:tcPr>
          <w:p w14:paraId="33D3669B" w14:textId="176C548D" w:rsidR="5699F101" w:rsidRDefault="5699F101">
            <w:r>
              <w:t>BMC Health Net Plan</w:t>
            </w:r>
          </w:p>
        </w:tc>
        <w:tc>
          <w:tcPr>
            <w:tcW w:w="0" w:type="dxa"/>
            <w:shd w:val="clear" w:color="auto" w:fill="F2F2F2" w:themeFill="background1" w:themeFillShade="F2"/>
          </w:tcPr>
          <w:p w14:paraId="12006BC2" w14:textId="71272AD9" w:rsidR="5699F101" w:rsidRDefault="5699F101">
            <w:r>
              <w:t xml:space="preserve">Southcoast Health </w:t>
            </w:r>
          </w:p>
        </w:tc>
        <w:tc>
          <w:tcPr>
            <w:tcW w:w="0" w:type="dxa"/>
            <w:shd w:val="clear" w:color="auto" w:fill="F2F2F2" w:themeFill="background1" w:themeFillShade="F2"/>
            <w:vAlign w:val="center"/>
          </w:tcPr>
          <w:p w14:paraId="26C021D9" w14:textId="0333D5A6" w:rsidR="5699F101" w:rsidRDefault="5699F101" w:rsidP="00862391">
            <w:pPr>
              <w:jc w:val="center"/>
            </w:pPr>
            <w:r>
              <w:t>1.8%</w:t>
            </w:r>
          </w:p>
        </w:tc>
        <w:tc>
          <w:tcPr>
            <w:tcW w:w="0" w:type="dxa"/>
            <w:shd w:val="clear" w:color="auto" w:fill="F2F2F2" w:themeFill="background1" w:themeFillShade="F2"/>
            <w:vAlign w:val="center"/>
          </w:tcPr>
          <w:p w14:paraId="692DFF9B" w14:textId="17D5F043" w:rsidR="5699F101" w:rsidRDefault="5699F101" w:rsidP="00862391">
            <w:pPr>
              <w:jc w:val="center"/>
            </w:pPr>
            <w:r>
              <w:t>21,138</w:t>
            </w:r>
          </w:p>
        </w:tc>
        <w:tc>
          <w:tcPr>
            <w:tcW w:w="0" w:type="dxa"/>
            <w:shd w:val="clear" w:color="auto" w:fill="F2F2F2" w:themeFill="background1" w:themeFillShade="F2"/>
            <w:vAlign w:val="center"/>
          </w:tcPr>
          <w:p w14:paraId="6136946A" w14:textId="39A50B2D" w:rsidR="5699F101" w:rsidRDefault="5699F101" w:rsidP="00862391">
            <w:pPr>
              <w:jc w:val="center"/>
            </w:pPr>
            <w:r>
              <w:t>74%</w:t>
            </w:r>
          </w:p>
        </w:tc>
        <w:tc>
          <w:tcPr>
            <w:tcW w:w="0" w:type="dxa"/>
            <w:shd w:val="clear" w:color="auto" w:fill="F2F2F2" w:themeFill="background1" w:themeFillShade="F2"/>
            <w:vAlign w:val="center"/>
          </w:tcPr>
          <w:p w14:paraId="6A79C792" w14:textId="2CF96BD3" w:rsidR="5699F101" w:rsidRDefault="5699F101" w:rsidP="00862391">
            <w:pPr>
              <w:jc w:val="center"/>
            </w:pPr>
            <w:r>
              <w:t>26%</w:t>
            </w:r>
          </w:p>
        </w:tc>
      </w:tr>
      <w:tr w:rsidR="00862391" w14:paraId="5AE77DEF" w14:textId="77777777" w:rsidTr="05FD1449">
        <w:trPr>
          <w:cnfStyle w:val="000000100000" w:firstRow="0" w:lastRow="0" w:firstColumn="0" w:lastColumn="0" w:oddVBand="0" w:evenVBand="0" w:oddHBand="1" w:evenHBand="0" w:firstRowFirstColumn="0" w:firstRowLastColumn="0" w:lastRowFirstColumn="0" w:lastRowLastColumn="0"/>
          <w:trHeight w:val="300"/>
        </w:trPr>
        <w:tc>
          <w:tcPr>
            <w:tcW w:w="1070" w:type="dxa"/>
            <w:shd w:val="clear" w:color="auto" w:fill="D9D9D9" w:themeFill="background1" w:themeFillShade="D9"/>
          </w:tcPr>
          <w:p w14:paraId="7AEDF611" w14:textId="1D1BBD3F" w:rsidR="5699F101" w:rsidRDefault="5699F101">
            <w:r>
              <w:t>ACPP</w:t>
            </w:r>
          </w:p>
        </w:tc>
        <w:tc>
          <w:tcPr>
            <w:tcW w:w="1360" w:type="dxa"/>
            <w:shd w:val="clear" w:color="auto" w:fill="D9D9D9" w:themeFill="background1" w:themeFillShade="D9"/>
          </w:tcPr>
          <w:p w14:paraId="5060870D" w14:textId="58E6F81C" w:rsidR="5699F101" w:rsidRDefault="5699F101">
            <w:r>
              <w:t>Fallon Health</w:t>
            </w:r>
          </w:p>
        </w:tc>
        <w:tc>
          <w:tcPr>
            <w:tcW w:w="0" w:type="dxa"/>
            <w:shd w:val="clear" w:color="auto" w:fill="D9D9D9" w:themeFill="background1" w:themeFillShade="D9"/>
          </w:tcPr>
          <w:p w14:paraId="443A8F7C" w14:textId="74F277B6" w:rsidR="5699F101" w:rsidRDefault="5699F101">
            <w:r>
              <w:t>Health Collaborative of the Berkshires</w:t>
            </w:r>
          </w:p>
        </w:tc>
        <w:tc>
          <w:tcPr>
            <w:tcW w:w="0" w:type="dxa"/>
            <w:shd w:val="clear" w:color="auto" w:fill="D9D9D9" w:themeFill="background1" w:themeFillShade="D9"/>
            <w:vAlign w:val="center"/>
          </w:tcPr>
          <w:p w14:paraId="5B7E9C7A" w14:textId="52EE3A49" w:rsidR="5699F101" w:rsidRDefault="5699F101" w:rsidP="00862391">
            <w:pPr>
              <w:jc w:val="center"/>
            </w:pPr>
            <w:r>
              <w:t>1.8%</w:t>
            </w:r>
          </w:p>
        </w:tc>
        <w:tc>
          <w:tcPr>
            <w:tcW w:w="0" w:type="dxa"/>
            <w:shd w:val="clear" w:color="auto" w:fill="D9D9D9" w:themeFill="background1" w:themeFillShade="D9"/>
            <w:vAlign w:val="center"/>
          </w:tcPr>
          <w:p w14:paraId="0E586D5E" w14:textId="7256F564" w:rsidR="5699F101" w:rsidRDefault="5699F101" w:rsidP="00862391">
            <w:pPr>
              <w:jc w:val="center"/>
            </w:pPr>
            <w:r>
              <w:t>21,015</w:t>
            </w:r>
          </w:p>
        </w:tc>
        <w:tc>
          <w:tcPr>
            <w:tcW w:w="0" w:type="dxa"/>
            <w:shd w:val="clear" w:color="auto" w:fill="D9D9D9" w:themeFill="background1" w:themeFillShade="D9"/>
            <w:vAlign w:val="center"/>
          </w:tcPr>
          <w:p w14:paraId="7F1040B9" w14:textId="7F0BC0A8" w:rsidR="5699F101" w:rsidRDefault="5699F101" w:rsidP="00862391">
            <w:pPr>
              <w:jc w:val="center"/>
            </w:pPr>
            <w:r>
              <w:t>75%</w:t>
            </w:r>
          </w:p>
        </w:tc>
        <w:tc>
          <w:tcPr>
            <w:tcW w:w="0" w:type="dxa"/>
            <w:shd w:val="clear" w:color="auto" w:fill="D9D9D9" w:themeFill="background1" w:themeFillShade="D9"/>
            <w:vAlign w:val="center"/>
          </w:tcPr>
          <w:p w14:paraId="55931C6A" w14:textId="1A119F20" w:rsidR="5699F101" w:rsidRDefault="5699F101" w:rsidP="00862391">
            <w:pPr>
              <w:jc w:val="center"/>
            </w:pPr>
            <w:r>
              <w:t>25%</w:t>
            </w:r>
          </w:p>
        </w:tc>
      </w:tr>
      <w:tr w:rsidR="00862391" w14:paraId="31347BE1" w14:textId="77777777" w:rsidTr="05FD1449">
        <w:trPr>
          <w:trHeight w:val="300"/>
        </w:trPr>
        <w:tc>
          <w:tcPr>
            <w:tcW w:w="1070" w:type="dxa"/>
            <w:shd w:val="clear" w:color="auto" w:fill="F2F2F2" w:themeFill="background1" w:themeFillShade="F2"/>
          </w:tcPr>
          <w:p w14:paraId="21643C98" w14:textId="3A6970F2" w:rsidR="5699F101" w:rsidRDefault="5699F101">
            <w:r>
              <w:t>ACPP</w:t>
            </w:r>
          </w:p>
        </w:tc>
        <w:tc>
          <w:tcPr>
            <w:tcW w:w="1360" w:type="dxa"/>
            <w:shd w:val="clear" w:color="auto" w:fill="F2F2F2" w:themeFill="background1" w:themeFillShade="F2"/>
          </w:tcPr>
          <w:p w14:paraId="0B048286" w14:textId="44D4E9B5" w:rsidR="5699F101" w:rsidRDefault="5699F101">
            <w:r>
              <w:t>Fallon Health</w:t>
            </w:r>
          </w:p>
        </w:tc>
        <w:tc>
          <w:tcPr>
            <w:tcW w:w="0" w:type="dxa"/>
            <w:shd w:val="clear" w:color="auto" w:fill="F2F2F2" w:themeFill="background1" w:themeFillShade="F2"/>
          </w:tcPr>
          <w:p w14:paraId="4207F554" w14:textId="31238C03" w:rsidR="5699F101" w:rsidRDefault="5699F101">
            <w:r>
              <w:t>Reliant Medical Group</w:t>
            </w:r>
          </w:p>
        </w:tc>
        <w:tc>
          <w:tcPr>
            <w:tcW w:w="0" w:type="dxa"/>
            <w:shd w:val="clear" w:color="auto" w:fill="F2F2F2" w:themeFill="background1" w:themeFillShade="F2"/>
            <w:vAlign w:val="center"/>
          </w:tcPr>
          <w:p w14:paraId="3E9EE245" w14:textId="6BC3F26D" w:rsidR="5699F101" w:rsidRDefault="5699F101" w:rsidP="00862391">
            <w:pPr>
              <w:jc w:val="center"/>
            </w:pPr>
            <w:r>
              <w:t>3.4%</w:t>
            </w:r>
          </w:p>
        </w:tc>
        <w:tc>
          <w:tcPr>
            <w:tcW w:w="0" w:type="dxa"/>
            <w:shd w:val="clear" w:color="auto" w:fill="F2F2F2" w:themeFill="background1" w:themeFillShade="F2"/>
            <w:vAlign w:val="center"/>
          </w:tcPr>
          <w:p w14:paraId="3F43B01D" w14:textId="0A7F99DC" w:rsidR="5699F101" w:rsidRDefault="5699F101" w:rsidP="00862391">
            <w:pPr>
              <w:jc w:val="center"/>
            </w:pPr>
            <w:r>
              <w:t>40,904</w:t>
            </w:r>
          </w:p>
        </w:tc>
        <w:tc>
          <w:tcPr>
            <w:tcW w:w="0" w:type="dxa"/>
            <w:shd w:val="clear" w:color="auto" w:fill="F2F2F2" w:themeFill="background1" w:themeFillShade="F2"/>
            <w:vAlign w:val="center"/>
          </w:tcPr>
          <w:p w14:paraId="3BD856B0" w14:textId="166AA639" w:rsidR="5699F101" w:rsidRDefault="5699F101" w:rsidP="00862391">
            <w:pPr>
              <w:jc w:val="center"/>
            </w:pPr>
            <w:r>
              <w:t>48%</w:t>
            </w:r>
          </w:p>
        </w:tc>
        <w:tc>
          <w:tcPr>
            <w:tcW w:w="0" w:type="dxa"/>
            <w:shd w:val="clear" w:color="auto" w:fill="F2F2F2" w:themeFill="background1" w:themeFillShade="F2"/>
            <w:vAlign w:val="center"/>
          </w:tcPr>
          <w:p w14:paraId="236FB5C4" w14:textId="54822431" w:rsidR="5699F101" w:rsidRDefault="5699F101" w:rsidP="00862391">
            <w:pPr>
              <w:jc w:val="center"/>
            </w:pPr>
            <w:r>
              <w:t>52%</w:t>
            </w:r>
          </w:p>
        </w:tc>
      </w:tr>
      <w:tr w:rsidR="00862391" w14:paraId="43B1A351" w14:textId="77777777" w:rsidTr="05FD1449">
        <w:trPr>
          <w:cnfStyle w:val="000000100000" w:firstRow="0" w:lastRow="0" w:firstColumn="0" w:lastColumn="0" w:oddVBand="0" w:evenVBand="0" w:oddHBand="1" w:evenHBand="0" w:firstRowFirstColumn="0" w:firstRowLastColumn="0" w:lastRowFirstColumn="0" w:lastRowLastColumn="0"/>
          <w:trHeight w:val="300"/>
        </w:trPr>
        <w:tc>
          <w:tcPr>
            <w:tcW w:w="1070" w:type="dxa"/>
            <w:shd w:val="clear" w:color="auto" w:fill="D9D9D9" w:themeFill="background1" w:themeFillShade="D9"/>
          </w:tcPr>
          <w:p w14:paraId="0258D042" w14:textId="2DBE0737" w:rsidR="5699F101" w:rsidRDefault="5699F101">
            <w:r>
              <w:t>ACPP</w:t>
            </w:r>
          </w:p>
        </w:tc>
        <w:tc>
          <w:tcPr>
            <w:tcW w:w="1360" w:type="dxa"/>
            <w:shd w:val="clear" w:color="auto" w:fill="D9D9D9" w:themeFill="background1" w:themeFillShade="D9"/>
          </w:tcPr>
          <w:p w14:paraId="1BF25919" w14:textId="7B8267B3" w:rsidR="5699F101" w:rsidRDefault="5699F101">
            <w:r>
              <w:t>Fallon Health</w:t>
            </w:r>
          </w:p>
        </w:tc>
        <w:tc>
          <w:tcPr>
            <w:tcW w:w="0" w:type="dxa"/>
            <w:shd w:val="clear" w:color="auto" w:fill="D9D9D9" w:themeFill="background1" w:themeFillShade="D9"/>
          </w:tcPr>
          <w:p w14:paraId="1F21A10D" w14:textId="006D5EB9" w:rsidR="5699F101" w:rsidRDefault="5699F101">
            <w:proofErr w:type="spellStart"/>
            <w:r>
              <w:t>Wellforce</w:t>
            </w:r>
            <w:proofErr w:type="spellEnd"/>
          </w:p>
        </w:tc>
        <w:tc>
          <w:tcPr>
            <w:tcW w:w="0" w:type="dxa"/>
            <w:shd w:val="clear" w:color="auto" w:fill="D9D9D9" w:themeFill="background1" w:themeFillShade="D9"/>
            <w:vAlign w:val="center"/>
          </w:tcPr>
          <w:p w14:paraId="6F733290" w14:textId="0AD6DD3F" w:rsidR="5699F101" w:rsidRDefault="5699F101" w:rsidP="4C08FE90">
            <w:pPr>
              <w:jc w:val="center"/>
            </w:pPr>
            <w:r>
              <w:t>5.2%</w:t>
            </w:r>
          </w:p>
        </w:tc>
        <w:tc>
          <w:tcPr>
            <w:tcW w:w="0" w:type="dxa"/>
            <w:shd w:val="clear" w:color="auto" w:fill="D9D9D9" w:themeFill="background1" w:themeFillShade="D9"/>
            <w:vAlign w:val="center"/>
          </w:tcPr>
          <w:p w14:paraId="345F45A3" w14:textId="17C5FB1F" w:rsidR="5699F101" w:rsidRDefault="5699F101" w:rsidP="4C08FE90">
            <w:pPr>
              <w:jc w:val="center"/>
            </w:pPr>
            <w:r>
              <w:t>61,670</w:t>
            </w:r>
          </w:p>
        </w:tc>
        <w:tc>
          <w:tcPr>
            <w:tcW w:w="0" w:type="dxa"/>
            <w:shd w:val="clear" w:color="auto" w:fill="D9D9D9" w:themeFill="background1" w:themeFillShade="D9"/>
            <w:vAlign w:val="center"/>
          </w:tcPr>
          <w:p w14:paraId="434A1EF2" w14:textId="443F086C" w:rsidR="5699F101" w:rsidRDefault="5699F101" w:rsidP="4C08FE90">
            <w:pPr>
              <w:jc w:val="center"/>
            </w:pPr>
            <w:r>
              <w:t>58%</w:t>
            </w:r>
          </w:p>
        </w:tc>
        <w:tc>
          <w:tcPr>
            <w:tcW w:w="0" w:type="dxa"/>
            <w:shd w:val="clear" w:color="auto" w:fill="D9D9D9" w:themeFill="background1" w:themeFillShade="D9"/>
            <w:vAlign w:val="center"/>
          </w:tcPr>
          <w:p w14:paraId="749E2293" w14:textId="1A10579C" w:rsidR="5699F101" w:rsidRDefault="5699F101" w:rsidP="4C08FE90">
            <w:pPr>
              <w:jc w:val="center"/>
            </w:pPr>
            <w:r>
              <w:t>42%</w:t>
            </w:r>
          </w:p>
        </w:tc>
      </w:tr>
      <w:tr w:rsidR="00862391" w14:paraId="2AF879B1" w14:textId="77777777" w:rsidTr="05FD1449">
        <w:trPr>
          <w:trHeight w:val="300"/>
        </w:trPr>
        <w:tc>
          <w:tcPr>
            <w:tcW w:w="1070" w:type="dxa"/>
            <w:shd w:val="clear" w:color="auto" w:fill="F2F2F2" w:themeFill="background1" w:themeFillShade="F2"/>
          </w:tcPr>
          <w:p w14:paraId="260494C1" w14:textId="345B3574" w:rsidR="7E865222" w:rsidRDefault="7E865222">
            <w:r>
              <w:t>ACPP</w:t>
            </w:r>
          </w:p>
        </w:tc>
        <w:tc>
          <w:tcPr>
            <w:tcW w:w="1360" w:type="dxa"/>
            <w:shd w:val="clear" w:color="auto" w:fill="F2F2F2" w:themeFill="background1" w:themeFillShade="F2"/>
          </w:tcPr>
          <w:p w14:paraId="4C7173DC" w14:textId="493E756C" w:rsidR="7E865222" w:rsidRDefault="7E865222">
            <w:r>
              <w:t xml:space="preserve">Health New England </w:t>
            </w:r>
          </w:p>
        </w:tc>
        <w:tc>
          <w:tcPr>
            <w:tcW w:w="0" w:type="dxa"/>
            <w:shd w:val="clear" w:color="auto" w:fill="F2F2F2" w:themeFill="background1" w:themeFillShade="F2"/>
          </w:tcPr>
          <w:p w14:paraId="4AE000CA" w14:textId="5142966E" w:rsidR="7E865222" w:rsidRDefault="7E865222">
            <w:r>
              <w:t xml:space="preserve">Baystate Health Care Alliance </w:t>
            </w:r>
          </w:p>
        </w:tc>
        <w:tc>
          <w:tcPr>
            <w:tcW w:w="0" w:type="dxa"/>
            <w:shd w:val="clear" w:color="auto" w:fill="F2F2F2" w:themeFill="background1" w:themeFillShade="F2"/>
            <w:vAlign w:val="center"/>
          </w:tcPr>
          <w:p w14:paraId="6F13CEF2" w14:textId="1FC2433E" w:rsidR="7E865222" w:rsidRDefault="2513D7E1" w:rsidP="047AFE96">
            <w:pPr>
              <w:jc w:val="center"/>
            </w:pPr>
            <w:r>
              <w:t>4.0%</w:t>
            </w:r>
          </w:p>
        </w:tc>
        <w:tc>
          <w:tcPr>
            <w:tcW w:w="0" w:type="dxa"/>
            <w:shd w:val="clear" w:color="auto" w:fill="F2F2F2" w:themeFill="background1" w:themeFillShade="F2"/>
            <w:vAlign w:val="center"/>
          </w:tcPr>
          <w:p w14:paraId="4D7A541E" w14:textId="0C3EB016" w:rsidR="7E865222" w:rsidRDefault="2513D7E1" w:rsidP="047AFE96">
            <w:pPr>
              <w:jc w:val="center"/>
            </w:pPr>
            <w:r>
              <w:t>47,973</w:t>
            </w:r>
          </w:p>
        </w:tc>
        <w:tc>
          <w:tcPr>
            <w:tcW w:w="0" w:type="dxa"/>
            <w:shd w:val="clear" w:color="auto" w:fill="F2F2F2" w:themeFill="background1" w:themeFillShade="F2"/>
            <w:vAlign w:val="center"/>
          </w:tcPr>
          <w:p w14:paraId="3BE93D65" w14:textId="0168A4B9" w:rsidR="7E865222" w:rsidRDefault="2513D7E1" w:rsidP="047AFE96">
            <w:pPr>
              <w:jc w:val="center"/>
            </w:pPr>
            <w:r>
              <w:t>58%</w:t>
            </w:r>
          </w:p>
        </w:tc>
        <w:tc>
          <w:tcPr>
            <w:tcW w:w="0" w:type="dxa"/>
            <w:shd w:val="clear" w:color="auto" w:fill="F2F2F2" w:themeFill="background1" w:themeFillShade="F2"/>
            <w:vAlign w:val="center"/>
          </w:tcPr>
          <w:p w14:paraId="1EE43EF9" w14:textId="3AE18EF4" w:rsidR="7E865222" w:rsidRDefault="2513D7E1" w:rsidP="047AFE96">
            <w:pPr>
              <w:jc w:val="center"/>
            </w:pPr>
            <w:r>
              <w:t>42%</w:t>
            </w:r>
          </w:p>
        </w:tc>
      </w:tr>
      <w:tr w:rsidR="00862391" w14:paraId="6FC45A0D" w14:textId="77777777" w:rsidTr="05FD1449">
        <w:trPr>
          <w:cnfStyle w:val="000000100000" w:firstRow="0" w:lastRow="0" w:firstColumn="0" w:lastColumn="0" w:oddVBand="0" w:evenVBand="0" w:oddHBand="1" w:evenHBand="0" w:firstRowFirstColumn="0" w:firstRowLastColumn="0" w:lastRowFirstColumn="0" w:lastRowLastColumn="0"/>
          <w:trHeight w:val="300"/>
        </w:trPr>
        <w:tc>
          <w:tcPr>
            <w:tcW w:w="1070" w:type="dxa"/>
            <w:shd w:val="clear" w:color="auto" w:fill="D9D9D9" w:themeFill="background1" w:themeFillShade="D9"/>
          </w:tcPr>
          <w:p w14:paraId="156225FD" w14:textId="7D58B119" w:rsidR="7E865222" w:rsidRDefault="7E865222">
            <w:r>
              <w:t>ACPP</w:t>
            </w:r>
          </w:p>
        </w:tc>
        <w:tc>
          <w:tcPr>
            <w:tcW w:w="1360" w:type="dxa"/>
            <w:shd w:val="clear" w:color="auto" w:fill="D9D9D9" w:themeFill="background1" w:themeFillShade="D9"/>
          </w:tcPr>
          <w:p w14:paraId="14AD0EAF" w14:textId="780101CA" w:rsidR="7E865222" w:rsidRDefault="7E865222">
            <w:r>
              <w:t>Always Health Plan</w:t>
            </w:r>
          </w:p>
        </w:tc>
        <w:tc>
          <w:tcPr>
            <w:tcW w:w="0" w:type="dxa"/>
            <w:shd w:val="clear" w:color="auto" w:fill="D9D9D9" w:themeFill="background1" w:themeFillShade="D9"/>
          </w:tcPr>
          <w:p w14:paraId="3E6135EA" w14:textId="3C4E244C" w:rsidR="7E865222" w:rsidRDefault="7E865222">
            <w:r>
              <w:t>Merrimack Valley ACO</w:t>
            </w:r>
          </w:p>
        </w:tc>
        <w:tc>
          <w:tcPr>
            <w:tcW w:w="0" w:type="dxa"/>
            <w:shd w:val="clear" w:color="auto" w:fill="D9D9D9" w:themeFill="background1" w:themeFillShade="D9"/>
            <w:vAlign w:val="center"/>
          </w:tcPr>
          <w:p w14:paraId="4FFEEB55" w14:textId="16C279D0" w:rsidR="7E865222" w:rsidRDefault="2513D7E1" w:rsidP="00862391">
            <w:pPr>
              <w:jc w:val="center"/>
            </w:pPr>
            <w:r>
              <w:t>3.7%</w:t>
            </w:r>
          </w:p>
        </w:tc>
        <w:tc>
          <w:tcPr>
            <w:tcW w:w="0" w:type="dxa"/>
            <w:shd w:val="clear" w:color="auto" w:fill="D9D9D9" w:themeFill="background1" w:themeFillShade="D9"/>
            <w:vAlign w:val="center"/>
          </w:tcPr>
          <w:p w14:paraId="0E10AB59" w14:textId="65274F30" w:rsidR="7E865222" w:rsidRDefault="2513D7E1" w:rsidP="00862391">
            <w:pPr>
              <w:jc w:val="center"/>
            </w:pPr>
            <w:r>
              <w:t>43,893</w:t>
            </w:r>
          </w:p>
        </w:tc>
        <w:tc>
          <w:tcPr>
            <w:tcW w:w="0" w:type="dxa"/>
            <w:shd w:val="clear" w:color="auto" w:fill="D9D9D9" w:themeFill="background1" w:themeFillShade="D9"/>
            <w:vAlign w:val="center"/>
          </w:tcPr>
          <w:p w14:paraId="65F88D30" w14:textId="3346A445" w:rsidR="7E865222" w:rsidRDefault="2513D7E1" w:rsidP="00862391">
            <w:pPr>
              <w:jc w:val="center"/>
            </w:pPr>
            <w:r>
              <w:t>57%</w:t>
            </w:r>
          </w:p>
        </w:tc>
        <w:tc>
          <w:tcPr>
            <w:tcW w:w="0" w:type="dxa"/>
            <w:shd w:val="clear" w:color="auto" w:fill="D9D9D9" w:themeFill="background1" w:themeFillShade="D9"/>
            <w:vAlign w:val="center"/>
          </w:tcPr>
          <w:p w14:paraId="76700269" w14:textId="3B15577A" w:rsidR="7E865222" w:rsidRDefault="2513D7E1" w:rsidP="00862391">
            <w:pPr>
              <w:jc w:val="center"/>
            </w:pPr>
            <w:r>
              <w:t>43%</w:t>
            </w:r>
          </w:p>
        </w:tc>
      </w:tr>
      <w:tr w:rsidR="00862391" w14:paraId="7343286D" w14:textId="77777777" w:rsidTr="05FD1449">
        <w:trPr>
          <w:trHeight w:val="300"/>
        </w:trPr>
        <w:tc>
          <w:tcPr>
            <w:tcW w:w="1070" w:type="dxa"/>
            <w:shd w:val="clear" w:color="auto" w:fill="F2F2F2" w:themeFill="background1" w:themeFillShade="F2"/>
          </w:tcPr>
          <w:p w14:paraId="49D260AA" w14:textId="5A5D7186" w:rsidR="7E865222" w:rsidRDefault="7E865222">
            <w:r>
              <w:t>ACPP</w:t>
            </w:r>
          </w:p>
        </w:tc>
        <w:tc>
          <w:tcPr>
            <w:tcW w:w="1360" w:type="dxa"/>
            <w:shd w:val="clear" w:color="auto" w:fill="F2F2F2" w:themeFill="background1" w:themeFillShade="F2"/>
          </w:tcPr>
          <w:p w14:paraId="21EC9B2D" w14:textId="768552A2" w:rsidR="7E865222" w:rsidRDefault="7E865222">
            <w:r>
              <w:t>Tufts Public Plans</w:t>
            </w:r>
          </w:p>
        </w:tc>
        <w:tc>
          <w:tcPr>
            <w:tcW w:w="0" w:type="dxa"/>
            <w:shd w:val="clear" w:color="auto" w:fill="F2F2F2" w:themeFill="background1" w:themeFillShade="F2"/>
          </w:tcPr>
          <w:p w14:paraId="39CEA4D3" w14:textId="115F96D6" w:rsidR="7E865222" w:rsidRDefault="2513D7E1">
            <w:r>
              <w:t>Atrius Health</w:t>
            </w:r>
          </w:p>
        </w:tc>
        <w:tc>
          <w:tcPr>
            <w:tcW w:w="0" w:type="dxa"/>
            <w:shd w:val="clear" w:color="auto" w:fill="F2F2F2" w:themeFill="background1" w:themeFillShade="F2"/>
            <w:vAlign w:val="center"/>
          </w:tcPr>
          <w:p w14:paraId="5DB89BFA" w14:textId="0BC36B84" w:rsidR="4D17378C" w:rsidRDefault="7F0576FB" w:rsidP="00862391">
            <w:pPr>
              <w:jc w:val="center"/>
            </w:pPr>
            <w:r>
              <w:t>3.6%</w:t>
            </w:r>
          </w:p>
        </w:tc>
        <w:tc>
          <w:tcPr>
            <w:tcW w:w="0" w:type="dxa"/>
            <w:shd w:val="clear" w:color="auto" w:fill="F2F2F2" w:themeFill="background1" w:themeFillShade="F2"/>
            <w:vAlign w:val="center"/>
          </w:tcPr>
          <w:p w14:paraId="19886A5C" w14:textId="0B8317EF" w:rsidR="49293ABB" w:rsidRDefault="29249D40" w:rsidP="00862391">
            <w:pPr>
              <w:jc w:val="center"/>
            </w:pPr>
            <w:r>
              <w:t>43,293</w:t>
            </w:r>
          </w:p>
        </w:tc>
        <w:tc>
          <w:tcPr>
            <w:tcW w:w="0" w:type="dxa"/>
            <w:shd w:val="clear" w:color="auto" w:fill="F2F2F2" w:themeFill="background1" w:themeFillShade="F2"/>
            <w:vAlign w:val="center"/>
          </w:tcPr>
          <w:p w14:paraId="3BB34776" w14:textId="5040C3E1" w:rsidR="382A8266" w:rsidRDefault="1A5BF28F" w:rsidP="00862391">
            <w:pPr>
              <w:jc w:val="center"/>
            </w:pPr>
            <w:r>
              <w:t>56%</w:t>
            </w:r>
          </w:p>
        </w:tc>
        <w:tc>
          <w:tcPr>
            <w:tcW w:w="0" w:type="dxa"/>
            <w:shd w:val="clear" w:color="auto" w:fill="F2F2F2" w:themeFill="background1" w:themeFillShade="F2"/>
            <w:vAlign w:val="center"/>
          </w:tcPr>
          <w:p w14:paraId="65AACCB2" w14:textId="6BAE78E4" w:rsidR="026A8F8D" w:rsidRDefault="2227CED1" w:rsidP="00862391">
            <w:pPr>
              <w:jc w:val="center"/>
            </w:pPr>
            <w:r>
              <w:t>44%</w:t>
            </w:r>
          </w:p>
        </w:tc>
      </w:tr>
      <w:tr w:rsidR="00862391" w14:paraId="5FB16B86" w14:textId="77777777" w:rsidTr="05FD1449">
        <w:trPr>
          <w:cnfStyle w:val="000000100000" w:firstRow="0" w:lastRow="0" w:firstColumn="0" w:lastColumn="0" w:oddVBand="0" w:evenVBand="0" w:oddHBand="1" w:evenHBand="0" w:firstRowFirstColumn="0" w:firstRowLastColumn="0" w:lastRowFirstColumn="0" w:lastRowLastColumn="0"/>
          <w:trHeight w:val="300"/>
        </w:trPr>
        <w:tc>
          <w:tcPr>
            <w:tcW w:w="1070" w:type="dxa"/>
            <w:shd w:val="clear" w:color="auto" w:fill="D9D9D9" w:themeFill="background1" w:themeFillShade="D9"/>
          </w:tcPr>
          <w:p w14:paraId="497FD65A" w14:textId="4A207EEE" w:rsidR="7E865222" w:rsidRDefault="2513D7E1">
            <w:r>
              <w:t>ACPP</w:t>
            </w:r>
          </w:p>
        </w:tc>
        <w:tc>
          <w:tcPr>
            <w:tcW w:w="1360" w:type="dxa"/>
            <w:shd w:val="clear" w:color="auto" w:fill="D9D9D9" w:themeFill="background1" w:themeFillShade="D9"/>
          </w:tcPr>
          <w:p w14:paraId="2485902B" w14:textId="12954574" w:rsidR="7E865222" w:rsidRDefault="2513D7E1">
            <w:r>
              <w:t>Tufts Public Plans</w:t>
            </w:r>
          </w:p>
        </w:tc>
        <w:tc>
          <w:tcPr>
            <w:tcW w:w="0" w:type="dxa"/>
            <w:shd w:val="clear" w:color="auto" w:fill="D9D9D9" w:themeFill="background1" w:themeFillShade="D9"/>
          </w:tcPr>
          <w:p w14:paraId="51019270" w14:textId="231C70EE" w:rsidR="1D001A20" w:rsidRDefault="0095AE74">
            <w:r>
              <w:t>Boston Children’s Health ACO</w:t>
            </w:r>
          </w:p>
        </w:tc>
        <w:tc>
          <w:tcPr>
            <w:tcW w:w="0" w:type="dxa"/>
            <w:shd w:val="clear" w:color="auto" w:fill="D9D9D9" w:themeFill="background1" w:themeFillShade="D9"/>
            <w:vAlign w:val="center"/>
          </w:tcPr>
          <w:p w14:paraId="4E21DBF7" w14:textId="44C7C260" w:rsidR="5CE2633D" w:rsidRDefault="68D9AB69" w:rsidP="00862391">
            <w:pPr>
              <w:jc w:val="center"/>
            </w:pPr>
            <w:r>
              <w:t>11.0%</w:t>
            </w:r>
          </w:p>
        </w:tc>
        <w:tc>
          <w:tcPr>
            <w:tcW w:w="0" w:type="dxa"/>
            <w:shd w:val="clear" w:color="auto" w:fill="D9D9D9" w:themeFill="background1" w:themeFillShade="D9"/>
            <w:vAlign w:val="center"/>
          </w:tcPr>
          <w:p w14:paraId="2BCF65DD" w14:textId="6F4370B2" w:rsidR="1F95561A" w:rsidRDefault="372DBC76" w:rsidP="00862391">
            <w:pPr>
              <w:jc w:val="center"/>
            </w:pPr>
            <w:r>
              <w:t>131,283</w:t>
            </w:r>
          </w:p>
        </w:tc>
        <w:tc>
          <w:tcPr>
            <w:tcW w:w="0" w:type="dxa"/>
            <w:shd w:val="clear" w:color="auto" w:fill="D9D9D9" w:themeFill="background1" w:themeFillShade="D9"/>
            <w:vAlign w:val="center"/>
          </w:tcPr>
          <w:p w14:paraId="38070F35" w14:textId="318C3CD1" w:rsidR="636AAAF5" w:rsidRDefault="501A0A32" w:rsidP="00862391">
            <w:pPr>
              <w:jc w:val="center"/>
            </w:pPr>
            <w:r>
              <w:t>5%</w:t>
            </w:r>
          </w:p>
        </w:tc>
        <w:tc>
          <w:tcPr>
            <w:tcW w:w="0" w:type="dxa"/>
            <w:shd w:val="clear" w:color="auto" w:fill="D9D9D9" w:themeFill="background1" w:themeFillShade="D9"/>
            <w:vAlign w:val="center"/>
          </w:tcPr>
          <w:p w14:paraId="7330720A" w14:textId="07594FCD" w:rsidR="09FA8EF7" w:rsidRDefault="1E990E2D" w:rsidP="00862391">
            <w:pPr>
              <w:jc w:val="center"/>
            </w:pPr>
            <w:r>
              <w:t>95%</w:t>
            </w:r>
          </w:p>
        </w:tc>
      </w:tr>
      <w:tr w:rsidR="00862391" w14:paraId="2A26670E" w14:textId="77777777" w:rsidTr="05FD1449">
        <w:trPr>
          <w:trHeight w:val="300"/>
        </w:trPr>
        <w:tc>
          <w:tcPr>
            <w:tcW w:w="1070" w:type="dxa"/>
            <w:shd w:val="clear" w:color="auto" w:fill="F2F2F2" w:themeFill="background1" w:themeFillShade="F2"/>
          </w:tcPr>
          <w:p w14:paraId="504600D3" w14:textId="603090D3" w:rsidR="7E865222" w:rsidRDefault="2513D7E1">
            <w:r>
              <w:t>ACPP</w:t>
            </w:r>
          </w:p>
        </w:tc>
        <w:tc>
          <w:tcPr>
            <w:tcW w:w="1360" w:type="dxa"/>
            <w:shd w:val="clear" w:color="auto" w:fill="F2F2F2" w:themeFill="background1" w:themeFillShade="F2"/>
          </w:tcPr>
          <w:p w14:paraId="0E138F07" w14:textId="1669CE25" w:rsidR="7E865222" w:rsidRDefault="2513D7E1">
            <w:r>
              <w:t xml:space="preserve">Tufts Public Plans </w:t>
            </w:r>
          </w:p>
        </w:tc>
        <w:tc>
          <w:tcPr>
            <w:tcW w:w="0" w:type="dxa"/>
            <w:shd w:val="clear" w:color="auto" w:fill="F2F2F2" w:themeFill="background1" w:themeFillShade="F2"/>
          </w:tcPr>
          <w:p w14:paraId="32AFBEDA" w14:textId="619DFAC4" w:rsidR="3762D8EA" w:rsidRDefault="2E2E5E51">
            <w:r>
              <w:t>Beth Israel Deaconess Care Organization</w:t>
            </w:r>
          </w:p>
        </w:tc>
        <w:tc>
          <w:tcPr>
            <w:tcW w:w="0" w:type="dxa"/>
            <w:shd w:val="clear" w:color="auto" w:fill="F2F2F2" w:themeFill="background1" w:themeFillShade="F2"/>
            <w:vAlign w:val="center"/>
          </w:tcPr>
          <w:p w14:paraId="350258DA" w14:textId="0161CDF0" w:rsidR="67BE8412" w:rsidRDefault="6A65AB5F" w:rsidP="00862391">
            <w:pPr>
              <w:jc w:val="center"/>
            </w:pPr>
            <w:r>
              <w:t>3.9%</w:t>
            </w:r>
          </w:p>
        </w:tc>
        <w:tc>
          <w:tcPr>
            <w:tcW w:w="0" w:type="dxa"/>
            <w:shd w:val="clear" w:color="auto" w:fill="F2F2F2" w:themeFill="background1" w:themeFillShade="F2"/>
            <w:vAlign w:val="center"/>
          </w:tcPr>
          <w:p w14:paraId="73A09236" w14:textId="5C8141BF" w:rsidR="0DBB00B3" w:rsidRDefault="276D043A" w:rsidP="00862391">
            <w:pPr>
              <w:jc w:val="center"/>
            </w:pPr>
            <w:r>
              <w:t>47,066</w:t>
            </w:r>
          </w:p>
        </w:tc>
        <w:tc>
          <w:tcPr>
            <w:tcW w:w="0" w:type="dxa"/>
            <w:shd w:val="clear" w:color="auto" w:fill="F2F2F2" w:themeFill="background1" w:themeFillShade="F2"/>
            <w:vAlign w:val="center"/>
          </w:tcPr>
          <w:p w14:paraId="451071FE" w14:textId="65162132" w:rsidR="618AED6B" w:rsidRDefault="1294E977" w:rsidP="00862391">
            <w:pPr>
              <w:jc w:val="center"/>
            </w:pPr>
            <w:r>
              <w:t>76%</w:t>
            </w:r>
          </w:p>
        </w:tc>
        <w:tc>
          <w:tcPr>
            <w:tcW w:w="0" w:type="dxa"/>
            <w:shd w:val="clear" w:color="auto" w:fill="F2F2F2" w:themeFill="background1" w:themeFillShade="F2"/>
            <w:vAlign w:val="center"/>
          </w:tcPr>
          <w:p w14:paraId="2E21C538" w14:textId="0CD86189" w:rsidR="03A6DA6C" w:rsidRDefault="50AC1712" w:rsidP="00862391">
            <w:pPr>
              <w:jc w:val="center"/>
            </w:pPr>
            <w:r>
              <w:t>24%</w:t>
            </w:r>
          </w:p>
        </w:tc>
      </w:tr>
      <w:tr w:rsidR="00862391" w14:paraId="6275AD30" w14:textId="77777777" w:rsidTr="05FD1449">
        <w:trPr>
          <w:cnfStyle w:val="000000100000" w:firstRow="0" w:lastRow="0" w:firstColumn="0" w:lastColumn="0" w:oddVBand="0" w:evenVBand="0" w:oddHBand="1" w:evenHBand="0" w:firstRowFirstColumn="0" w:firstRowLastColumn="0" w:lastRowFirstColumn="0" w:lastRowLastColumn="0"/>
          <w:trHeight w:val="300"/>
        </w:trPr>
        <w:tc>
          <w:tcPr>
            <w:tcW w:w="1070" w:type="dxa"/>
            <w:shd w:val="clear" w:color="auto" w:fill="D9D9D9" w:themeFill="background1" w:themeFillShade="D9"/>
          </w:tcPr>
          <w:p w14:paraId="5CF39FA5" w14:textId="65FC8E4F" w:rsidR="7E865222" w:rsidRDefault="2513D7E1">
            <w:r>
              <w:t>ACPP</w:t>
            </w:r>
          </w:p>
        </w:tc>
        <w:tc>
          <w:tcPr>
            <w:tcW w:w="1360" w:type="dxa"/>
            <w:shd w:val="clear" w:color="auto" w:fill="D9D9D9" w:themeFill="background1" w:themeFillShade="D9"/>
          </w:tcPr>
          <w:p w14:paraId="7B5A00A5" w14:textId="374A05E3" w:rsidR="7E865222" w:rsidRDefault="2513D7E1">
            <w:r>
              <w:t>Tufts Public Plans</w:t>
            </w:r>
          </w:p>
        </w:tc>
        <w:tc>
          <w:tcPr>
            <w:tcW w:w="0" w:type="dxa"/>
            <w:shd w:val="clear" w:color="auto" w:fill="D9D9D9" w:themeFill="background1" w:themeFillShade="D9"/>
          </w:tcPr>
          <w:p w14:paraId="2C237054" w14:textId="7356BDAD" w:rsidR="34CA7455" w:rsidRDefault="29AF92EB">
            <w:r>
              <w:t>Cambridge Health Alliance</w:t>
            </w:r>
          </w:p>
        </w:tc>
        <w:tc>
          <w:tcPr>
            <w:tcW w:w="0" w:type="dxa"/>
            <w:shd w:val="clear" w:color="auto" w:fill="D9D9D9" w:themeFill="background1" w:themeFillShade="D9"/>
            <w:vAlign w:val="center"/>
          </w:tcPr>
          <w:p w14:paraId="0B9FAE6E" w14:textId="0EF50DED" w:rsidR="169A2105" w:rsidRDefault="61448976" w:rsidP="00862391">
            <w:pPr>
              <w:jc w:val="center"/>
            </w:pPr>
            <w:r>
              <w:t>3.2%</w:t>
            </w:r>
          </w:p>
        </w:tc>
        <w:tc>
          <w:tcPr>
            <w:tcW w:w="0" w:type="dxa"/>
            <w:shd w:val="clear" w:color="auto" w:fill="D9D9D9" w:themeFill="background1" w:themeFillShade="D9"/>
            <w:vAlign w:val="center"/>
          </w:tcPr>
          <w:p w14:paraId="2396D831" w14:textId="541F3F70" w:rsidR="1D302E28" w:rsidRDefault="39E9A070" w:rsidP="00862391">
            <w:pPr>
              <w:jc w:val="center"/>
            </w:pPr>
            <w:r>
              <w:t>38,003</w:t>
            </w:r>
          </w:p>
        </w:tc>
        <w:tc>
          <w:tcPr>
            <w:tcW w:w="0" w:type="dxa"/>
            <w:shd w:val="clear" w:color="auto" w:fill="D9D9D9" w:themeFill="background1" w:themeFillShade="D9"/>
            <w:vAlign w:val="center"/>
          </w:tcPr>
          <w:p w14:paraId="4058381C" w14:textId="4A8F4C72" w:rsidR="1EE0E0F3" w:rsidRDefault="4FCE03B1" w:rsidP="00862391">
            <w:pPr>
              <w:jc w:val="center"/>
            </w:pPr>
            <w:r>
              <w:t>56%</w:t>
            </w:r>
          </w:p>
        </w:tc>
        <w:tc>
          <w:tcPr>
            <w:tcW w:w="0" w:type="dxa"/>
            <w:shd w:val="clear" w:color="auto" w:fill="D9D9D9" w:themeFill="background1" w:themeFillShade="D9"/>
            <w:vAlign w:val="center"/>
          </w:tcPr>
          <w:p w14:paraId="47328E87" w14:textId="583B3D4D" w:rsidR="4985527F" w:rsidRDefault="673C0B9A" w:rsidP="00862391">
            <w:pPr>
              <w:jc w:val="center"/>
            </w:pPr>
            <w:r>
              <w:t>44%</w:t>
            </w:r>
          </w:p>
        </w:tc>
      </w:tr>
      <w:tr w:rsidR="00862391" w14:paraId="05BDB69C" w14:textId="77777777" w:rsidTr="05FD1449">
        <w:trPr>
          <w:trHeight w:val="300"/>
        </w:trPr>
        <w:tc>
          <w:tcPr>
            <w:tcW w:w="1070" w:type="dxa"/>
            <w:shd w:val="clear" w:color="auto" w:fill="F2F2F2" w:themeFill="background1" w:themeFillShade="F2"/>
          </w:tcPr>
          <w:p w14:paraId="48F5D4B7" w14:textId="77128B9C" w:rsidR="4985527F" w:rsidRDefault="673C0B9A">
            <w:r>
              <w:t>Primary Care ACOs (PCACO)</w:t>
            </w:r>
          </w:p>
        </w:tc>
        <w:tc>
          <w:tcPr>
            <w:tcW w:w="1360" w:type="dxa"/>
            <w:shd w:val="clear" w:color="auto" w:fill="F2F2F2" w:themeFill="background1" w:themeFillShade="F2"/>
          </w:tcPr>
          <w:p w14:paraId="5F36AEDF" w14:textId="56AB3550" w:rsidR="4985527F" w:rsidRDefault="4985527F"/>
        </w:tc>
        <w:tc>
          <w:tcPr>
            <w:tcW w:w="0" w:type="dxa"/>
            <w:shd w:val="clear" w:color="auto" w:fill="F2F2F2" w:themeFill="background1" w:themeFillShade="F2"/>
          </w:tcPr>
          <w:p w14:paraId="4B96D19A" w14:textId="2F1B06A8" w:rsidR="4C08FE90" w:rsidRDefault="0AB2ECCB">
            <w:r>
              <w:t>Community Care Cooperative (C3)</w:t>
            </w:r>
          </w:p>
        </w:tc>
        <w:tc>
          <w:tcPr>
            <w:tcW w:w="0" w:type="dxa"/>
            <w:shd w:val="clear" w:color="auto" w:fill="F2F2F2" w:themeFill="background1" w:themeFillShade="F2"/>
            <w:vAlign w:val="center"/>
          </w:tcPr>
          <w:p w14:paraId="2DEA732C" w14:textId="4FDE43D7" w:rsidR="4C08FE90" w:rsidRDefault="3FDD83E8" w:rsidP="047AFE96">
            <w:pPr>
              <w:jc w:val="center"/>
            </w:pPr>
            <w:r>
              <w:t>14.5%</w:t>
            </w:r>
          </w:p>
        </w:tc>
        <w:tc>
          <w:tcPr>
            <w:tcW w:w="0" w:type="dxa"/>
            <w:shd w:val="clear" w:color="auto" w:fill="F2F2F2" w:themeFill="background1" w:themeFillShade="F2"/>
            <w:vAlign w:val="center"/>
          </w:tcPr>
          <w:p w14:paraId="581AD944" w14:textId="5963869C" w:rsidR="4C08FE90" w:rsidRDefault="3FDD83E8" w:rsidP="047AFE96">
            <w:pPr>
              <w:jc w:val="center"/>
            </w:pPr>
            <w:r>
              <w:t>173,967</w:t>
            </w:r>
          </w:p>
        </w:tc>
        <w:tc>
          <w:tcPr>
            <w:tcW w:w="0" w:type="dxa"/>
            <w:shd w:val="clear" w:color="auto" w:fill="F2F2F2" w:themeFill="background1" w:themeFillShade="F2"/>
            <w:vAlign w:val="center"/>
          </w:tcPr>
          <w:p w14:paraId="5CF95618" w14:textId="2F531163" w:rsidR="4C08FE90" w:rsidRDefault="3FDD83E8" w:rsidP="047AFE96">
            <w:pPr>
              <w:jc w:val="center"/>
            </w:pPr>
            <w:r>
              <w:t>60%</w:t>
            </w:r>
          </w:p>
        </w:tc>
        <w:tc>
          <w:tcPr>
            <w:tcW w:w="0" w:type="dxa"/>
            <w:shd w:val="clear" w:color="auto" w:fill="F2F2F2" w:themeFill="background1" w:themeFillShade="F2"/>
            <w:vAlign w:val="center"/>
          </w:tcPr>
          <w:p w14:paraId="1CAABA00" w14:textId="4F9687FC" w:rsidR="4C08FE90" w:rsidRDefault="3FDD83E8" w:rsidP="047AFE96">
            <w:pPr>
              <w:jc w:val="center"/>
            </w:pPr>
            <w:r>
              <w:t>40%</w:t>
            </w:r>
          </w:p>
        </w:tc>
      </w:tr>
      <w:tr w:rsidR="00862391" w14:paraId="7C78E937" w14:textId="77777777" w:rsidTr="05FD1449">
        <w:tblPrEx>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PrEx>
        <w:trPr>
          <w:cnfStyle w:val="000000100000" w:firstRow="0" w:lastRow="0" w:firstColumn="0" w:lastColumn="0" w:oddVBand="0" w:evenVBand="0" w:oddHBand="1" w:evenHBand="0" w:firstRowFirstColumn="0" w:firstRowLastColumn="0" w:lastRowFirstColumn="0" w:lastRowLastColumn="0"/>
          <w:trHeight w:val="300"/>
        </w:trPr>
        <w:tc>
          <w:tcPr>
            <w:tcW w:w="1070" w:type="dxa"/>
            <w:shd w:val="clear" w:color="auto" w:fill="D9D9D9" w:themeFill="background1" w:themeFillShade="D9"/>
          </w:tcPr>
          <w:p w14:paraId="6EAAB73B" w14:textId="08C2DD6F" w:rsidR="4985527F" w:rsidRDefault="673C0B9A">
            <w:r>
              <w:t>PCACO</w:t>
            </w:r>
          </w:p>
        </w:tc>
        <w:tc>
          <w:tcPr>
            <w:tcW w:w="1360" w:type="dxa"/>
            <w:shd w:val="clear" w:color="auto" w:fill="D9D9D9" w:themeFill="background1" w:themeFillShade="D9"/>
          </w:tcPr>
          <w:p w14:paraId="7E9DBAA8" w14:textId="1C0618DC" w:rsidR="4985527F" w:rsidRDefault="4985527F"/>
        </w:tc>
        <w:tc>
          <w:tcPr>
            <w:tcW w:w="0" w:type="dxa"/>
            <w:shd w:val="clear" w:color="auto" w:fill="D9D9D9" w:themeFill="background1" w:themeFillShade="D9"/>
          </w:tcPr>
          <w:p w14:paraId="1D3A8436" w14:textId="2572698B" w:rsidR="4C08FE90" w:rsidRDefault="013C7BA9">
            <w:r>
              <w:t>Mass General Brigham</w:t>
            </w:r>
          </w:p>
        </w:tc>
        <w:tc>
          <w:tcPr>
            <w:tcW w:w="0" w:type="dxa"/>
            <w:shd w:val="clear" w:color="auto" w:fill="D9D9D9" w:themeFill="background1" w:themeFillShade="D9"/>
            <w:vAlign w:val="center"/>
          </w:tcPr>
          <w:p w14:paraId="2C88201F" w14:textId="6D4114EE" w:rsidR="4C08FE90" w:rsidRDefault="53AC8189" w:rsidP="00862391">
            <w:pPr>
              <w:jc w:val="center"/>
            </w:pPr>
            <w:r>
              <w:t>12.9%</w:t>
            </w:r>
          </w:p>
        </w:tc>
        <w:tc>
          <w:tcPr>
            <w:tcW w:w="0" w:type="dxa"/>
            <w:shd w:val="clear" w:color="auto" w:fill="D9D9D9" w:themeFill="background1" w:themeFillShade="D9"/>
            <w:vAlign w:val="center"/>
          </w:tcPr>
          <w:p w14:paraId="66709639" w14:textId="456A9CDE" w:rsidR="4C08FE90" w:rsidRDefault="53AC8189" w:rsidP="00862391">
            <w:pPr>
              <w:jc w:val="center"/>
            </w:pPr>
            <w:r>
              <w:t>154,228</w:t>
            </w:r>
          </w:p>
        </w:tc>
        <w:tc>
          <w:tcPr>
            <w:tcW w:w="0" w:type="dxa"/>
            <w:shd w:val="clear" w:color="auto" w:fill="D9D9D9" w:themeFill="background1" w:themeFillShade="D9"/>
            <w:vAlign w:val="center"/>
          </w:tcPr>
          <w:p w14:paraId="2D16D035" w14:textId="03506F47" w:rsidR="4C08FE90" w:rsidRDefault="53AC8189" w:rsidP="00862391">
            <w:pPr>
              <w:jc w:val="center"/>
            </w:pPr>
            <w:r>
              <w:t>56%</w:t>
            </w:r>
          </w:p>
        </w:tc>
        <w:tc>
          <w:tcPr>
            <w:tcW w:w="0" w:type="dxa"/>
            <w:shd w:val="clear" w:color="auto" w:fill="D9D9D9" w:themeFill="background1" w:themeFillShade="D9"/>
            <w:vAlign w:val="center"/>
          </w:tcPr>
          <w:p w14:paraId="71E9D89B" w14:textId="1F3C5D2A" w:rsidR="4C08FE90" w:rsidRDefault="53AC8189" w:rsidP="00862391">
            <w:pPr>
              <w:jc w:val="center"/>
            </w:pPr>
            <w:r>
              <w:t>44%</w:t>
            </w:r>
          </w:p>
        </w:tc>
      </w:tr>
      <w:tr w:rsidR="00862391" w14:paraId="170273DE" w14:textId="77777777" w:rsidTr="05FD1449">
        <w:tblPrEx>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PrEx>
        <w:trPr>
          <w:trHeight w:val="300"/>
        </w:trPr>
        <w:tc>
          <w:tcPr>
            <w:tcW w:w="1070" w:type="dxa"/>
            <w:shd w:val="clear" w:color="auto" w:fill="F2F2F2" w:themeFill="background1" w:themeFillShade="F2"/>
          </w:tcPr>
          <w:p w14:paraId="5081A897" w14:textId="7C26562E" w:rsidR="4985527F" w:rsidRDefault="673C0B9A">
            <w:r>
              <w:t>PCACO</w:t>
            </w:r>
          </w:p>
        </w:tc>
        <w:tc>
          <w:tcPr>
            <w:tcW w:w="1360" w:type="dxa"/>
            <w:shd w:val="clear" w:color="auto" w:fill="F2F2F2" w:themeFill="background1" w:themeFillShade="F2"/>
          </w:tcPr>
          <w:p w14:paraId="0B98FBEA" w14:textId="7B255DBF" w:rsidR="4985527F" w:rsidRDefault="4985527F"/>
        </w:tc>
        <w:tc>
          <w:tcPr>
            <w:tcW w:w="0" w:type="dxa"/>
            <w:shd w:val="clear" w:color="auto" w:fill="F2F2F2" w:themeFill="background1" w:themeFillShade="F2"/>
          </w:tcPr>
          <w:p w14:paraId="40B6845A" w14:textId="5A1C0EAA" w:rsidR="4C08FE90" w:rsidRDefault="239C233C">
            <w:r>
              <w:t>Steward Health Choice</w:t>
            </w:r>
          </w:p>
        </w:tc>
        <w:tc>
          <w:tcPr>
            <w:tcW w:w="0" w:type="dxa"/>
            <w:shd w:val="clear" w:color="auto" w:fill="F2F2F2" w:themeFill="background1" w:themeFillShade="F2"/>
            <w:vAlign w:val="center"/>
          </w:tcPr>
          <w:p w14:paraId="18F0929E" w14:textId="77D5B5D3" w:rsidR="4C08FE90" w:rsidRDefault="3F959B8F" w:rsidP="00862391">
            <w:pPr>
              <w:jc w:val="center"/>
            </w:pPr>
            <w:r>
              <w:t>12.6%</w:t>
            </w:r>
          </w:p>
        </w:tc>
        <w:tc>
          <w:tcPr>
            <w:tcW w:w="0" w:type="dxa"/>
            <w:shd w:val="clear" w:color="auto" w:fill="F2F2F2" w:themeFill="background1" w:themeFillShade="F2"/>
            <w:vAlign w:val="center"/>
          </w:tcPr>
          <w:p w14:paraId="7DFE19D0" w14:textId="7A610647" w:rsidR="4C08FE90" w:rsidRDefault="3F959B8F" w:rsidP="00862391">
            <w:pPr>
              <w:jc w:val="center"/>
            </w:pPr>
            <w:r>
              <w:t>150,789</w:t>
            </w:r>
          </w:p>
        </w:tc>
        <w:tc>
          <w:tcPr>
            <w:tcW w:w="0" w:type="dxa"/>
            <w:shd w:val="clear" w:color="auto" w:fill="F2F2F2" w:themeFill="background1" w:themeFillShade="F2"/>
            <w:vAlign w:val="center"/>
          </w:tcPr>
          <w:p w14:paraId="69CDE53F" w14:textId="4BD92AE3" w:rsidR="4C08FE90" w:rsidRDefault="3F959B8F" w:rsidP="00862391">
            <w:pPr>
              <w:jc w:val="center"/>
            </w:pPr>
            <w:r>
              <w:t>57%</w:t>
            </w:r>
          </w:p>
        </w:tc>
        <w:tc>
          <w:tcPr>
            <w:tcW w:w="0" w:type="dxa"/>
            <w:shd w:val="clear" w:color="auto" w:fill="F2F2F2" w:themeFill="background1" w:themeFillShade="F2"/>
            <w:vAlign w:val="center"/>
          </w:tcPr>
          <w:p w14:paraId="1DD86990" w14:textId="319C951B" w:rsidR="4C08FE90" w:rsidRDefault="3F959B8F" w:rsidP="00862391">
            <w:pPr>
              <w:jc w:val="center"/>
            </w:pPr>
            <w:r>
              <w:t>43%</w:t>
            </w:r>
          </w:p>
        </w:tc>
      </w:tr>
      <w:tr w:rsidR="00862391" w14:paraId="45C3245D" w14:textId="77777777" w:rsidTr="05FD1449">
        <w:tblPrEx>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PrEx>
        <w:trPr>
          <w:cnfStyle w:val="000000100000" w:firstRow="0" w:lastRow="0" w:firstColumn="0" w:lastColumn="0" w:oddVBand="0" w:evenVBand="0" w:oddHBand="1" w:evenHBand="0" w:firstRowFirstColumn="0" w:firstRowLastColumn="0" w:lastRowFirstColumn="0" w:lastRowLastColumn="0"/>
          <w:trHeight w:val="300"/>
        </w:trPr>
        <w:tc>
          <w:tcPr>
            <w:tcW w:w="1070" w:type="dxa"/>
            <w:shd w:val="clear" w:color="auto" w:fill="D9D9D9" w:themeFill="background1" w:themeFillShade="D9"/>
          </w:tcPr>
          <w:p w14:paraId="4AA3A3AE" w14:textId="3FA52D1D" w:rsidR="4C08FE90" w:rsidRDefault="12A9BA2C">
            <w:r>
              <w:t>MCO-Administered ACO</w:t>
            </w:r>
          </w:p>
        </w:tc>
        <w:tc>
          <w:tcPr>
            <w:tcW w:w="1360" w:type="dxa"/>
            <w:shd w:val="clear" w:color="auto" w:fill="D9D9D9" w:themeFill="background1" w:themeFillShade="D9"/>
          </w:tcPr>
          <w:p w14:paraId="4085B267" w14:textId="5E123021" w:rsidR="4C08FE90" w:rsidRDefault="4C08FE90"/>
        </w:tc>
        <w:tc>
          <w:tcPr>
            <w:tcW w:w="0" w:type="dxa"/>
            <w:shd w:val="clear" w:color="auto" w:fill="D9D9D9" w:themeFill="background1" w:themeFillShade="D9"/>
          </w:tcPr>
          <w:p w14:paraId="530FCBEA" w14:textId="5E5A28F9" w:rsidR="4C08FE90" w:rsidRDefault="12B864EB">
            <w:r>
              <w:t>Lahey Health</w:t>
            </w:r>
          </w:p>
        </w:tc>
        <w:tc>
          <w:tcPr>
            <w:tcW w:w="0" w:type="dxa"/>
            <w:shd w:val="clear" w:color="auto" w:fill="D9D9D9" w:themeFill="background1" w:themeFillShade="D9"/>
            <w:vAlign w:val="center"/>
          </w:tcPr>
          <w:p w14:paraId="15B01A10" w14:textId="576F50D4" w:rsidR="4C08FE90" w:rsidRDefault="26FE80EC" w:rsidP="00862391">
            <w:pPr>
              <w:jc w:val="center"/>
            </w:pPr>
            <w:r>
              <w:t>0.9%</w:t>
            </w:r>
          </w:p>
        </w:tc>
        <w:tc>
          <w:tcPr>
            <w:tcW w:w="0" w:type="dxa"/>
            <w:shd w:val="clear" w:color="auto" w:fill="D9D9D9" w:themeFill="background1" w:themeFillShade="D9"/>
            <w:vAlign w:val="center"/>
          </w:tcPr>
          <w:p w14:paraId="1C32A567" w14:textId="557055ED" w:rsidR="4C08FE90" w:rsidRDefault="26FE80EC" w:rsidP="00862391">
            <w:pPr>
              <w:jc w:val="center"/>
            </w:pPr>
            <w:r>
              <w:t>11,355</w:t>
            </w:r>
          </w:p>
        </w:tc>
        <w:tc>
          <w:tcPr>
            <w:tcW w:w="0" w:type="dxa"/>
            <w:shd w:val="clear" w:color="auto" w:fill="D9D9D9" w:themeFill="background1" w:themeFillShade="D9"/>
            <w:vAlign w:val="center"/>
          </w:tcPr>
          <w:p w14:paraId="39826AC7" w14:textId="6C65BD25" w:rsidR="4C08FE90" w:rsidRDefault="26FE80EC" w:rsidP="00862391">
            <w:pPr>
              <w:jc w:val="center"/>
            </w:pPr>
            <w:r>
              <w:t>93%</w:t>
            </w:r>
          </w:p>
        </w:tc>
        <w:tc>
          <w:tcPr>
            <w:tcW w:w="0" w:type="dxa"/>
            <w:shd w:val="clear" w:color="auto" w:fill="D9D9D9" w:themeFill="background1" w:themeFillShade="D9"/>
            <w:vAlign w:val="center"/>
          </w:tcPr>
          <w:p w14:paraId="3B3D4B8B" w14:textId="3037088D" w:rsidR="4C08FE90" w:rsidRDefault="0FCD7437" w:rsidP="05FD1449">
            <w:pPr>
              <w:jc w:val="center"/>
            </w:pPr>
            <w:r>
              <w:t>7%</w:t>
            </w:r>
          </w:p>
        </w:tc>
      </w:tr>
      <w:tr w:rsidR="00862391" w14:paraId="08145DB6" w14:textId="77777777" w:rsidTr="05FD1449">
        <w:tblPrEx>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PrEx>
        <w:trPr>
          <w:trHeight w:val="300"/>
        </w:trPr>
        <w:tc>
          <w:tcPr>
            <w:tcW w:w="1070" w:type="dxa"/>
            <w:shd w:val="clear" w:color="auto" w:fill="F2F2F2" w:themeFill="background1" w:themeFillShade="F2"/>
          </w:tcPr>
          <w:p w14:paraId="69AC3731" w14:textId="7B145684" w:rsidR="4C08FE90" w:rsidRDefault="26FE80EC">
            <w:r>
              <w:t>ACO Total</w:t>
            </w:r>
          </w:p>
        </w:tc>
        <w:tc>
          <w:tcPr>
            <w:tcW w:w="1360" w:type="dxa"/>
            <w:shd w:val="clear" w:color="auto" w:fill="F2F2F2" w:themeFill="background1" w:themeFillShade="F2"/>
          </w:tcPr>
          <w:p w14:paraId="4FE0CBAE" w14:textId="0E8670AB" w:rsidR="4C08FE90" w:rsidRDefault="4C08FE90"/>
        </w:tc>
        <w:tc>
          <w:tcPr>
            <w:tcW w:w="0" w:type="dxa"/>
            <w:shd w:val="clear" w:color="auto" w:fill="F2F2F2" w:themeFill="background1" w:themeFillShade="F2"/>
          </w:tcPr>
          <w:p w14:paraId="3C4C8FAE" w14:textId="3BD08CC5" w:rsidR="4C08FE90" w:rsidRDefault="4C08FE90"/>
        </w:tc>
        <w:tc>
          <w:tcPr>
            <w:tcW w:w="0" w:type="dxa"/>
            <w:shd w:val="clear" w:color="auto" w:fill="F2F2F2" w:themeFill="background1" w:themeFillShade="F2"/>
            <w:vAlign w:val="center"/>
          </w:tcPr>
          <w:p w14:paraId="4468DB4A" w14:textId="4DB6C4B3" w:rsidR="4C08FE90" w:rsidRDefault="26FE80EC" w:rsidP="00862391">
            <w:pPr>
              <w:jc w:val="center"/>
            </w:pPr>
            <w:r>
              <w:t>100%</w:t>
            </w:r>
          </w:p>
        </w:tc>
        <w:tc>
          <w:tcPr>
            <w:tcW w:w="0" w:type="dxa"/>
            <w:shd w:val="clear" w:color="auto" w:fill="F2F2F2" w:themeFill="background1" w:themeFillShade="F2"/>
            <w:vAlign w:val="center"/>
          </w:tcPr>
          <w:p w14:paraId="7978DD04" w14:textId="6EC5A555" w:rsidR="4C08FE90" w:rsidRDefault="129E1999" w:rsidP="5467FBF9">
            <w:pPr>
              <w:jc w:val="center"/>
            </w:pPr>
            <w:r>
              <w:t>1,196,381*</w:t>
            </w:r>
          </w:p>
        </w:tc>
        <w:tc>
          <w:tcPr>
            <w:tcW w:w="0" w:type="dxa"/>
            <w:shd w:val="clear" w:color="auto" w:fill="F2F2F2" w:themeFill="background1" w:themeFillShade="F2"/>
            <w:vAlign w:val="center"/>
          </w:tcPr>
          <w:p w14:paraId="6F5F131E" w14:textId="1145655C" w:rsidR="4C08FE90" w:rsidRDefault="129E1999" w:rsidP="5467FBF9">
            <w:pPr>
              <w:jc w:val="center"/>
            </w:pPr>
            <w:r>
              <w:t>50%</w:t>
            </w:r>
          </w:p>
        </w:tc>
        <w:tc>
          <w:tcPr>
            <w:tcW w:w="0" w:type="dxa"/>
            <w:shd w:val="clear" w:color="auto" w:fill="F2F2F2" w:themeFill="background1" w:themeFillShade="F2"/>
            <w:vAlign w:val="center"/>
          </w:tcPr>
          <w:p w14:paraId="1292831B" w14:textId="54D5EA64" w:rsidR="4C08FE90" w:rsidRDefault="129E1999" w:rsidP="5467FBF9">
            <w:pPr>
              <w:jc w:val="center"/>
            </w:pPr>
            <w:r>
              <w:t>50%</w:t>
            </w:r>
          </w:p>
        </w:tc>
      </w:tr>
    </w:tbl>
    <w:p w14:paraId="5AC94078" w14:textId="2EA1D826" w:rsidR="69DA5E86" w:rsidRDefault="69DA5E86" w:rsidP="18B1B932">
      <w:pPr>
        <w:rPr>
          <w:sz w:val="24"/>
          <w:szCs w:val="24"/>
        </w:rPr>
      </w:pPr>
    </w:p>
    <w:p w14:paraId="59DAA345" w14:textId="76EB0E7D" w:rsidR="69DA5E86" w:rsidRDefault="69C1F419" w:rsidP="05FD1449">
      <w:pPr>
        <w:spacing w:after="0"/>
        <w:rPr>
          <w:sz w:val="24"/>
          <w:szCs w:val="24"/>
        </w:rPr>
      </w:pPr>
      <w:r w:rsidRPr="05FD1449">
        <w:rPr>
          <w:sz w:val="24"/>
          <w:szCs w:val="24"/>
        </w:rPr>
        <w:t xml:space="preserve">Key </w:t>
      </w:r>
      <w:r w:rsidR="18949ABD" w:rsidRPr="05FD1449">
        <w:rPr>
          <w:sz w:val="24"/>
          <w:szCs w:val="24"/>
        </w:rPr>
        <w:t>T</w:t>
      </w:r>
      <w:r w:rsidRPr="05FD1449">
        <w:rPr>
          <w:sz w:val="24"/>
          <w:szCs w:val="24"/>
        </w:rPr>
        <w:t>akeaway:</w:t>
      </w:r>
    </w:p>
    <w:p w14:paraId="272057BB" w14:textId="4F20BE1C" w:rsidR="69DA5E86" w:rsidRDefault="3C6FF230" w:rsidP="008240EA">
      <w:pPr>
        <w:pStyle w:val="ListParagraph"/>
        <w:numPr>
          <w:ilvl w:val="0"/>
          <w:numId w:val="39"/>
        </w:numPr>
        <w:spacing w:after="0"/>
      </w:pPr>
      <w:r w:rsidRPr="05FD1449">
        <w:rPr>
          <w:sz w:val="24"/>
          <w:szCs w:val="24"/>
        </w:rPr>
        <w:t>7% growth over year-end 2021 ACO enrollment (11,115,230)</w:t>
      </w:r>
    </w:p>
    <w:p w14:paraId="5D667C6C" w14:textId="12450C25" w:rsidR="006E0900" w:rsidRPr="007B12DC" w:rsidRDefault="00777F90" w:rsidP="7C093D37">
      <w:pPr>
        <w:pStyle w:val="Heading4"/>
      </w:pPr>
      <w:r>
        <w:lastRenderedPageBreak/>
        <w:t xml:space="preserve">Slide </w:t>
      </w:r>
      <w:r w:rsidR="008C7250">
        <w:t>1</w:t>
      </w:r>
      <w:r w:rsidR="6E912559">
        <w:t>2</w:t>
      </w:r>
      <w:r w:rsidR="008C7250">
        <w:t xml:space="preserve">: </w:t>
      </w:r>
      <w:r w:rsidR="653C89B1">
        <w:t xml:space="preserve">In 2022, Most Utilization Rates Were Still Below 2019 (Pre-COVID) Levels </w:t>
      </w:r>
    </w:p>
    <w:p w14:paraId="698FB048" w14:textId="11A71B65" w:rsidR="006E0900" w:rsidRPr="007B12DC" w:rsidRDefault="009CAFB6" w:rsidP="05FD1449">
      <w:pPr>
        <w:rPr>
          <w:rFonts w:asciiTheme="majorHAnsi" w:hAnsiTheme="majorHAnsi" w:cstheme="majorBidi"/>
          <w:sz w:val="24"/>
          <w:szCs w:val="24"/>
        </w:rPr>
      </w:pPr>
      <w:r>
        <w:t>Graph 2</w:t>
      </w:r>
      <w:r w:rsidR="43BE6DB4">
        <w:t>:</w:t>
      </w:r>
      <w:r w:rsidR="3F09B9E2">
        <w:rPr>
          <w:noProof/>
        </w:rPr>
        <w:drawing>
          <wp:inline distT="0" distB="0" distL="0" distR="0" wp14:anchorId="31B464AA" wp14:editId="35715011">
            <wp:extent cx="5943600" cy="2085975"/>
            <wp:effectExtent l="0" t="0" r="0" b="0"/>
            <wp:docPr id="792320040" name="Picture 591804482" descr="This graph shows market-level utilization from 2019 through 2022.  Reference key takeaway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804482"/>
                    <pic:cNvPicPr/>
                  </pic:nvPicPr>
                  <pic:blipFill>
                    <a:blip r:embed="rId12">
                      <a:extLst>
                        <a:ext uri="{28A0092B-C50C-407E-A947-70E740481C1C}">
                          <a14:useLocalDpi xmlns:a14="http://schemas.microsoft.com/office/drawing/2010/main" val="0"/>
                        </a:ext>
                      </a:extLst>
                    </a:blip>
                    <a:stretch>
                      <a:fillRect/>
                    </a:stretch>
                  </pic:blipFill>
                  <pic:spPr>
                    <a:xfrm>
                      <a:off x="0" y="0"/>
                      <a:ext cx="5943600" cy="2085975"/>
                    </a:xfrm>
                    <a:prstGeom prst="rect">
                      <a:avLst/>
                    </a:prstGeom>
                  </pic:spPr>
                </pic:pic>
              </a:graphicData>
            </a:graphic>
          </wp:inline>
        </w:drawing>
      </w:r>
      <w:r w:rsidR="07F7628D" w:rsidRPr="05FD1449">
        <w:rPr>
          <w:rFonts w:asciiTheme="majorHAnsi" w:hAnsiTheme="majorHAnsi" w:cstheme="majorBidi"/>
          <w:sz w:val="24"/>
          <w:szCs w:val="24"/>
        </w:rPr>
        <w:t xml:space="preserve">Note for </w:t>
      </w:r>
      <w:r w:rsidR="6BF8FA37" w:rsidRPr="05FD1449">
        <w:rPr>
          <w:rFonts w:asciiTheme="majorHAnsi" w:hAnsiTheme="majorHAnsi" w:cstheme="majorBidi"/>
          <w:sz w:val="24"/>
          <w:szCs w:val="24"/>
        </w:rPr>
        <w:t>G</w:t>
      </w:r>
      <w:r w:rsidR="07F7628D" w:rsidRPr="05FD1449">
        <w:rPr>
          <w:rFonts w:asciiTheme="majorHAnsi" w:hAnsiTheme="majorHAnsi" w:cstheme="majorBidi"/>
          <w:sz w:val="24"/>
          <w:szCs w:val="24"/>
        </w:rPr>
        <w:t>raph</w:t>
      </w:r>
      <w:r w:rsidR="38A9508E" w:rsidRPr="05FD1449">
        <w:rPr>
          <w:rFonts w:asciiTheme="majorHAnsi" w:hAnsiTheme="majorHAnsi" w:cstheme="majorBidi"/>
          <w:sz w:val="24"/>
          <w:szCs w:val="24"/>
        </w:rPr>
        <w:t xml:space="preserve"> 2</w:t>
      </w:r>
      <w:r w:rsidR="07F7628D" w:rsidRPr="05FD1449">
        <w:rPr>
          <w:rFonts w:asciiTheme="majorHAnsi" w:hAnsiTheme="majorHAnsi" w:cstheme="majorBidi"/>
          <w:sz w:val="24"/>
          <w:szCs w:val="24"/>
        </w:rPr>
        <w:t xml:space="preserve">: </w:t>
      </w:r>
      <w:r w:rsidR="365FFAE8" w:rsidRPr="05FD1449">
        <w:rPr>
          <w:rFonts w:asciiTheme="majorHAnsi" w:hAnsiTheme="majorHAnsi" w:cstheme="majorBidi"/>
          <w:sz w:val="24"/>
          <w:szCs w:val="24"/>
        </w:rPr>
        <w:t>PCP Visits i</w:t>
      </w:r>
      <w:r w:rsidR="07F7628D" w:rsidRPr="05FD1449">
        <w:rPr>
          <w:rFonts w:asciiTheme="majorHAnsi" w:hAnsiTheme="majorHAnsi" w:cstheme="majorBidi"/>
          <w:sz w:val="24"/>
          <w:szCs w:val="24"/>
        </w:rPr>
        <w:t xml:space="preserve">ncludes in-person visits and visits delivered via telehealth. Includes ACO, MCO and PCC Plan utilization.  </w:t>
      </w:r>
    </w:p>
    <w:p w14:paraId="6F9417ED" w14:textId="55502DD5" w:rsidR="006E0900" w:rsidRPr="007B12DC" w:rsidRDefault="3D9D8A17" w:rsidP="047AFE96">
      <w:pPr>
        <w:rPr>
          <w:rFonts w:asciiTheme="majorHAnsi" w:hAnsiTheme="majorHAnsi" w:cstheme="majorBidi"/>
          <w:sz w:val="24"/>
          <w:szCs w:val="24"/>
        </w:rPr>
      </w:pPr>
      <w:r w:rsidRPr="047AFE96">
        <w:rPr>
          <w:rFonts w:asciiTheme="majorHAnsi" w:hAnsiTheme="majorHAnsi" w:cstheme="majorBidi"/>
          <w:sz w:val="24"/>
          <w:szCs w:val="24"/>
          <w:u w:val="single"/>
        </w:rPr>
        <w:t>N</w:t>
      </w:r>
      <w:r w:rsidR="006E0900" w:rsidRPr="047AFE96">
        <w:rPr>
          <w:rFonts w:asciiTheme="majorHAnsi" w:hAnsiTheme="majorHAnsi" w:cstheme="majorBidi"/>
          <w:sz w:val="24"/>
          <w:szCs w:val="24"/>
          <w:u w:val="single"/>
        </w:rPr>
        <w:t>ote</w:t>
      </w:r>
      <w:r w:rsidR="006E0900" w:rsidRPr="047AFE96">
        <w:rPr>
          <w:rFonts w:asciiTheme="majorHAnsi" w:hAnsiTheme="majorHAnsi" w:cstheme="majorBidi"/>
          <w:sz w:val="24"/>
          <w:szCs w:val="24"/>
        </w:rPr>
        <w:t>: Utilization trends do </w:t>
      </w:r>
      <w:r w:rsidR="006E0900" w:rsidRPr="047AFE96">
        <w:rPr>
          <w:rFonts w:asciiTheme="majorHAnsi" w:hAnsiTheme="majorHAnsi" w:cstheme="majorBidi"/>
          <w:sz w:val="24"/>
          <w:szCs w:val="24"/>
          <w:u w:val="single"/>
        </w:rPr>
        <w:t>not</w:t>
      </w:r>
      <w:r w:rsidR="006E0900" w:rsidRPr="047AFE96">
        <w:rPr>
          <w:rFonts w:asciiTheme="majorHAnsi" w:hAnsiTheme="majorHAnsi" w:cstheme="majorBidi"/>
          <w:sz w:val="24"/>
          <w:szCs w:val="24"/>
        </w:rPr>
        <w:t xml:space="preserve"> reflect the impact of temporary rate increases implemented in response to the COVID-19 PHE</w:t>
      </w:r>
    </w:p>
    <w:p w14:paraId="305927A5" w14:textId="01F2D08F" w:rsidR="006E0900" w:rsidRPr="007B12DC" w:rsidRDefault="3EC0F4D6" w:rsidP="05FD1449">
      <w:pPr>
        <w:spacing w:after="0"/>
        <w:rPr>
          <w:rFonts w:asciiTheme="majorHAnsi" w:hAnsiTheme="majorHAnsi" w:cstheme="majorBidi"/>
          <w:b/>
          <w:bCs/>
          <w:sz w:val="24"/>
          <w:szCs w:val="24"/>
        </w:rPr>
      </w:pPr>
      <w:r w:rsidRPr="05FD1449">
        <w:rPr>
          <w:rFonts w:asciiTheme="majorHAnsi" w:hAnsiTheme="majorHAnsi" w:cstheme="majorBidi"/>
          <w:b/>
          <w:bCs/>
          <w:sz w:val="24"/>
          <w:szCs w:val="24"/>
        </w:rPr>
        <w:t xml:space="preserve">Key </w:t>
      </w:r>
      <w:r w:rsidR="2DD3049E" w:rsidRPr="05FD1449">
        <w:rPr>
          <w:rFonts w:asciiTheme="majorHAnsi" w:hAnsiTheme="majorHAnsi" w:cstheme="majorBidi"/>
          <w:b/>
          <w:bCs/>
          <w:sz w:val="24"/>
          <w:szCs w:val="24"/>
        </w:rPr>
        <w:t>T</w:t>
      </w:r>
      <w:r w:rsidRPr="05FD1449">
        <w:rPr>
          <w:rFonts w:asciiTheme="majorHAnsi" w:hAnsiTheme="majorHAnsi" w:cstheme="majorBidi"/>
          <w:b/>
          <w:bCs/>
          <w:sz w:val="24"/>
          <w:szCs w:val="24"/>
        </w:rPr>
        <w:t>akeaways</w:t>
      </w:r>
      <w:r w:rsidR="4629A8BF" w:rsidRPr="05FD1449">
        <w:rPr>
          <w:rFonts w:asciiTheme="majorHAnsi" w:hAnsiTheme="majorHAnsi" w:cstheme="majorBidi"/>
          <w:b/>
          <w:bCs/>
          <w:sz w:val="24"/>
          <w:szCs w:val="24"/>
        </w:rPr>
        <w:t>:</w:t>
      </w:r>
    </w:p>
    <w:p w14:paraId="4D99DE68" w14:textId="797F3C6C" w:rsidR="00BD0A50" w:rsidRDefault="778A3829" w:rsidP="008240EA">
      <w:pPr>
        <w:pStyle w:val="ListParagraph"/>
        <w:numPr>
          <w:ilvl w:val="0"/>
          <w:numId w:val="53"/>
        </w:numPr>
        <w:spacing w:after="0"/>
        <w:rPr>
          <w:rFonts w:asciiTheme="majorHAnsi" w:hAnsiTheme="majorHAnsi" w:cstheme="majorBidi"/>
          <w:sz w:val="24"/>
          <w:szCs w:val="24"/>
        </w:rPr>
      </w:pPr>
      <w:r w:rsidRPr="05FD1449">
        <w:rPr>
          <w:rFonts w:asciiTheme="majorHAnsi" w:hAnsiTheme="majorHAnsi" w:cstheme="majorBidi"/>
          <w:sz w:val="24"/>
          <w:szCs w:val="24"/>
        </w:rPr>
        <w:t xml:space="preserve">Compared to 2019, the last full year before the COVID-19 pandemic, utilization was down for most services in 2022 </w:t>
      </w:r>
      <w:r w:rsidRPr="05FD1449">
        <w:rPr>
          <w:rFonts w:asciiTheme="majorHAnsi" w:hAnsiTheme="majorHAnsi" w:cstheme="majorBidi"/>
          <w:b/>
          <w:bCs/>
          <w:sz w:val="24"/>
          <w:szCs w:val="24"/>
        </w:rPr>
        <w:t>ranging from –10%</w:t>
      </w:r>
      <w:r w:rsidR="4D434DD2" w:rsidRPr="05FD1449">
        <w:rPr>
          <w:rFonts w:asciiTheme="majorHAnsi" w:hAnsiTheme="majorHAnsi" w:cstheme="majorBidi"/>
          <w:b/>
          <w:bCs/>
          <w:sz w:val="24"/>
          <w:szCs w:val="24"/>
        </w:rPr>
        <w:t xml:space="preserve"> to –36%.</w:t>
      </w:r>
      <w:r w:rsidRPr="05FD1449">
        <w:rPr>
          <w:rFonts w:asciiTheme="majorHAnsi" w:hAnsiTheme="majorHAnsi" w:cstheme="majorBidi"/>
          <w:sz w:val="24"/>
          <w:szCs w:val="24"/>
        </w:rPr>
        <w:t xml:space="preserve">  </w:t>
      </w:r>
    </w:p>
    <w:p w14:paraId="63476CE2" w14:textId="7726449A" w:rsidR="00BD0A50" w:rsidRDefault="00EF0C93" w:rsidP="008240EA">
      <w:pPr>
        <w:pStyle w:val="ListParagraph"/>
        <w:numPr>
          <w:ilvl w:val="1"/>
          <w:numId w:val="53"/>
        </w:numPr>
        <w:rPr>
          <w:rFonts w:asciiTheme="majorHAnsi" w:hAnsiTheme="majorHAnsi" w:cstheme="majorBidi"/>
          <w:sz w:val="24"/>
          <w:szCs w:val="24"/>
        </w:rPr>
      </w:pPr>
      <w:r w:rsidRPr="7C093D37">
        <w:rPr>
          <w:rFonts w:asciiTheme="majorHAnsi" w:hAnsiTheme="majorHAnsi" w:cstheme="majorBidi"/>
          <w:sz w:val="24"/>
          <w:szCs w:val="24"/>
        </w:rPr>
        <w:t>Urgent Care saw a 6</w:t>
      </w:r>
      <w:r w:rsidR="1BFE6BCB" w:rsidRPr="7C093D37">
        <w:rPr>
          <w:rFonts w:asciiTheme="majorHAnsi" w:hAnsiTheme="majorHAnsi" w:cstheme="majorBidi"/>
          <w:sz w:val="24"/>
          <w:szCs w:val="24"/>
        </w:rPr>
        <w:t>4</w:t>
      </w:r>
      <w:r w:rsidRPr="7C093D37">
        <w:rPr>
          <w:rFonts w:asciiTheme="majorHAnsi" w:hAnsiTheme="majorHAnsi" w:cstheme="majorBidi"/>
          <w:sz w:val="24"/>
          <w:szCs w:val="24"/>
        </w:rPr>
        <w:t xml:space="preserve">% increase </w:t>
      </w:r>
      <w:r w:rsidR="102E2581" w:rsidRPr="7C093D37">
        <w:rPr>
          <w:rFonts w:asciiTheme="majorHAnsi" w:hAnsiTheme="majorHAnsi" w:cstheme="majorBidi"/>
          <w:sz w:val="24"/>
          <w:szCs w:val="24"/>
        </w:rPr>
        <w:t xml:space="preserve">when comparing 2022 to 2019 due to the removal of </w:t>
      </w:r>
      <w:r w:rsidR="77CFCA48" w:rsidRPr="7C093D37">
        <w:rPr>
          <w:rFonts w:asciiTheme="majorHAnsi" w:hAnsiTheme="majorHAnsi" w:cstheme="majorBidi"/>
          <w:sz w:val="24"/>
          <w:szCs w:val="24"/>
        </w:rPr>
        <w:t>referral</w:t>
      </w:r>
      <w:r w:rsidR="102E2581" w:rsidRPr="7C093D37">
        <w:rPr>
          <w:rFonts w:asciiTheme="majorHAnsi" w:hAnsiTheme="majorHAnsi" w:cstheme="majorBidi"/>
          <w:sz w:val="24"/>
          <w:szCs w:val="24"/>
        </w:rPr>
        <w:t xml:space="preserve"> requirements for certain plans at the start of the C</w:t>
      </w:r>
      <w:r w:rsidR="01CEDAB4" w:rsidRPr="7C093D37">
        <w:rPr>
          <w:rFonts w:asciiTheme="majorHAnsi" w:hAnsiTheme="majorHAnsi" w:cstheme="majorBidi"/>
          <w:sz w:val="24"/>
          <w:szCs w:val="24"/>
        </w:rPr>
        <w:t>OVID pandemic and overall changes in patterns of care.</w:t>
      </w:r>
      <w:r w:rsidRPr="7C093D37">
        <w:rPr>
          <w:rFonts w:asciiTheme="majorHAnsi" w:hAnsiTheme="majorHAnsi" w:cstheme="majorBidi"/>
          <w:sz w:val="24"/>
          <w:szCs w:val="24"/>
        </w:rPr>
        <w:t> </w:t>
      </w:r>
    </w:p>
    <w:p w14:paraId="66E11D4E" w14:textId="20A94409" w:rsidR="00BD0A50" w:rsidRDefault="3AB9C5ED" w:rsidP="008240EA">
      <w:pPr>
        <w:pStyle w:val="ListParagraph"/>
        <w:numPr>
          <w:ilvl w:val="0"/>
          <w:numId w:val="53"/>
        </w:numPr>
        <w:rPr>
          <w:rFonts w:asciiTheme="majorHAnsi" w:hAnsiTheme="majorHAnsi" w:cstheme="majorBidi"/>
          <w:sz w:val="24"/>
          <w:szCs w:val="24"/>
        </w:rPr>
      </w:pPr>
      <w:r w:rsidRPr="5D8C8835">
        <w:rPr>
          <w:rFonts w:asciiTheme="majorHAnsi" w:hAnsiTheme="majorHAnsi" w:cstheme="majorBidi"/>
          <w:sz w:val="24"/>
          <w:szCs w:val="24"/>
        </w:rPr>
        <w:t xml:space="preserve">The utilization rates continue to reflect </w:t>
      </w:r>
      <w:r w:rsidRPr="5D8C8835">
        <w:rPr>
          <w:rFonts w:asciiTheme="majorHAnsi" w:hAnsiTheme="majorHAnsi" w:cstheme="majorBidi"/>
          <w:b/>
          <w:bCs/>
          <w:sz w:val="24"/>
          <w:szCs w:val="24"/>
        </w:rPr>
        <w:t>ongoing pandemic impacts</w:t>
      </w:r>
      <w:r w:rsidRPr="5D8C8835">
        <w:rPr>
          <w:rFonts w:asciiTheme="majorHAnsi" w:hAnsiTheme="majorHAnsi" w:cstheme="majorBidi"/>
          <w:sz w:val="24"/>
          <w:szCs w:val="24"/>
        </w:rPr>
        <w:t xml:space="preserve"> in 2022 (e.g. holds on elective procedures during COVID spikes and overall lower acuity of the population</w:t>
      </w:r>
      <w:r w:rsidR="09589C18" w:rsidRPr="5D8C8835">
        <w:rPr>
          <w:rFonts w:asciiTheme="majorHAnsi" w:hAnsiTheme="majorHAnsi" w:cstheme="majorBidi"/>
          <w:sz w:val="24"/>
          <w:szCs w:val="24"/>
        </w:rPr>
        <w:t>)</w:t>
      </w:r>
    </w:p>
    <w:p w14:paraId="5F00430F" w14:textId="38496EAD" w:rsidR="435DA57A" w:rsidRDefault="6A894651" w:rsidP="008240EA">
      <w:pPr>
        <w:pStyle w:val="ListParagraph"/>
        <w:numPr>
          <w:ilvl w:val="0"/>
          <w:numId w:val="53"/>
        </w:numPr>
        <w:rPr>
          <w:rFonts w:asciiTheme="majorHAnsi" w:hAnsiTheme="majorHAnsi" w:cstheme="majorBidi"/>
          <w:sz w:val="24"/>
          <w:szCs w:val="24"/>
        </w:rPr>
      </w:pPr>
      <w:r w:rsidRPr="5467FBF9">
        <w:rPr>
          <w:rFonts w:asciiTheme="majorHAnsi" w:hAnsiTheme="majorHAnsi" w:cstheme="majorBidi"/>
          <w:sz w:val="24"/>
          <w:szCs w:val="24"/>
        </w:rPr>
        <w:t>Behavioral Health Inpatient Admissions saw the largest declines of –36%, at least partially due to statewide system capacity issues including staff</w:t>
      </w:r>
      <w:r w:rsidR="570A149D" w:rsidRPr="5467FBF9">
        <w:rPr>
          <w:rFonts w:asciiTheme="majorHAnsi" w:hAnsiTheme="majorHAnsi" w:cstheme="majorBidi"/>
          <w:sz w:val="24"/>
          <w:szCs w:val="24"/>
        </w:rPr>
        <w:t>ing</w:t>
      </w:r>
      <w:r w:rsidRPr="5467FBF9">
        <w:rPr>
          <w:rFonts w:asciiTheme="majorHAnsi" w:hAnsiTheme="majorHAnsi" w:cstheme="majorBidi"/>
          <w:sz w:val="24"/>
          <w:szCs w:val="24"/>
        </w:rPr>
        <w:t xml:space="preserve"> shortages and limited bed availa</w:t>
      </w:r>
      <w:r w:rsidR="611BD987" w:rsidRPr="5467FBF9">
        <w:rPr>
          <w:rFonts w:asciiTheme="majorHAnsi" w:hAnsiTheme="majorHAnsi" w:cstheme="majorBidi"/>
          <w:sz w:val="24"/>
          <w:szCs w:val="24"/>
        </w:rPr>
        <w:t>b</w:t>
      </w:r>
      <w:r w:rsidRPr="5467FBF9">
        <w:rPr>
          <w:rFonts w:asciiTheme="majorHAnsi" w:hAnsiTheme="majorHAnsi" w:cstheme="majorBidi"/>
          <w:sz w:val="24"/>
          <w:szCs w:val="24"/>
        </w:rPr>
        <w:t>ility</w:t>
      </w:r>
      <w:r w:rsidR="180BC4DA" w:rsidRPr="5467FBF9">
        <w:rPr>
          <w:rFonts w:asciiTheme="majorHAnsi" w:hAnsiTheme="majorHAnsi" w:cstheme="majorBidi"/>
          <w:sz w:val="24"/>
          <w:szCs w:val="24"/>
        </w:rPr>
        <w:t>.</w:t>
      </w:r>
    </w:p>
    <w:p w14:paraId="48A75C70" w14:textId="595182E6" w:rsidR="435DA57A" w:rsidRDefault="435DA57A" w:rsidP="5467FBF9">
      <w:pPr>
        <w:pStyle w:val="Heading4"/>
      </w:pPr>
      <w:r>
        <w:t>S</w:t>
      </w:r>
      <w:r w:rsidR="00407719">
        <w:t xml:space="preserve">lide 13: </w:t>
      </w:r>
      <w:r w:rsidR="340792D5">
        <w:t xml:space="preserve">From 2021 to 2022, Utilization Declined for Most Services While Hospital, Urgent Care, and Primary Care Use Increased for Pediatrics </w:t>
      </w:r>
    </w:p>
    <w:p w14:paraId="25978187" w14:textId="5025D444" w:rsidR="107AE4BD" w:rsidRDefault="107AE4BD" w:rsidP="27FFC1DE">
      <w:r>
        <w:t>Graph 3</w:t>
      </w:r>
      <w:r w:rsidR="05657A41">
        <w:t xml:space="preserve">: </w:t>
      </w:r>
    </w:p>
    <w:p w14:paraId="589CC327" w14:textId="71D6CAFC" w:rsidR="7814CFD0" w:rsidRDefault="7814CFD0" w:rsidP="18B1B932">
      <w:pPr>
        <w:rPr>
          <w:rFonts w:asciiTheme="majorHAnsi" w:hAnsiTheme="majorHAnsi" w:cstheme="majorBidi"/>
          <w:sz w:val="24"/>
          <w:szCs w:val="24"/>
        </w:rPr>
      </w:pPr>
      <w:r>
        <w:rPr>
          <w:noProof/>
        </w:rPr>
        <w:lastRenderedPageBreak/>
        <w:drawing>
          <wp:inline distT="0" distB="0" distL="0" distR="0" wp14:anchorId="5F09DBB3" wp14:editId="496CBAB9">
            <wp:extent cx="5943600" cy="2152650"/>
            <wp:effectExtent l="0" t="0" r="0" b="0"/>
            <wp:docPr id="429570822" name="Picture 429570822" descr="This graph shows the 2021 to 2022 Market-Level utilization trends among adults, pediatrics, and the total population. Reference Key Takeaway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570822"/>
                    <pic:cNvPicPr/>
                  </pic:nvPicPr>
                  <pic:blipFill>
                    <a:blip r:embed="rId13">
                      <a:extLst>
                        <a:ext uri="{28A0092B-C50C-407E-A947-70E740481C1C}">
                          <a14:useLocalDpi xmlns:a14="http://schemas.microsoft.com/office/drawing/2010/main" val="0"/>
                        </a:ext>
                      </a:extLst>
                    </a:blip>
                    <a:stretch>
                      <a:fillRect/>
                    </a:stretch>
                  </pic:blipFill>
                  <pic:spPr>
                    <a:xfrm>
                      <a:off x="0" y="0"/>
                      <a:ext cx="5943600" cy="2152650"/>
                    </a:xfrm>
                    <a:prstGeom prst="rect">
                      <a:avLst/>
                    </a:prstGeom>
                  </pic:spPr>
                </pic:pic>
              </a:graphicData>
            </a:graphic>
          </wp:inline>
        </w:drawing>
      </w:r>
      <w:r w:rsidR="1747849A" w:rsidRPr="18B1B932">
        <w:rPr>
          <w:rFonts w:asciiTheme="majorHAnsi" w:hAnsiTheme="majorHAnsi" w:cstheme="majorBidi"/>
          <w:sz w:val="24"/>
          <w:szCs w:val="24"/>
        </w:rPr>
        <w:t>Note for Graph</w:t>
      </w:r>
      <w:r w:rsidR="233B799B" w:rsidRPr="18B1B932">
        <w:rPr>
          <w:rFonts w:asciiTheme="majorHAnsi" w:hAnsiTheme="majorHAnsi" w:cstheme="majorBidi"/>
          <w:sz w:val="24"/>
          <w:szCs w:val="24"/>
        </w:rPr>
        <w:t xml:space="preserve"> 3</w:t>
      </w:r>
      <w:r w:rsidR="1747849A" w:rsidRPr="18B1B932">
        <w:rPr>
          <w:rFonts w:asciiTheme="majorHAnsi" w:hAnsiTheme="majorHAnsi" w:cstheme="majorBidi"/>
          <w:sz w:val="24"/>
          <w:szCs w:val="24"/>
        </w:rPr>
        <w:t xml:space="preserve">: PCP Visits </w:t>
      </w:r>
      <w:proofErr w:type="gramStart"/>
      <w:r w:rsidR="1747849A" w:rsidRPr="18B1B932">
        <w:rPr>
          <w:rFonts w:asciiTheme="majorHAnsi" w:hAnsiTheme="majorHAnsi" w:cstheme="majorBidi"/>
          <w:sz w:val="24"/>
          <w:szCs w:val="24"/>
        </w:rPr>
        <w:t>includes</w:t>
      </w:r>
      <w:proofErr w:type="gramEnd"/>
      <w:r w:rsidR="1747849A" w:rsidRPr="18B1B932">
        <w:rPr>
          <w:rFonts w:asciiTheme="majorHAnsi" w:hAnsiTheme="majorHAnsi" w:cstheme="majorBidi"/>
          <w:sz w:val="24"/>
          <w:szCs w:val="24"/>
        </w:rPr>
        <w:t xml:space="preserve"> in-perso</w:t>
      </w:r>
      <w:r w:rsidR="31A2FD1E" w:rsidRPr="18B1B932">
        <w:rPr>
          <w:rFonts w:asciiTheme="majorHAnsi" w:hAnsiTheme="majorHAnsi" w:cstheme="majorBidi"/>
          <w:sz w:val="24"/>
          <w:szCs w:val="24"/>
        </w:rPr>
        <w:t xml:space="preserve">n visits and visits delivered via telehealth. Includes ACO, MCO, and PCC Plan utilization. </w:t>
      </w:r>
    </w:p>
    <w:p w14:paraId="77B4AFBC" w14:textId="09E917A9" w:rsidR="31A2FD1E" w:rsidRDefault="04FA84F7" w:rsidP="05FD1449">
      <w:pPr>
        <w:rPr>
          <w:rFonts w:asciiTheme="majorHAnsi" w:hAnsiTheme="majorHAnsi" w:cstheme="majorBidi"/>
          <w:sz w:val="24"/>
          <w:szCs w:val="24"/>
        </w:rPr>
      </w:pPr>
      <w:r w:rsidRPr="05FD1449">
        <w:rPr>
          <w:rFonts w:asciiTheme="majorHAnsi" w:hAnsiTheme="majorHAnsi" w:cstheme="majorBidi"/>
          <w:b/>
          <w:bCs/>
          <w:sz w:val="24"/>
          <w:szCs w:val="24"/>
          <w:u w:val="single"/>
        </w:rPr>
        <w:t>Note:</w:t>
      </w:r>
      <w:r w:rsidRPr="05FD1449">
        <w:rPr>
          <w:rFonts w:asciiTheme="majorHAnsi" w:hAnsiTheme="majorHAnsi" w:cstheme="majorBidi"/>
          <w:sz w:val="24"/>
          <w:szCs w:val="24"/>
        </w:rPr>
        <w:t xml:space="preserve"> Utilization trends do </w:t>
      </w:r>
      <w:r w:rsidRPr="05FD1449">
        <w:rPr>
          <w:rFonts w:asciiTheme="majorHAnsi" w:hAnsiTheme="majorHAnsi" w:cstheme="majorBidi"/>
          <w:b/>
          <w:bCs/>
          <w:sz w:val="24"/>
          <w:szCs w:val="24"/>
          <w:u w:val="single"/>
        </w:rPr>
        <w:t>not</w:t>
      </w:r>
      <w:r w:rsidRPr="05FD1449">
        <w:rPr>
          <w:rFonts w:asciiTheme="majorHAnsi" w:hAnsiTheme="majorHAnsi" w:cstheme="majorBidi"/>
          <w:sz w:val="24"/>
          <w:szCs w:val="24"/>
        </w:rPr>
        <w:t xml:space="preserve"> reflect the impact of temporary rate increases implemented in response to the COVID-19 PHE. </w:t>
      </w:r>
    </w:p>
    <w:p w14:paraId="652D3CBB" w14:textId="19DA96D7" w:rsidR="31A2FD1E" w:rsidRDefault="1F5D0A24"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b/>
          <w:bCs/>
          <w:sz w:val="24"/>
          <w:szCs w:val="24"/>
        </w:rPr>
        <w:t>Key Takeaways</w:t>
      </w:r>
      <w:r w:rsidR="702FE757" w:rsidRPr="05FD1449">
        <w:rPr>
          <w:rFonts w:asciiTheme="majorHAnsi" w:eastAsiaTheme="majorEastAsia" w:hAnsiTheme="majorHAnsi" w:cstheme="majorBidi"/>
          <w:b/>
          <w:bCs/>
          <w:sz w:val="24"/>
          <w:szCs w:val="24"/>
        </w:rPr>
        <w:t>:</w:t>
      </w:r>
    </w:p>
    <w:p w14:paraId="316B9DCC" w14:textId="18927102" w:rsidR="31A2FD1E" w:rsidRDefault="70FABE9D" w:rsidP="008240EA">
      <w:pPr>
        <w:pStyle w:val="ListParagraph"/>
        <w:numPr>
          <w:ilvl w:val="0"/>
          <w:numId w:val="54"/>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Comparing 2021 to 2022, </w:t>
      </w:r>
      <w:r w:rsidRPr="05FD1449">
        <w:rPr>
          <w:rFonts w:asciiTheme="majorHAnsi" w:eastAsiaTheme="majorEastAsia" w:hAnsiTheme="majorHAnsi" w:cstheme="majorBidi"/>
          <w:b/>
          <w:bCs/>
          <w:sz w:val="24"/>
          <w:szCs w:val="24"/>
        </w:rPr>
        <w:t>most services continued to see flat or declining utilization</w:t>
      </w:r>
      <w:r w:rsidRPr="05FD1449">
        <w:rPr>
          <w:rFonts w:asciiTheme="majorHAnsi" w:eastAsiaTheme="majorEastAsia" w:hAnsiTheme="majorHAnsi" w:cstheme="majorBidi"/>
          <w:sz w:val="24"/>
          <w:szCs w:val="24"/>
        </w:rPr>
        <w:t xml:space="preserve"> ranging from a 1% increase to -16% decrease. These overall trends were driven by declining utilization in the adult population.  </w:t>
      </w:r>
    </w:p>
    <w:p w14:paraId="047A0A8A" w14:textId="31F5A0CF" w:rsidR="31A2FD1E" w:rsidRDefault="210AE256" w:rsidP="008240EA">
      <w:pPr>
        <w:pStyle w:val="ListParagraph"/>
        <w:numPr>
          <w:ilvl w:val="0"/>
          <w:numId w:val="54"/>
        </w:numPr>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 xml:space="preserve">However, the </w:t>
      </w:r>
      <w:r w:rsidRPr="5AA89864">
        <w:rPr>
          <w:rFonts w:asciiTheme="majorHAnsi" w:eastAsiaTheme="majorEastAsia" w:hAnsiTheme="majorHAnsi" w:cstheme="majorBidi"/>
          <w:b/>
          <w:bCs/>
          <w:sz w:val="24"/>
          <w:szCs w:val="24"/>
        </w:rPr>
        <w:t>pediatric population experienced increases</w:t>
      </w:r>
      <w:r w:rsidRPr="5AA89864">
        <w:rPr>
          <w:rFonts w:asciiTheme="majorHAnsi" w:eastAsiaTheme="majorEastAsia" w:hAnsiTheme="majorHAnsi" w:cstheme="majorBidi"/>
          <w:sz w:val="24"/>
          <w:szCs w:val="24"/>
        </w:rPr>
        <w:t xml:space="preserve"> in a few acute services as well as primary care. These services included an 11% increase in P</w:t>
      </w:r>
      <w:r w:rsidRPr="5AA89864">
        <w:rPr>
          <w:rFonts w:asciiTheme="majorHAnsi" w:eastAsiaTheme="majorEastAsia" w:hAnsiTheme="majorHAnsi" w:cstheme="majorBidi"/>
          <w:b/>
          <w:bCs/>
          <w:sz w:val="24"/>
          <w:szCs w:val="24"/>
        </w:rPr>
        <w:t xml:space="preserve">hysical Health Inpatient Admissions, </w:t>
      </w:r>
      <w:r w:rsidRPr="5AA89864">
        <w:rPr>
          <w:rFonts w:asciiTheme="majorHAnsi" w:eastAsiaTheme="majorEastAsia" w:hAnsiTheme="majorHAnsi" w:cstheme="majorBidi"/>
          <w:sz w:val="24"/>
          <w:szCs w:val="24"/>
        </w:rPr>
        <w:t xml:space="preserve">19% increase in </w:t>
      </w:r>
      <w:r w:rsidRPr="5AA89864">
        <w:rPr>
          <w:rFonts w:asciiTheme="majorHAnsi" w:eastAsiaTheme="majorEastAsia" w:hAnsiTheme="majorHAnsi" w:cstheme="majorBidi"/>
          <w:b/>
          <w:bCs/>
          <w:sz w:val="24"/>
          <w:szCs w:val="24"/>
        </w:rPr>
        <w:t>Emergency Department Visits,</w:t>
      </w:r>
      <w:r w:rsidRPr="5AA89864">
        <w:rPr>
          <w:rFonts w:asciiTheme="majorHAnsi" w:eastAsiaTheme="majorEastAsia" w:hAnsiTheme="majorHAnsi" w:cstheme="majorBidi"/>
          <w:sz w:val="24"/>
          <w:szCs w:val="24"/>
        </w:rPr>
        <w:t xml:space="preserve"> 9% increase in </w:t>
      </w:r>
      <w:r w:rsidRPr="5AA89864">
        <w:rPr>
          <w:rFonts w:asciiTheme="majorHAnsi" w:eastAsiaTheme="majorEastAsia" w:hAnsiTheme="majorHAnsi" w:cstheme="majorBidi"/>
          <w:b/>
          <w:bCs/>
          <w:sz w:val="24"/>
          <w:szCs w:val="24"/>
        </w:rPr>
        <w:t>Urgent Care,</w:t>
      </w:r>
      <w:r w:rsidRPr="5AA89864">
        <w:rPr>
          <w:rFonts w:asciiTheme="majorHAnsi" w:eastAsiaTheme="majorEastAsia" w:hAnsiTheme="majorHAnsi" w:cstheme="majorBidi"/>
          <w:sz w:val="24"/>
          <w:szCs w:val="24"/>
        </w:rPr>
        <w:t xml:space="preserve"> and a 2% increase in </w:t>
      </w:r>
      <w:r w:rsidRPr="5AA89864">
        <w:rPr>
          <w:rFonts w:asciiTheme="majorHAnsi" w:eastAsiaTheme="majorEastAsia" w:hAnsiTheme="majorHAnsi" w:cstheme="majorBidi"/>
          <w:b/>
          <w:bCs/>
          <w:sz w:val="24"/>
          <w:szCs w:val="24"/>
        </w:rPr>
        <w:t xml:space="preserve">Primary Care.  </w:t>
      </w:r>
    </w:p>
    <w:p w14:paraId="55BE047B" w14:textId="54BB3186" w:rsidR="18B1B932" w:rsidRPr="004A0681" w:rsidRDefault="210AE256" w:rsidP="004A0681">
      <w:pPr>
        <w:pStyle w:val="ListParagraph"/>
        <w:numPr>
          <w:ilvl w:val="1"/>
          <w:numId w:val="54"/>
        </w:numPr>
        <w:rPr>
          <w:rFonts w:asciiTheme="majorHAnsi" w:eastAsiaTheme="majorEastAsia" w:hAnsiTheme="majorHAnsi" w:cstheme="majorBidi"/>
          <w:sz w:val="24"/>
          <w:szCs w:val="24"/>
        </w:rPr>
      </w:pPr>
      <w:r w:rsidRPr="18B1B932">
        <w:rPr>
          <w:rFonts w:asciiTheme="majorHAnsi" w:eastAsiaTheme="majorEastAsia" w:hAnsiTheme="majorHAnsi" w:cstheme="majorBidi"/>
          <w:sz w:val="24"/>
          <w:szCs w:val="24"/>
        </w:rPr>
        <w:t>The winter of 2022-2023 saw increases in respiratory infections driven by influenza, respiratory syncytial virus (RSV), and COVID-19 impacting the pediatric population. This may explain some of these trends.</w:t>
      </w:r>
    </w:p>
    <w:p w14:paraId="32109729" w14:textId="198F7EBF" w:rsidR="00132B78" w:rsidRPr="007B12DC" w:rsidRDefault="00CC65C6" w:rsidP="27FFC1DE">
      <w:pPr>
        <w:pStyle w:val="Heading4"/>
        <w:spacing w:before="120"/>
        <w:textAlignment w:val="baseline"/>
        <w:rPr>
          <w:rFonts w:asciiTheme="minorHAnsi" w:hAnsiTheme="minorHAnsi" w:cstheme="minorBidi"/>
          <w:color w:val="000000" w:themeColor="text1"/>
        </w:rPr>
      </w:pPr>
      <w:r>
        <w:t>Slide 14</w:t>
      </w:r>
      <w:r w:rsidR="00DC0775">
        <w:t xml:space="preserve">: </w:t>
      </w:r>
      <w:r w:rsidR="2239F3F8">
        <w:t xml:space="preserve">Members in </w:t>
      </w:r>
      <w:r w:rsidR="00DC0775">
        <w:t xml:space="preserve">ACOs Continued to </w:t>
      </w:r>
      <w:r w:rsidR="02168CE2">
        <w:t xml:space="preserve">Retain Higher Rates of Primary Care and Lower Rates of Physical Health Inpatient Admissions </w:t>
      </w:r>
    </w:p>
    <w:p w14:paraId="40B368D6" w14:textId="68BFB4E6" w:rsidR="00132B78" w:rsidRPr="007B12DC" w:rsidRDefault="79E2FD87" w:rsidP="27FFC1DE">
      <w:pPr>
        <w:rPr>
          <w:sz w:val="24"/>
          <w:szCs w:val="24"/>
        </w:rPr>
      </w:pPr>
      <w:r w:rsidRPr="27FFC1DE">
        <w:rPr>
          <w:sz w:val="24"/>
          <w:szCs w:val="24"/>
        </w:rPr>
        <w:t>Graph 4:</w:t>
      </w:r>
    </w:p>
    <w:p w14:paraId="70266AB3" w14:textId="23CEE521" w:rsidR="00132B78" w:rsidRPr="007B12DC" w:rsidRDefault="79E2FD87" w:rsidP="5D8C8835">
      <w:pPr>
        <w:rPr>
          <w:sz w:val="24"/>
          <w:szCs w:val="24"/>
        </w:rPr>
      </w:pPr>
      <w:r>
        <w:rPr>
          <w:noProof/>
        </w:rPr>
        <w:lastRenderedPageBreak/>
        <w:drawing>
          <wp:inline distT="0" distB="0" distL="0" distR="0" wp14:anchorId="3E9D6BC3" wp14:editId="448BFA33">
            <wp:extent cx="3506224" cy="2084345"/>
            <wp:effectExtent l="0" t="0" r="0" b="0"/>
            <wp:docPr id="679167013" name="Picture 679167013" descr="This graph shows PCP visits from 2019 through 2022 among ACO members and non-ACO members. Reference Key Takeaway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167013"/>
                    <pic:cNvPicPr/>
                  </pic:nvPicPr>
                  <pic:blipFill>
                    <a:blip r:embed="rId14">
                      <a:extLst>
                        <a:ext uri="{28A0092B-C50C-407E-A947-70E740481C1C}">
                          <a14:useLocalDpi xmlns:a14="http://schemas.microsoft.com/office/drawing/2010/main" val="0"/>
                        </a:ext>
                      </a:extLst>
                    </a:blip>
                    <a:stretch>
                      <a:fillRect/>
                    </a:stretch>
                  </pic:blipFill>
                  <pic:spPr>
                    <a:xfrm>
                      <a:off x="0" y="0"/>
                      <a:ext cx="3506224" cy="2084345"/>
                    </a:xfrm>
                    <a:prstGeom prst="rect">
                      <a:avLst/>
                    </a:prstGeom>
                  </pic:spPr>
                </pic:pic>
              </a:graphicData>
            </a:graphic>
          </wp:inline>
        </w:drawing>
      </w:r>
    </w:p>
    <w:p w14:paraId="55BEDD4B" w14:textId="43AD30F4" w:rsidR="00132B78" w:rsidRPr="007B12DC" w:rsidRDefault="69F77F65" w:rsidP="05FD1449">
      <w:pPr>
        <w:spacing w:after="0"/>
        <w:rPr>
          <w:sz w:val="24"/>
          <w:szCs w:val="24"/>
        </w:rPr>
      </w:pPr>
      <w:r w:rsidRPr="05FD1449">
        <w:rPr>
          <w:sz w:val="24"/>
          <w:szCs w:val="24"/>
        </w:rPr>
        <w:t xml:space="preserve">Key Takeaways: </w:t>
      </w:r>
    </w:p>
    <w:p w14:paraId="09959FE1" w14:textId="058196F6" w:rsidR="00132B78" w:rsidRPr="007B12DC" w:rsidRDefault="69F77F65" w:rsidP="008240EA">
      <w:pPr>
        <w:pStyle w:val="ListParagraph"/>
        <w:numPr>
          <w:ilvl w:val="0"/>
          <w:numId w:val="52"/>
        </w:numPr>
        <w:spacing w:after="0" w:line="240" w:lineRule="auto"/>
        <w:rPr>
          <w:sz w:val="24"/>
          <w:szCs w:val="24"/>
        </w:rPr>
      </w:pPr>
      <w:r w:rsidRPr="05FD1449">
        <w:rPr>
          <w:sz w:val="24"/>
          <w:szCs w:val="24"/>
        </w:rPr>
        <w:t xml:space="preserve">From 2019 to 2022, PCP visits remained higher among ACO members than non-ACO members.  </w:t>
      </w:r>
    </w:p>
    <w:p w14:paraId="0433E415" w14:textId="71F9C177" w:rsidR="00132B78" w:rsidRPr="007B12DC" w:rsidRDefault="79E2FD87" w:rsidP="008240EA">
      <w:pPr>
        <w:pStyle w:val="ListParagraph"/>
        <w:numPr>
          <w:ilvl w:val="1"/>
          <w:numId w:val="52"/>
        </w:numPr>
        <w:spacing w:before="120" w:after="0" w:line="240" w:lineRule="auto"/>
        <w:rPr>
          <w:sz w:val="24"/>
          <w:szCs w:val="24"/>
        </w:rPr>
      </w:pPr>
      <w:r w:rsidRPr="5D8C8835">
        <w:rPr>
          <w:b/>
          <w:bCs/>
          <w:sz w:val="24"/>
          <w:szCs w:val="24"/>
        </w:rPr>
        <w:t>PCP visits were higher among ACO members by 14% on average.</w:t>
      </w:r>
      <w:r w:rsidRPr="5D8C8835">
        <w:rPr>
          <w:sz w:val="24"/>
          <w:szCs w:val="24"/>
        </w:rPr>
        <w:t xml:space="preserve"> </w:t>
      </w:r>
    </w:p>
    <w:p w14:paraId="38D08255" w14:textId="012C07A0" w:rsidR="00132B78" w:rsidRPr="007B12DC" w:rsidRDefault="3C5D06EF" w:rsidP="5D8C8835">
      <w:pPr>
        <w:spacing w:before="120" w:after="0" w:line="240" w:lineRule="auto"/>
        <w:rPr>
          <w:sz w:val="24"/>
          <w:szCs w:val="24"/>
        </w:rPr>
      </w:pPr>
      <w:r w:rsidRPr="5D8C8835">
        <w:rPr>
          <w:sz w:val="24"/>
          <w:szCs w:val="24"/>
        </w:rPr>
        <w:t xml:space="preserve">Graph 5: </w:t>
      </w:r>
    </w:p>
    <w:p w14:paraId="28CE60C3" w14:textId="41DC2359" w:rsidR="00132B78" w:rsidRPr="007B12DC" w:rsidRDefault="32F45DA2" w:rsidP="5D8C8835">
      <w:pPr>
        <w:spacing w:before="120" w:after="0" w:line="240" w:lineRule="auto"/>
      </w:pPr>
      <w:r>
        <w:rPr>
          <w:noProof/>
        </w:rPr>
        <w:drawing>
          <wp:inline distT="0" distB="0" distL="0" distR="0" wp14:anchorId="07E981CD" wp14:editId="1D381C08">
            <wp:extent cx="3432389" cy="2113850"/>
            <wp:effectExtent l="0" t="0" r="0" b="0"/>
            <wp:docPr id="1423638056" name="Picture 1423638056" descr="This graph shows the physical health inpatient admissions from 2019 through 2022 among ACO members and non-ACO members. Reference Key Takeaway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638056"/>
                    <pic:cNvPicPr/>
                  </pic:nvPicPr>
                  <pic:blipFill>
                    <a:blip r:embed="rId15">
                      <a:extLst>
                        <a:ext uri="{28A0092B-C50C-407E-A947-70E740481C1C}">
                          <a14:useLocalDpi xmlns:a14="http://schemas.microsoft.com/office/drawing/2010/main" val="0"/>
                        </a:ext>
                      </a:extLst>
                    </a:blip>
                    <a:stretch>
                      <a:fillRect/>
                    </a:stretch>
                  </pic:blipFill>
                  <pic:spPr>
                    <a:xfrm>
                      <a:off x="0" y="0"/>
                      <a:ext cx="3432389" cy="2113850"/>
                    </a:xfrm>
                    <a:prstGeom prst="rect">
                      <a:avLst/>
                    </a:prstGeom>
                  </pic:spPr>
                </pic:pic>
              </a:graphicData>
            </a:graphic>
          </wp:inline>
        </w:drawing>
      </w:r>
    </w:p>
    <w:p w14:paraId="22803F83" w14:textId="5BEA570E" w:rsidR="5D8C8835" w:rsidRDefault="5D8C8835" w:rsidP="5D8C8835">
      <w:pPr>
        <w:rPr>
          <w:sz w:val="24"/>
          <w:szCs w:val="24"/>
        </w:rPr>
      </w:pPr>
    </w:p>
    <w:p w14:paraId="2DDDBE8D" w14:textId="07F9EE0B" w:rsidR="27FFC1DE" w:rsidRDefault="08627A67" w:rsidP="05FD1449">
      <w:pPr>
        <w:spacing w:after="0"/>
        <w:rPr>
          <w:sz w:val="24"/>
          <w:szCs w:val="24"/>
        </w:rPr>
      </w:pPr>
      <w:r w:rsidRPr="05FD1449">
        <w:rPr>
          <w:sz w:val="24"/>
          <w:szCs w:val="24"/>
        </w:rPr>
        <w:t xml:space="preserve">Key Takeaways: </w:t>
      </w:r>
    </w:p>
    <w:p w14:paraId="3715E7D0" w14:textId="0E79D834" w:rsidR="00F33269" w:rsidRPr="00647CE5" w:rsidRDefault="08627A67" w:rsidP="008240EA">
      <w:pPr>
        <w:pStyle w:val="ListParagraph"/>
        <w:numPr>
          <w:ilvl w:val="0"/>
          <w:numId w:val="51"/>
        </w:numPr>
        <w:spacing w:after="0" w:line="240" w:lineRule="auto"/>
        <w:rPr>
          <w:sz w:val="24"/>
          <w:szCs w:val="24"/>
        </w:rPr>
      </w:pPr>
      <w:r w:rsidRPr="05FD1449">
        <w:rPr>
          <w:rFonts w:ascii="Calibri Light" w:eastAsia="Calibri Light" w:hAnsi="Calibri Light" w:cs="Calibri Light"/>
          <w:sz w:val="24"/>
          <w:szCs w:val="24"/>
        </w:rPr>
        <w:t xml:space="preserve">ACO members saw sharper declines in Physical Health (PH) Inpatient Admissions from 2019 to 2021 than non-ACO members and have maintained lower rates into 2022.  </w:t>
      </w:r>
    </w:p>
    <w:p w14:paraId="066A64A2" w14:textId="51AE448B" w:rsidR="00F33269" w:rsidRPr="00647CE5" w:rsidRDefault="32F45DA2" w:rsidP="008240EA">
      <w:pPr>
        <w:pStyle w:val="ListParagraph"/>
        <w:numPr>
          <w:ilvl w:val="1"/>
          <w:numId w:val="51"/>
        </w:numPr>
        <w:spacing w:line="240" w:lineRule="auto"/>
      </w:pPr>
      <w:r w:rsidRPr="5D8C8835">
        <w:rPr>
          <w:rFonts w:ascii="Calibri Light" w:eastAsia="Calibri Light" w:hAnsi="Calibri Light" w:cs="Calibri Light"/>
          <w:b/>
          <w:bCs/>
          <w:sz w:val="24"/>
          <w:szCs w:val="24"/>
        </w:rPr>
        <w:t xml:space="preserve">From 2019 to 2022, ACOs saw a 21% decline in PH inpatient admissions versus a 14% decline for non-ACO plans.  </w:t>
      </w:r>
    </w:p>
    <w:p w14:paraId="12A1BB0B" w14:textId="31E433FF" w:rsidR="00F33269" w:rsidRPr="00647CE5" w:rsidRDefault="3EEB2261" w:rsidP="4E5B1BA3">
      <w:pPr>
        <w:pStyle w:val="Heading4"/>
      </w:pPr>
      <w:r w:rsidRPr="5D8C8835">
        <w:t>S</w:t>
      </w:r>
      <w:r w:rsidR="6159DCC9" w:rsidRPr="5D8C8835">
        <w:t>lide</w:t>
      </w:r>
      <w:r w:rsidR="45ACB094" w:rsidRPr="5D8C8835">
        <w:t xml:space="preserve"> 1</w:t>
      </w:r>
      <w:r w:rsidR="6159DCC9" w:rsidRPr="5D8C8835">
        <w:t>5</w:t>
      </w:r>
      <w:r w:rsidR="755E3F04" w:rsidRPr="5D8C8835">
        <w:t xml:space="preserve">: </w:t>
      </w:r>
      <w:r w:rsidR="07E16BD7" w:rsidRPr="5D8C8835">
        <w:t>Telehealth Utilization Declined from 2021 to 2022</w:t>
      </w:r>
      <w:r w:rsidR="00777C95" w:rsidRPr="575F7924">
        <w:rPr>
          <w:rStyle w:val="FootnoteReference"/>
        </w:rPr>
        <w:footnoteReference w:id="6"/>
      </w:r>
      <w:r w:rsidR="07E16BD7" w:rsidRPr="5D8C8835">
        <w:t xml:space="preserve"> for ACO and Non-ACO Members, with Behavioral Health the most used Telehealth Service.</w:t>
      </w:r>
      <w:r w:rsidR="07E16BD7">
        <w:t xml:space="preserve"> </w:t>
      </w:r>
    </w:p>
    <w:p w14:paraId="18A4D474" w14:textId="4039E547" w:rsidR="00F33269" w:rsidRPr="00647CE5" w:rsidRDefault="5BF56418" w:rsidP="5D8C8835">
      <w:r>
        <w:t xml:space="preserve">Graph 6: </w:t>
      </w:r>
    </w:p>
    <w:p w14:paraId="2827FE0C" w14:textId="17C9D0CB" w:rsidR="00F33269" w:rsidRPr="00647CE5" w:rsidRDefault="5BF56418" w:rsidP="5D8C8835">
      <w:r>
        <w:rPr>
          <w:noProof/>
        </w:rPr>
        <w:lastRenderedPageBreak/>
        <w:drawing>
          <wp:inline distT="0" distB="0" distL="0" distR="0" wp14:anchorId="7C521DBD" wp14:editId="12596994">
            <wp:extent cx="3416544" cy="2937674"/>
            <wp:effectExtent l="0" t="0" r="0" b="0"/>
            <wp:docPr id="1736640454" name="Picture 1736640454" descr="This graph shows telehealth visits per 1 thousand members from 2021 and 2022. Data includes PCPs, other Telehealth services, and outpatient behavioral health services. Reference key takeaway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640454"/>
                    <pic:cNvPicPr/>
                  </pic:nvPicPr>
                  <pic:blipFill>
                    <a:blip r:embed="rId16">
                      <a:extLst>
                        <a:ext uri="{28A0092B-C50C-407E-A947-70E740481C1C}">
                          <a14:useLocalDpi xmlns:a14="http://schemas.microsoft.com/office/drawing/2010/main" val="0"/>
                        </a:ext>
                      </a:extLst>
                    </a:blip>
                    <a:stretch>
                      <a:fillRect/>
                    </a:stretch>
                  </pic:blipFill>
                  <pic:spPr>
                    <a:xfrm>
                      <a:off x="0" y="0"/>
                      <a:ext cx="3416544" cy="2937674"/>
                    </a:xfrm>
                    <a:prstGeom prst="rect">
                      <a:avLst/>
                    </a:prstGeom>
                  </pic:spPr>
                </pic:pic>
              </a:graphicData>
            </a:graphic>
          </wp:inline>
        </w:drawing>
      </w:r>
    </w:p>
    <w:p w14:paraId="5BD49F89" w14:textId="6364797F" w:rsidR="00F33269" w:rsidRPr="00647CE5" w:rsidRDefault="2F8BBFBC" w:rsidP="05FD1449">
      <w:pPr>
        <w:spacing w:after="0"/>
        <w:rPr>
          <w:sz w:val="24"/>
          <w:szCs w:val="24"/>
        </w:rPr>
      </w:pPr>
      <w:r w:rsidRPr="05FD1449">
        <w:rPr>
          <w:sz w:val="24"/>
          <w:szCs w:val="24"/>
        </w:rPr>
        <w:t>Key Takeaways</w:t>
      </w:r>
      <w:r w:rsidR="3B822E70" w:rsidRPr="05FD1449">
        <w:rPr>
          <w:sz w:val="24"/>
          <w:szCs w:val="24"/>
        </w:rPr>
        <w:t>:</w:t>
      </w:r>
    </w:p>
    <w:p w14:paraId="50B4D549" w14:textId="71C691B9" w:rsidR="00F33269" w:rsidRPr="00647CE5" w:rsidRDefault="463E5A59" w:rsidP="008240EA">
      <w:pPr>
        <w:pStyle w:val="ListParagraph"/>
        <w:numPr>
          <w:ilvl w:val="0"/>
          <w:numId w:val="50"/>
        </w:numPr>
        <w:spacing w:after="0"/>
        <w:rPr>
          <w:rFonts w:eastAsiaTheme="minorEastAsia"/>
          <w:sz w:val="24"/>
          <w:szCs w:val="24"/>
        </w:rPr>
      </w:pPr>
      <w:r w:rsidRPr="05FD1449">
        <w:rPr>
          <w:rFonts w:eastAsiaTheme="minorEastAsia"/>
          <w:sz w:val="24"/>
          <w:szCs w:val="24"/>
        </w:rPr>
        <w:t xml:space="preserve">Telehealth utilization surged during the pandemic. While telehealth rates declined in 2022 as the pandemic waned, rates remained higher than pre-pandemic.  </w:t>
      </w:r>
    </w:p>
    <w:p w14:paraId="7FA1E9E6" w14:textId="26A2B7CE" w:rsidR="00F33269" w:rsidRPr="00647CE5" w:rsidRDefault="5BF56418" w:rsidP="008240EA">
      <w:pPr>
        <w:pStyle w:val="ListParagraph"/>
        <w:numPr>
          <w:ilvl w:val="0"/>
          <w:numId w:val="50"/>
        </w:numPr>
        <w:rPr>
          <w:rFonts w:eastAsiaTheme="minorEastAsia"/>
          <w:sz w:val="24"/>
          <w:szCs w:val="24"/>
        </w:rPr>
      </w:pPr>
      <w:r w:rsidRPr="5D8C8835">
        <w:rPr>
          <w:rFonts w:eastAsiaTheme="minorEastAsia"/>
          <w:sz w:val="24"/>
          <w:szCs w:val="24"/>
        </w:rPr>
        <w:t xml:space="preserve">Telehealth utilization did not vary significantly between members enrolled in ACOs and those enrolled in other managed care plans. </w:t>
      </w:r>
    </w:p>
    <w:p w14:paraId="230F59E6" w14:textId="16D5482F" w:rsidR="00F33269" w:rsidRPr="00647CE5" w:rsidRDefault="5BF56418" w:rsidP="008240EA">
      <w:pPr>
        <w:pStyle w:val="ListParagraph"/>
        <w:numPr>
          <w:ilvl w:val="0"/>
          <w:numId w:val="50"/>
        </w:numPr>
        <w:rPr>
          <w:rFonts w:eastAsiaTheme="minorEastAsia"/>
          <w:sz w:val="24"/>
          <w:szCs w:val="24"/>
        </w:rPr>
      </w:pPr>
      <w:r w:rsidRPr="5D8C8835">
        <w:rPr>
          <w:rFonts w:eastAsiaTheme="minorEastAsia"/>
          <w:b/>
          <w:bCs/>
          <w:sz w:val="24"/>
          <w:szCs w:val="24"/>
        </w:rPr>
        <w:t>Outpatient BH services</w:t>
      </w:r>
      <w:r w:rsidRPr="5D8C8835">
        <w:rPr>
          <w:rFonts w:eastAsiaTheme="minorEastAsia"/>
          <w:sz w:val="24"/>
          <w:szCs w:val="24"/>
        </w:rPr>
        <w:t xml:space="preserve"> remained the most common telehealth service, accounting for ~75% of total telehealth visits in both 2021 and 2022.</w:t>
      </w:r>
    </w:p>
    <w:p w14:paraId="41CD467F" w14:textId="5A37399E" w:rsidR="00F33269" w:rsidRPr="00647CE5" w:rsidRDefault="0CC9FF48" w:rsidP="4E5B1BA3">
      <w:pPr>
        <w:pStyle w:val="Heading4"/>
      </w:pPr>
      <w:r>
        <w:t>S</w:t>
      </w:r>
      <w:r w:rsidR="00777C95">
        <w:t xml:space="preserve">lide 16: </w:t>
      </w:r>
      <w:r w:rsidR="6CAB2EE9">
        <w:t xml:space="preserve">ACOs Collaborated with MassHealth to Adress BH ED Boarding and Better Support Members with High BH Risk </w:t>
      </w:r>
    </w:p>
    <w:p w14:paraId="4653FEDA" w14:textId="0F9CA96C" w:rsidR="007822BC" w:rsidRPr="007B12DC" w:rsidRDefault="3A2064B9" w:rsidP="008240EA">
      <w:pPr>
        <w:pStyle w:val="NormalWeb"/>
        <w:numPr>
          <w:ilvl w:val="0"/>
          <w:numId w:val="49"/>
        </w:numPr>
        <w:spacing w:line="259" w:lineRule="auto"/>
        <w:rPr>
          <w:rFonts w:asciiTheme="majorHAnsi" w:eastAsiaTheme="majorEastAsia" w:hAnsiTheme="majorHAnsi" w:cstheme="majorBidi"/>
        </w:rPr>
      </w:pPr>
      <w:r w:rsidRPr="5AA89864">
        <w:rPr>
          <w:rFonts w:asciiTheme="majorHAnsi" w:eastAsiaTheme="majorEastAsia" w:hAnsiTheme="majorHAnsi" w:cstheme="majorBidi"/>
        </w:rPr>
        <w:t xml:space="preserve">In 2022, Massachusetts </w:t>
      </w:r>
      <w:r w:rsidRPr="5AA89864">
        <w:rPr>
          <w:rFonts w:asciiTheme="majorHAnsi" w:eastAsiaTheme="majorEastAsia" w:hAnsiTheme="majorHAnsi" w:cstheme="majorBidi"/>
          <w:b/>
          <w:bCs/>
        </w:rPr>
        <w:t xml:space="preserve">continues to experience a large volume of members </w:t>
      </w:r>
      <w:proofErr w:type="gramStart"/>
      <w:r w:rsidRPr="5AA89864">
        <w:rPr>
          <w:rFonts w:asciiTheme="majorHAnsi" w:eastAsiaTheme="majorEastAsia" w:hAnsiTheme="majorHAnsi" w:cstheme="majorBidi"/>
          <w:b/>
          <w:bCs/>
        </w:rPr>
        <w:t>presenting in</w:t>
      </w:r>
      <w:proofErr w:type="gramEnd"/>
      <w:r w:rsidRPr="5AA89864">
        <w:rPr>
          <w:rFonts w:asciiTheme="majorHAnsi" w:eastAsiaTheme="majorEastAsia" w:hAnsiTheme="majorHAnsi" w:cstheme="majorBidi"/>
          <w:b/>
          <w:bCs/>
        </w:rPr>
        <w:t xml:space="preserve"> EDs seeking inpatient BH care</w:t>
      </w:r>
      <w:r w:rsidRPr="5AA89864">
        <w:rPr>
          <w:rFonts w:asciiTheme="majorHAnsi" w:eastAsiaTheme="majorEastAsia" w:hAnsiTheme="majorHAnsi" w:cstheme="majorBidi"/>
        </w:rPr>
        <w:t xml:space="preserve"> and waiting extended periods for placement </w:t>
      </w:r>
    </w:p>
    <w:p w14:paraId="5317AF21" w14:textId="78C0B897" w:rsidR="007822BC" w:rsidRPr="007B12DC" w:rsidRDefault="3A2064B9" w:rsidP="008240EA">
      <w:pPr>
        <w:pStyle w:val="ListParagraph"/>
        <w:numPr>
          <w:ilvl w:val="0"/>
          <w:numId w:val="49"/>
        </w:numPr>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 xml:space="preserve">To address this ongoing concern, MassHealth </w:t>
      </w:r>
      <w:r w:rsidRPr="5AA89864">
        <w:rPr>
          <w:rFonts w:asciiTheme="majorHAnsi" w:eastAsiaTheme="majorEastAsia" w:hAnsiTheme="majorHAnsi" w:cstheme="majorBidi"/>
          <w:b/>
          <w:bCs/>
          <w:sz w:val="24"/>
          <w:szCs w:val="24"/>
        </w:rPr>
        <w:t xml:space="preserve">implemented a performance and reporting program </w:t>
      </w:r>
      <w:r w:rsidRPr="5AA89864">
        <w:rPr>
          <w:rFonts w:asciiTheme="majorHAnsi" w:eastAsiaTheme="majorEastAsia" w:hAnsiTheme="majorHAnsi" w:cstheme="majorBidi"/>
          <w:sz w:val="24"/>
          <w:szCs w:val="24"/>
        </w:rPr>
        <w:t xml:space="preserve">with ACOs to improve engagement in high impact interventions for members with high BH risk. High BH risk was defined by the number of BH ED visits and BH IP admissions a member had during a 3-month period. </w:t>
      </w:r>
    </w:p>
    <w:p w14:paraId="0A5C6B7E" w14:textId="19EBEED3" w:rsidR="6B190562" w:rsidRDefault="3A2064B9" w:rsidP="008240EA">
      <w:pPr>
        <w:pStyle w:val="ListParagraph"/>
        <w:numPr>
          <w:ilvl w:val="0"/>
          <w:numId w:val="49"/>
        </w:numPr>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 xml:space="preserve">ACOs were asked to report on which four high impact interventions they had engaged members with high BH </w:t>
      </w:r>
      <w:proofErr w:type="gramStart"/>
      <w:r w:rsidRPr="5AA89864">
        <w:rPr>
          <w:rFonts w:asciiTheme="majorHAnsi" w:eastAsiaTheme="majorEastAsia" w:hAnsiTheme="majorHAnsi" w:cstheme="majorBidi"/>
          <w:sz w:val="24"/>
          <w:szCs w:val="24"/>
        </w:rPr>
        <w:t>risk in</w:t>
      </w:r>
      <w:proofErr w:type="gramEnd"/>
      <w:r w:rsidRPr="5AA89864">
        <w:rPr>
          <w:rFonts w:asciiTheme="majorHAnsi" w:eastAsiaTheme="majorEastAsia" w:hAnsiTheme="majorHAnsi" w:cstheme="majorBidi"/>
          <w:sz w:val="24"/>
          <w:szCs w:val="24"/>
        </w:rPr>
        <w:t xml:space="preserve"> during the previous quarter. The results, including a market comparison, were shared with ACOs.</w:t>
      </w:r>
    </w:p>
    <w:p w14:paraId="1487926C" w14:textId="4F0C8679" w:rsidR="575F7924" w:rsidRDefault="575F7924" w:rsidP="575F7924">
      <w:pPr>
        <w:pStyle w:val="ListParagraph"/>
        <w:rPr>
          <w:rFonts w:asciiTheme="majorHAnsi" w:eastAsiaTheme="majorEastAsia" w:hAnsiTheme="majorHAnsi" w:cstheme="majorBidi"/>
        </w:rPr>
      </w:pPr>
    </w:p>
    <w:p w14:paraId="5E7470A3" w14:textId="49159916" w:rsidR="4E36FBEA" w:rsidRDefault="15AB8603" w:rsidP="5AA89864">
      <w:pPr>
        <w:pStyle w:val="ListParagraph"/>
        <w:rPr>
          <w:rFonts w:asciiTheme="majorHAnsi" w:eastAsiaTheme="majorEastAsia" w:hAnsiTheme="majorHAnsi" w:cstheme="majorBidi"/>
          <w:b/>
          <w:bCs/>
          <w:sz w:val="24"/>
          <w:szCs w:val="24"/>
        </w:rPr>
      </w:pPr>
      <w:r w:rsidRPr="5AA89864">
        <w:rPr>
          <w:rFonts w:asciiTheme="majorHAnsi" w:eastAsiaTheme="majorEastAsia" w:hAnsiTheme="majorHAnsi" w:cstheme="majorBidi"/>
          <w:b/>
          <w:bCs/>
          <w:sz w:val="24"/>
          <w:szCs w:val="24"/>
        </w:rPr>
        <w:t xml:space="preserve">Performance Engagement Findings: </w:t>
      </w:r>
    </w:p>
    <w:p w14:paraId="1F8664B4" w14:textId="1DBEE299" w:rsidR="4E36FBEA" w:rsidRDefault="15AB8603" w:rsidP="008240EA">
      <w:pPr>
        <w:pStyle w:val="ListParagraph"/>
        <w:numPr>
          <w:ilvl w:val="0"/>
          <w:numId w:val="48"/>
        </w:numPr>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Performance engagements were held with 9 ACOs in 2022 to better understand best practices, barriers, and facilitators for high BH risk population health management, identifying innovative and successful approaches to managing high BH risk members, including the following:</w:t>
      </w:r>
    </w:p>
    <w:p w14:paraId="64D2E60A" w14:textId="5A177229" w:rsidR="1ECAA7E8" w:rsidRDefault="078E90A8" w:rsidP="008240EA">
      <w:pPr>
        <w:pStyle w:val="ListParagraph"/>
        <w:numPr>
          <w:ilvl w:val="1"/>
          <w:numId w:val="48"/>
        </w:numPr>
        <w:rPr>
          <w:rFonts w:asciiTheme="majorHAnsi" w:eastAsiaTheme="majorEastAsia" w:hAnsiTheme="majorHAnsi" w:cstheme="majorBidi"/>
          <w:sz w:val="24"/>
          <w:szCs w:val="24"/>
        </w:rPr>
      </w:pPr>
      <w:r w:rsidRPr="5AA89864">
        <w:rPr>
          <w:rFonts w:asciiTheme="majorHAnsi" w:eastAsiaTheme="majorEastAsia" w:hAnsiTheme="majorHAnsi" w:cstheme="majorBidi"/>
          <w:b/>
          <w:bCs/>
          <w:sz w:val="24"/>
          <w:szCs w:val="24"/>
        </w:rPr>
        <w:lastRenderedPageBreak/>
        <w:t xml:space="preserve">Fallon 365 </w:t>
      </w:r>
      <w:r w:rsidRPr="5AA89864">
        <w:rPr>
          <w:rFonts w:asciiTheme="majorHAnsi" w:eastAsiaTheme="majorEastAsia" w:hAnsiTheme="majorHAnsi" w:cstheme="majorBidi"/>
          <w:sz w:val="24"/>
          <w:szCs w:val="24"/>
        </w:rPr>
        <w:t xml:space="preserve">utilized separate, tailored adult and youth risk stratification dashboards. They included a variety of variables such as difficulty of engagement, SDOH, preferred language of care, and chronic conditions in addition to the typical total cost of care and hospitalization rates.  </w:t>
      </w:r>
    </w:p>
    <w:p w14:paraId="4BC7305C" w14:textId="0FB7AA96" w:rsidR="1ECAA7E8" w:rsidRDefault="078E90A8" w:rsidP="008240EA">
      <w:pPr>
        <w:pStyle w:val="ListParagraph"/>
        <w:numPr>
          <w:ilvl w:val="1"/>
          <w:numId w:val="48"/>
        </w:numPr>
        <w:rPr>
          <w:rFonts w:asciiTheme="majorHAnsi" w:eastAsiaTheme="majorEastAsia" w:hAnsiTheme="majorHAnsi" w:cstheme="majorBidi"/>
          <w:sz w:val="24"/>
          <w:szCs w:val="24"/>
        </w:rPr>
      </w:pPr>
      <w:r w:rsidRPr="5AA89864">
        <w:rPr>
          <w:rFonts w:asciiTheme="majorHAnsi" w:eastAsiaTheme="majorEastAsia" w:hAnsiTheme="majorHAnsi" w:cstheme="majorBidi"/>
          <w:b/>
          <w:bCs/>
          <w:sz w:val="24"/>
          <w:szCs w:val="24"/>
        </w:rPr>
        <w:t>Tufts Together with Cambridge Health Alliance</w:t>
      </w:r>
      <w:r w:rsidRPr="5AA89864">
        <w:rPr>
          <w:rFonts w:asciiTheme="majorHAnsi" w:eastAsiaTheme="majorEastAsia" w:hAnsiTheme="majorHAnsi" w:cstheme="majorBidi"/>
          <w:sz w:val="24"/>
          <w:szCs w:val="24"/>
        </w:rPr>
        <w:t xml:space="preserve"> had an intensive care management program that was </w:t>
      </w:r>
      <w:proofErr w:type="gramStart"/>
      <w:r w:rsidRPr="5AA89864">
        <w:rPr>
          <w:rFonts w:asciiTheme="majorHAnsi" w:eastAsiaTheme="majorEastAsia" w:hAnsiTheme="majorHAnsi" w:cstheme="majorBidi"/>
          <w:sz w:val="24"/>
          <w:szCs w:val="24"/>
        </w:rPr>
        <w:t>provider</w:t>
      </w:r>
      <w:proofErr w:type="gramEnd"/>
      <w:r w:rsidRPr="5AA89864">
        <w:rPr>
          <w:rFonts w:asciiTheme="majorHAnsi" w:eastAsiaTheme="majorEastAsia" w:hAnsiTheme="majorHAnsi" w:cstheme="majorBidi"/>
          <w:sz w:val="24"/>
          <w:szCs w:val="24"/>
        </w:rPr>
        <w:t xml:space="preserve"> facing to ensure seamless care coordination between the care team. Community Health Workers focused on </w:t>
      </w:r>
      <w:proofErr w:type="gramStart"/>
      <w:r w:rsidRPr="5AA89864">
        <w:rPr>
          <w:rFonts w:asciiTheme="majorHAnsi" w:eastAsiaTheme="majorEastAsia" w:hAnsiTheme="majorHAnsi" w:cstheme="majorBidi"/>
          <w:sz w:val="24"/>
          <w:szCs w:val="24"/>
        </w:rPr>
        <w:t>member facing</w:t>
      </w:r>
      <w:proofErr w:type="gramEnd"/>
      <w:r w:rsidRPr="5AA89864">
        <w:rPr>
          <w:rFonts w:asciiTheme="majorHAnsi" w:eastAsiaTheme="majorEastAsia" w:hAnsiTheme="majorHAnsi" w:cstheme="majorBidi"/>
          <w:sz w:val="24"/>
          <w:szCs w:val="24"/>
        </w:rPr>
        <w:t xml:space="preserve"> care and coordination and reducing barriers to access. </w:t>
      </w:r>
    </w:p>
    <w:p w14:paraId="2826A80C" w14:textId="76D0B776" w:rsidR="1ECAA7E8" w:rsidRDefault="29F3557E" w:rsidP="008240EA">
      <w:pPr>
        <w:pStyle w:val="ListParagraph"/>
        <w:numPr>
          <w:ilvl w:val="1"/>
          <w:numId w:val="48"/>
        </w:numPr>
        <w:rPr>
          <w:rFonts w:asciiTheme="majorHAnsi" w:eastAsiaTheme="majorEastAsia" w:hAnsiTheme="majorHAnsi" w:cstheme="majorBidi"/>
          <w:sz w:val="24"/>
          <w:szCs w:val="24"/>
        </w:rPr>
      </w:pPr>
      <w:r w:rsidRPr="7C8EAC7F">
        <w:rPr>
          <w:rFonts w:asciiTheme="majorHAnsi" w:eastAsiaTheme="majorEastAsia" w:hAnsiTheme="majorHAnsi" w:cstheme="majorBidi"/>
          <w:b/>
          <w:bCs/>
          <w:sz w:val="24"/>
          <w:szCs w:val="24"/>
        </w:rPr>
        <w:t xml:space="preserve">Boston Medical Center Community Plan </w:t>
      </w:r>
      <w:r w:rsidRPr="7C8EAC7F">
        <w:rPr>
          <w:rFonts w:asciiTheme="majorHAnsi" w:eastAsiaTheme="majorEastAsia" w:hAnsiTheme="majorHAnsi" w:cstheme="majorBidi"/>
          <w:sz w:val="24"/>
          <w:szCs w:val="24"/>
        </w:rPr>
        <w:t xml:space="preserve">had shelter and ED-based liaisons to meet members where they </w:t>
      </w:r>
      <w:proofErr w:type="gramStart"/>
      <w:r w:rsidRPr="7C8EAC7F">
        <w:rPr>
          <w:rFonts w:asciiTheme="majorHAnsi" w:eastAsiaTheme="majorEastAsia" w:hAnsiTheme="majorHAnsi" w:cstheme="majorBidi"/>
          <w:sz w:val="24"/>
          <w:szCs w:val="24"/>
        </w:rPr>
        <w:t>were at</w:t>
      </w:r>
      <w:proofErr w:type="gramEnd"/>
      <w:r w:rsidRPr="7C8EAC7F">
        <w:rPr>
          <w:rFonts w:asciiTheme="majorHAnsi" w:eastAsiaTheme="majorEastAsia" w:hAnsiTheme="majorHAnsi" w:cstheme="majorBidi"/>
          <w:sz w:val="24"/>
          <w:szCs w:val="24"/>
        </w:rPr>
        <w:t xml:space="preserve"> to engage them in care management services.  </w:t>
      </w:r>
    </w:p>
    <w:p w14:paraId="31C3F9C0" w14:textId="0A0859D4" w:rsidR="1ECAA7E8" w:rsidRDefault="078E90A8" w:rsidP="1A331411">
      <w:pPr>
        <w:spacing w:after="0"/>
        <w:ind w:firstLine="720"/>
        <w:rPr>
          <w:rFonts w:asciiTheme="majorHAnsi" w:eastAsiaTheme="majorEastAsia" w:hAnsiTheme="majorHAnsi" w:cstheme="majorBidi"/>
          <w:b/>
          <w:bCs/>
          <w:sz w:val="24"/>
          <w:szCs w:val="24"/>
        </w:rPr>
      </w:pPr>
      <w:r w:rsidRPr="1A331411">
        <w:rPr>
          <w:rFonts w:asciiTheme="majorHAnsi" w:eastAsiaTheme="majorEastAsia" w:hAnsiTheme="majorHAnsi" w:cstheme="majorBidi"/>
          <w:b/>
          <w:bCs/>
          <w:sz w:val="24"/>
          <w:szCs w:val="24"/>
        </w:rPr>
        <w:t>2023 Strategy:</w:t>
      </w:r>
    </w:p>
    <w:p w14:paraId="5E3D265A" w14:textId="51731102" w:rsidR="1ECAA7E8" w:rsidRDefault="078E90A8" w:rsidP="008240EA">
      <w:pPr>
        <w:pStyle w:val="ListParagraph"/>
        <w:numPr>
          <w:ilvl w:val="0"/>
          <w:numId w:val="47"/>
        </w:numPr>
        <w:spacing w:after="0"/>
        <w:rPr>
          <w:rFonts w:asciiTheme="majorHAnsi" w:eastAsiaTheme="majorEastAsia" w:hAnsiTheme="majorHAnsi" w:cstheme="majorBidi"/>
          <w:b/>
          <w:bCs/>
          <w:sz w:val="24"/>
          <w:szCs w:val="24"/>
        </w:rPr>
      </w:pPr>
      <w:r w:rsidRPr="1A331411">
        <w:rPr>
          <w:rFonts w:asciiTheme="majorHAnsi" w:eastAsiaTheme="majorEastAsia" w:hAnsiTheme="majorHAnsi" w:cstheme="majorBidi"/>
          <w:b/>
          <w:bCs/>
          <w:sz w:val="24"/>
          <w:szCs w:val="24"/>
        </w:rPr>
        <w:t xml:space="preserve">Contract Requirements </w:t>
      </w:r>
    </w:p>
    <w:p w14:paraId="7C9FD18A" w14:textId="003B9EE3" w:rsidR="1ECAA7E8" w:rsidRDefault="078E90A8" w:rsidP="008240EA">
      <w:pPr>
        <w:pStyle w:val="ListParagraph"/>
        <w:numPr>
          <w:ilvl w:val="1"/>
          <w:numId w:val="47"/>
        </w:numPr>
        <w:spacing w:after="0"/>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t xml:space="preserve">Separate risk stratification criteria for adults and youth identified as a best practice and </w:t>
      </w:r>
      <w:proofErr w:type="gramStart"/>
      <w:r w:rsidRPr="1A331411">
        <w:rPr>
          <w:rFonts w:asciiTheme="majorHAnsi" w:eastAsiaTheme="majorEastAsia" w:hAnsiTheme="majorHAnsi" w:cstheme="majorBidi"/>
          <w:sz w:val="24"/>
          <w:szCs w:val="24"/>
        </w:rPr>
        <w:t>was</w:t>
      </w:r>
      <w:proofErr w:type="gramEnd"/>
      <w:r w:rsidRPr="1A331411">
        <w:rPr>
          <w:rFonts w:asciiTheme="majorHAnsi" w:eastAsiaTheme="majorEastAsia" w:hAnsiTheme="majorHAnsi" w:cstheme="majorBidi"/>
          <w:sz w:val="24"/>
          <w:szCs w:val="24"/>
        </w:rPr>
        <w:t xml:space="preserve"> incorporated into the ACO contracts in 2023. </w:t>
      </w:r>
    </w:p>
    <w:p w14:paraId="45E0F815" w14:textId="6C943FFA" w:rsidR="1ECAA7E8" w:rsidRDefault="078E90A8" w:rsidP="008240EA">
      <w:pPr>
        <w:pStyle w:val="ListParagraph"/>
        <w:numPr>
          <w:ilvl w:val="0"/>
          <w:numId w:val="47"/>
        </w:numPr>
        <w:rPr>
          <w:rFonts w:asciiTheme="majorHAnsi" w:eastAsiaTheme="majorEastAsia" w:hAnsiTheme="majorHAnsi" w:cstheme="majorBidi"/>
          <w:sz w:val="24"/>
          <w:szCs w:val="24"/>
        </w:rPr>
      </w:pPr>
      <w:r w:rsidRPr="1A331411">
        <w:rPr>
          <w:rFonts w:asciiTheme="majorHAnsi" w:eastAsiaTheme="majorEastAsia" w:hAnsiTheme="majorHAnsi" w:cstheme="majorBidi"/>
          <w:b/>
          <w:bCs/>
          <w:sz w:val="24"/>
          <w:szCs w:val="24"/>
        </w:rPr>
        <w:t xml:space="preserve">Information Sharing </w:t>
      </w:r>
    </w:p>
    <w:p w14:paraId="512712BA" w14:textId="133D8880" w:rsidR="1ECAA7E8" w:rsidRDefault="078E90A8" w:rsidP="008240EA">
      <w:pPr>
        <w:pStyle w:val="ListParagraph"/>
        <w:numPr>
          <w:ilvl w:val="1"/>
          <w:numId w:val="47"/>
        </w:numPr>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t xml:space="preserve">A summary of findings and best practices identified in the first 3 rounds of reporting and engagements was disseminated to the plans in October 2023.  </w:t>
      </w:r>
    </w:p>
    <w:p w14:paraId="09903A8A" w14:textId="5621F98D" w:rsidR="1ECAA7E8" w:rsidRDefault="078E90A8" w:rsidP="008240EA">
      <w:pPr>
        <w:pStyle w:val="ListParagraph"/>
        <w:numPr>
          <w:ilvl w:val="0"/>
          <w:numId w:val="47"/>
        </w:numPr>
        <w:rPr>
          <w:rFonts w:asciiTheme="majorHAnsi" w:eastAsiaTheme="majorEastAsia" w:hAnsiTheme="majorHAnsi" w:cstheme="majorBidi"/>
          <w:b/>
          <w:bCs/>
          <w:sz w:val="24"/>
          <w:szCs w:val="24"/>
        </w:rPr>
      </w:pPr>
      <w:r w:rsidRPr="1A331411">
        <w:rPr>
          <w:rFonts w:asciiTheme="majorHAnsi" w:eastAsiaTheme="majorEastAsia" w:hAnsiTheme="majorHAnsi" w:cstheme="majorBidi"/>
          <w:b/>
          <w:bCs/>
          <w:sz w:val="24"/>
          <w:szCs w:val="24"/>
        </w:rPr>
        <w:t xml:space="preserve">Updates to Reporting Program </w:t>
      </w:r>
    </w:p>
    <w:p w14:paraId="62DB961D" w14:textId="5BC57031" w:rsidR="1ECAA7E8" w:rsidRDefault="078E90A8" w:rsidP="008240EA">
      <w:pPr>
        <w:pStyle w:val="ListParagraph"/>
        <w:numPr>
          <w:ilvl w:val="1"/>
          <w:numId w:val="47"/>
        </w:numPr>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t xml:space="preserve">The following rounds of reporting and engagement beginning in December 2023 focused on facilitating adoption of best practices from previous rounds and problem-solving barriers.  </w:t>
      </w:r>
    </w:p>
    <w:p w14:paraId="082C1E04" w14:textId="2D50F119" w:rsidR="1ECAA7E8" w:rsidRDefault="078E90A8" w:rsidP="008240EA">
      <w:pPr>
        <w:pStyle w:val="ListParagraph"/>
        <w:numPr>
          <w:ilvl w:val="1"/>
          <w:numId w:val="47"/>
        </w:numPr>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t xml:space="preserve">Reporting process updates included requiring plans to self-identify members who met the high BH risk criteria and comparing their identified members to those reported to the Massachusetts Behavioral Health Access (MABHA). Plans began to be held to greater accountability for accurately reporting their high-risk members who are waiting for placement on the state portal.  </w:t>
      </w:r>
    </w:p>
    <w:p w14:paraId="26609A38" w14:textId="07FF65F6" w:rsidR="09FDF2D4" w:rsidRDefault="09FDF2D4" w:rsidP="6B190562">
      <w:pPr>
        <w:pStyle w:val="Heading4"/>
      </w:pPr>
      <w:r>
        <w:t>Slide 17: ACOs Reviewed Effectiveness of DSRIP Funded Programs to Make Ongoing Investment Decisions</w:t>
      </w:r>
    </w:p>
    <w:p w14:paraId="6BF909C8" w14:textId="30527B03" w:rsidR="43098854" w:rsidRDefault="02ABB727" w:rsidP="008240EA">
      <w:pPr>
        <w:pStyle w:val="ListParagraph"/>
        <w:numPr>
          <w:ilvl w:val="0"/>
          <w:numId w:val="46"/>
        </w:numPr>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 xml:space="preserve">As time-limited DSRIP funding declined in this final year of the DSRIP program, ACOs evaluated and compared their DSRIP-funded investments to make data-driven choices about which to scale/sustain and which to sunset. </w:t>
      </w:r>
    </w:p>
    <w:p w14:paraId="49C54C50" w14:textId="5AF479AD" w:rsidR="43098854" w:rsidRDefault="02ABB727" w:rsidP="008240EA">
      <w:pPr>
        <w:pStyle w:val="ListParagraph"/>
        <w:numPr>
          <w:ilvl w:val="0"/>
          <w:numId w:val="46"/>
        </w:numPr>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 xml:space="preserve">ACO DSRIP spending was at its highest in 2018 ($189.3M) and continually decreased in the subsequent years ($173.7M in 2019, $135.7M in 2020, $87.5M in 2021, $69M in 2022 through Q1 2023) as ACOs decreased spending on Integration Projects and Data Analytics, Population Health, and HIT Projects. </w:t>
      </w:r>
    </w:p>
    <w:p w14:paraId="18B3F476" w14:textId="372E5713" w:rsidR="43098854" w:rsidRDefault="02ABB727" w:rsidP="008240EA">
      <w:pPr>
        <w:pStyle w:val="ListParagraph"/>
        <w:numPr>
          <w:ilvl w:val="0"/>
          <w:numId w:val="46"/>
        </w:numPr>
        <w:spacing w:after="0"/>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 xml:space="preserve">In 2022, as in prior years, ACOs made decisions about which programs to fund through DSRIP and which to sunset or move to other funding sources given lower levels of DSRIP funding.  </w:t>
      </w:r>
    </w:p>
    <w:p w14:paraId="60ADF205" w14:textId="67D270F5" w:rsidR="03D762C0" w:rsidRDefault="389AA8C8" w:rsidP="008240EA">
      <w:pPr>
        <w:pStyle w:val="ListParagraph"/>
        <w:numPr>
          <w:ilvl w:val="0"/>
          <w:numId w:val="46"/>
        </w:numPr>
        <w:spacing w:after="0"/>
        <w:rPr>
          <w:rFonts w:asciiTheme="majorHAnsi" w:eastAsiaTheme="majorEastAsia" w:hAnsiTheme="majorHAnsi" w:cstheme="majorBidi"/>
          <w:b/>
          <w:bCs/>
          <w:sz w:val="24"/>
          <w:szCs w:val="24"/>
        </w:rPr>
      </w:pPr>
      <w:r w:rsidRPr="1A331411">
        <w:rPr>
          <w:rFonts w:asciiTheme="majorHAnsi" w:eastAsiaTheme="majorEastAsia" w:hAnsiTheme="majorHAnsi" w:cstheme="majorBidi"/>
          <w:b/>
          <w:bCs/>
          <w:sz w:val="24"/>
          <w:szCs w:val="24"/>
        </w:rPr>
        <w:lastRenderedPageBreak/>
        <w:t xml:space="preserve">Example: In 2022, FLN-Berkshire continued DSRIP investment in their Hospital Based Community Health Worker (CHW) program based on demonstrated reductions in avoidable ED visits, inpatient admissions, and behavioral health hospital days  </w:t>
      </w:r>
    </w:p>
    <w:p w14:paraId="4D4973FB" w14:textId="0349453F" w:rsidR="03D762C0" w:rsidRDefault="389AA8C8" w:rsidP="008240EA">
      <w:pPr>
        <w:pStyle w:val="ListParagraph"/>
        <w:numPr>
          <w:ilvl w:val="1"/>
          <w:numId w:val="46"/>
        </w:numPr>
        <w:rPr>
          <w:rFonts w:asciiTheme="majorHAnsi" w:eastAsiaTheme="majorEastAsia" w:hAnsiTheme="majorHAnsi" w:cstheme="majorBidi"/>
          <w:sz w:val="24"/>
          <w:szCs w:val="24"/>
        </w:rPr>
      </w:pPr>
      <w:r w:rsidRPr="5AA89864">
        <w:rPr>
          <w:rFonts w:asciiTheme="majorHAnsi" w:eastAsiaTheme="majorEastAsia" w:hAnsiTheme="majorHAnsi" w:cstheme="majorBidi"/>
          <w:sz w:val="24"/>
          <w:szCs w:val="24"/>
        </w:rPr>
        <w:t xml:space="preserve">The Hospital Based CHW at Berkshire visits or contacts members when they are in the ED/inpatient setting to engage the member and provide a warm handoff to the care team for ongoing care management and engagement </w:t>
      </w:r>
    </w:p>
    <w:p w14:paraId="3936F87E" w14:textId="143BC8F7" w:rsidR="03D762C0" w:rsidRDefault="389AA8C8" w:rsidP="008240EA">
      <w:pPr>
        <w:pStyle w:val="ListParagraph"/>
        <w:numPr>
          <w:ilvl w:val="1"/>
          <w:numId w:val="46"/>
        </w:numPr>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t xml:space="preserve">The program was evaluated and showed positive outcomes on three measures compared to benchmarks: 1) avoidable ED visits decreased by 24%, 2) inpatient admissions decreased by 23%, 3) residential behavioral health / SUD hospital days decreased 18%.  </w:t>
      </w:r>
    </w:p>
    <w:p w14:paraId="7DB678F8" w14:textId="3964C6F0" w:rsidR="6B190562" w:rsidRDefault="6B190562" w:rsidP="6B190562"/>
    <w:p w14:paraId="61161E31" w14:textId="1E9C1E08" w:rsidR="00647CE5" w:rsidRPr="00647CE5" w:rsidRDefault="00647CE5" w:rsidP="007B12DC">
      <w:pPr>
        <w:pStyle w:val="Heading3"/>
      </w:pPr>
      <w:r w:rsidRPr="00647CE5">
        <w:t>Flexible Services</w:t>
      </w:r>
    </w:p>
    <w:p w14:paraId="4E5B3597" w14:textId="0E5833DC" w:rsidR="00D166DF" w:rsidRPr="007B12DC" w:rsidRDefault="5943B981" w:rsidP="007B12DC">
      <w:pPr>
        <w:pStyle w:val="Heading4"/>
      </w:pPr>
      <w:r>
        <w:t>Slide 1</w:t>
      </w:r>
      <w:r w:rsidR="5FF3595A">
        <w:t>9</w:t>
      </w:r>
      <w:r>
        <w:t xml:space="preserve">: </w:t>
      </w:r>
      <w:r w:rsidR="4B69B5BC">
        <w:t>Flexible Services Program: Summary of 202</w:t>
      </w:r>
      <w:r w:rsidR="0FE0E27C">
        <w:t>2</w:t>
      </w:r>
      <w:r w:rsidR="4B69B5BC">
        <w:t xml:space="preserve"> Progress</w:t>
      </w:r>
    </w:p>
    <w:p w14:paraId="50009D23" w14:textId="6479361C" w:rsidR="2A091B7C" w:rsidRDefault="5B6E72AD" w:rsidP="008240EA">
      <w:pPr>
        <w:pStyle w:val="NormalWeb"/>
        <w:numPr>
          <w:ilvl w:val="0"/>
          <w:numId w:val="61"/>
        </w:numPr>
        <w:spacing w:line="259" w:lineRule="auto"/>
        <w:rPr>
          <w:rFonts w:asciiTheme="majorHAnsi" w:eastAsiaTheme="majorEastAsia" w:hAnsiTheme="majorHAnsi" w:cstheme="majorBidi"/>
        </w:rPr>
      </w:pPr>
      <w:r w:rsidRPr="1A331411">
        <w:rPr>
          <w:rFonts w:asciiTheme="majorHAnsi" w:eastAsiaTheme="majorEastAsia" w:hAnsiTheme="majorHAnsi" w:cstheme="majorBidi"/>
        </w:rPr>
        <w:t xml:space="preserve">The Flexible Services Program enables ACOs to provide nutritional and housing </w:t>
      </w:r>
      <w:proofErr w:type="gramStart"/>
      <w:r w:rsidRPr="1A331411">
        <w:rPr>
          <w:rFonts w:asciiTheme="majorHAnsi" w:eastAsiaTheme="majorEastAsia" w:hAnsiTheme="majorHAnsi" w:cstheme="majorBidi"/>
        </w:rPr>
        <w:t>supports</w:t>
      </w:r>
      <w:proofErr w:type="gramEnd"/>
      <w:r w:rsidRPr="1A331411">
        <w:rPr>
          <w:rFonts w:asciiTheme="majorHAnsi" w:eastAsiaTheme="majorEastAsia" w:hAnsiTheme="majorHAnsi" w:cstheme="majorBidi"/>
        </w:rPr>
        <w:t xml:space="preserve"> to certain members, with the goal of improving overall member health and outcomes </w:t>
      </w:r>
    </w:p>
    <w:p w14:paraId="6C9C8E00" w14:textId="5289599F" w:rsidR="2A091B7C" w:rsidRDefault="5B6E72AD" w:rsidP="008240EA">
      <w:pPr>
        <w:pStyle w:val="ListParagraph"/>
        <w:numPr>
          <w:ilvl w:val="0"/>
          <w:numId w:val="61"/>
        </w:numPr>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t xml:space="preserve">The Flexible Services Program was </w:t>
      </w:r>
      <w:r w:rsidRPr="1A331411">
        <w:rPr>
          <w:rFonts w:asciiTheme="majorHAnsi" w:eastAsiaTheme="majorEastAsia" w:hAnsiTheme="majorHAnsi" w:cstheme="majorBidi"/>
          <w:b/>
          <w:bCs/>
          <w:sz w:val="24"/>
          <w:szCs w:val="24"/>
        </w:rPr>
        <w:t>one of 2022’s key successes.</w:t>
      </w:r>
      <w:r w:rsidRPr="1A331411">
        <w:rPr>
          <w:rFonts w:asciiTheme="majorHAnsi" w:eastAsiaTheme="majorEastAsia" w:hAnsiTheme="majorHAnsi" w:cstheme="majorBidi"/>
          <w:sz w:val="24"/>
          <w:szCs w:val="24"/>
        </w:rPr>
        <w:t xml:space="preserve"> In its third year, the program continued to experience </w:t>
      </w:r>
      <w:r w:rsidRPr="1A331411">
        <w:rPr>
          <w:rFonts w:asciiTheme="majorHAnsi" w:eastAsiaTheme="majorEastAsia" w:hAnsiTheme="majorHAnsi" w:cstheme="majorBidi"/>
          <w:b/>
          <w:bCs/>
          <w:sz w:val="24"/>
          <w:szCs w:val="24"/>
        </w:rPr>
        <w:t>rapid and substantial growth, became more efficient</w:t>
      </w:r>
      <w:r w:rsidRPr="1A331411">
        <w:rPr>
          <w:rFonts w:asciiTheme="majorHAnsi" w:eastAsiaTheme="majorEastAsia" w:hAnsiTheme="majorHAnsi" w:cstheme="majorBidi"/>
          <w:sz w:val="24"/>
          <w:szCs w:val="24"/>
        </w:rPr>
        <w:t xml:space="preserve">, and demonstrated </w:t>
      </w:r>
      <w:r w:rsidRPr="1A331411">
        <w:rPr>
          <w:rFonts w:asciiTheme="majorHAnsi" w:eastAsiaTheme="majorEastAsia" w:hAnsiTheme="majorHAnsi" w:cstheme="majorBidi"/>
          <w:b/>
          <w:bCs/>
          <w:sz w:val="24"/>
          <w:szCs w:val="24"/>
        </w:rPr>
        <w:t>promising early outcomes</w:t>
      </w:r>
      <w:r w:rsidRPr="1A331411">
        <w:rPr>
          <w:rFonts w:asciiTheme="majorHAnsi" w:eastAsiaTheme="majorEastAsia" w:hAnsiTheme="majorHAnsi" w:cstheme="majorBidi"/>
          <w:sz w:val="24"/>
          <w:szCs w:val="24"/>
        </w:rPr>
        <w:t xml:space="preserve"> </w:t>
      </w:r>
    </w:p>
    <w:p w14:paraId="402103C7" w14:textId="0E859AB0" w:rsidR="2A091B7C" w:rsidRDefault="5B6E72AD" w:rsidP="008240EA">
      <w:pPr>
        <w:pStyle w:val="ListParagraph"/>
        <w:numPr>
          <w:ilvl w:val="0"/>
          <w:numId w:val="61"/>
        </w:numPr>
        <w:rPr>
          <w:rFonts w:asciiTheme="majorHAnsi" w:eastAsiaTheme="majorEastAsia" w:hAnsiTheme="majorHAnsi" w:cstheme="majorBidi"/>
          <w:b/>
          <w:bCs/>
          <w:sz w:val="24"/>
          <w:szCs w:val="24"/>
        </w:rPr>
      </w:pPr>
      <w:r w:rsidRPr="1A331411">
        <w:rPr>
          <w:rFonts w:asciiTheme="majorHAnsi" w:eastAsiaTheme="majorEastAsia" w:hAnsiTheme="majorHAnsi" w:cstheme="majorBidi"/>
          <w:sz w:val="24"/>
          <w:szCs w:val="24"/>
        </w:rPr>
        <w:t xml:space="preserve">The Flexible Services Program </w:t>
      </w:r>
      <w:r w:rsidRPr="1A331411">
        <w:rPr>
          <w:rFonts w:asciiTheme="majorHAnsi" w:eastAsiaTheme="majorEastAsia" w:hAnsiTheme="majorHAnsi" w:cstheme="majorBidi"/>
          <w:b/>
          <w:bCs/>
          <w:sz w:val="24"/>
          <w:szCs w:val="24"/>
        </w:rPr>
        <w:t xml:space="preserve">grew faster in 2022 than in 2021, providing more services to more members: </w:t>
      </w:r>
    </w:p>
    <w:p w14:paraId="3A33AD32" w14:textId="3F19A942" w:rsidR="2A091B7C" w:rsidRDefault="52821AE6" w:rsidP="008240EA">
      <w:pPr>
        <w:pStyle w:val="ListParagraph"/>
        <w:numPr>
          <w:ilvl w:val="1"/>
          <w:numId w:val="61"/>
        </w:numPr>
        <w:rPr>
          <w:rFonts w:asciiTheme="majorHAnsi" w:eastAsiaTheme="majorEastAsia" w:hAnsiTheme="majorHAnsi" w:cstheme="majorBidi"/>
          <w:sz w:val="24"/>
          <w:szCs w:val="24"/>
        </w:rPr>
      </w:pPr>
      <w:r w:rsidRPr="05FD1449">
        <w:rPr>
          <w:rFonts w:asciiTheme="majorHAnsi" w:eastAsiaTheme="majorEastAsia" w:hAnsiTheme="majorHAnsi" w:cstheme="majorBidi"/>
          <w:b/>
          <w:bCs/>
          <w:sz w:val="24"/>
          <w:szCs w:val="24"/>
        </w:rPr>
        <w:t>Overall services</w:t>
      </w:r>
      <w:r w:rsidR="2A091B7C" w:rsidRPr="05FD1449">
        <w:rPr>
          <w:rStyle w:val="FootnoteReference"/>
          <w:rFonts w:asciiTheme="majorHAnsi" w:eastAsiaTheme="majorEastAsia" w:hAnsiTheme="majorHAnsi" w:cstheme="majorBidi"/>
          <w:b/>
          <w:bCs/>
          <w:sz w:val="24"/>
          <w:szCs w:val="24"/>
        </w:rPr>
        <w:footnoteReference w:id="7"/>
      </w:r>
      <w:r w:rsidRPr="05FD1449">
        <w:rPr>
          <w:rFonts w:asciiTheme="majorHAnsi" w:eastAsiaTheme="majorEastAsia" w:hAnsiTheme="majorHAnsi" w:cstheme="majorBidi"/>
          <w:b/>
          <w:bCs/>
          <w:sz w:val="24"/>
          <w:szCs w:val="24"/>
        </w:rPr>
        <w:t xml:space="preserve"> delivered more than doubled:</w:t>
      </w:r>
      <w:r w:rsidRPr="05FD1449">
        <w:rPr>
          <w:rFonts w:asciiTheme="majorHAnsi" w:eastAsiaTheme="majorEastAsia" w:hAnsiTheme="majorHAnsi" w:cstheme="majorBidi"/>
          <w:sz w:val="24"/>
          <w:szCs w:val="24"/>
        </w:rPr>
        <w:t xml:space="preserve">  </w:t>
      </w:r>
    </w:p>
    <w:p w14:paraId="4EEC306E" w14:textId="6F70A7DA" w:rsidR="2A091B7C" w:rsidRDefault="5B6E72AD" w:rsidP="008240EA">
      <w:pPr>
        <w:pStyle w:val="ListParagraph"/>
        <w:numPr>
          <w:ilvl w:val="2"/>
          <w:numId w:val="61"/>
        </w:numPr>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t xml:space="preserve">2021: 21,051 </w:t>
      </w:r>
    </w:p>
    <w:p w14:paraId="12243843" w14:textId="25DB0E12" w:rsidR="2A091B7C" w:rsidRDefault="5B6E72AD" w:rsidP="008240EA">
      <w:pPr>
        <w:pStyle w:val="ListParagraph"/>
        <w:numPr>
          <w:ilvl w:val="2"/>
          <w:numId w:val="61"/>
        </w:numPr>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t>2022</w:t>
      </w:r>
      <w:bookmarkStart w:id="0" w:name="_Ref191027685"/>
      <w:r w:rsidR="2A091B7C" w:rsidRPr="1A331411">
        <w:rPr>
          <w:rStyle w:val="FootnoteReference"/>
          <w:rFonts w:asciiTheme="majorHAnsi" w:eastAsiaTheme="majorEastAsia" w:hAnsiTheme="majorHAnsi" w:cstheme="majorBidi"/>
          <w:sz w:val="24"/>
          <w:szCs w:val="24"/>
        </w:rPr>
        <w:footnoteReference w:id="8"/>
      </w:r>
      <w:bookmarkEnd w:id="0"/>
      <w:r w:rsidRPr="1A331411">
        <w:rPr>
          <w:rFonts w:asciiTheme="majorHAnsi" w:eastAsiaTheme="majorEastAsia" w:hAnsiTheme="majorHAnsi" w:cstheme="majorBidi"/>
          <w:sz w:val="24"/>
          <w:szCs w:val="24"/>
        </w:rPr>
        <w:t>: 51,281 (2022 total annualized: 41,024</w:t>
      </w:r>
      <w:r w:rsidR="3D199013" w:rsidRPr="1A331411">
        <w:rPr>
          <w:rFonts w:asciiTheme="majorHAnsi" w:eastAsiaTheme="majorEastAsia" w:hAnsiTheme="majorHAnsi" w:cstheme="majorBidi"/>
          <w:sz w:val="24"/>
          <w:szCs w:val="24"/>
          <w:vertAlign w:val="superscript"/>
        </w:rPr>
        <w:t>7</w:t>
      </w:r>
      <w:r w:rsidRPr="1A331411">
        <w:rPr>
          <w:rFonts w:asciiTheme="majorHAnsi" w:eastAsiaTheme="majorEastAsia" w:hAnsiTheme="majorHAnsi" w:cstheme="majorBidi"/>
          <w:sz w:val="24"/>
          <w:szCs w:val="24"/>
        </w:rPr>
        <w:t xml:space="preserve">) </w:t>
      </w:r>
    </w:p>
    <w:p w14:paraId="1DA98AAB" w14:textId="55D071C6" w:rsidR="2A091B7C" w:rsidRDefault="5B6E72AD" w:rsidP="008240EA">
      <w:pPr>
        <w:pStyle w:val="ListParagraph"/>
        <w:numPr>
          <w:ilvl w:val="0"/>
          <w:numId w:val="61"/>
        </w:numPr>
        <w:rPr>
          <w:rFonts w:asciiTheme="majorHAnsi" w:eastAsiaTheme="majorEastAsia" w:hAnsiTheme="majorHAnsi" w:cstheme="majorBidi"/>
          <w:b/>
          <w:bCs/>
          <w:sz w:val="24"/>
          <w:szCs w:val="24"/>
        </w:rPr>
      </w:pPr>
      <w:r w:rsidRPr="1A331411">
        <w:rPr>
          <w:rFonts w:asciiTheme="majorHAnsi" w:eastAsiaTheme="majorEastAsia" w:hAnsiTheme="majorHAnsi" w:cstheme="majorBidi"/>
          <w:b/>
          <w:bCs/>
          <w:sz w:val="24"/>
          <w:szCs w:val="24"/>
        </w:rPr>
        <w:t xml:space="preserve">Unique members served increased by 60%  </w:t>
      </w:r>
    </w:p>
    <w:p w14:paraId="12702447" w14:textId="219B4366" w:rsidR="2A091B7C" w:rsidRDefault="5B6E72AD" w:rsidP="008240EA">
      <w:pPr>
        <w:pStyle w:val="ListParagraph"/>
        <w:numPr>
          <w:ilvl w:val="1"/>
          <w:numId w:val="61"/>
        </w:numPr>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t xml:space="preserve">10,229 members served in </w:t>
      </w:r>
      <w:proofErr w:type="gramStart"/>
      <w:r w:rsidRPr="1A331411">
        <w:rPr>
          <w:rFonts w:asciiTheme="majorHAnsi" w:eastAsiaTheme="majorEastAsia" w:hAnsiTheme="majorHAnsi" w:cstheme="majorBidi"/>
          <w:sz w:val="24"/>
          <w:szCs w:val="24"/>
        </w:rPr>
        <w:t>2021;</w:t>
      </w:r>
      <w:proofErr w:type="gramEnd"/>
      <w:r w:rsidRPr="1A331411">
        <w:rPr>
          <w:rFonts w:asciiTheme="majorHAnsi" w:eastAsiaTheme="majorEastAsia" w:hAnsiTheme="majorHAnsi" w:cstheme="majorBidi"/>
          <w:sz w:val="24"/>
          <w:szCs w:val="24"/>
        </w:rPr>
        <w:t xml:space="preserve"> 20,475 in 2022 (16,380 annualized</w:t>
      </w:r>
      <w:r w:rsidR="5A395879" w:rsidRPr="1A331411">
        <w:rPr>
          <w:rFonts w:asciiTheme="majorHAnsi" w:eastAsiaTheme="majorEastAsia" w:hAnsiTheme="majorHAnsi" w:cstheme="majorBidi"/>
          <w:sz w:val="24"/>
          <w:szCs w:val="24"/>
          <w:vertAlign w:val="superscript"/>
        </w:rPr>
        <w:t>7</w:t>
      </w:r>
      <w:r w:rsidRPr="1A331411">
        <w:rPr>
          <w:rFonts w:asciiTheme="majorHAnsi" w:eastAsiaTheme="majorEastAsia" w:hAnsiTheme="majorHAnsi" w:cstheme="majorBidi"/>
          <w:sz w:val="24"/>
          <w:szCs w:val="24"/>
        </w:rPr>
        <w:t xml:space="preserve">) </w:t>
      </w:r>
    </w:p>
    <w:p w14:paraId="0A64807A" w14:textId="51507F3F" w:rsidR="2A091B7C" w:rsidRDefault="5B6E72AD" w:rsidP="008240EA">
      <w:pPr>
        <w:pStyle w:val="ListParagraph"/>
        <w:numPr>
          <w:ilvl w:val="0"/>
          <w:numId w:val="61"/>
        </w:numPr>
        <w:rPr>
          <w:rFonts w:asciiTheme="majorHAnsi" w:eastAsiaTheme="majorEastAsia" w:hAnsiTheme="majorHAnsi" w:cstheme="majorBidi"/>
          <w:b/>
          <w:bCs/>
          <w:sz w:val="24"/>
          <w:szCs w:val="24"/>
        </w:rPr>
      </w:pPr>
      <w:r w:rsidRPr="1A331411">
        <w:rPr>
          <w:rFonts w:asciiTheme="majorHAnsi" w:eastAsiaTheme="majorEastAsia" w:hAnsiTheme="majorHAnsi" w:cstheme="majorBidi"/>
          <w:b/>
          <w:bCs/>
          <w:sz w:val="24"/>
          <w:szCs w:val="24"/>
        </w:rPr>
        <w:t xml:space="preserve">Dollars spent on Flexible Services </w:t>
      </w:r>
      <w:proofErr w:type="gramStart"/>
      <w:r w:rsidRPr="1A331411">
        <w:rPr>
          <w:rFonts w:asciiTheme="majorHAnsi" w:eastAsiaTheme="majorEastAsia" w:hAnsiTheme="majorHAnsi" w:cstheme="majorBidi"/>
          <w:b/>
          <w:bCs/>
          <w:sz w:val="24"/>
          <w:szCs w:val="24"/>
        </w:rPr>
        <w:t>supports</w:t>
      </w:r>
      <w:proofErr w:type="gramEnd"/>
      <w:r w:rsidRPr="1A331411">
        <w:rPr>
          <w:rFonts w:asciiTheme="majorHAnsi" w:eastAsiaTheme="majorEastAsia" w:hAnsiTheme="majorHAnsi" w:cstheme="majorBidi"/>
          <w:b/>
          <w:bCs/>
          <w:sz w:val="24"/>
          <w:szCs w:val="24"/>
        </w:rPr>
        <w:t xml:space="preserve"> doubled  </w:t>
      </w:r>
    </w:p>
    <w:p w14:paraId="1E124356" w14:textId="19258514" w:rsidR="2A091B7C" w:rsidRDefault="5B6E72AD" w:rsidP="008240EA">
      <w:pPr>
        <w:pStyle w:val="ListParagraph"/>
        <w:numPr>
          <w:ilvl w:val="1"/>
          <w:numId w:val="61"/>
        </w:numPr>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t>$22.6M in 2021 to $52.4M ($41.9M annualized</w:t>
      </w:r>
      <w:r w:rsidR="00D10108" w:rsidRPr="1A331411">
        <w:rPr>
          <w:rFonts w:asciiTheme="majorHAnsi" w:eastAsiaTheme="majorEastAsia" w:hAnsiTheme="majorHAnsi" w:cstheme="majorBidi"/>
          <w:sz w:val="24"/>
          <w:szCs w:val="24"/>
        </w:rPr>
        <w:fldChar w:fldCharType="begin"/>
      </w:r>
      <w:r w:rsidR="00D10108" w:rsidRPr="1A331411">
        <w:rPr>
          <w:rFonts w:asciiTheme="majorHAnsi" w:eastAsiaTheme="majorEastAsia" w:hAnsiTheme="majorHAnsi" w:cstheme="majorBidi"/>
          <w:sz w:val="24"/>
          <w:szCs w:val="24"/>
        </w:rPr>
        <w:instrText xml:space="preserve"> NOTEREF _Ref191027685 \f \h </w:instrText>
      </w:r>
      <w:r w:rsidR="00D10108" w:rsidRPr="1A331411">
        <w:rPr>
          <w:rFonts w:asciiTheme="majorHAnsi" w:eastAsiaTheme="majorEastAsia" w:hAnsiTheme="majorHAnsi" w:cstheme="majorBidi"/>
          <w:sz w:val="24"/>
          <w:szCs w:val="24"/>
        </w:rPr>
      </w:r>
      <w:r w:rsidR="00D10108" w:rsidRPr="1A331411">
        <w:rPr>
          <w:rFonts w:asciiTheme="majorHAnsi" w:eastAsiaTheme="majorEastAsia" w:hAnsiTheme="majorHAnsi" w:cstheme="majorBidi"/>
          <w:sz w:val="24"/>
          <w:szCs w:val="24"/>
        </w:rPr>
        <w:fldChar w:fldCharType="separate"/>
      </w:r>
      <w:r w:rsidR="00D10108" w:rsidRPr="00D10108">
        <w:rPr>
          <w:rStyle w:val="FootnoteReference"/>
        </w:rPr>
        <w:t>7</w:t>
      </w:r>
      <w:r w:rsidR="00D10108" w:rsidRPr="1A331411">
        <w:rPr>
          <w:rFonts w:asciiTheme="majorHAnsi" w:eastAsiaTheme="majorEastAsia" w:hAnsiTheme="majorHAnsi" w:cstheme="majorBidi"/>
          <w:sz w:val="24"/>
          <w:szCs w:val="24"/>
        </w:rPr>
        <w:fldChar w:fldCharType="end"/>
      </w:r>
      <w:r w:rsidRPr="1A331411">
        <w:rPr>
          <w:rFonts w:asciiTheme="majorHAnsi" w:eastAsiaTheme="majorEastAsia" w:hAnsiTheme="majorHAnsi" w:cstheme="majorBidi"/>
          <w:sz w:val="24"/>
          <w:szCs w:val="24"/>
        </w:rPr>
        <w:t xml:space="preserve">) in 2022  </w:t>
      </w:r>
    </w:p>
    <w:p w14:paraId="6EABCFD0" w14:textId="76C2F1A1" w:rsidR="2A091B7C" w:rsidRDefault="5B6E72AD" w:rsidP="008240EA">
      <w:pPr>
        <w:pStyle w:val="ListParagraph"/>
        <w:numPr>
          <w:ilvl w:val="0"/>
          <w:numId w:val="61"/>
        </w:numPr>
        <w:rPr>
          <w:rFonts w:asciiTheme="majorHAnsi" w:eastAsiaTheme="majorEastAsia" w:hAnsiTheme="majorHAnsi" w:cstheme="majorBidi"/>
          <w:b/>
          <w:bCs/>
          <w:sz w:val="24"/>
          <w:szCs w:val="24"/>
        </w:rPr>
      </w:pPr>
      <w:r w:rsidRPr="5AA89864">
        <w:rPr>
          <w:rFonts w:asciiTheme="majorHAnsi" w:eastAsiaTheme="majorEastAsia" w:hAnsiTheme="majorHAnsi" w:cstheme="majorBidi"/>
          <w:sz w:val="24"/>
          <w:szCs w:val="24"/>
        </w:rPr>
        <w:t xml:space="preserve">While Flexible Services remained a relatively nascent program in 2022, preliminary analyses already began to show </w:t>
      </w:r>
      <w:r w:rsidRPr="5AA89864">
        <w:rPr>
          <w:rFonts w:asciiTheme="majorHAnsi" w:eastAsiaTheme="majorEastAsia" w:hAnsiTheme="majorHAnsi" w:cstheme="majorBidi"/>
          <w:b/>
          <w:bCs/>
          <w:sz w:val="24"/>
          <w:szCs w:val="24"/>
        </w:rPr>
        <w:t>improvements for members with diabetes (reductions in A1c) and total cost of care</w:t>
      </w:r>
    </w:p>
    <w:p w14:paraId="13A32B19" w14:textId="3314D3D3" w:rsidR="00CF1D96" w:rsidRPr="007B12DC" w:rsidRDefault="75257EA3" w:rsidP="007B12DC">
      <w:pPr>
        <w:pStyle w:val="Heading4"/>
      </w:pPr>
      <w:r>
        <w:lastRenderedPageBreak/>
        <w:t xml:space="preserve">Slide </w:t>
      </w:r>
      <w:r w:rsidR="7B28C3CD">
        <w:t xml:space="preserve">20: </w:t>
      </w:r>
      <w:r>
        <w:t xml:space="preserve">ACOs Partnered with SSOs to Offer </w:t>
      </w:r>
      <w:r w:rsidR="19BE5356">
        <w:t>85</w:t>
      </w:r>
      <w:r>
        <w:t xml:space="preserve"> Flexible Services Programs in 202</w:t>
      </w:r>
      <w:r w:rsidR="161C1A8C">
        <w:t>2</w:t>
      </w:r>
    </w:p>
    <w:p w14:paraId="5B9EE01B" w14:textId="24743A5C" w:rsidR="006352C7" w:rsidRPr="007B12DC" w:rsidRDefault="758AEA7D" w:rsidP="008240EA">
      <w:pPr>
        <w:pStyle w:val="NormalWeb"/>
        <w:numPr>
          <w:ilvl w:val="0"/>
          <w:numId w:val="62"/>
        </w:numPr>
        <w:rPr>
          <w:rFonts w:asciiTheme="majorHAnsi" w:eastAsiaTheme="majorEastAsia" w:hAnsiTheme="majorHAnsi" w:cstheme="majorBidi"/>
        </w:rPr>
      </w:pPr>
      <w:r w:rsidRPr="1A331411">
        <w:rPr>
          <w:rFonts w:asciiTheme="majorHAnsi" w:eastAsiaTheme="majorEastAsia" w:hAnsiTheme="majorHAnsi" w:cstheme="majorBidi"/>
        </w:rPr>
        <w:t>In 202</w:t>
      </w:r>
      <w:r w:rsidR="5779D7FC" w:rsidRPr="1A331411">
        <w:rPr>
          <w:rFonts w:asciiTheme="majorHAnsi" w:eastAsiaTheme="majorEastAsia" w:hAnsiTheme="majorHAnsi" w:cstheme="majorBidi"/>
        </w:rPr>
        <w:t>2</w:t>
      </w:r>
      <w:r w:rsidRPr="1A331411">
        <w:rPr>
          <w:rFonts w:asciiTheme="majorHAnsi" w:eastAsiaTheme="majorEastAsia" w:hAnsiTheme="majorHAnsi" w:cstheme="majorBidi"/>
        </w:rPr>
        <w:t xml:space="preserve">, ACOs partnered with community-based Social Services Organizations (SSOs) to offer </w:t>
      </w:r>
      <w:r w:rsidR="6ABD3AFB" w:rsidRPr="1A331411">
        <w:rPr>
          <w:rFonts w:asciiTheme="majorHAnsi" w:eastAsiaTheme="majorEastAsia" w:hAnsiTheme="majorHAnsi" w:cstheme="majorBidi"/>
        </w:rPr>
        <w:t>85</w:t>
      </w:r>
      <w:r w:rsidRPr="1A331411">
        <w:rPr>
          <w:rFonts w:asciiTheme="majorHAnsi" w:eastAsiaTheme="majorEastAsia" w:hAnsiTheme="majorHAnsi" w:cstheme="majorBidi"/>
          <w:b/>
          <w:bCs/>
        </w:rPr>
        <w:t xml:space="preserve"> Flexible Services programs </w:t>
      </w:r>
      <w:r w:rsidRPr="1A331411">
        <w:rPr>
          <w:rFonts w:asciiTheme="majorHAnsi" w:eastAsiaTheme="majorEastAsia" w:hAnsiTheme="majorHAnsi" w:cstheme="majorBidi"/>
        </w:rPr>
        <w:t xml:space="preserve">focused on nutrition and housing support services and goods. </w:t>
      </w:r>
    </w:p>
    <w:p w14:paraId="29C2D50E" w14:textId="77AB71B5" w:rsidR="006352C7" w:rsidRPr="007B12DC" w:rsidRDefault="758AEA7D" w:rsidP="008240EA">
      <w:pPr>
        <w:pStyle w:val="NormalWeb"/>
        <w:numPr>
          <w:ilvl w:val="0"/>
          <w:numId w:val="62"/>
        </w:numPr>
        <w:rPr>
          <w:rFonts w:asciiTheme="majorHAnsi" w:eastAsiaTheme="majorEastAsia" w:hAnsiTheme="majorHAnsi" w:cstheme="majorBidi"/>
          <w:b/>
          <w:bCs/>
        </w:rPr>
      </w:pPr>
      <w:r w:rsidRPr="1A331411">
        <w:rPr>
          <w:rFonts w:asciiTheme="majorHAnsi" w:eastAsiaTheme="majorEastAsia" w:hAnsiTheme="majorHAnsi" w:cstheme="majorBidi"/>
        </w:rPr>
        <w:t>Compared to 202</w:t>
      </w:r>
      <w:r w:rsidR="7DB28C2A" w:rsidRPr="1A331411">
        <w:rPr>
          <w:rFonts w:asciiTheme="majorHAnsi" w:eastAsiaTheme="majorEastAsia" w:hAnsiTheme="majorHAnsi" w:cstheme="majorBidi"/>
        </w:rPr>
        <w:t>1</w:t>
      </w:r>
      <w:r w:rsidRPr="1A331411">
        <w:rPr>
          <w:rFonts w:asciiTheme="majorHAnsi" w:eastAsiaTheme="majorEastAsia" w:hAnsiTheme="majorHAnsi" w:cstheme="majorBidi"/>
        </w:rPr>
        <w:t xml:space="preserve">, both the number of available programs and partnerships between ACOs and SSOs </w:t>
      </w:r>
      <w:r w:rsidRPr="1A331411">
        <w:rPr>
          <w:rFonts w:asciiTheme="majorHAnsi" w:eastAsiaTheme="majorEastAsia" w:hAnsiTheme="majorHAnsi" w:cstheme="majorBidi"/>
          <w:b/>
          <w:bCs/>
        </w:rPr>
        <w:t xml:space="preserve">increased by approximately </w:t>
      </w:r>
      <w:r w:rsidR="413DC6C7" w:rsidRPr="1A331411">
        <w:rPr>
          <w:rFonts w:asciiTheme="majorHAnsi" w:eastAsiaTheme="majorEastAsia" w:hAnsiTheme="majorHAnsi" w:cstheme="majorBidi"/>
          <w:b/>
          <w:bCs/>
        </w:rPr>
        <w:t>12%</w:t>
      </w:r>
      <w:r w:rsidRPr="1A331411">
        <w:rPr>
          <w:rFonts w:asciiTheme="majorHAnsi" w:eastAsiaTheme="majorEastAsia" w:hAnsiTheme="majorHAnsi" w:cstheme="majorBidi"/>
          <w:b/>
          <w:bCs/>
        </w:rPr>
        <w:t>.</w:t>
      </w:r>
    </w:p>
    <w:p w14:paraId="47A94BF0" w14:textId="1103B9F2" w:rsidR="5AA89864" w:rsidRDefault="5AA89864" w:rsidP="1A331411">
      <w:pPr>
        <w:pStyle w:val="NormalWeb"/>
        <w:ind w:left="720"/>
        <w:rPr>
          <w:rFonts w:asciiTheme="majorHAnsi" w:eastAsiaTheme="majorEastAsia" w:hAnsiTheme="majorHAnsi" w:cstheme="majorBidi"/>
          <w:b/>
          <w:bCs/>
        </w:rPr>
      </w:pPr>
    </w:p>
    <w:p w14:paraId="6AF0408F" w14:textId="08C81038" w:rsidR="002D57D7" w:rsidRPr="007B12DC" w:rsidRDefault="19C8BEC2" w:rsidP="008240EA">
      <w:pPr>
        <w:pStyle w:val="NormalWeb"/>
        <w:numPr>
          <w:ilvl w:val="0"/>
          <w:numId w:val="62"/>
        </w:numPr>
        <w:rPr>
          <w:rFonts w:asciiTheme="majorHAnsi" w:eastAsiaTheme="majorEastAsia" w:hAnsiTheme="majorHAnsi" w:cstheme="majorBidi"/>
        </w:rPr>
      </w:pPr>
      <w:r w:rsidRPr="1A331411">
        <w:rPr>
          <w:rFonts w:asciiTheme="majorHAnsi" w:eastAsiaTheme="majorEastAsia" w:hAnsiTheme="majorHAnsi" w:cstheme="majorBidi"/>
          <w:b/>
          <w:bCs/>
        </w:rPr>
        <w:t xml:space="preserve">ACOs and SSOs launched </w:t>
      </w:r>
      <w:r w:rsidR="36FE3267" w:rsidRPr="1A331411">
        <w:rPr>
          <w:rFonts w:asciiTheme="majorHAnsi" w:eastAsiaTheme="majorEastAsia" w:hAnsiTheme="majorHAnsi" w:cstheme="majorBidi"/>
          <w:b/>
          <w:bCs/>
        </w:rPr>
        <w:t>85</w:t>
      </w:r>
      <w:r w:rsidRPr="1A331411">
        <w:rPr>
          <w:rFonts w:asciiTheme="majorHAnsi" w:eastAsiaTheme="majorEastAsia" w:hAnsiTheme="majorHAnsi" w:cstheme="majorBidi"/>
          <w:b/>
          <w:bCs/>
        </w:rPr>
        <w:t xml:space="preserve"> programs</w:t>
      </w:r>
      <w:r w:rsidRPr="1A331411">
        <w:rPr>
          <w:rFonts w:asciiTheme="majorHAnsi" w:eastAsiaTheme="majorEastAsia" w:hAnsiTheme="majorHAnsi" w:cstheme="majorBidi"/>
        </w:rPr>
        <w:t xml:space="preserve"> in the following domains in 202</w:t>
      </w:r>
      <w:r w:rsidR="08B46458" w:rsidRPr="1A331411">
        <w:rPr>
          <w:rFonts w:asciiTheme="majorHAnsi" w:eastAsiaTheme="majorEastAsia" w:hAnsiTheme="majorHAnsi" w:cstheme="majorBidi"/>
        </w:rPr>
        <w:t>2:</w:t>
      </w:r>
    </w:p>
    <w:p w14:paraId="6BF27481" w14:textId="240AF5A3" w:rsidR="003C3AEC" w:rsidRPr="007B12DC" w:rsidRDefault="08B46458" w:rsidP="008240EA">
      <w:pPr>
        <w:pStyle w:val="NormalWeb"/>
        <w:numPr>
          <w:ilvl w:val="1"/>
          <w:numId w:val="62"/>
        </w:numPr>
        <w:rPr>
          <w:rFonts w:asciiTheme="majorHAnsi" w:eastAsiaTheme="majorEastAsia" w:hAnsiTheme="majorHAnsi" w:cstheme="majorBidi"/>
        </w:rPr>
      </w:pPr>
      <w:r w:rsidRPr="1A331411">
        <w:rPr>
          <w:rFonts w:asciiTheme="majorHAnsi" w:eastAsiaTheme="majorEastAsia" w:hAnsiTheme="majorHAnsi" w:cstheme="majorBidi"/>
        </w:rPr>
        <w:t>41</w:t>
      </w:r>
      <w:r w:rsidR="45873B97" w:rsidRPr="1A331411">
        <w:rPr>
          <w:rFonts w:asciiTheme="majorHAnsi" w:eastAsiaTheme="majorEastAsia" w:hAnsiTheme="majorHAnsi" w:cstheme="majorBidi"/>
        </w:rPr>
        <w:t xml:space="preserve"> Housing</w:t>
      </w:r>
    </w:p>
    <w:p w14:paraId="5AE88D88" w14:textId="5BFFB19D" w:rsidR="002D57D7" w:rsidRPr="007B12DC" w:rsidRDefault="658BB03A" w:rsidP="008240EA">
      <w:pPr>
        <w:pStyle w:val="NormalWeb"/>
        <w:numPr>
          <w:ilvl w:val="1"/>
          <w:numId w:val="62"/>
        </w:numPr>
        <w:rPr>
          <w:rFonts w:asciiTheme="majorHAnsi" w:eastAsiaTheme="majorEastAsia" w:hAnsiTheme="majorHAnsi" w:cstheme="majorBidi"/>
        </w:rPr>
      </w:pPr>
      <w:r w:rsidRPr="1A331411">
        <w:rPr>
          <w:rFonts w:asciiTheme="majorHAnsi" w:eastAsiaTheme="majorEastAsia" w:hAnsiTheme="majorHAnsi" w:cstheme="majorBidi"/>
        </w:rPr>
        <w:t>43</w:t>
      </w:r>
      <w:r w:rsidR="0AA129C2" w:rsidRPr="1A331411">
        <w:rPr>
          <w:rFonts w:asciiTheme="majorHAnsi" w:eastAsiaTheme="majorEastAsia" w:hAnsiTheme="majorHAnsi" w:cstheme="majorBidi"/>
        </w:rPr>
        <w:t xml:space="preserve"> </w:t>
      </w:r>
      <w:r w:rsidR="45873B97" w:rsidRPr="1A331411">
        <w:rPr>
          <w:rFonts w:asciiTheme="majorHAnsi" w:eastAsiaTheme="majorEastAsia" w:hAnsiTheme="majorHAnsi" w:cstheme="majorBidi"/>
        </w:rPr>
        <w:t>Nutrition</w:t>
      </w:r>
    </w:p>
    <w:p w14:paraId="5996C14A" w14:textId="77777777" w:rsidR="00ED5512" w:rsidRPr="007B12DC" w:rsidRDefault="009F7B36" w:rsidP="008240EA">
      <w:pPr>
        <w:pStyle w:val="NormalWeb"/>
        <w:numPr>
          <w:ilvl w:val="1"/>
          <w:numId w:val="62"/>
        </w:numPr>
        <w:rPr>
          <w:rFonts w:asciiTheme="majorHAnsi" w:eastAsiaTheme="majorEastAsia" w:hAnsiTheme="majorHAnsi" w:cstheme="majorBidi"/>
        </w:rPr>
      </w:pPr>
      <w:r w:rsidRPr="1A331411">
        <w:rPr>
          <w:rFonts w:asciiTheme="majorHAnsi" w:eastAsiaTheme="majorEastAsia" w:hAnsiTheme="majorHAnsi" w:cstheme="majorBidi"/>
        </w:rPr>
        <w:t xml:space="preserve">1 </w:t>
      </w:r>
      <w:r w:rsidR="00ED5512" w:rsidRPr="1A331411">
        <w:rPr>
          <w:rFonts w:asciiTheme="majorHAnsi" w:eastAsiaTheme="majorEastAsia" w:hAnsiTheme="majorHAnsi" w:cstheme="majorBidi"/>
        </w:rPr>
        <w:t>Housing/Nutrition</w:t>
      </w:r>
    </w:p>
    <w:p w14:paraId="34619F9A" w14:textId="2E0C13CE" w:rsidR="001B4BD7" w:rsidRPr="007B12DC" w:rsidRDefault="102E37A9" w:rsidP="008240EA">
      <w:pPr>
        <w:pStyle w:val="NormalWeb"/>
        <w:numPr>
          <w:ilvl w:val="0"/>
          <w:numId w:val="63"/>
        </w:numPr>
        <w:rPr>
          <w:rFonts w:asciiTheme="majorHAnsi" w:eastAsiaTheme="majorEastAsia" w:hAnsiTheme="majorHAnsi" w:cstheme="majorBidi"/>
        </w:rPr>
      </w:pPr>
      <w:r w:rsidRPr="1A331411">
        <w:rPr>
          <w:rFonts w:asciiTheme="majorHAnsi" w:eastAsiaTheme="majorEastAsia" w:hAnsiTheme="majorHAnsi" w:cstheme="majorBidi"/>
        </w:rPr>
        <w:t xml:space="preserve">ACOs partnered with </w:t>
      </w:r>
      <w:r w:rsidRPr="1A331411">
        <w:rPr>
          <w:rFonts w:asciiTheme="majorHAnsi" w:eastAsiaTheme="majorEastAsia" w:hAnsiTheme="majorHAnsi" w:cstheme="majorBidi"/>
          <w:b/>
          <w:bCs/>
        </w:rPr>
        <w:t>3</w:t>
      </w:r>
      <w:r w:rsidR="64C26B5E" w:rsidRPr="1A331411">
        <w:rPr>
          <w:rFonts w:asciiTheme="majorHAnsi" w:eastAsiaTheme="majorEastAsia" w:hAnsiTheme="majorHAnsi" w:cstheme="majorBidi"/>
          <w:b/>
          <w:bCs/>
        </w:rPr>
        <w:t>9</w:t>
      </w:r>
      <w:r w:rsidRPr="1A331411">
        <w:rPr>
          <w:rFonts w:asciiTheme="majorHAnsi" w:eastAsiaTheme="majorEastAsia" w:hAnsiTheme="majorHAnsi" w:cstheme="majorBidi"/>
          <w:b/>
          <w:bCs/>
        </w:rPr>
        <w:t xml:space="preserve"> SSO partners </w:t>
      </w:r>
      <w:r w:rsidRPr="1A331411">
        <w:rPr>
          <w:rFonts w:asciiTheme="majorHAnsi" w:eastAsiaTheme="majorEastAsia" w:hAnsiTheme="majorHAnsi" w:cstheme="majorBidi"/>
        </w:rPr>
        <w:t>to deliver Flexible Services in 202</w:t>
      </w:r>
      <w:r w:rsidR="10B217F7" w:rsidRPr="1A331411">
        <w:rPr>
          <w:rFonts w:asciiTheme="majorHAnsi" w:eastAsiaTheme="majorEastAsia" w:hAnsiTheme="majorHAnsi" w:cstheme="majorBidi"/>
        </w:rPr>
        <w:t>2</w:t>
      </w:r>
      <w:r w:rsidRPr="1A331411">
        <w:rPr>
          <w:rFonts w:asciiTheme="majorHAnsi" w:eastAsiaTheme="majorEastAsia" w:hAnsiTheme="majorHAnsi" w:cstheme="majorBidi"/>
        </w:rPr>
        <w:t>, including:</w:t>
      </w:r>
    </w:p>
    <w:p w14:paraId="6A513258" w14:textId="730743E3" w:rsidR="00611249" w:rsidRPr="007B12DC" w:rsidRDefault="60B73C40" w:rsidP="008240EA">
      <w:pPr>
        <w:pStyle w:val="NormalWeb"/>
        <w:numPr>
          <w:ilvl w:val="1"/>
          <w:numId w:val="63"/>
        </w:numPr>
        <w:rPr>
          <w:rFonts w:asciiTheme="majorHAnsi" w:eastAsiaTheme="majorEastAsia" w:hAnsiTheme="majorHAnsi" w:cstheme="majorBidi"/>
        </w:rPr>
      </w:pPr>
      <w:r w:rsidRPr="1A331411">
        <w:rPr>
          <w:rFonts w:asciiTheme="majorHAnsi" w:eastAsiaTheme="majorEastAsia" w:hAnsiTheme="majorHAnsi" w:cstheme="majorBidi"/>
        </w:rPr>
        <w:t>2</w:t>
      </w:r>
      <w:r w:rsidR="37733722" w:rsidRPr="1A331411">
        <w:rPr>
          <w:rFonts w:asciiTheme="majorHAnsi" w:eastAsiaTheme="majorEastAsia" w:hAnsiTheme="majorHAnsi" w:cstheme="majorBidi"/>
        </w:rPr>
        <w:t>3</w:t>
      </w:r>
      <w:r w:rsidRPr="1A331411">
        <w:rPr>
          <w:rFonts w:asciiTheme="majorHAnsi" w:eastAsiaTheme="majorEastAsia" w:hAnsiTheme="majorHAnsi" w:cstheme="majorBidi"/>
        </w:rPr>
        <w:t xml:space="preserve"> Housing SSOs </w:t>
      </w:r>
    </w:p>
    <w:p w14:paraId="24CDAC4A" w14:textId="77777777" w:rsidR="00611249" w:rsidRPr="007B12DC" w:rsidRDefault="00611249" w:rsidP="008240EA">
      <w:pPr>
        <w:pStyle w:val="NormalWeb"/>
        <w:numPr>
          <w:ilvl w:val="1"/>
          <w:numId w:val="63"/>
        </w:numPr>
        <w:rPr>
          <w:rFonts w:asciiTheme="majorHAnsi" w:eastAsiaTheme="majorEastAsia" w:hAnsiTheme="majorHAnsi" w:cstheme="majorBidi"/>
        </w:rPr>
      </w:pPr>
      <w:r w:rsidRPr="1A331411">
        <w:rPr>
          <w:rFonts w:asciiTheme="majorHAnsi" w:eastAsiaTheme="majorEastAsia" w:hAnsiTheme="majorHAnsi" w:cstheme="majorBidi"/>
        </w:rPr>
        <w:t>13 Nutrition SSOs</w:t>
      </w:r>
    </w:p>
    <w:p w14:paraId="18C30E64" w14:textId="2979CEE1" w:rsidR="0056272A" w:rsidRPr="007B12DC" w:rsidRDefault="6F2DEBAD" w:rsidP="008240EA">
      <w:pPr>
        <w:pStyle w:val="NormalWeb"/>
        <w:numPr>
          <w:ilvl w:val="1"/>
          <w:numId w:val="63"/>
        </w:numPr>
        <w:rPr>
          <w:rFonts w:asciiTheme="majorHAnsi" w:eastAsiaTheme="majorEastAsia" w:hAnsiTheme="majorHAnsi" w:cstheme="majorBidi"/>
        </w:rPr>
      </w:pPr>
      <w:r w:rsidRPr="1A331411">
        <w:rPr>
          <w:rFonts w:asciiTheme="majorHAnsi" w:eastAsiaTheme="majorEastAsia" w:hAnsiTheme="majorHAnsi" w:cstheme="majorBidi"/>
        </w:rPr>
        <w:t>3</w:t>
      </w:r>
      <w:r w:rsidRPr="1A331411">
        <w:rPr>
          <w:rFonts w:asciiTheme="majorHAnsi" w:eastAsiaTheme="majorEastAsia" w:hAnsiTheme="majorHAnsi" w:cstheme="majorBidi"/>
          <w:color w:val="000000" w:themeColor="text1"/>
          <w:kern w:val="24"/>
        </w:rPr>
        <w:t xml:space="preserve"> </w:t>
      </w:r>
      <w:r w:rsidRPr="1A331411">
        <w:rPr>
          <w:rFonts w:asciiTheme="majorHAnsi" w:eastAsiaTheme="majorEastAsia" w:hAnsiTheme="majorHAnsi" w:cstheme="majorBidi"/>
        </w:rPr>
        <w:t>Housing/Nutrition SSOs</w:t>
      </w:r>
    </w:p>
    <w:p w14:paraId="0FD9856A" w14:textId="77777777" w:rsidR="00905AD8" w:rsidRPr="007B12DC" w:rsidRDefault="00905AD8" w:rsidP="1A331411">
      <w:pPr>
        <w:pStyle w:val="NormalWeb"/>
        <w:rPr>
          <w:rFonts w:asciiTheme="majorHAnsi" w:eastAsiaTheme="majorEastAsia" w:hAnsiTheme="majorHAnsi" w:cstheme="majorBidi"/>
        </w:rPr>
      </w:pPr>
    </w:p>
    <w:p w14:paraId="2593F100" w14:textId="27955F35" w:rsidR="5AA89864" w:rsidRPr="004A0681" w:rsidRDefault="37E02FD2" w:rsidP="5AA89864">
      <w:pPr>
        <w:pStyle w:val="NormalWeb"/>
        <w:numPr>
          <w:ilvl w:val="0"/>
          <w:numId w:val="63"/>
        </w:numPr>
        <w:rPr>
          <w:rFonts w:asciiTheme="majorHAnsi" w:hAnsiTheme="majorHAnsi" w:cstheme="majorBidi"/>
        </w:rPr>
      </w:pPr>
      <w:r w:rsidRPr="1A331411">
        <w:rPr>
          <w:rFonts w:asciiTheme="majorHAnsi" w:eastAsiaTheme="majorEastAsia" w:hAnsiTheme="majorHAnsi" w:cstheme="majorBidi"/>
        </w:rPr>
        <w:t>All</w:t>
      </w:r>
      <w:r w:rsidRPr="1A331411">
        <w:rPr>
          <w:rFonts w:asciiTheme="majorHAnsi" w:eastAsiaTheme="majorEastAsia" w:hAnsiTheme="majorHAnsi" w:cstheme="majorBidi"/>
          <w:b/>
          <w:bCs/>
        </w:rPr>
        <w:t xml:space="preserve"> 17 ACOs offered at least 1 Flexible Services program </w:t>
      </w:r>
      <w:r w:rsidRPr="1A331411">
        <w:rPr>
          <w:rFonts w:asciiTheme="majorHAnsi" w:eastAsiaTheme="majorEastAsia" w:hAnsiTheme="majorHAnsi" w:cstheme="majorBidi"/>
        </w:rPr>
        <w:t>in calendar year (CY) 202</w:t>
      </w:r>
      <w:r w:rsidR="02507DD8" w:rsidRPr="1A331411">
        <w:rPr>
          <w:rFonts w:asciiTheme="majorHAnsi" w:eastAsiaTheme="majorEastAsia" w:hAnsiTheme="majorHAnsi" w:cstheme="majorBidi"/>
        </w:rPr>
        <w:t>2</w:t>
      </w:r>
      <w:r w:rsidRPr="1A331411">
        <w:rPr>
          <w:rFonts w:asciiTheme="majorHAnsi" w:hAnsiTheme="majorHAnsi" w:cstheme="majorBidi"/>
        </w:rPr>
        <w:t>.</w:t>
      </w:r>
    </w:p>
    <w:p w14:paraId="01DA64AC" w14:textId="7AB36C48" w:rsidR="37E02FD2" w:rsidRDefault="37E02FD2" w:rsidP="5AA89864">
      <w:pPr>
        <w:pStyle w:val="Heading4"/>
      </w:pPr>
      <w:r>
        <w:t>Slide 2</w:t>
      </w:r>
      <w:r w:rsidR="4B13CB83">
        <w:t>1</w:t>
      </w:r>
      <w:r>
        <w:t xml:space="preserve">: </w:t>
      </w:r>
      <w:r w:rsidR="156AE671">
        <w:t>ACOs implemented Flexible Services in every geographic region of the state, across the full breadth of supports allowed by the program</w:t>
      </w:r>
    </w:p>
    <w:p w14:paraId="3C9476A6" w14:textId="77777777" w:rsidR="009910F2" w:rsidRPr="007B12DC" w:rsidRDefault="41B20FF1" w:rsidP="5AA89864">
      <w:pPr>
        <w:pStyle w:val="NormalWeb"/>
        <w:rPr>
          <w:rFonts w:asciiTheme="majorHAnsi" w:eastAsiaTheme="majorEastAsia" w:hAnsiTheme="majorHAnsi" w:cstheme="majorBidi"/>
          <w:b/>
          <w:bCs/>
        </w:rPr>
      </w:pPr>
      <w:r w:rsidRPr="5AA89864">
        <w:rPr>
          <w:rFonts w:asciiTheme="majorHAnsi" w:eastAsiaTheme="majorEastAsia" w:hAnsiTheme="majorHAnsi" w:cstheme="majorBidi"/>
          <w:b/>
          <w:bCs/>
        </w:rPr>
        <w:t xml:space="preserve">Number of Flexible Services Programs Serving Each Region </w:t>
      </w:r>
      <w:proofErr w:type="gramStart"/>
      <w:r w:rsidRPr="5AA89864">
        <w:rPr>
          <w:rFonts w:asciiTheme="majorHAnsi" w:eastAsiaTheme="majorEastAsia" w:hAnsiTheme="majorHAnsi" w:cstheme="majorBidi"/>
          <w:b/>
          <w:bCs/>
        </w:rPr>
        <w:t>By</w:t>
      </w:r>
      <w:proofErr w:type="gramEnd"/>
      <w:r w:rsidRPr="5AA89864">
        <w:rPr>
          <w:rFonts w:asciiTheme="majorHAnsi" w:eastAsiaTheme="majorEastAsia" w:hAnsiTheme="majorHAnsi" w:cstheme="majorBidi"/>
          <w:b/>
          <w:bCs/>
        </w:rPr>
        <w:t xml:space="preserve"> Domain</w:t>
      </w:r>
    </w:p>
    <w:p w14:paraId="20770576" w14:textId="1853FD7F" w:rsidR="009C045E" w:rsidRPr="007B12DC" w:rsidRDefault="6453CA67" w:rsidP="008240EA">
      <w:pPr>
        <w:pStyle w:val="NormalWeb"/>
        <w:numPr>
          <w:ilvl w:val="0"/>
          <w:numId w:val="64"/>
        </w:numPr>
        <w:rPr>
          <w:rFonts w:asciiTheme="majorHAnsi" w:eastAsiaTheme="majorEastAsia" w:hAnsiTheme="majorHAnsi" w:cstheme="majorBidi"/>
        </w:rPr>
      </w:pPr>
      <w:r w:rsidRPr="5AA89864">
        <w:rPr>
          <w:rFonts w:asciiTheme="majorHAnsi" w:eastAsiaTheme="majorEastAsia" w:hAnsiTheme="majorHAnsi" w:cstheme="majorBidi"/>
          <w:b/>
          <w:bCs/>
          <w:color w:val="000000" w:themeColor="text1"/>
          <w:kern w:val="24"/>
          <w:u w:val="single"/>
        </w:rPr>
        <w:t>Western</w:t>
      </w:r>
      <w:r w:rsidRPr="5AA89864">
        <w:rPr>
          <w:rFonts w:asciiTheme="majorHAnsi" w:eastAsiaTheme="majorEastAsia" w:hAnsiTheme="majorHAnsi" w:cstheme="majorBidi"/>
          <w:b/>
          <w:bCs/>
          <w:color w:val="000000" w:themeColor="text1"/>
          <w:kern w:val="24"/>
        </w:rPr>
        <w:t>:</w:t>
      </w:r>
      <w:r w:rsidR="108A19C2" w:rsidRPr="5AA89864">
        <w:rPr>
          <w:rFonts w:asciiTheme="majorHAnsi" w:eastAsiaTheme="majorEastAsia" w:hAnsiTheme="majorHAnsi" w:cstheme="majorBidi"/>
          <w:b/>
          <w:bCs/>
          <w:color w:val="000000" w:themeColor="text1"/>
          <w:kern w:val="24"/>
        </w:rPr>
        <w:t xml:space="preserve"> </w:t>
      </w:r>
      <w:r w:rsidR="108A19C2" w:rsidRPr="5AA89864">
        <w:rPr>
          <w:rFonts w:asciiTheme="majorHAnsi" w:eastAsiaTheme="majorEastAsia" w:hAnsiTheme="majorHAnsi" w:cstheme="majorBidi"/>
          <w:color w:val="000000" w:themeColor="text1"/>
          <w:kern w:val="24"/>
        </w:rPr>
        <w:t>9 housing, 8 nutrition, 1 both</w:t>
      </w:r>
    </w:p>
    <w:p w14:paraId="09B4F1E2" w14:textId="3BC0BF90" w:rsidR="00B3082C" w:rsidRPr="007B12DC" w:rsidRDefault="6734E340" w:rsidP="008240EA">
      <w:pPr>
        <w:pStyle w:val="NormalWeb"/>
        <w:numPr>
          <w:ilvl w:val="0"/>
          <w:numId w:val="64"/>
        </w:numPr>
        <w:rPr>
          <w:rFonts w:asciiTheme="majorHAnsi" w:eastAsiaTheme="majorEastAsia" w:hAnsiTheme="majorHAnsi" w:cstheme="majorBidi"/>
        </w:rPr>
      </w:pPr>
      <w:r w:rsidRPr="5AA89864">
        <w:rPr>
          <w:rFonts w:asciiTheme="majorHAnsi" w:eastAsiaTheme="majorEastAsia" w:hAnsiTheme="majorHAnsi" w:cstheme="majorBidi"/>
          <w:b/>
          <w:bCs/>
          <w:u w:val="single"/>
        </w:rPr>
        <w:t>Central</w:t>
      </w:r>
      <w:r w:rsidRPr="5AA89864">
        <w:rPr>
          <w:rFonts w:asciiTheme="majorHAnsi" w:eastAsiaTheme="majorEastAsia" w:hAnsiTheme="majorHAnsi" w:cstheme="majorBidi"/>
          <w:b/>
          <w:bCs/>
        </w:rPr>
        <w:t xml:space="preserve">: </w:t>
      </w:r>
      <w:r w:rsidRPr="5AA89864">
        <w:rPr>
          <w:rFonts w:asciiTheme="majorHAnsi" w:eastAsiaTheme="majorEastAsia" w:hAnsiTheme="majorHAnsi" w:cstheme="majorBidi"/>
        </w:rPr>
        <w:t>9 housing</w:t>
      </w:r>
      <w:r w:rsidR="0F5806D4" w:rsidRPr="5AA89864">
        <w:rPr>
          <w:rFonts w:asciiTheme="majorHAnsi" w:eastAsiaTheme="majorEastAsia" w:hAnsiTheme="majorHAnsi" w:cstheme="majorBidi"/>
        </w:rPr>
        <w:t xml:space="preserve">, </w:t>
      </w:r>
      <w:r w:rsidRPr="5AA89864">
        <w:rPr>
          <w:rFonts w:asciiTheme="majorHAnsi" w:eastAsiaTheme="majorEastAsia" w:hAnsiTheme="majorHAnsi" w:cstheme="majorBidi"/>
        </w:rPr>
        <w:t>7 nutrition</w:t>
      </w:r>
      <w:r w:rsidR="0F5806D4" w:rsidRPr="5AA89864">
        <w:rPr>
          <w:rFonts w:asciiTheme="majorHAnsi" w:eastAsiaTheme="majorEastAsia" w:hAnsiTheme="majorHAnsi" w:cstheme="majorBidi"/>
        </w:rPr>
        <w:t xml:space="preserve">, </w:t>
      </w:r>
      <w:r w:rsidRPr="5AA89864">
        <w:rPr>
          <w:rFonts w:asciiTheme="majorHAnsi" w:eastAsiaTheme="majorEastAsia" w:hAnsiTheme="majorHAnsi" w:cstheme="majorBidi"/>
        </w:rPr>
        <w:t>1 both</w:t>
      </w:r>
    </w:p>
    <w:p w14:paraId="0159F373" w14:textId="7EACC12F" w:rsidR="00E308C4" w:rsidRPr="007B12DC" w:rsidRDefault="48709A41" w:rsidP="008240EA">
      <w:pPr>
        <w:pStyle w:val="NormalWeb"/>
        <w:numPr>
          <w:ilvl w:val="0"/>
          <w:numId w:val="64"/>
        </w:numPr>
        <w:rPr>
          <w:rFonts w:asciiTheme="majorHAnsi" w:eastAsiaTheme="majorEastAsia" w:hAnsiTheme="majorHAnsi" w:cstheme="majorBidi"/>
        </w:rPr>
      </w:pPr>
      <w:r w:rsidRPr="5AA89864">
        <w:rPr>
          <w:rFonts w:asciiTheme="majorHAnsi" w:eastAsiaTheme="majorEastAsia" w:hAnsiTheme="majorHAnsi" w:cstheme="majorBidi"/>
          <w:b/>
          <w:bCs/>
          <w:u w:val="single"/>
        </w:rPr>
        <w:t>Northern</w:t>
      </w:r>
      <w:r w:rsidRPr="5AA89864">
        <w:rPr>
          <w:rFonts w:asciiTheme="majorHAnsi" w:eastAsiaTheme="majorEastAsia" w:hAnsiTheme="majorHAnsi" w:cstheme="majorBidi"/>
          <w:b/>
          <w:bCs/>
        </w:rPr>
        <w:t>:</w:t>
      </w:r>
      <w:r w:rsidRPr="5AA89864">
        <w:rPr>
          <w:rFonts w:asciiTheme="majorHAnsi" w:eastAsiaTheme="majorEastAsia" w:hAnsiTheme="majorHAnsi" w:cstheme="majorBidi"/>
          <w:b/>
          <w:bCs/>
          <w:color w:val="A5A5A5" w:themeColor="accent3"/>
          <w:kern w:val="24"/>
          <w14:ligatures w14:val="standardContextual"/>
        </w:rPr>
        <w:t xml:space="preserve"> </w:t>
      </w:r>
      <w:r w:rsidRPr="5AA89864">
        <w:rPr>
          <w:rFonts w:asciiTheme="majorHAnsi" w:eastAsiaTheme="majorEastAsia" w:hAnsiTheme="majorHAnsi" w:cstheme="majorBidi"/>
        </w:rPr>
        <w:t>13 Housing, 16 nutrition, 1 both</w:t>
      </w:r>
    </w:p>
    <w:p w14:paraId="6A869916" w14:textId="47FAE93C" w:rsidR="00E308C4" w:rsidRDefault="0EA78511" w:rsidP="008240EA">
      <w:pPr>
        <w:pStyle w:val="NormalWeb"/>
        <w:numPr>
          <w:ilvl w:val="0"/>
          <w:numId w:val="64"/>
        </w:numPr>
        <w:rPr>
          <w:rFonts w:asciiTheme="majorHAnsi" w:eastAsiaTheme="majorEastAsia" w:hAnsiTheme="majorHAnsi" w:cstheme="majorBidi"/>
        </w:rPr>
      </w:pPr>
      <w:r w:rsidRPr="5AA89864">
        <w:rPr>
          <w:rFonts w:asciiTheme="majorHAnsi" w:eastAsiaTheme="majorEastAsia" w:hAnsiTheme="majorHAnsi" w:cstheme="majorBidi"/>
          <w:b/>
          <w:bCs/>
          <w:u w:val="single"/>
        </w:rPr>
        <w:t xml:space="preserve">Greater Boston: </w:t>
      </w:r>
      <w:r w:rsidR="339F7949" w:rsidRPr="5AA89864">
        <w:rPr>
          <w:rFonts w:asciiTheme="majorHAnsi" w:eastAsiaTheme="majorEastAsia" w:hAnsiTheme="majorHAnsi" w:cstheme="majorBidi"/>
        </w:rPr>
        <w:t>18 housing, 21 nutrition,1 both</w:t>
      </w:r>
    </w:p>
    <w:p w14:paraId="46B9E7D6" w14:textId="6F7CCA52" w:rsidR="00615436" w:rsidRPr="007B12DC" w:rsidRDefault="4380C2B0" w:rsidP="008240EA">
      <w:pPr>
        <w:pStyle w:val="NormalWeb"/>
        <w:numPr>
          <w:ilvl w:val="0"/>
          <w:numId w:val="64"/>
        </w:numPr>
        <w:rPr>
          <w:rFonts w:asciiTheme="majorHAnsi" w:eastAsiaTheme="majorEastAsia" w:hAnsiTheme="majorHAnsi" w:cstheme="majorBidi"/>
        </w:rPr>
      </w:pPr>
      <w:r w:rsidRPr="5AA89864">
        <w:rPr>
          <w:rFonts w:asciiTheme="majorHAnsi" w:eastAsiaTheme="majorEastAsia" w:hAnsiTheme="majorHAnsi" w:cstheme="majorBidi"/>
          <w:b/>
          <w:bCs/>
          <w:u w:val="single"/>
        </w:rPr>
        <w:t>Southern:</w:t>
      </w:r>
      <w:r w:rsidRPr="5AA89864">
        <w:rPr>
          <w:rFonts w:asciiTheme="majorHAnsi" w:eastAsiaTheme="majorEastAsia" w:hAnsiTheme="majorHAnsi" w:cstheme="majorBidi"/>
        </w:rPr>
        <w:t xml:space="preserve"> 8 housing, 16 nutrition, 1 both</w:t>
      </w:r>
    </w:p>
    <w:p w14:paraId="336D4088" w14:textId="67EC4A38" w:rsidR="00BF6ECE" w:rsidRPr="00647CE5" w:rsidRDefault="77A677FE" w:rsidP="5AA89864">
      <w:pPr>
        <w:pStyle w:val="NormalWeb"/>
        <w:rPr>
          <w:rFonts w:asciiTheme="majorHAnsi" w:eastAsiaTheme="majorEastAsia" w:hAnsiTheme="majorHAnsi" w:cstheme="majorBidi"/>
        </w:rPr>
      </w:pPr>
      <w:r w:rsidRPr="5AA89864">
        <w:rPr>
          <w:rFonts w:asciiTheme="majorHAnsi" w:eastAsiaTheme="majorEastAsia" w:hAnsiTheme="majorHAnsi" w:cstheme="majorBidi"/>
          <w:b/>
          <w:bCs/>
        </w:rPr>
        <w:t xml:space="preserve">Note: </w:t>
      </w:r>
      <w:r w:rsidRPr="5AA89864">
        <w:rPr>
          <w:rFonts w:asciiTheme="majorHAnsi" w:eastAsiaTheme="majorEastAsia" w:hAnsiTheme="majorHAnsi" w:cstheme="majorBidi"/>
        </w:rPr>
        <w:t xml:space="preserve">Several programs operated across more than one region of the Commonwealth and are counted more than once above. </w:t>
      </w:r>
    </w:p>
    <w:p w14:paraId="7F0B730A" w14:textId="1032BE00" w:rsidR="5AA89864" w:rsidRDefault="5AA89864" w:rsidP="5AA89864">
      <w:pPr>
        <w:pStyle w:val="NormalWeb"/>
        <w:rPr>
          <w:rFonts w:asciiTheme="majorHAnsi" w:eastAsiaTheme="majorEastAsia" w:hAnsiTheme="majorHAnsi" w:cstheme="majorBidi"/>
        </w:rPr>
      </w:pPr>
    </w:p>
    <w:p w14:paraId="5F81C085" w14:textId="77777777" w:rsidR="009C160B" w:rsidRPr="00647CE5" w:rsidRDefault="5E12DC2B" w:rsidP="5AA89864">
      <w:pPr>
        <w:pStyle w:val="NormalWeb"/>
        <w:rPr>
          <w:rFonts w:asciiTheme="majorHAnsi" w:eastAsiaTheme="majorEastAsia" w:hAnsiTheme="majorHAnsi" w:cstheme="majorBidi"/>
          <w:b/>
          <w:bCs/>
        </w:rPr>
      </w:pPr>
      <w:r w:rsidRPr="5AA89864">
        <w:rPr>
          <w:rFonts w:asciiTheme="majorHAnsi" w:eastAsiaTheme="majorEastAsia" w:hAnsiTheme="majorHAnsi" w:cstheme="majorBidi"/>
          <w:b/>
          <w:bCs/>
        </w:rPr>
        <w:t>Flexible Services Program Funding Breakdown by Sub-Domain ($M)</w:t>
      </w:r>
    </w:p>
    <w:p w14:paraId="3B74621F" w14:textId="0D982A73" w:rsidR="00BF6ECE" w:rsidRPr="00647CE5" w:rsidRDefault="1B7BBECC" w:rsidP="008240EA">
      <w:pPr>
        <w:pStyle w:val="NormalWeb"/>
        <w:numPr>
          <w:ilvl w:val="0"/>
          <w:numId w:val="65"/>
        </w:numPr>
        <w:rPr>
          <w:rFonts w:asciiTheme="majorHAnsi" w:eastAsiaTheme="majorEastAsia" w:hAnsiTheme="majorHAnsi" w:cstheme="majorBidi"/>
        </w:rPr>
      </w:pPr>
      <w:r w:rsidRPr="5AA89864">
        <w:rPr>
          <w:rFonts w:asciiTheme="majorHAnsi" w:eastAsiaTheme="majorEastAsia" w:hAnsiTheme="majorHAnsi" w:cstheme="majorBidi"/>
        </w:rPr>
        <w:t>Pre-T</w:t>
      </w:r>
      <w:r w:rsidR="6305B252" w:rsidRPr="5AA89864">
        <w:rPr>
          <w:rFonts w:asciiTheme="majorHAnsi" w:eastAsiaTheme="majorEastAsia" w:hAnsiTheme="majorHAnsi" w:cstheme="majorBidi"/>
        </w:rPr>
        <w:t>e</w:t>
      </w:r>
      <w:r w:rsidRPr="5AA89864">
        <w:rPr>
          <w:rFonts w:asciiTheme="majorHAnsi" w:eastAsiaTheme="majorEastAsia" w:hAnsiTheme="majorHAnsi" w:cstheme="majorBidi"/>
        </w:rPr>
        <w:t>na</w:t>
      </w:r>
      <w:r w:rsidR="12D22961" w:rsidRPr="5AA89864">
        <w:rPr>
          <w:rFonts w:asciiTheme="majorHAnsi" w:eastAsiaTheme="majorEastAsia" w:hAnsiTheme="majorHAnsi" w:cstheme="majorBidi"/>
        </w:rPr>
        <w:t>n</w:t>
      </w:r>
      <w:r w:rsidRPr="5AA89864">
        <w:rPr>
          <w:rFonts w:asciiTheme="majorHAnsi" w:eastAsiaTheme="majorEastAsia" w:hAnsiTheme="majorHAnsi" w:cstheme="majorBidi"/>
        </w:rPr>
        <w:t>cy</w:t>
      </w:r>
      <w:r w:rsidR="0CA66DC6" w:rsidRPr="5AA89864">
        <w:rPr>
          <w:rFonts w:asciiTheme="majorHAnsi" w:eastAsiaTheme="majorEastAsia" w:hAnsiTheme="majorHAnsi" w:cstheme="majorBidi"/>
        </w:rPr>
        <w:t xml:space="preserve">: </w:t>
      </w:r>
      <w:r w:rsidR="0C7AD22F" w:rsidRPr="5AA89864">
        <w:rPr>
          <w:rFonts w:asciiTheme="majorHAnsi" w:eastAsiaTheme="majorEastAsia" w:hAnsiTheme="majorHAnsi" w:cstheme="majorBidi"/>
        </w:rPr>
        <w:t>$</w:t>
      </w:r>
      <w:r w:rsidR="69D515A1" w:rsidRPr="5AA89864">
        <w:rPr>
          <w:rFonts w:asciiTheme="majorHAnsi" w:eastAsiaTheme="majorEastAsia" w:hAnsiTheme="majorHAnsi" w:cstheme="majorBidi"/>
        </w:rPr>
        <w:t>8.5</w:t>
      </w:r>
      <w:r w:rsidR="0CA66DC6" w:rsidRPr="5AA89864">
        <w:rPr>
          <w:rFonts w:asciiTheme="majorHAnsi" w:eastAsiaTheme="majorEastAsia" w:hAnsiTheme="majorHAnsi" w:cstheme="majorBidi"/>
        </w:rPr>
        <w:t>M</w:t>
      </w:r>
    </w:p>
    <w:p w14:paraId="09781F76" w14:textId="234DEBBB" w:rsidR="008F0CA4" w:rsidRPr="00647CE5" w:rsidRDefault="6305B252" w:rsidP="008240EA">
      <w:pPr>
        <w:pStyle w:val="NormalWeb"/>
        <w:numPr>
          <w:ilvl w:val="0"/>
          <w:numId w:val="65"/>
        </w:numPr>
        <w:rPr>
          <w:rFonts w:asciiTheme="majorHAnsi" w:eastAsiaTheme="majorEastAsia" w:hAnsiTheme="majorHAnsi" w:cstheme="majorBidi"/>
        </w:rPr>
      </w:pPr>
      <w:r w:rsidRPr="5AA89864">
        <w:rPr>
          <w:rFonts w:asciiTheme="majorHAnsi" w:eastAsiaTheme="majorEastAsia" w:hAnsiTheme="majorHAnsi" w:cstheme="majorBidi"/>
        </w:rPr>
        <w:t>Pre-Tenancy Transitional</w:t>
      </w:r>
      <w:r w:rsidR="1F02EC93" w:rsidRPr="5AA89864">
        <w:rPr>
          <w:rFonts w:asciiTheme="majorHAnsi" w:eastAsiaTheme="majorEastAsia" w:hAnsiTheme="majorHAnsi" w:cstheme="majorBidi"/>
        </w:rPr>
        <w:t xml:space="preserve">: </w:t>
      </w:r>
      <w:r w:rsidR="0C7AD22F" w:rsidRPr="5AA89864">
        <w:rPr>
          <w:rFonts w:asciiTheme="majorHAnsi" w:eastAsiaTheme="majorEastAsia" w:hAnsiTheme="majorHAnsi" w:cstheme="majorBidi"/>
        </w:rPr>
        <w:t>$</w:t>
      </w:r>
      <w:r w:rsidR="1F02EC93" w:rsidRPr="5AA89864">
        <w:rPr>
          <w:rFonts w:asciiTheme="majorHAnsi" w:eastAsiaTheme="majorEastAsia" w:hAnsiTheme="majorHAnsi" w:cstheme="majorBidi"/>
        </w:rPr>
        <w:t>6.</w:t>
      </w:r>
      <w:r w:rsidR="62E90599" w:rsidRPr="5AA89864">
        <w:rPr>
          <w:rFonts w:asciiTheme="majorHAnsi" w:eastAsiaTheme="majorEastAsia" w:hAnsiTheme="majorHAnsi" w:cstheme="majorBidi"/>
        </w:rPr>
        <w:t>4</w:t>
      </w:r>
      <w:r w:rsidR="1F02EC93" w:rsidRPr="5AA89864">
        <w:rPr>
          <w:rFonts w:asciiTheme="majorHAnsi" w:eastAsiaTheme="majorEastAsia" w:hAnsiTheme="majorHAnsi" w:cstheme="majorBidi"/>
        </w:rPr>
        <w:t>M</w:t>
      </w:r>
      <w:r w:rsidRPr="5AA89864">
        <w:rPr>
          <w:rFonts w:asciiTheme="majorHAnsi" w:eastAsiaTheme="majorEastAsia" w:hAnsiTheme="majorHAnsi" w:cstheme="majorBidi"/>
        </w:rPr>
        <w:t xml:space="preserve"> </w:t>
      </w:r>
    </w:p>
    <w:p w14:paraId="6C3FD03E" w14:textId="125044C5" w:rsidR="008F0CA4" w:rsidRPr="00647CE5" w:rsidRDefault="4A7D2A33" w:rsidP="008240EA">
      <w:pPr>
        <w:pStyle w:val="NormalWeb"/>
        <w:numPr>
          <w:ilvl w:val="0"/>
          <w:numId w:val="65"/>
        </w:numPr>
        <w:rPr>
          <w:rFonts w:asciiTheme="majorHAnsi" w:eastAsiaTheme="majorEastAsia" w:hAnsiTheme="majorHAnsi" w:cstheme="majorBidi"/>
        </w:rPr>
      </w:pPr>
      <w:r w:rsidRPr="5AA89864">
        <w:rPr>
          <w:rFonts w:asciiTheme="majorHAnsi" w:eastAsiaTheme="majorEastAsia" w:hAnsiTheme="majorHAnsi" w:cstheme="majorBidi"/>
        </w:rPr>
        <w:lastRenderedPageBreak/>
        <w:t>Tenan</w:t>
      </w:r>
      <w:r w:rsidR="55CCF2E6" w:rsidRPr="5AA89864">
        <w:rPr>
          <w:rFonts w:asciiTheme="majorHAnsi" w:eastAsiaTheme="majorEastAsia" w:hAnsiTheme="majorHAnsi" w:cstheme="majorBidi"/>
        </w:rPr>
        <w:t>cy Sustaining</w:t>
      </w:r>
      <w:r w:rsidR="1F02EC93" w:rsidRPr="5AA89864">
        <w:rPr>
          <w:rFonts w:asciiTheme="majorHAnsi" w:eastAsiaTheme="majorEastAsia" w:hAnsiTheme="majorHAnsi" w:cstheme="majorBidi"/>
        </w:rPr>
        <w:t xml:space="preserve">: </w:t>
      </w:r>
      <w:r w:rsidR="0C7AD22F" w:rsidRPr="5AA89864">
        <w:rPr>
          <w:rFonts w:asciiTheme="majorHAnsi" w:eastAsiaTheme="majorEastAsia" w:hAnsiTheme="majorHAnsi" w:cstheme="majorBidi"/>
        </w:rPr>
        <w:t>$</w:t>
      </w:r>
      <w:r w:rsidR="1F02EC93" w:rsidRPr="5AA89864">
        <w:rPr>
          <w:rFonts w:asciiTheme="majorHAnsi" w:eastAsiaTheme="majorEastAsia" w:hAnsiTheme="majorHAnsi" w:cstheme="majorBidi"/>
        </w:rPr>
        <w:t>6.</w:t>
      </w:r>
      <w:r w:rsidR="316FA218" w:rsidRPr="5AA89864">
        <w:rPr>
          <w:rFonts w:asciiTheme="majorHAnsi" w:eastAsiaTheme="majorEastAsia" w:hAnsiTheme="majorHAnsi" w:cstheme="majorBidi"/>
        </w:rPr>
        <w:t>7</w:t>
      </w:r>
      <w:r w:rsidR="1F02EC93" w:rsidRPr="5AA89864">
        <w:rPr>
          <w:rFonts w:asciiTheme="majorHAnsi" w:eastAsiaTheme="majorEastAsia" w:hAnsiTheme="majorHAnsi" w:cstheme="majorBidi"/>
        </w:rPr>
        <w:t>M</w:t>
      </w:r>
    </w:p>
    <w:p w14:paraId="5569C02E" w14:textId="64A53697" w:rsidR="00D56F8C" w:rsidRPr="00647CE5" w:rsidRDefault="55CCF2E6" w:rsidP="008240EA">
      <w:pPr>
        <w:pStyle w:val="NormalWeb"/>
        <w:numPr>
          <w:ilvl w:val="0"/>
          <w:numId w:val="65"/>
        </w:numPr>
        <w:rPr>
          <w:rFonts w:asciiTheme="majorHAnsi" w:eastAsiaTheme="majorEastAsia" w:hAnsiTheme="majorHAnsi" w:cstheme="majorBidi"/>
        </w:rPr>
      </w:pPr>
      <w:r w:rsidRPr="5AA89864">
        <w:rPr>
          <w:rFonts w:asciiTheme="majorHAnsi" w:eastAsiaTheme="majorEastAsia" w:hAnsiTheme="majorHAnsi" w:cstheme="majorBidi"/>
        </w:rPr>
        <w:t>Home Modifications</w:t>
      </w:r>
      <w:r w:rsidR="1F02EC93" w:rsidRPr="5AA89864">
        <w:rPr>
          <w:rFonts w:asciiTheme="majorHAnsi" w:eastAsiaTheme="majorEastAsia" w:hAnsiTheme="majorHAnsi" w:cstheme="majorBidi"/>
        </w:rPr>
        <w:t xml:space="preserve">: </w:t>
      </w:r>
      <w:r w:rsidR="0C7AD22F" w:rsidRPr="5AA89864">
        <w:rPr>
          <w:rFonts w:asciiTheme="majorHAnsi" w:eastAsiaTheme="majorEastAsia" w:hAnsiTheme="majorHAnsi" w:cstheme="majorBidi"/>
        </w:rPr>
        <w:t>$</w:t>
      </w:r>
      <w:r w:rsidR="1F02EC93" w:rsidRPr="5AA89864">
        <w:rPr>
          <w:rFonts w:asciiTheme="majorHAnsi" w:eastAsiaTheme="majorEastAsia" w:hAnsiTheme="majorHAnsi" w:cstheme="majorBidi"/>
        </w:rPr>
        <w:t>2.</w:t>
      </w:r>
      <w:r w:rsidR="1DE302A8" w:rsidRPr="5AA89864">
        <w:rPr>
          <w:rFonts w:asciiTheme="majorHAnsi" w:eastAsiaTheme="majorEastAsia" w:hAnsiTheme="majorHAnsi" w:cstheme="majorBidi"/>
        </w:rPr>
        <w:t>4</w:t>
      </w:r>
      <w:r w:rsidR="1F02EC93" w:rsidRPr="5AA89864">
        <w:rPr>
          <w:rFonts w:asciiTheme="majorHAnsi" w:eastAsiaTheme="majorEastAsia" w:hAnsiTheme="majorHAnsi" w:cstheme="majorBidi"/>
        </w:rPr>
        <w:t>M</w:t>
      </w:r>
    </w:p>
    <w:p w14:paraId="4794F0A3" w14:textId="19A7CFBE" w:rsidR="00D56F8C" w:rsidRPr="00647CE5" w:rsidRDefault="55CCF2E6" w:rsidP="008240EA">
      <w:pPr>
        <w:pStyle w:val="NormalWeb"/>
        <w:numPr>
          <w:ilvl w:val="0"/>
          <w:numId w:val="65"/>
        </w:numPr>
        <w:rPr>
          <w:rFonts w:asciiTheme="majorHAnsi" w:eastAsiaTheme="majorEastAsia" w:hAnsiTheme="majorHAnsi" w:cstheme="majorBidi"/>
        </w:rPr>
      </w:pPr>
      <w:r w:rsidRPr="5AA89864">
        <w:rPr>
          <w:rFonts w:asciiTheme="majorHAnsi" w:eastAsiaTheme="majorEastAsia" w:hAnsiTheme="majorHAnsi" w:cstheme="majorBidi"/>
        </w:rPr>
        <w:t>Nutrition Sustaining Goods</w:t>
      </w:r>
      <w:r w:rsidR="1F02EC93" w:rsidRPr="5AA89864">
        <w:rPr>
          <w:rFonts w:asciiTheme="majorHAnsi" w:eastAsiaTheme="majorEastAsia" w:hAnsiTheme="majorHAnsi" w:cstheme="majorBidi"/>
        </w:rPr>
        <w:t>:</w:t>
      </w:r>
      <w:r w:rsidR="7B6E3D8F" w:rsidRPr="5AA89864">
        <w:rPr>
          <w:rFonts w:asciiTheme="majorHAnsi" w:eastAsiaTheme="majorEastAsia" w:hAnsiTheme="majorHAnsi" w:cstheme="majorBidi"/>
        </w:rPr>
        <w:t xml:space="preserve"> </w:t>
      </w:r>
      <w:r w:rsidR="0C7AD22F" w:rsidRPr="5AA89864">
        <w:rPr>
          <w:rFonts w:asciiTheme="majorHAnsi" w:eastAsiaTheme="majorEastAsia" w:hAnsiTheme="majorHAnsi" w:cstheme="majorBidi"/>
        </w:rPr>
        <w:t>$</w:t>
      </w:r>
      <w:r w:rsidR="7B6E3D8F" w:rsidRPr="5AA89864">
        <w:rPr>
          <w:rFonts w:asciiTheme="majorHAnsi" w:eastAsiaTheme="majorEastAsia" w:hAnsiTheme="majorHAnsi" w:cstheme="majorBidi"/>
        </w:rPr>
        <w:t>2</w:t>
      </w:r>
      <w:r w:rsidR="749A6718" w:rsidRPr="5AA89864">
        <w:rPr>
          <w:rFonts w:asciiTheme="majorHAnsi" w:eastAsiaTheme="majorEastAsia" w:hAnsiTheme="majorHAnsi" w:cstheme="majorBidi"/>
        </w:rPr>
        <w:t>9</w:t>
      </w:r>
      <w:r w:rsidR="7B6E3D8F" w:rsidRPr="5AA89864">
        <w:rPr>
          <w:rFonts w:asciiTheme="majorHAnsi" w:eastAsiaTheme="majorEastAsia" w:hAnsiTheme="majorHAnsi" w:cstheme="majorBidi"/>
        </w:rPr>
        <w:t>.7M</w:t>
      </w:r>
    </w:p>
    <w:p w14:paraId="07EBF963" w14:textId="0E906FF6" w:rsidR="004D5D8F" w:rsidRPr="00647CE5" w:rsidRDefault="0CA66DC6" w:rsidP="008240EA">
      <w:pPr>
        <w:pStyle w:val="NormalWeb"/>
        <w:numPr>
          <w:ilvl w:val="0"/>
          <w:numId w:val="65"/>
        </w:numPr>
        <w:rPr>
          <w:rFonts w:asciiTheme="majorHAnsi" w:eastAsiaTheme="majorEastAsia" w:hAnsiTheme="majorHAnsi" w:cstheme="majorBidi"/>
        </w:rPr>
      </w:pPr>
      <w:r w:rsidRPr="5AA89864">
        <w:rPr>
          <w:rFonts w:asciiTheme="majorHAnsi" w:eastAsiaTheme="majorEastAsia" w:hAnsiTheme="majorHAnsi" w:cstheme="majorBidi"/>
        </w:rPr>
        <w:t>Nutrition Sustaining Services</w:t>
      </w:r>
      <w:r w:rsidR="7B6E3D8F" w:rsidRPr="5AA89864">
        <w:rPr>
          <w:rFonts w:asciiTheme="majorHAnsi" w:eastAsiaTheme="majorEastAsia" w:hAnsiTheme="majorHAnsi" w:cstheme="majorBidi"/>
        </w:rPr>
        <w:t>:</w:t>
      </w:r>
      <w:r w:rsidR="6472A01C" w:rsidRPr="5AA89864">
        <w:rPr>
          <w:rFonts w:asciiTheme="majorHAnsi" w:eastAsiaTheme="majorEastAsia" w:hAnsiTheme="majorHAnsi" w:cstheme="majorBidi"/>
        </w:rPr>
        <w:t xml:space="preserve"> </w:t>
      </w:r>
      <w:r w:rsidR="0C7AD22F" w:rsidRPr="5AA89864">
        <w:rPr>
          <w:rFonts w:asciiTheme="majorHAnsi" w:eastAsiaTheme="majorEastAsia" w:hAnsiTheme="majorHAnsi" w:cstheme="majorBidi"/>
        </w:rPr>
        <w:t>$</w:t>
      </w:r>
      <w:r w:rsidR="6472A01C" w:rsidRPr="5AA89864">
        <w:rPr>
          <w:rFonts w:asciiTheme="majorHAnsi" w:eastAsiaTheme="majorEastAsia" w:hAnsiTheme="majorHAnsi" w:cstheme="majorBidi"/>
        </w:rPr>
        <w:t>1</w:t>
      </w:r>
      <w:r w:rsidR="74B651D0" w:rsidRPr="5AA89864">
        <w:rPr>
          <w:rFonts w:asciiTheme="majorHAnsi" w:eastAsiaTheme="majorEastAsia" w:hAnsiTheme="majorHAnsi" w:cstheme="majorBidi"/>
        </w:rPr>
        <w:t>2</w:t>
      </w:r>
      <w:r w:rsidR="6472A01C" w:rsidRPr="5AA89864">
        <w:rPr>
          <w:rFonts w:asciiTheme="majorHAnsi" w:eastAsiaTheme="majorEastAsia" w:hAnsiTheme="majorHAnsi" w:cstheme="majorBidi"/>
        </w:rPr>
        <w:t>.</w:t>
      </w:r>
      <w:r w:rsidR="18EBD24A" w:rsidRPr="5AA89864">
        <w:rPr>
          <w:rFonts w:asciiTheme="majorHAnsi" w:eastAsiaTheme="majorEastAsia" w:hAnsiTheme="majorHAnsi" w:cstheme="majorBidi"/>
        </w:rPr>
        <w:t>9</w:t>
      </w:r>
      <w:r w:rsidR="6472A01C" w:rsidRPr="5AA89864">
        <w:rPr>
          <w:rFonts w:asciiTheme="majorHAnsi" w:eastAsiaTheme="majorEastAsia" w:hAnsiTheme="majorHAnsi" w:cstheme="majorBidi"/>
        </w:rPr>
        <w:t>M</w:t>
      </w:r>
    </w:p>
    <w:p w14:paraId="38131434" w14:textId="77777777" w:rsidR="004D5D8F" w:rsidRPr="00647CE5" w:rsidRDefault="004D5D8F" w:rsidP="5AA89864">
      <w:pPr>
        <w:pStyle w:val="NormalWeb"/>
        <w:rPr>
          <w:rFonts w:asciiTheme="majorHAnsi" w:eastAsiaTheme="majorEastAsia" w:hAnsiTheme="majorHAnsi" w:cstheme="majorBidi"/>
        </w:rPr>
      </w:pPr>
    </w:p>
    <w:p w14:paraId="41B1CA88" w14:textId="0F305A40" w:rsidR="004D5D8F" w:rsidRPr="00647CE5" w:rsidRDefault="03B1459E" w:rsidP="008240EA">
      <w:pPr>
        <w:pStyle w:val="NormalWeb"/>
        <w:numPr>
          <w:ilvl w:val="0"/>
          <w:numId w:val="65"/>
        </w:numPr>
        <w:rPr>
          <w:rFonts w:asciiTheme="majorHAnsi" w:eastAsiaTheme="majorEastAsia" w:hAnsiTheme="majorHAnsi" w:cstheme="majorBidi"/>
        </w:rPr>
      </w:pPr>
      <w:r w:rsidRPr="5AA89864">
        <w:rPr>
          <w:rFonts w:asciiTheme="majorHAnsi" w:eastAsiaTheme="majorEastAsia" w:hAnsiTheme="majorHAnsi" w:cstheme="majorBidi"/>
          <w:b/>
          <w:bCs/>
        </w:rPr>
        <w:t xml:space="preserve">Total CY21 Allocated Funds with rollover: </w:t>
      </w:r>
      <w:r w:rsidRPr="5AA89864">
        <w:rPr>
          <w:rFonts w:asciiTheme="majorHAnsi" w:eastAsiaTheme="majorEastAsia" w:hAnsiTheme="majorHAnsi" w:cstheme="majorBidi"/>
        </w:rPr>
        <w:t>$</w:t>
      </w:r>
      <w:r w:rsidR="3B797AD6" w:rsidRPr="5AA89864">
        <w:rPr>
          <w:rFonts w:asciiTheme="majorHAnsi" w:eastAsiaTheme="majorEastAsia" w:hAnsiTheme="majorHAnsi" w:cstheme="majorBidi"/>
        </w:rPr>
        <w:t>74.2</w:t>
      </w:r>
      <w:r w:rsidRPr="5AA89864">
        <w:rPr>
          <w:rFonts w:asciiTheme="majorHAnsi" w:eastAsiaTheme="majorEastAsia" w:hAnsiTheme="majorHAnsi" w:cstheme="majorBidi"/>
        </w:rPr>
        <w:t>M</w:t>
      </w:r>
    </w:p>
    <w:p w14:paraId="5CB39E4B" w14:textId="5E23EFAC" w:rsidR="004D5D8F" w:rsidRPr="00647CE5" w:rsidRDefault="03B1459E" w:rsidP="008240EA">
      <w:pPr>
        <w:pStyle w:val="NormalWeb"/>
        <w:numPr>
          <w:ilvl w:val="0"/>
          <w:numId w:val="65"/>
        </w:numPr>
        <w:rPr>
          <w:rFonts w:asciiTheme="majorHAnsi" w:eastAsiaTheme="majorEastAsia" w:hAnsiTheme="majorHAnsi" w:cstheme="majorBidi"/>
        </w:rPr>
      </w:pPr>
      <w:r w:rsidRPr="5AA89864">
        <w:rPr>
          <w:rFonts w:asciiTheme="majorHAnsi" w:eastAsiaTheme="majorEastAsia" w:hAnsiTheme="majorHAnsi" w:cstheme="majorBidi"/>
          <w:b/>
          <w:bCs/>
        </w:rPr>
        <w:t xml:space="preserve">Total CY21 Allocated Funds without </w:t>
      </w:r>
      <w:proofErr w:type="gramStart"/>
      <w:r w:rsidRPr="5AA89864">
        <w:rPr>
          <w:rFonts w:asciiTheme="majorHAnsi" w:eastAsiaTheme="majorEastAsia" w:hAnsiTheme="majorHAnsi" w:cstheme="majorBidi"/>
          <w:b/>
          <w:bCs/>
        </w:rPr>
        <w:t>rollover</w:t>
      </w:r>
      <w:proofErr w:type="gramEnd"/>
      <w:r w:rsidRPr="5AA89864">
        <w:rPr>
          <w:rFonts w:asciiTheme="majorHAnsi" w:eastAsiaTheme="majorEastAsia" w:hAnsiTheme="majorHAnsi" w:cstheme="majorBidi"/>
          <w:b/>
          <w:bCs/>
        </w:rPr>
        <w:t xml:space="preserve">: </w:t>
      </w:r>
      <w:r w:rsidRPr="5AA89864">
        <w:rPr>
          <w:rFonts w:asciiTheme="majorHAnsi" w:eastAsiaTheme="majorEastAsia" w:hAnsiTheme="majorHAnsi" w:cstheme="majorBidi"/>
        </w:rPr>
        <w:t>$3</w:t>
      </w:r>
      <w:r w:rsidR="3EA17CDD" w:rsidRPr="5AA89864">
        <w:rPr>
          <w:rFonts w:asciiTheme="majorHAnsi" w:eastAsiaTheme="majorEastAsia" w:hAnsiTheme="majorHAnsi" w:cstheme="majorBidi"/>
        </w:rPr>
        <w:t>7</w:t>
      </w:r>
      <w:r w:rsidRPr="5AA89864">
        <w:rPr>
          <w:rFonts w:asciiTheme="majorHAnsi" w:eastAsiaTheme="majorEastAsia" w:hAnsiTheme="majorHAnsi" w:cstheme="majorBidi"/>
        </w:rPr>
        <w:t>M</w:t>
      </w:r>
    </w:p>
    <w:p w14:paraId="71CC89BF" w14:textId="360C03D2" w:rsidR="004D5D8F" w:rsidRPr="00647CE5" w:rsidRDefault="03B1459E" w:rsidP="008240EA">
      <w:pPr>
        <w:pStyle w:val="NormalWeb"/>
        <w:numPr>
          <w:ilvl w:val="0"/>
          <w:numId w:val="65"/>
        </w:numPr>
        <w:rPr>
          <w:rFonts w:asciiTheme="majorHAnsi" w:eastAsiaTheme="majorEastAsia" w:hAnsiTheme="majorHAnsi" w:cstheme="majorBidi"/>
        </w:rPr>
      </w:pPr>
      <w:r w:rsidRPr="5AA89864">
        <w:rPr>
          <w:rFonts w:asciiTheme="majorHAnsi" w:eastAsiaTheme="majorEastAsia" w:hAnsiTheme="majorHAnsi" w:cstheme="majorBidi"/>
          <w:b/>
          <w:bCs/>
        </w:rPr>
        <w:t xml:space="preserve">Total Budgeted in CY21: </w:t>
      </w:r>
      <w:r w:rsidRPr="5AA89864">
        <w:rPr>
          <w:rFonts w:asciiTheme="majorHAnsi" w:eastAsiaTheme="majorEastAsia" w:hAnsiTheme="majorHAnsi" w:cstheme="majorBidi"/>
        </w:rPr>
        <w:t>$6</w:t>
      </w:r>
      <w:r w:rsidR="1560B6ED" w:rsidRPr="5AA89864">
        <w:rPr>
          <w:rFonts w:asciiTheme="majorHAnsi" w:eastAsiaTheme="majorEastAsia" w:hAnsiTheme="majorHAnsi" w:cstheme="majorBidi"/>
        </w:rPr>
        <w:t>6.5</w:t>
      </w:r>
      <w:r w:rsidRPr="5AA89864">
        <w:rPr>
          <w:rFonts w:asciiTheme="majorHAnsi" w:eastAsiaTheme="majorEastAsia" w:hAnsiTheme="majorHAnsi" w:cstheme="majorBidi"/>
        </w:rPr>
        <w:t>M</w:t>
      </w:r>
    </w:p>
    <w:p w14:paraId="3ED31B11" w14:textId="617C3176" w:rsidR="683514F1" w:rsidRPr="004A0681" w:rsidRDefault="03B1459E" w:rsidP="683514F1">
      <w:pPr>
        <w:pStyle w:val="NormalWeb"/>
        <w:numPr>
          <w:ilvl w:val="0"/>
          <w:numId w:val="65"/>
        </w:numPr>
        <w:rPr>
          <w:rFonts w:asciiTheme="majorHAnsi" w:eastAsiaTheme="majorEastAsia" w:hAnsiTheme="majorHAnsi" w:cstheme="majorBidi"/>
        </w:rPr>
      </w:pPr>
      <w:r w:rsidRPr="683514F1">
        <w:rPr>
          <w:rFonts w:asciiTheme="majorHAnsi" w:eastAsiaTheme="majorEastAsia" w:hAnsiTheme="majorHAnsi" w:cstheme="majorBidi"/>
          <w:b/>
          <w:bCs/>
        </w:rPr>
        <w:t xml:space="preserve">% Budgeted of Total Allocation with rollover: </w:t>
      </w:r>
      <w:r w:rsidR="384D9932" w:rsidRPr="683514F1">
        <w:rPr>
          <w:rFonts w:asciiTheme="majorHAnsi" w:eastAsiaTheme="majorEastAsia" w:hAnsiTheme="majorHAnsi" w:cstheme="majorBidi"/>
          <w:b/>
          <w:bCs/>
        </w:rPr>
        <w:t>90</w:t>
      </w:r>
      <w:r w:rsidRPr="683514F1">
        <w:rPr>
          <w:rFonts w:asciiTheme="majorHAnsi" w:eastAsiaTheme="majorEastAsia" w:hAnsiTheme="majorHAnsi" w:cstheme="majorBidi"/>
        </w:rPr>
        <w:t>%</w:t>
      </w:r>
    </w:p>
    <w:p w14:paraId="3BB0573B" w14:textId="703B7846" w:rsidR="00257AF5" w:rsidRDefault="49B57714" w:rsidP="00257AF5">
      <w:pPr>
        <w:pStyle w:val="Heading4"/>
      </w:pPr>
      <w:r>
        <w:t>Slide 2</w:t>
      </w:r>
      <w:r w:rsidR="0EF63780">
        <w:t>2</w:t>
      </w:r>
      <w:r>
        <w:t xml:space="preserve">: In 2020 and 2021, there was continuous growth in Flexible </w:t>
      </w:r>
      <w:proofErr w:type="gramStart"/>
      <w:r>
        <w:t>Services</w:t>
      </w:r>
      <w:proofErr w:type="gramEnd"/>
      <w:r>
        <w:t xml:space="preserve"> uptake each quarter</w:t>
      </w:r>
    </w:p>
    <w:p w14:paraId="3F717067" w14:textId="26301B9A" w:rsidR="2CB509C5" w:rsidRDefault="2CB509C5" w:rsidP="18B1B932">
      <w:r>
        <w:t xml:space="preserve">Table 3: </w:t>
      </w:r>
    </w:p>
    <w:tbl>
      <w:tblPr>
        <w:tblStyle w:val="TableGrid"/>
        <w:tblW w:w="9359" w:type="dxa"/>
        <w:tblLayout w:type="fixed"/>
        <w:tblLook w:val="06A0" w:firstRow="1" w:lastRow="0" w:firstColumn="1" w:lastColumn="0" w:noHBand="1" w:noVBand="1"/>
      </w:tblPr>
      <w:tblGrid>
        <w:gridCol w:w="1337"/>
        <w:gridCol w:w="1337"/>
        <w:gridCol w:w="1337"/>
        <w:gridCol w:w="1337"/>
        <w:gridCol w:w="1337"/>
        <w:gridCol w:w="1337"/>
        <w:gridCol w:w="1337"/>
      </w:tblGrid>
      <w:tr w:rsidR="35274AE4" w14:paraId="734117D4" w14:textId="77777777" w:rsidTr="5467FBF9">
        <w:trPr>
          <w:trHeight w:val="300"/>
        </w:trPr>
        <w:tc>
          <w:tcPr>
            <w:tcW w:w="1337" w:type="dxa"/>
            <w:shd w:val="clear" w:color="auto" w:fill="538135" w:themeFill="accent6" w:themeFillShade="BF"/>
            <w:vAlign w:val="center"/>
          </w:tcPr>
          <w:p w14:paraId="44F0035B" w14:textId="4E49B07E" w:rsidR="35274AE4" w:rsidRDefault="34E4C8B2" w:rsidP="5467FBF9">
            <w:pPr>
              <w:jc w:val="center"/>
            </w:pPr>
            <w:r>
              <w:t xml:space="preserve">Flexible Services </w:t>
            </w:r>
          </w:p>
        </w:tc>
        <w:tc>
          <w:tcPr>
            <w:tcW w:w="1337" w:type="dxa"/>
            <w:shd w:val="clear" w:color="auto" w:fill="538135" w:themeFill="accent6" w:themeFillShade="BF"/>
            <w:vAlign w:val="center"/>
          </w:tcPr>
          <w:p w14:paraId="17BD6479" w14:textId="22B9574E" w:rsidR="35274AE4" w:rsidRDefault="34E4C8B2" w:rsidP="5467FBF9">
            <w:pPr>
              <w:jc w:val="center"/>
            </w:pPr>
            <w:r>
              <w:t># of Members Served</w:t>
            </w:r>
          </w:p>
        </w:tc>
        <w:tc>
          <w:tcPr>
            <w:tcW w:w="1337" w:type="dxa"/>
            <w:shd w:val="clear" w:color="auto" w:fill="538135" w:themeFill="accent6" w:themeFillShade="BF"/>
            <w:vAlign w:val="center"/>
          </w:tcPr>
          <w:p w14:paraId="531C1E95" w14:textId="2B4FB5D6" w:rsidR="35274AE4" w:rsidRDefault="34E4C8B2" w:rsidP="5467FBF9">
            <w:pPr>
              <w:jc w:val="center"/>
            </w:pPr>
            <w:r>
              <w:t># of Members Served</w:t>
            </w:r>
          </w:p>
        </w:tc>
        <w:tc>
          <w:tcPr>
            <w:tcW w:w="1337" w:type="dxa"/>
            <w:shd w:val="clear" w:color="auto" w:fill="538135" w:themeFill="accent6" w:themeFillShade="BF"/>
            <w:vAlign w:val="center"/>
          </w:tcPr>
          <w:p w14:paraId="034D73F7" w14:textId="36052D6F" w:rsidR="35274AE4" w:rsidRDefault="34E4C8B2" w:rsidP="5467FBF9">
            <w:pPr>
              <w:jc w:val="center"/>
            </w:pPr>
            <w:r>
              <w:t># of Members Served</w:t>
            </w:r>
          </w:p>
        </w:tc>
        <w:tc>
          <w:tcPr>
            <w:tcW w:w="1337" w:type="dxa"/>
            <w:shd w:val="clear" w:color="auto" w:fill="538135" w:themeFill="accent6" w:themeFillShade="BF"/>
            <w:vAlign w:val="center"/>
          </w:tcPr>
          <w:p w14:paraId="0B2E58B7" w14:textId="351D71FB" w:rsidR="35274AE4" w:rsidRDefault="34E4C8B2" w:rsidP="5467FBF9">
            <w:pPr>
              <w:jc w:val="center"/>
            </w:pPr>
            <w:r>
              <w:t>$ Spent</w:t>
            </w:r>
          </w:p>
        </w:tc>
        <w:tc>
          <w:tcPr>
            <w:tcW w:w="1337" w:type="dxa"/>
            <w:shd w:val="clear" w:color="auto" w:fill="538135" w:themeFill="accent6" w:themeFillShade="BF"/>
            <w:vAlign w:val="center"/>
          </w:tcPr>
          <w:p w14:paraId="5393310D" w14:textId="0A6289E3" w:rsidR="34E4C8B2" w:rsidRDefault="34E4C8B2" w:rsidP="5467FBF9">
            <w:pPr>
              <w:jc w:val="center"/>
            </w:pPr>
            <w:r>
              <w:t>$ Spent</w:t>
            </w:r>
          </w:p>
        </w:tc>
        <w:tc>
          <w:tcPr>
            <w:tcW w:w="1337" w:type="dxa"/>
            <w:shd w:val="clear" w:color="auto" w:fill="538135" w:themeFill="accent6" w:themeFillShade="BF"/>
            <w:vAlign w:val="center"/>
          </w:tcPr>
          <w:p w14:paraId="7F5E2D08" w14:textId="3BD93184" w:rsidR="34E4C8B2" w:rsidRDefault="34E4C8B2" w:rsidP="5467FBF9">
            <w:pPr>
              <w:jc w:val="center"/>
            </w:pPr>
            <w:r>
              <w:t>$ Spent</w:t>
            </w:r>
          </w:p>
        </w:tc>
      </w:tr>
      <w:tr w:rsidR="35274AE4" w14:paraId="39E04BE0" w14:textId="77777777" w:rsidTr="5467FBF9">
        <w:trPr>
          <w:trHeight w:val="300"/>
        </w:trPr>
        <w:tc>
          <w:tcPr>
            <w:tcW w:w="1337" w:type="dxa"/>
            <w:shd w:val="clear" w:color="auto" w:fill="538135" w:themeFill="accent6" w:themeFillShade="BF"/>
            <w:vAlign w:val="center"/>
          </w:tcPr>
          <w:p w14:paraId="16F7CA3D" w14:textId="4F72FB2B" w:rsidR="35274AE4" w:rsidRDefault="34E4C8B2" w:rsidP="5467FBF9">
            <w:pPr>
              <w:jc w:val="center"/>
            </w:pPr>
            <w:r>
              <w:t>Flexible Services</w:t>
            </w:r>
          </w:p>
        </w:tc>
        <w:tc>
          <w:tcPr>
            <w:tcW w:w="1337" w:type="dxa"/>
            <w:shd w:val="clear" w:color="auto" w:fill="C5E0B3" w:themeFill="accent6" w:themeFillTint="66"/>
            <w:vAlign w:val="center"/>
          </w:tcPr>
          <w:p w14:paraId="025A4540" w14:textId="1385E55D" w:rsidR="35274AE4" w:rsidRDefault="34E4C8B2" w:rsidP="5467FBF9">
            <w:pPr>
              <w:jc w:val="center"/>
            </w:pPr>
            <w:r>
              <w:t>Total CY20</w:t>
            </w:r>
          </w:p>
        </w:tc>
        <w:tc>
          <w:tcPr>
            <w:tcW w:w="1337" w:type="dxa"/>
            <w:shd w:val="clear" w:color="auto" w:fill="C5E0B3" w:themeFill="accent6" w:themeFillTint="66"/>
            <w:vAlign w:val="center"/>
          </w:tcPr>
          <w:p w14:paraId="6B8AE4FE" w14:textId="47544BBC" w:rsidR="35274AE4" w:rsidRDefault="34E4C8B2" w:rsidP="5467FBF9">
            <w:pPr>
              <w:jc w:val="center"/>
            </w:pPr>
            <w:r>
              <w:t>Total CY21</w:t>
            </w:r>
          </w:p>
        </w:tc>
        <w:tc>
          <w:tcPr>
            <w:tcW w:w="1337" w:type="dxa"/>
            <w:shd w:val="clear" w:color="auto" w:fill="C5E0B3" w:themeFill="accent6" w:themeFillTint="66"/>
            <w:vAlign w:val="center"/>
          </w:tcPr>
          <w:p w14:paraId="38257DA4" w14:textId="23E92D6A" w:rsidR="35274AE4" w:rsidRDefault="34E4C8B2" w:rsidP="5467FBF9">
            <w:pPr>
              <w:jc w:val="center"/>
            </w:pPr>
            <w:r>
              <w:t>Total CY22*</w:t>
            </w:r>
          </w:p>
        </w:tc>
        <w:tc>
          <w:tcPr>
            <w:tcW w:w="1337" w:type="dxa"/>
            <w:shd w:val="clear" w:color="auto" w:fill="C5E0B3" w:themeFill="accent6" w:themeFillTint="66"/>
            <w:vAlign w:val="center"/>
          </w:tcPr>
          <w:p w14:paraId="5835F717" w14:textId="037F765C" w:rsidR="35274AE4" w:rsidRDefault="34E4C8B2" w:rsidP="5467FBF9">
            <w:pPr>
              <w:jc w:val="center"/>
            </w:pPr>
            <w:r>
              <w:t>Total CY20</w:t>
            </w:r>
          </w:p>
        </w:tc>
        <w:tc>
          <w:tcPr>
            <w:tcW w:w="1337" w:type="dxa"/>
            <w:shd w:val="clear" w:color="auto" w:fill="C5E0B3" w:themeFill="accent6" w:themeFillTint="66"/>
            <w:vAlign w:val="center"/>
          </w:tcPr>
          <w:p w14:paraId="19BD3E4E" w14:textId="0E651F2F" w:rsidR="34E4C8B2" w:rsidRDefault="34E4C8B2" w:rsidP="5467FBF9">
            <w:pPr>
              <w:jc w:val="center"/>
            </w:pPr>
            <w:r>
              <w:t>Total CY21</w:t>
            </w:r>
          </w:p>
        </w:tc>
        <w:tc>
          <w:tcPr>
            <w:tcW w:w="1337" w:type="dxa"/>
            <w:shd w:val="clear" w:color="auto" w:fill="C5E0B3" w:themeFill="accent6" w:themeFillTint="66"/>
            <w:vAlign w:val="center"/>
          </w:tcPr>
          <w:p w14:paraId="4F1CB9B2" w14:textId="2FFEBF33" w:rsidR="34E4C8B2" w:rsidRDefault="34E4C8B2" w:rsidP="5467FBF9">
            <w:pPr>
              <w:jc w:val="center"/>
            </w:pPr>
            <w:r>
              <w:t>Total CY22*</w:t>
            </w:r>
          </w:p>
        </w:tc>
      </w:tr>
      <w:tr w:rsidR="35274AE4" w14:paraId="1CE4EBAD" w14:textId="77777777" w:rsidTr="5467FBF9">
        <w:trPr>
          <w:trHeight w:val="300"/>
        </w:trPr>
        <w:tc>
          <w:tcPr>
            <w:tcW w:w="1337" w:type="dxa"/>
            <w:shd w:val="clear" w:color="auto" w:fill="BFBFBF" w:themeFill="background1" w:themeFillShade="BF"/>
            <w:vAlign w:val="center"/>
          </w:tcPr>
          <w:p w14:paraId="146F81E9" w14:textId="31F0C6A3" w:rsidR="35274AE4" w:rsidRDefault="34E4C8B2" w:rsidP="5467FBF9">
            <w:pPr>
              <w:jc w:val="center"/>
            </w:pPr>
            <w:r>
              <w:t># of Unique Members/$ Spent per year</w:t>
            </w:r>
          </w:p>
        </w:tc>
        <w:tc>
          <w:tcPr>
            <w:tcW w:w="1337" w:type="dxa"/>
            <w:shd w:val="clear" w:color="auto" w:fill="BFBFBF" w:themeFill="background1" w:themeFillShade="BF"/>
            <w:vAlign w:val="center"/>
          </w:tcPr>
          <w:p w14:paraId="2E9F89C6" w14:textId="15CF3FEA" w:rsidR="35274AE4" w:rsidRDefault="34E4C8B2" w:rsidP="5467FBF9">
            <w:pPr>
              <w:jc w:val="center"/>
            </w:pPr>
            <w:r>
              <w:t>6,133</w:t>
            </w:r>
          </w:p>
        </w:tc>
        <w:tc>
          <w:tcPr>
            <w:tcW w:w="1337" w:type="dxa"/>
            <w:shd w:val="clear" w:color="auto" w:fill="BFBFBF" w:themeFill="background1" w:themeFillShade="BF"/>
            <w:vAlign w:val="center"/>
          </w:tcPr>
          <w:p w14:paraId="7AD43180" w14:textId="274C2A8E" w:rsidR="35274AE4" w:rsidRDefault="34E4C8B2" w:rsidP="5467FBF9">
            <w:pPr>
              <w:jc w:val="center"/>
            </w:pPr>
            <w:r>
              <w:t>10,466</w:t>
            </w:r>
          </w:p>
        </w:tc>
        <w:tc>
          <w:tcPr>
            <w:tcW w:w="1337" w:type="dxa"/>
            <w:shd w:val="clear" w:color="auto" w:fill="BFBFBF" w:themeFill="background1" w:themeFillShade="BF"/>
            <w:vAlign w:val="center"/>
          </w:tcPr>
          <w:p w14:paraId="4298F62E" w14:textId="020FF339" w:rsidR="35274AE4" w:rsidRDefault="34E4C8B2" w:rsidP="5467FBF9">
            <w:pPr>
              <w:jc w:val="center"/>
            </w:pPr>
            <w:r>
              <w:t>16,380</w:t>
            </w:r>
          </w:p>
        </w:tc>
        <w:tc>
          <w:tcPr>
            <w:tcW w:w="1337" w:type="dxa"/>
            <w:shd w:val="clear" w:color="auto" w:fill="BFBFBF" w:themeFill="background1" w:themeFillShade="BF"/>
            <w:vAlign w:val="center"/>
          </w:tcPr>
          <w:p w14:paraId="356EC31A" w14:textId="5D3A2641" w:rsidR="35274AE4" w:rsidRDefault="34E4C8B2" w:rsidP="5467FBF9">
            <w:pPr>
              <w:jc w:val="center"/>
            </w:pPr>
            <w:r>
              <w:t>$6.8M</w:t>
            </w:r>
          </w:p>
        </w:tc>
        <w:tc>
          <w:tcPr>
            <w:tcW w:w="1337" w:type="dxa"/>
            <w:shd w:val="clear" w:color="auto" w:fill="BFBFBF" w:themeFill="background1" w:themeFillShade="BF"/>
            <w:vAlign w:val="center"/>
          </w:tcPr>
          <w:p w14:paraId="1A6E9D1C" w14:textId="2FD9EC7B" w:rsidR="34E4C8B2" w:rsidRDefault="34E4C8B2" w:rsidP="5467FBF9">
            <w:pPr>
              <w:jc w:val="center"/>
            </w:pPr>
            <w:r>
              <w:t>$22.6M</w:t>
            </w:r>
          </w:p>
        </w:tc>
        <w:tc>
          <w:tcPr>
            <w:tcW w:w="1337" w:type="dxa"/>
            <w:shd w:val="clear" w:color="auto" w:fill="BFBFBF" w:themeFill="background1" w:themeFillShade="BF"/>
            <w:vAlign w:val="center"/>
          </w:tcPr>
          <w:p w14:paraId="44D3639B" w14:textId="3CB5A23F" w:rsidR="34E4C8B2" w:rsidRDefault="34E4C8B2" w:rsidP="5467FBF9">
            <w:pPr>
              <w:jc w:val="center"/>
            </w:pPr>
            <w:r>
              <w:t>$41.9M</w:t>
            </w:r>
          </w:p>
        </w:tc>
      </w:tr>
    </w:tbl>
    <w:p w14:paraId="32B0365E" w14:textId="50904676" w:rsidR="1770065D" w:rsidRDefault="1770065D" w:rsidP="1A331411">
      <w:pPr>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t xml:space="preserve">Notes for </w:t>
      </w:r>
      <w:r w:rsidR="18DB69FF" w:rsidRPr="1A331411">
        <w:rPr>
          <w:rFonts w:asciiTheme="majorHAnsi" w:eastAsiaTheme="majorEastAsia" w:hAnsiTheme="majorHAnsi" w:cstheme="majorBidi"/>
          <w:sz w:val="24"/>
          <w:szCs w:val="24"/>
        </w:rPr>
        <w:t>T</w:t>
      </w:r>
      <w:r w:rsidRPr="1A331411">
        <w:rPr>
          <w:rFonts w:asciiTheme="majorHAnsi" w:eastAsiaTheme="majorEastAsia" w:hAnsiTheme="majorHAnsi" w:cstheme="majorBidi"/>
          <w:sz w:val="24"/>
          <w:szCs w:val="24"/>
        </w:rPr>
        <w:t>able</w:t>
      </w:r>
      <w:r w:rsidR="3E7C0702" w:rsidRPr="1A331411">
        <w:rPr>
          <w:rFonts w:asciiTheme="majorHAnsi" w:eastAsiaTheme="majorEastAsia" w:hAnsiTheme="majorHAnsi" w:cstheme="majorBidi"/>
          <w:sz w:val="24"/>
          <w:szCs w:val="24"/>
        </w:rPr>
        <w:t xml:space="preserve"> 3</w:t>
      </w:r>
      <w:r w:rsidRPr="1A331411">
        <w:rPr>
          <w:rFonts w:asciiTheme="majorHAnsi" w:eastAsiaTheme="majorEastAsia" w:hAnsiTheme="majorHAnsi" w:cstheme="majorBidi"/>
          <w:sz w:val="24"/>
          <w:szCs w:val="24"/>
        </w:rPr>
        <w:t xml:space="preserve">: </w:t>
      </w:r>
      <w:r w:rsidR="1E64067A" w:rsidRPr="1A331411">
        <w:rPr>
          <w:rFonts w:asciiTheme="majorHAnsi" w:eastAsiaTheme="majorEastAsia" w:hAnsiTheme="majorHAnsi" w:cstheme="majorBidi"/>
          <w:sz w:val="24"/>
          <w:szCs w:val="24"/>
        </w:rPr>
        <w:t>The performance period for the 2022 report encompasses five quarters (1/1/2022 – 3/31/2023) rather than the standard four quarters reported in 2020 and 2021. For the purposes of year over year comparisons, numbers annualized when reporting CY22 and does not include Q1 2023.</w:t>
      </w:r>
    </w:p>
    <w:p w14:paraId="4CB255F0" w14:textId="14F05F31" w:rsidR="14836202" w:rsidRDefault="13322BA2"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Key </w:t>
      </w:r>
      <w:r w:rsidR="609751C8" w:rsidRPr="05FD1449">
        <w:rPr>
          <w:rFonts w:asciiTheme="majorHAnsi" w:eastAsiaTheme="majorEastAsia" w:hAnsiTheme="majorHAnsi" w:cstheme="majorBidi"/>
          <w:sz w:val="24"/>
          <w:szCs w:val="24"/>
        </w:rPr>
        <w:t>T</w:t>
      </w:r>
      <w:r w:rsidRPr="05FD1449">
        <w:rPr>
          <w:rFonts w:asciiTheme="majorHAnsi" w:eastAsiaTheme="majorEastAsia" w:hAnsiTheme="majorHAnsi" w:cstheme="majorBidi"/>
          <w:sz w:val="24"/>
          <w:szCs w:val="24"/>
        </w:rPr>
        <w:t xml:space="preserve">akeaway: </w:t>
      </w:r>
    </w:p>
    <w:p w14:paraId="18E45BAE" w14:textId="40031480" w:rsidR="14836202" w:rsidRDefault="66E16F14" w:rsidP="008240EA">
      <w:pPr>
        <w:pStyle w:val="ListParagraph"/>
        <w:numPr>
          <w:ilvl w:val="0"/>
          <w:numId w:val="21"/>
        </w:numPr>
        <w:spacing w:after="0"/>
        <w:rPr>
          <w:rFonts w:asciiTheme="majorHAnsi" w:eastAsiaTheme="majorEastAsia" w:hAnsiTheme="majorHAnsi" w:cstheme="majorBidi"/>
        </w:rPr>
      </w:pPr>
      <w:r w:rsidRPr="05FD1449">
        <w:rPr>
          <w:rFonts w:asciiTheme="majorHAnsi" w:eastAsiaTheme="majorEastAsia" w:hAnsiTheme="majorHAnsi" w:cstheme="majorBidi"/>
          <w:sz w:val="24"/>
          <w:szCs w:val="24"/>
        </w:rPr>
        <w:t xml:space="preserve">Across CY20, CY21, </w:t>
      </w:r>
      <w:r w:rsidR="1C35F504" w:rsidRPr="05FD1449">
        <w:rPr>
          <w:rFonts w:asciiTheme="majorHAnsi" w:eastAsiaTheme="majorEastAsia" w:hAnsiTheme="majorHAnsi" w:cstheme="majorBidi"/>
          <w:sz w:val="24"/>
          <w:szCs w:val="24"/>
        </w:rPr>
        <w:t xml:space="preserve">and </w:t>
      </w:r>
      <w:r w:rsidRPr="05FD1449">
        <w:rPr>
          <w:rFonts w:asciiTheme="majorHAnsi" w:eastAsiaTheme="majorEastAsia" w:hAnsiTheme="majorHAnsi" w:cstheme="majorBidi"/>
          <w:sz w:val="24"/>
          <w:szCs w:val="24"/>
        </w:rPr>
        <w:t>CY22</w:t>
      </w:r>
      <w:r w:rsidR="2E42C0F6" w:rsidRPr="05FD1449">
        <w:rPr>
          <w:rFonts w:asciiTheme="majorHAnsi" w:eastAsiaTheme="majorEastAsia" w:hAnsiTheme="majorHAnsi" w:cstheme="majorBidi"/>
          <w:sz w:val="24"/>
          <w:szCs w:val="24"/>
        </w:rPr>
        <w:t>,</w:t>
      </w:r>
      <w:r w:rsidR="6DAE2B26" w:rsidRPr="05FD1449">
        <w:rPr>
          <w:rFonts w:asciiTheme="majorHAnsi" w:eastAsiaTheme="majorEastAsia" w:hAnsiTheme="majorHAnsi" w:cstheme="majorBidi"/>
          <w:sz w:val="24"/>
          <w:szCs w:val="24"/>
        </w:rPr>
        <w:t xml:space="preserve"> </w:t>
      </w:r>
      <w:r w:rsidR="34DA7116" w:rsidRPr="05FD1449">
        <w:rPr>
          <w:rFonts w:asciiTheme="majorHAnsi" w:eastAsiaTheme="majorEastAsia" w:hAnsiTheme="majorHAnsi" w:cstheme="majorBidi"/>
          <w:sz w:val="24"/>
          <w:szCs w:val="24"/>
        </w:rPr>
        <w:t xml:space="preserve">a total of </w:t>
      </w:r>
      <w:r w:rsidR="6DAE2B26" w:rsidRPr="05FD1449">
        <w:rPr>
          <w:rFonts w:asciiTheme="majorHAnsi" w:eastAsiaTheme="majorEastAsia" w:hAnsiTheme="majorHAnsi" w:cstheme="majorBidi"/>
          <w:sz w:val="24"/>
          <w:szCs w:val="24"/>
        </w:rPr>
        <w:t xml:space="preserve">29,251 </w:t>
      </w:r>
      <w:r w:rsidR="336A0F9B" w:rsidRPr="05FD1449">
        <w:rPr>
          <w:rFonts w:asciiTheme="majorHAnsi" w:eastAsiaTheme="majorEastAsia" w:hAnsiTheme="majorHAnsi" w:cstheme="majorBidi"/>
          <w:sz w:val="24"/>
          <w:szCs w:val="24"/>
        </w:rPr>
        <w:t xml:space="preserve">unique </w:t>
      </w:r>
      <w:r w:rsidR="6DAE2B26" w:rsidRPr="05FD1449">
        <w:rPr>
          <w:rFonts w:asciiTheme="majorHAnsi" w:eastAsiaTheme="majorEastAsia" w:hAnsiTheme="majorHAnsi" w:cstheme="majorBidi"/>
          <w:sz w:val="24"/>
          <w:szCs w:val="24"/>
        </w:rPr>
        <w:t xml:space="preserve">members were served. Additionally, there was a total of $71.3M spent across all quarters.  </w:t>
      </w:r>
    </w:p>
    <w:p w14:paraId="61A8A198" w14:textId="2D25EEA9" w:rsidR="1770065D" w:rsidRDefault="1770065D" w:rsidP="1A331411">
      <w:pPr>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t xml:space="preserve">Graph 7: </w:t>
      </w:r>
    </w:p>
    <w:p w14:paraId="04AC3917" w14:textId="3A2A5269" w:rsidR="00577911" w:rsidRPr="002E0921" w:rsidRDefault="1770065D" w:rsidP="1A331411">
      <w:pPr>
        <w:rPr>
          <w:rFonts w:asciiTheme="majorHAnsi" w:eastAsiaTheme="majorEastAsia" w:hAnsiTheme="majorHAnsi" w:cstheme="majorBidi"/>
          <w:sz w:val="24"/>
          <w:szCs w:val="24"/>
        </w:rPr>
      </w:pPr>
      <w:r>
        <w:rPr>
          <w:noProof/>
        </w:rPr>
        <w:lastRenderedPageBreak/>
        <w:drawing>
          <wp:inline distT="0" distB="0" distL="0" distR="0" wp14:anchorId="0EDD6264" wp14:editId="50ED9AA4">
            <wp:extent cx="5943600" cy="2171700"/>
            <wp:effectExtent l="0" t="0" r="0" b="0"/>
            <wp:docPr id="1362757545" name="Picture 1362757545" descr="This graph includes the cumulative number of flexible services provided by category. Key takeaways are inclu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757545"/>
                    <pic:cNvPicPr/>
                  </pic:nvPicPr>
                  <pic:blipFill>
                    <a:blip r:embed="rId17">
                      <a:extLst>
                        <a:ext uri="{28A0092B-C50C-407E-A947-70E740481C1C}">
                          <a14:useLocalDpi xmlns:a14="http://schemas.microsoft.com/office/drawing/2010/main" val="0"/>
                        </a:ext>
                      </a:extLst>
                    </a:blip>
                    <a:stretch>
                      <a:fillRect/>
                    </a:stretch>
                  </pic:blipFill>
                  <pic:spPr>
                    <a:xfrm>
                      <a:off x="0" y="0"/>
                      <a:ext cx="5943600" cy="2171700"/>
                    </a:xfrm>
                    <a:prstGeom prst="rect">
                      <a:avLst/>
                    </a:prstGeom>
                  </pic:spPr>
                </pic:pic>
              </a:graphicData>
            </a:graphic>
          </wp:inline>
        </w:drawing>
      </w:r>
      <w:r w:rsidR="00577911" w:rsidRPr="1A331411">
        <w:rPr>
          <w:rFonts w:asciiTheme="majorHAnsi" w:eastAsiaTheme="majorEastAsia" w:hAnsiTheme="majorHAnsi" w:cstheme="majorBidi"/>
          <w:sz w:val="24"/>
          <w:szCs w:val="24"/>
        </w:rPr>
        <w:t xml:space="preserve">Note on </w:t>
      </w:r>
      <w:r w:rsidR="6DF4C03B" w:rsidRPr="1A331411">
        <w:rPr>
          <w:rFonts w:asciiTheme="majorHAnsi" w:eastAsiaTheme="majorEastAsia" w:hAnsiTheme="majorHAnsi" w:cstheme="majorBidi"/>
          <w:sz w:val="24"/>
          <w:szCs w:val="24"/>
        </w:rPr>
        <w:t>G</w:t>
      </w:r>
      <w:r w:rsidR="00577911" w:rsidRPr="1A331411">
        <w:rPr>
          <w:rFonts w:asciiTheme="majorHAnsi" w:eastAsiaTheme="majorEastAsia" w:hAnsiTheme="majorHAnsi" w:cstheme="majorBidi"/>
          <w:sz w:val="24"/>
          <w:szCs w:val="24"/>
        </w:rPr>
        <w:t>raph</w:t>
      </w:r>
      <w:r w:rsidR="042DFECB" w:rsidRPr="1A331411">
        <w:rPr>
          <w:rFonts w:asciiTheme="majorHAnsi" w:eastAsiaTheme="majorEastAsia" w:hAnsiTheme="majorHAnsi" w:cstheme="majorBidi"/>
          <w:sz w:val="24"/>
          <w:szCs w:val="24"/>
        </w:rPr>
        <w:t xml:space="preserve"> 7</w:t>
      </w:r>
      <w:r w:rsidR="00577911" w:rsidRPr="1A331411">
        <w:rPr>
          <w:rFonts w:asciiTheme="majorHAnsi" w:eastAsiaTheme="majorEastAsia" w:hAnsiTheme="majorHAnsi" w:cstheme="majorBidi"/>
          <w:sz w:val="24"/>
          <w:szCs w:val="24"/>
        </w:rPr>
        <w:t xml:space="preserve">: MassHealth defines Flexible Services in terms of member-quarters or number of quarters members have received services. A unique member that received services across 4 quarters would count towards 4 services provided. </w:t>
      </w:r>
    </w:p>
    <w:p w14:paraId="51256C7A" w14:textId="3213F897" w:rsidR="00577911" w:rsidRPr="007B12DC" w:rsidRDefault="483CE37F"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Key </w:t>
      </w:r>
      <w:r w:rsidR="364562D1" w:rsidRPr="05FD1449">
        <w:rPr>
          <w:rFonts w:asciiTheme="majorHAnsi" w:eastAsiaTheme="majorEastAsia" w:hAnsiTheme="majorHAnsi" w:cstheme="majorBidi"/>
          <w:sz w:val="24"/>
          <w:szCs w:val="24"/>
        </w:rPr>
        <w:t>T</w:t>
      </w:r>
      <w:r w:rsidRPr="05FD1449">
        <w:rPr>
          <w:rFonts w:asciiTheme="majorHAnsi" w:eastAsiaTheme="majorEastAsia" w:hAnsiTheme="majorHAnsi" w:cstheme="majorBidi"/>
          <w:sz w:val="24"/>
          <w:szCs w:val="24"/>
        </w:rPr>
        <w:t>akeaways:</w:t>
      </w:r>
    </w:p>
    <w:p w14:paraId="76759627" w14:textId="50BE8396" w:rsidR="006471C6" w:rsidRPr="007B12DC" w:rsidRDefault="5CED399F" w:rsidP="008240EA">
      <w:pPr>
        <w:pStyle w:val="ListParagraph"/>
        <w:numPr>
          <w:ilvl w:val="0"/>
          <w:numId w:val="45"/>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b/>
          <w:bCs/>
          <w:sz w:val="24"/>
          <w:szCs w:val="24"/>
        </w:rPr>
        <w:t>Flexible Services expenditures increased significantly</w:t>
      </w:r>
      <w:r w:rsidRPr="05FD1449">
        <w:rPr>
          <w:rFonts w:asciiTheme="majorHAnsi" w:eastAsiaTheme="majorEastAsia" w:hAnsiTheme="majorHAnsi" w:cstheme="majorBidi"/>
          <w:sz w:val="24"/>
          <w:szCs w:val="24"/>
        </w:rPr>
        <w:t xml:space="preserve"> from 2020 to 2022</w:t>
      </w:r>
      <w:r w:rsidR="006471C6" w:rsidRPr="05FD1449">
        <w:rPr>
          <w:rStyle w:val="FootnoteReference"/>
          <w:rFonts w:asciiTheme="majorHAnsi" w:eastAsiaTheme="majorEastAsia" w:hAnsiTheme="majorHAnsi" w:cstheme="majorBidi"/>
          <w:sz w:val="24"/>
          <w:szCs w:val="24"/>
        </w:rPr>
        <w:footnoteReference w:id="9"/>
      </w:r>
      <w:r w:rsidRPr="05FD1449">
        <w:rPr>
          <w:rFonts w:asciiTheme="majorHAnsi" w:eastAsiaTheme="majorEastAsia" w:hAnsiTheme="majorHAnsi" w:cstheme="majorBidi"/>
          <w:sz w:val="24"/>
          <w:szCs w:val="24"/>
        </w:rPr>
        <w:t xml:space="preserve"> ($6.8M to $41.9M), corresponding to a 167%</w:t>
      </w:r>
      <w:r w:rsidRPr="05FD1449">
        <w:rPr>
          <w:rFonts w:asciiTheme="majorHAnsi" w:eastAsiaTheme="majorEastAsia" w:hAnsiTheme="majorHAnsi" w:cstheme="majorBidi"/>
          <w:b/>
          <w:bCs/>
          <w:sz w:val="24"/>
          <w:szCs w:val="24"/>
        </w:rPr>
        <w:t xml:space="preserve"> increase in unique members served </w:t>
      </w:r>
      <w:r w:rsidRPr="05FD1449">
        <w:rPr>
          <w:rFonts w:asciiTheme="majorHAnsi" w:eastAsiaTheme="majorEastAsia" w:hAnsiTheme="majorHAnsi" w:cstheme="majorBidi"/>
          <w:sz w:val="24"/>
          <w:szCs w:val="24"/>
        </w:rPr>
        <w:t xml:space="preserve">(6,133 to 16,380). </w:t>
      </w:r>
    </w:p>
    <w:p w14:paraId="6CF52DF6" w14:textId="6C963750" w:rsidR="006471C6" w:rsidRPr="004A0681" w:rsidRDefault="48545638" w:rsidP="671EFE84">
      <w:pPr>
        <w:pStyle w:val="ListParagraph"/>
        <w:numPr>
          <w:ilvl w:val="0"/>
          <w:numId w:val="44"/>
        </w:numPr>
        <w:spacing w:after="0"/>
        <w:rPr>
          <w:rFonts w:asciiTheme="majorHAnsi" w:eastAsiaTheme="majorEastAsia" w:hAnsiTheme="majorHAnsi" w:cstheme="majorBidi"/>
          <w:sz w:val="24"/>
          <w:szCs w:val="24"/>
          <w:vertAlign w:val="superscript"/>
        </w:rPr>
      </w:pPr>
      <w:r w:rsidRPr="671EFE84">
        <w:rPr>
          <w:rFonts w:asciiTheme="majorHAnsi" w:eastAsiaTheme="majorEastAsia" w:hAnsiTheme="majorHAnsi" w:cstheme="majorBidi"/>
          <w:sz w:val="24"/>
          <w:szCs w:val="24"/>
        </w:rPr>
        <w:t xml:space="preserve">Cumulatively from program launch in 2020 through Q1 2023, over </w:t>
      </w:r>
      <w:r w:rsidRPr="671EFE84">
        <w:rPr>
          <w:rFonts w:asciiTheme="majorHAnsi" w:eastAsiaTheme="majorEastAsia" w:hAnsiTheme="majorHAnsi" w:cstheme="majorBidi"/>
          <w:b/>
          <w:bCs/>
          <w:sz w:val="24"/>
          <w:szCs w:val="24"/>
        </w:rPr>
        <w:t>82,000 Flexible Services were provided to almost 30,000 unique members</w:t>
      </w:r>
      <w:r w:rsidR="4DB2FA06" w:rsidRPr="671EFE84">
        <w:rPr>
          <w:rFonts w:asciiTheme="majorHAnsi" w:eastAsiaTheme="majorEastAsia" w:hAnsiTheme="majorHAnsi" w:cstheme="majorBidi"/>
          <w:b/>
          <w:bCs/>
          <w:sz w:val="24"/>
          <w:szCs w:val="24"/>
        </w:rPr>
        <w:t>.</w:t>
      </w:r>
      <w:r w:rsidR="006471C6" w:rsidRPr="671EFE84">
        <w:rPr>
          <w:rStyle w:val="FootnoteReference"/>
          <w:rFonts w:asciiTheme="majorHAnsi" w:eastAsiaTheme="majorEastAsia" w:hAnsiTheme="majorHAnsi" w:cstheme="majorBidi"/>
          <w:sz w:val="24"/>
          <w:szCs w:val="24"/>
        </w:rPr>
        <w:footnoteReference w:id="10"/>
      </w:r>
    </w:p>
    <w:p w14:paraId="260D76D1" w14:textId="73F62104" w:rsidR="006471C6" w:rsidRPr="007B12DC" w:rsidRDefault="006471C6" w:rsidP="671EFE84">
      <w:pPr>
        <w:pStyle w:val="Heading4"/>
        <w:rPr>
          <w:color w:val="4472C4" w:themeColor="accent1"/>
        </w:rPr>
      </w:pPr>
      <w:r w:rsidRPr="671EFE84">
        <w:rPr>
          <w:color w:val="4472C4" w:themeColor="accent1"/>
        </w:rPr>
        <w:t>Slide 2</w:t>
      </w:r>
      <w:r w:rsidR="58367DC5" w:rsidRPr="671EFE84">
        <w:rPr>
          <w:color w:val="4472C4" w:themeColor="accent1"/>
        </w:rPr>
        <w:t>3</w:t>
      </w:r>
      <w:r w:rsidRPr="671EFE84">
        <w:rPr>
          <w:color w:val="4472C4" w:themeColor="accent1"/>
        </w:rPr>
        <w:t>:</w:t>
      </w:r>
      <w:r w:rsidR="001B7A2E" w:rsidRPr="671EFE84">
        <w:rPr>
          <w:rFonts w:hAnsi="Arial"/>
          <w:color w:val="4472C4" w:themeColor="accent1"/>
        </w:rPr>
        <w:t xml:space="preserve"> </w:t>
      </w:r>
      <w:r w:rsidR="001B7A2E" w:rsidRPr="671EFE84">
        <w:rPr>
          <w:color w:val="4472C4" w:themeColor="accent1"/>
        </w:rPr>
        <w:t>Flexible Services: Early Promising Results</w:t>
      </w:r>
    </w:p>
    <w:p w14:paraId="3D77EE4F" w14:textId="08C1C929" w:rsidR="18B1B932" w:rsidRPr="008C3B49" w:rsidRDefault="671786DE" w:rsidP="1A331411">
      <w:pPr>
        <w:pStyle w:val="NormalWeb"/>
        <w:rPr>
          <w:rFonts w:asciiTheme="majorHAnsi" w:eastAsiaTheme="majorEastAsia" w:hAnsiTheme="majorHAnsi" w:cstheme="majorBidi"/>
        </w:rPr>
      </w:pPr>
      <w:r w:rsidRPr="1A331411">
        <w:rPr>
          <w:rFonts w:asciiTheme="majorHAnsi" w:hAnsiTheme="majorHAnsi" w:cstheme="majorBidi"/>
          <w:b/>
          <w:bCs/>
        </w:rPr>
        <w:t>I</w:t>
      </w:r>
      <w:r w:rsidRPr="1A331411">
        <w:rPr>
          <w:rFonts w:asciiTheme="majorHAnsi" w:eastAsiaTheme="majorEastAsia" w:hAnsiTheme="majorHAnsi" w:cstheme="majorBidi"/>
          <w:b/>
          <w:bCs/>
        </w:rPr>
        <w:t xml:space="preserve">n 2022, individual SSOs were already seeing early improvements </w:t>
      </w:r>
      <w:r w:rsidRPr="1A331411">
        <w:rPr>
          <w:rFonts w:asciiTheme="majorHAnsi" w:eastAsiaTheme="majorEastAsia" w:hAnsiTheme="majorHAnsi" w:cstheme="majorBidi"/>
        </w:rPr>
        <w:t>in health and social outcomes. MassHealth continues to closely track results and evaluate if specific interventions/models are more impactful than others.</w:t>
      </w:r>
    </w:p>
    <w:p w14:paraId="36171E4F" w14:textId="14BE133C" w:rsidR="18B1B932" w:rsidRPr="008C3B49" w:rsidRDefault="671786DE" w:rsidP="1A331411">
      <w:pPr>
        <w:pStyle w:val="NormalWeb"/>
        <w:spacing w:line="259" w:lineRule="auto"/>
        <w:rPr>
          <w:rFonts w:asciiTheme="majorHAnsi" w:eastAsiaTheme="majorEastAsia" w:hAnsiTheme="majorHAnsi" w:cstheme="majorBidi"/>
          <w:i/>
          <w:iCs/>
        </w:rPr>
      </w:pPr>
      <w:r w:rsidRPr="1A331411">
        <w:rPr>
          <w:rFonts w:asciiTheme="majorHAnsi" w:eastAsiaTheme="majorEastAsia" w:hAnsiTheme="majorHAnsi" w:cstheme="majorBidi"/>
          <w:b/>
          <w:bCs/>
          <w:i/>
          <w:iCs/>
        </w:rPr>
        <w:t>SSO Highlight:</w:t>
      </w:r>
      <w:r w:rsidRPr="1A331411">
        <w:rPr>
          <w:rFonts w:asciiTheme="majorHAnsi" w:eastAsiaTheme="majorEastAsia" w:hAnsiTheme="majorHAnsi" w:cstheme="majorBidi"/>
          <w:b/>
          <w:bCs/>
        </w:rPr>
        <w:t xml:space="preserve"> </w:t>
      </w:r>
      <w:r w:rsidRPr="1A331411">
        <w:rPr>
          <w:rFonts w:asciiTheme="majorHAnsi" w:eastAsiaTheme="majorEastAsia" w:hAnsiTheme="majorHAnsi" w:cstheme="majorBidi"/>
          <w:b/>
          <w:bCs/>
          <w:i/>
          <w:iCs/>
        </w:rPr>
        <w:t>Project Bread</w:t>
      </w:r>
      <w:r w:rsidRPr="1A331411">
        <w:rPr>
          <w:rFonts w:asciiTheme="majorHAnsi" w:eastAsiaTheme="majorEastAsia" w:hAnsiTheme="majorHAnsi" w:cstheme="majorBidi"/>
          <w:i/>
          <w:iCs/>
        </w:rPr>
        <w:t xml:space="preserve"> observed positive initial impacts on food security and fruit and vegetable consumption based on their members served from October 1, 2021 – September 30, 2022. Their services include </w:t>
      </w:r>
      <w:proofErr w:type="gramStart"/>
      <w:r w:rsidRPr="1A331411">
        <w:rPr>
          <w:rFonts w:asciiTheme="majorHAnsi" w:eastAsiaTheme="majorEastAsia" w:hAnsiTheme="majorHAnsi" w:cstheme="majorBidi"/>
          <w:i/>
          <w:iCs/>
        </w:rPr>
        <w:t>nutrition</w:t>
      </w:r>
      <w:proofErr w:type="gramEnd"/>
      <w:r w:rsidRPr="1A331411">
        <w:rPr>
          <w:rFonts w:asciiTheme="majorHAnsi" w:eastAsiaTheme="majorEastAsia" w:hAnsiTheme="majorHAnsi" w:cstheme="majorBidi"/>
          <w:i/>
          <w:iCs/>
        </w:rPr>
        <w:t xml:space="preserve"> education, food vouchers, coordination, and transportation.</w:t>
      </w:r>
    </w:p>
    <w:p w14:paraId="28873586" w14:textId="0DDC4F46" w:rsidR="15BABE5D" w:rsidRDefault="15BABE5D" w:rsidP="008240EA">
      <w:pPr>
        <w:pStyle w:val="NormalWeb"/>
        <w:numPr>
          <w:ilvl w:val="0"/>
          <w:numId w:val="44"/>
        </w:numPr>
        <w:spacing w:line="259" w:lineRule="auto"/>
        <w:rPr>
          <w:rFonts w:asciiTheme="majorHAnsi" w:eastAsiaTheme="majorEastAsia" w:hAnsiTheme="majorHAnsi" w:cstheme="majorBidi"/>
          <w:b/>
          <w:bCs/>
        </w:rPr>
      </w:pPr>
      <w:r w:rsidRPr="1A331411">
        <w:rPr>
          <w:rFonts w:asciiTheme="majorHAnsi" w:eastAsiaTheme="majorEastAsia" w:hAnsiTheme="majorHAnsi" w:cstheme="majorBidi"/>
          <w:b/>
          <w:bCs/>
          <w:u w:val="single"/>
        </w:rPr>
        <w:t>Snapshot of Services Provided</w:t>
      </w:r>
      <w:r w:rsidRPr="1A331411">
        <w:rPr>
          <w:rFonts w:asciiTheme="majorHAnsi" w:eastAsiaTheme="majorEastAsia" w:hAnsiTheme="majorHAnsi" w:cstheme="majorBidi"/>
          <w:b/>
          <w:bCs/>
        </w:rPr>
        <w:t xml:space="preserve"> </w:t>
      </w:r>
    </w:p>
    <w:p w14:paraId="54AA3ACF" w14:textId="0004E874" w:rsidR="15BABE5D" w:rsidRDefault="15BABE5D" w:rsidP="008240EA">
      <w:pPr>
        <w:pStyle w:val="ListParagraph"/>
        <w:numPr>
          <w:ilvl w:val="1"/>
          <w:numId w:val="44"/>
        </w:numPr>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t xml:space="preserve">Partnered with 3 ACOs to serve over </w:t>
      </w:r>
      <w:r w:rsidRPr="1A331411">
        <w:rPr>
          <w:rFonts w:asciiTheme="majorHAnsi" w:eastAsiaTheme="majorEastAsia" w:hAnsiTheme="majorHAnsi" w:cstheme="majorBidi"/>
          <w:b/>
          <w:bCs/>
          <w:sz w:val="24"/>
          <w:szCs w:val="24"/>
        </w:rPr>
        <w:t>3,000 members</w:t>
      </w:r>
      <w:r w:rsidRPr="1A331411">
        <w:rPr>
          <w:rFonts w:asciiTheme="majorHAnsi" w:eastAsiaTheme="majorEastAsia" w:hAnsiTheme="majorHAnsi" w:cstheme="majorBidi"/>
          <w:sz w:val="24"/>
          <w:szCs w:val="24"/>
        </w:rPr>
        <w:t xml:space="preserve"> </w:t>
      </w:r>
    </w:p>
    <w:p w14:paraId="73F49EAD" w14:textId="38C7076C" w:rsidR="15BABE5D" w:rsidRDefault="15BABE5D" w:rsidP="008240EA">
      <w:pPr>
        <w:pStyle w:val="ListParagraph"/>
        <w:numPr>
          <w:ilvl w:val="1"/>
          <w:numId w:val="44"/>
        </w:numPr>
        <w:rPr>
          <w:rFonts w:asciiTheme="majorHAnsi" w:eastAsiaTheme="majorEastAsia" w:hAnsiTheme="majorHAnsi" w:cstheme="majorBidi"/>
          <w:sz w:val="24"/>
          <w:szCs w:val="24"/>
        </w:rPr>
      </w:pPr>
      <w:r w:rsidRPr="1A331411">
        <w:rPr>
          <w:rFonts w:asciiTheme="majorHAnsi" w:eastAsiaTheme="majorEastAsia" w:hAnsiTheme="majorHAnsi" w:cstheme="majorBidi"/>
          <w:b/>
          <w:bCs/>
          <w:sz w:val="24"/>
          <w:szCs w:val="24"/>
        </w:rPr>
        <w:t>42,731 Gift Cards</w:t>
      </w:r>
      <w:r w:rsidRPr="1A331411">
        <w:rPr>
          <w:rFonts w:asciiTheme="majorHAnsi" w:eastAsiaTheme="majorEastAsia" w:hAnsiTheme="majorHAnsi" w:cstheme="majorBidi"/>
          <w:sz w:val="24"/>
          <w:szCs w:val="24"/>
        </w:rPr>
        <w:t xml:space="preserve"> Sent </w:t>
      </w:r>
    </w:p>
    <w:p w14:paraId="4F7C5702" w14:textId="3E8CC810" w:rsidR="15BABE5D" w:rsidRDefault="15BABE5D" w:rsidP="008240EA">
      <w:pPr>
        <w:pStyle w:val="ListParagraph"/>
        <w:numPr>
          <w:ilvl w:val="1"/>
          <w:numId w:val="44"/>
        </w:numPr>
        <w:rPr>
          <w:rFonts w:asciiTheme="majorHAnsi" w:eastAsiaTheme="majorEastAsia" w:hAnsiTheme="majorHAnsi" w:cstheme="majorBidi"/>
          <w:sz w:val="24"/>
          <w:szCs w:val="24"/>
        </w:rPr>
      </w:pPr>
      <w:r w:rsidRPr="1A331411">
        <w:rPr>
          <w:rFonts w:asciiTheme="majorHAnsi" w:eastAsiaTheme="majorEastAsia" w:hAnsiTheme="majorHAnsi" w:cstheme="majorBidi"/>
          <w:b/>
          <w:bCs/>
          <w:sz w:val="24"/>
          <w:szCs w:val="24"/>
        </w:rPr>
        <w:t xml:space="preserve">4,776 Kitchen Supply </w:t>
      </w:r>
      <w:r w:rsidRPr="1A331411">
        <w:rPr>
          <w:rFonts w:asciiTheme="majorHAnsi" w:eastAsiaTheme="majorEastAsia" w:hAnsiTheme="majorHAnsi" w:cstheme="majorBidi"/>
          <w:sz w:val="24"/>
          <w:szCs w:val="24"/>
        </w:rPr>
        <w:t xml:space="preserve">Orders Placed </w:t>
      </w:r>
    </w:p>
    <w:p w14:paraId="01D1B2B0" w14:textId="4962291D" w:rsidR="15BABE5D" w:rsidRDefault="15BABE5D" w:rsidP="008240EA">
      <w:pPr>
        <w:pStyle w:val="ListParagraph"/>
        <w:numPr>
          <w:ilvl w:val="1"/>
          <w:numId w:val="44"/>
        </w:numPr>
        <w:rPr>
          <w:rFonts w:asciiTheme="majorHAnsi" w:eastAsiaTheme="majorEastAsia" w:hAnsiTheme="majorHAnsi" w:cstheme="majorBidi"/>
          <w:b/>
          <w:bCs/>
          <w:sz w:val="24"/>
          <w:szCs w:val="24"/>
        </w:rPr>
      </w:pPr>
      <w:r w:rsidRPr="1A331411">
        <w:rPr>
          <w:rFonts w:asciiTheme="majorHAnsi" w:eastAsiaTheme="majorEastAsia" w:hAnsiTheme="majorHAnsi" w:cstheme="majorBidi"/>
          <w:b/>
          <w:bCs/>
          <w:sz w:val="24"/>
          <w:szCs w:val="24"/>
        </w:rPr>
        <w:t>896 Cooking Class / Counseling Session Attendees</w:t>
      </w:r>
    </w:p>
    <w:p w14:paraId="353B7DE9" w14:textId="0C746A41" w:rsidR="5A59A615" w:rsidRDefault="5A59A615" w:rsidP="008240EA">
      <w:pPr>
        <w:pStyle w:val="NormalWeb"/>
        <w:numPr>
          <w:ilvl w:val="0"/>
          <w:numId w:val="44"/>
        </w:numPr>
        <w:spacing w:line="259" w:lineRule="auto"/>
        <w:rPr>
          <w:rFonts w:asciiTheme="majorHAnsi" w:eastAsiaTheme="majorEastAsia" w:hAnsiTheme="majorHAnsi" w:cstheme="majorBidi"/>
          <w:b/>
          <w:bCs/>
        </w:rPr>
      </w:pPr>
      <w:r w:rsidRPr="1A331411">
        <w:rPr>
          <w:rFonts w:asciiTheme="majorHAnsi" w:eastAsiaTheme="majorEastAsia" w:hAnsiTheme="majorHAnsi" w:cstheme="majorBidi"/>
          <w:b/>
          <w:bCs/>
        </w:rPr>
        <w:t xml:space="preserve">Social Improvements </w:t>
      </w:r>
    </w:p>
    <w:p w14:paraId="6239967C" w14:textId="3A664AFC" w:rsidR="5A59A615" w:rsidRDefault="5A59A615" w:rsidP="008240EA">
      <w:pPr>
        <w:pStyle w:val="ListParagraph"/>
        <w:numPr>
          <w:ilvl w:val="1"/>
          <w:numId w:val="44"/>
        </w:numPr>
        <w:rPr>
          <w:rFonts w:asciiTheme="majorHAnsi" w:eastAsiaTheme="majorEastAsia" w:hAnsiTheme="majorHAnsi" w:cstheme="majorBidi"/>
          <w:sz w:val="24"/>
          <w:szCs w:val="24"/>
        </w:rPr>
      </w:pPr>
      <w:r w:rsidRPr="1A331411">
        <w:rPr>
          <w:rFonts w:asciiTheme="majorHAnsi" w:eastAsiaTheme="majorEastAsia" w:hAnsiTheme="majorHAnsi" w:cstheme="majorBidi"/>
          <w:b/>
          <w:bCs/>
          <w:sz w:val="24"/>
          <w:szCs w:val="24"/>
        </w:rPr>
        <w:lastRenderedPageBreak/>
        <w:t xml:space="preserve">19% decrease in member reported food insecurity </w:t>
      </w:r>
      <w:r w:rsidRPr="1A331411">
        <w:rPr>
          <w:rFonts w:asciiTheme="majorHAnsi" w:eastAsiaTheme="majorEastAsia" w:hAnsiTheme="majorHAnsi" w:cstheme="majorBidi"/>
          <w:sz w:val="24"/>
          <w:szCs w:val="24"/>
        </w:rPr>
        <w:t xml:space="preserve">and a </w:t>
      </w:r>
      <w:r w:rsidRPr="1A331411">
        <w:rPr>
          <w:rFonts w:asciiTheme="majorHAnsi" w:eastAsiaTheme="majorEastAsia" w:hAnsiTheme="majorHAnsi" w:cstheme="majorBidi"/>
          <w:b/>
          <w:bCs/>
          <w:sz w:val="24"/>
          <w:szCs w:val="24"/>
        </w:rPr>
        <w:t>30% increase in SNAP participation</w:t>
      </w:r>
      <w:r w:rsidRPr="1A331411">
        <w:rPr>
          <w:rFonts w:asciiTheme="majorHAnsi" w:eastAsiaTheme="majorEastAsia" w:hAnsiTheme="majorHAnsi" w:cstheme="majorBidi"/>
          <w:sz w:val="24"/>
          <w:szCs w:val="24"/>
        </w:rPr>
        <w:t xml:space="preserve"> for members receiving nutrition services (N = 2,112) for 6 months </w:t>
      </w:r>
    </w:p>
    <w:p w14:paraId="3834BDBC" w14:textId="4F06498A" w:rsidR="5A59A615" w:rsidRDefault="5A59A615" w:rsidP="008240EA">
      <w:pPr>
        <w:pStyle w:val="ListParagraph"/>
        <w:numPr>
          <w:ilvl w:val="0"/>
          <w:numId w:val="44"/>
        </w:numPr>
        <w:rPr>
          <w:rFonts w:asciiTheme="majorHAnsi" w:eastAsiaTheme="majorEastAsia" w:hAnsiTheme="majorHAnsi" w:cstheme="majorBidi"/>
          <w:sz w:val="24"/>
          <w:szCs w:val="24"/>
        </w:rPr>
      </w:pPr>
      <w:r w:rsidRPr="1A331411">
        <w:rPr>
          <w:rFonts w:asciiTheme="majorHAnsi" w:eastAsiaTheme="majorEastAsia" w:hAnsiTheme="majorHAnsi" w:cstheme="majorBidi"/>
          <w:b/>
          <w:bCs/>
          <w:sz w:val="24"/>
          <w:szCs w:val="24"/>
        </w:rPr>
        <w:t>Health Improvements</w:t>
      </w:r>
      <w:r w:rsidRPr="1A331411">
        <w:rPr>
          <w:rFonts w:asciiTheme="majorHAnsi" w:eastAsiaTheme="majorEastAsia" w:hAnsiTheme="majorHAnsi" w:cstheme="majorBidi"/>
          <w:sz w:val="24"/>
          <w:szCs w:val="24"/>
        </w:rPr>
        <w:t xml:space="preserve"> </w:t>
      </w:r>
    </w:p>
    <w:p w14:paraId="666A6EE6" w14:textId="40BFFF49" w:rsidR="5A59A615" w:rsidRDefault="5A59A615" w:rsidP="008240EA">
      <w:pPr>
        <w:pStyle w:val="ListParagraph"/>
        <w:numPr>
          <w:ilvl w:val="1"/>
          <w:numId w:val="44"/>
        </w:numPr>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t xml:space="preserve">At the end of the six months of services: </w:t>
      </w:r>
    </w:p>
    <w:p w14:paraId="13515337" w14:textId="154E1D15" w:rsidR="5A59A615" w:rsidRDefault="5A59A615" w:rsidP="008240EA">
      <w:pPr>
        <w:pStyle w:val="ListParagraph"/>
        <w:numPr>
          <w:ilvl w:val="2"/>
          <w:numId w:val="44"/>
        </w:numPr>
        <w:rPr>
          <w:rFonts w:asciiTheme="majorHAnsi" w:eastAsiaTheme="majorEastAsia" w:hAnsiTheme="majorHAnsi" w:cstheme="majorBidi"/>
          <w:b/>
          <w:bCs/>
          <w:sz w:val="24"/>
          <w:szCs w:val="24"/>
        </w:rPr>
      </w:pPr>
      <w:r w:rsidRPr="1A331411">
        <w:rPr>
          <w:rFonts w:asciiTheme="majorHAnsi" w:eastAsiaTheme="majorEastAsia" w:hAnsiTheme="majorHAnsi" w:cstheme="majorBidi"/>
          <w:b/>
          <w:bCs/>
          <w:sz w:val="24"/>
          <w:szCs w:val="24"/>
        </w:rPr>
        <w:t xml:space="preserve">91% </w:t>
      </w:r>
      <w:r w:rsidRPr="1A331411">
        <w:rPr>
          <w:rFonts w:asciiTheme="majorHAnsi" w:eastAsiaTheme="majorEastAsia" w:hAnsiTheme="majorHAnsi" w:cstheme="majorBidi"/>
          <w:sz w:val="24"/>
          <w:szCs w:val="24"/>
        </w:rPr>
        <w:t>of members reported an</w:t>
      </w:r>
      <w:r w:rsidRPr="1A331411">
        <w:rPr>
          <w:rFonts w:asciiTheme="majorHAnsi" w:eastAsiaTheme="majorEastAsia" w:hAnsiTheme="majorHAnsi" w:cstheme="majorBidi"/>
          <w:b/>
          <w:bCs/>
          <w:sz w:val="24"/>
          <w:szCs w:val="24"/>
        </w:rPr>
        <w:t xml:space="preserve"> improved ability to prepare healthy meals </w:t>
      </w:r>
    </w:p>
    <w:p w14:paraId="7470F597" w14:textId="4A087D4E" w:rsidR="5A59A615" w:rsidRDefault="5A59A615" w:rsidP="008240EA">
      <w:pPr>
        <w:pStyle w:val="ListParagraph"/>
        <w:numPr>
          <w:ilvl w:val="2"/>
          <w:numId w:val="44"/>
        </w:numPr>
        <w:rPr>
          <w:rFonts w:asciiTheme="majorHAnsi" w:eastAsiaTheme="majorEastAsia" w:hAnsiTheme="majorHAnsi" w:cstheme="majorBidi"/>
          <w:b/>
          <w:bCs/>
          <w:sz w:val="24"/>
          <w:szCs w:val="24"/>
        </w:rPr>
      </w:pPr>
      <w:r w:rsidRPr="1A331411">
        <w:rPr>
          <w:rFonts w:asciiTheme="majorHAnsi" w:eastAsiaTheme="majorEastAsia" w:hAnsiTheme="majorHAnsi" w:cstheme="majorBidi"/>
          <w:b/>
          <w:bCs/>
          <w:sz w:val="24"/>
          <w:szCs w:val="24"/>
        </w:rPr>
        <w:t>94%</w:t>
      </w:r>
      <w:r w:rsidRPr="1A331411">
        <w:rPr>
          <w:rFonts w:asciiTheme="majorHAnsi" w:eastAsiaTheme="majorEastAsia" w:hAnsiTheme="majorHAnsi" w:cstheme="majorBidi"/>
          <w:sz w:val="24"/>
          <w:szCs w:val="24"/>
        </w:rPr>
        <w:t xml:space="preserve"> of members reported </w:t>
      </w:r>
      <w:proofErr w:type="gramStart"/>
      <w:r w:rsidRPr="1A331411">
        <w:rPr>
          <w:rFonts w:asciiTheme="majorHAnsi" w:eastAsiaTheme="majorEastAsia" w:hAnsiTheme="majorHAnsi" w:cstheme="majorBidi"/>
          <w:b/>
          <w:bCs/>
          <w:sz w:val="24"/>
          <w:szCs w:val="24"/>
        </w:rPr>
        <w:t>improvement</w:t>
      </w:r>
      <w:proofErr w:type="gramEnd"/>
      <w:r w:rsidRPr="1A331411">
        <w:rPr>
          <w:rFonts w:asciiTheme="majorHAnsi" w:eastAsiaTheme="majorEastAsia" w:hAnsiTheme="majorHAnsi" w:cstheme="majorBidi"/>
          <w:b/>
          <w:bCs/>
          <w:sz w:val="24"/>
          <w:szCs w:val="24"/>
        </w:rPr>
        <w:t xml:space="preserve"> in their health </w:t>
      </w:r>
    </w:p>
    <w:p w14:paraId="506AA77C" w14:textId="56133D8A" w:rsidR="5A59A615" w:rsidRDefault="5A59A615" w:rsidP="008240EA">
      <w:pPr>
        <w:pStyle w:val="ListParagraph"/>
        <w:numPr>
          <w:ilvl w:val="2"/>
          <w:numId w:val="44"/>
        </w:numPr>
        <w:rPr>
          <w:rFonts w:asciiTheme="majorHAnsi" w:eastAsiaTheme="majorEastAsia" w:hAnsiTheme="majorHAnsi" w:cstheme="majorBidi"/>
          <w:b/>
          <w:bCs/>
          <w:sz w:val="24"/>
          <w:szCs w:val="24"/>
        </w:rPr>
      </w:pPr>
      <w:r w:rsidRPr="1A331411">
        <w:rPr>
          <w:rFonts w:asciiTheme="majorHAnsi" w:eastAsiaTheme="majorEastAsia" w:hAnsiTheme="majorHAnsi" w:cstheme="majorBidi"/>
          <w:b/>
          <w:bCs/>
          <w:sz w:val="24"/>
          <w:szCs w:val="24"/>
        </w:rPr>
        <w:t>87%</w:t>
      </w:r>
      <w:r w:rsidRPr="1A331411">
        <w:rPr>
          <w:rFonts w:asciiTheme="majorHAnsi" w:eastAsiaTheme="majorEastAsia" w:hAnsiTheme="majorHAnsi" w:cstheme="majorBidi"/>
          <w:sz w:val="24"/>
          <w:szCs w:val="24"/>
        </w:rPr>
        <w:t xml:space="preserve"> of members reported an increase in their</w:t>
      </w:r>
      <w:r w:rsidRPr="1A331411">
        <w:rPr>
          <w:rFonts w:asciiTheme="majorHAnsi" w:eastAsiaTheme="majorEastAsia" w:hAnsiTheme="majorHAnsi" w:cstheme="majorBidi"/>
          <w:b/>
          <w:bCs/>
          <w:sz w:val="24"/>
          <w:szCs w:val="24"/>
        </w:rPr>
        <w:t xml:space="preserve"> confidence </w:t>
      </w:r>
      <w:proofErr w:type="gramStart"/>
      <w:r w:rsidRPr="1A331411">
        <w:rPr>
          <w:rFonts w:asciiTheme="majorHAnsi" w:eastAsiaTheme="majorEastAsia" w:hAnsiTheme="majorHAnsi" w:cstheme="majorBidi"/>
          <w:b/>
          <w:bCs/>
          <w:sz w:val="24"/>
          <w:szCs w:val="24"/>
        </w:rPr>
        <w:t>of</w:t>
      </w:r>
      <w:proofErr w:type="gramEnd"/>
      <w:r w:rsidRPr="1A331411">
        <w:rPr>
          <w:rFonts w:asciiTheme="majorHAnsi" w:eastAsiaTheme="majorEastAsia" w:hAnsiTheme="majorHAnsi" w:cstheme="majorBidi"/>
          <w:b/>
          <w:bCs/>
          <w:sz w:val="24"/>
          <w:szCs w:val="24"/>
        </w:rPr>
        <w:t xml:space="preserve"> their nutrition knowledge</w:t>
      </w:r>
    </w:p>
    <w:p w14:paraId="7B0E89C6" w14:textId="790324E5" w:rsidR="009D2665" w:rsidRPr="007B12DC" w:rsidRDefault="009D2665" w:rsidP="007B12DC">
      <w:pPr>
        <w:pStyle w:val="Heading4"/>
      </w:pPr>
      <w:r>
        <w:t>Slide 2</w:t>
      </w:r>
      <w:r w:rsidR="305F9873">
        <w:t>4</w:t>
      </w:r>
      <w:r>
        <w:t>: Flexible Services: Early Promising Results (Continued)</w:t>
      </w:r>
    </w:p>
    <w:p w14:paraId="6DD4BBFF" w14:textId="5AAC4232" w:rsidR="00F5422A" w:rsidRPr="007B12DC" w:rsidRDefault="2604E4A3" w:rsidP="1A331411">
      <w:pPr>
        <w:pStyle w:val="NormalWeb"/>
        <w:spacing w:before="0" w:beforeAutospacing="0" w:after="0" w:afterAutospacing="0"/>
        <w:rPr>
          <w:rFonts w:asciiTheme="majorHAnsi" w:eastAsiaTheme="majorEastAsia" w:hAnsiTheme="majorHAnsi" w:cstheme="majorBidi"/>
        </w:rPr>
      </w:pPr>
      <w:r w:rsidRPr="1A331411">
        <w:rPr>
          <w:rFonts w:asciiTheme="majorHAnsi" w:eastAsiaTheme="majorEastAsia" w:hAnsiTheme="majorHAnsi" w:cstheme="majorBidi"/>
          <w:b/>
          <w:bCs/>
        </w:rPr>
        <w:t>ACO Highlight: Boston Medical Center Healthnet Plan Community Alliance (BACO)</w:t>
      </w:r>
      <w:r w:rsidRPr="1A331411">
        <w:rPr>
          <w:rFonts w:asciiTheme="majorHAnsi" w:eastAsiaTheme="majorEastAsia" w:hAnsiTheme="majorHAnsi" w:cstheme="majorBidi"/>
        </w:rPr>
        <w:t xml:space="preserve"> observed encouraging initial impacts on housing status based on their CY2022 members served.</w:t>
      </w:r>
    </w:p>
    <w:p w14:paraId="5566D807" w14:textId="4FA7A9D4" w:rsidR="00F5422A" w:rsidRPr="007B12DC" w:rsidRDefault="2604E4A3" w:rsidP="008240EA">
      <w:pPr>
        <w:pStyle w:val="NormalWeb"/>
        <w:numPr>
          <w:ilvl w:val="0"/>
          <w:numId w:val="43"/>
        </w:numPr>
        <w:spacing w:before="0" w:beforeAutospacing="0" w:after="0" w:afterAutospacing="0"/>
        <w:rPr>
          <w:rFonts w:asciiTheme="majorHAnsi" w:eastAsiaTheme="majorEastAsia" w:hAnsiTheme="majorHAnsi" w:cstheme="majorBidi"/>
          <w:b/>
          <w:bCs/>
        </w:rPr>
      </w:pPr>
      <w:r w:rsidRPr="1A331411">
        <w:rPr>
          <w:rFonts w:asciiTheme="majorHAnsi" w:eastAsiaTheme="majorEastAsia" w:hAnsiTheme="majorHAnsi" w:cstheme="majorBidi"/>
          <w:b/>
          <w:bCs/>
        </w:rPr>
        <w:t xml:space="preserve">Housing Placement and Maintenance: </w:t>
      </w:r>
    </w:p>
    <w:p w14:paraId="39C9FFA3" w14:textId="46070EAE" w:rsidR="00F5422A" w:rsidRPr="007B12DC" w:rsidRDefault="2604E4A3" w:rsidP="008240EA">
      <w:pPr>
        <w:pStyle w:val="NormalWeb"/>
        <w:numPr>
          <w:ilvl w:val="1"/>
          <w:numId w:val="43"/>
        </w:numPr>
        <w:spacing w:before="0" w:beforeAutospacing="0" w:after="0" w:afterAutospacing="0"/>
        <w:rPr>
          <w:rFonts w:asciiTheme="majorHAnsi" w:eastAsiaTheme="majorEastAsia" w:hAnsiTheme="majorHAnsi" w:cstheme="majorBidi"/>
        </w:rPr>
      </w:pPr>
      <w:r w:rsidRPr="1A331411">
        <w:rPr>
          <w:rFonts w:asciiTheme="majorHAnsi" w:eastAsiaTheme="majorEastAsia" w:hAnsiTheme="majorHAnsi" w:cstheme="majorBidi"/>
        </w:rPr>
        <w:t xml:space="preserve">BACO’s Housing Supports Program reported </w:t>
      </w:r>
      <w:r w:rsidRPr="1A331411">
        <w:rPr>
          <w:rFonts w:asciiTheme="majorHAnsi" w:eastAsiaTheme="majorEastAsia" w:hAnsiTheme="majorHAnsi" w:cstheme="majorBidi"/>
          <w:b/>
          <w:bCs/>
        </w:rPr>
        <w:t xml:space="preserve">76% of members successfully housed </w:t>
      </w:r>
      <w:r w:rsidRPr="1A331411">
        <w:rPr>
          <w:rFonts w:asciiTheme="majorHAnsi" w:eastAsiaTheme="majorEastAsia" w:hAnsiTheme="majorHAnsi" w:cstheme="majorBidi"/>
        </w:rPr>
        <w:t xml:space="preserve">in their programs (n=34). </w:t>
      </w:r>
    </w:p>
    <w:p w14:paraId="5DB026BB" w14:textId="4F5B2E2C" w:rsidR="00F5422A" w:rsidRPr="007B12DC" w:rsidRDefault="2604E4A3" w:rsidP="008240EA">
      <w:pPr>
        <w:pStyle w:val="NormalWeb"/>
        <w:numPr>
          <w:ilvl w:val="1"/>
          <w:numId w:val="43"/>
        </w:numPr>
        <w:spacing w:before="0" w:beforeAutospacing="0" w:after="0" w:afterAutospacing="0"/>
        <w:rPr>
          <w:rFonts w:asciiTheme="majorHAnsi" w:eastAsiaTheme="majorEastAsia" w:hAnsiTheme="majorHAnsi" w:cstheme="majorBidi"/>
        </w:rPr>
      </w:pPr>
      <w:r w:rsidRPr="1A331411">
        <w:rPr>
          <w:rFonts w:asciiTheme="majorHAnsi" w:eastAsiaTheme="majorEastAsia" w:hAnsiTheme="majorHAnsi" w:cstheme="majorBidi"/>
        </w:rPr>
        <w:t xml:space="preserve">In further results from the above program, </w:t>
      </w:r>
      <w:r w:rsidRPr="1A331411">
        <w:rPr>
          <w:rFonts w:asciiTheme="majorHAnsi" w:eastAsiaTheme="majorEastAsia" w:hAnsiTheme="majorHAnsi" w:cstheme="majorBidi"/>
          <w:b/>
          <w:bCs/>
        </w:rPr>
        <w:t xml:space="preserve">95% of </w:t>
      </w:r>
      <w:proofErr w:type="gramStart"/>
      <w:r w:rsidRPr="1A331411">
        <w:rPr>
          <w:rFonts w:asciiTheme="majorHAnsi" w:eastAsiaTheme="majorEastAsia" w:hAnsiTheme="majorHAnsi" w:cstheme="majorBidi"/>
          <w:b/>
          <w:bCs/>
        </w:rPr>
        <w:t>members maintained</w:t>
      </w:r>
      <w:proofErr w:type="gramEnd"/>
      <w:r w:rsidRPr="1A331411">
        <w:rPr>
          <w:rFonts w:asciiTheme="majorHAnsi" w:eastAsiaTheme="majorEastAsia" w:hAnsiTheme="majorHAnsi" w:cstheme="majorBidi"/>
          <w:b/>
          <w:bCs/>
        </w:rPr>
        <w:t xml:space="preserve"> housing for one year</w:t>
      </w:r>
      <w:r w:rsidRPr="1A331411">
        <w:rPr>
          <w:rFonts w:asciiTheme="majorHAnsi" w:eastAsiaTheme="majorEastAsia" w:hAnsiTheme="majorHAnsi" w:cstheme="majorBidi"/>
        </w:rPr>
        <w:t xml:space="preserve"> after placement (n=32).</w:t>
      </w:r>
    </w:p>
    <w:p w14:paraId="3C425B31" w14:textId="7CE9B717" w:rsidR="00F5422A" w:rsidRPr="007B12DC" w:rsidRDefault="00F5422A" w:rsidP="18B1B932">
      <w:pPr>
        <w:pStyle w:val="NormalWeb"/>
        <w:spacing w:before="0" w:beforeAutospacing="0" w:after="0" w:afterAutospacing="0"/>
        <w:rPr>
          <w:rFonts w:asciiTheme="majorHAnsi" w:hAnsiTheme="majorHAnsi" w:cstheme="majorBidi"/>
          <w:b/>
          <w:bCs/>
        </w:rPr>
      </w:pPr>
    </w:p>
    <w:p w14:paraId="2923E257" w14:textId="1E7A8630" w:rsidR="00F5422A" w:rsidRPr="007B12DC" w:rsidRDefault="00F5422A" w:rsidP="18B1B932">
      <w:pPr>
        <w:pStyle w:val="NormalWeb"/>
        <w:spacing w:before="0" w:beforeAutospacing="0" w:after="0" w:afterAutospacing="0"/>
        <w:rPr>
          <w:rFonts w:asciiTheme="majorHAnsi" w:hAnsiTheme="majorHAnsi" w:cstheme="majorBidi"/>
          <w:b/>
          <w:bCs/>
        </w:rPr>
      </w:pPr>
      <w:r w:rsidRPr="18B1B932">
        <w:rPr>
          <w:rFonts w:asciiTheme="majorHAnsi" w:hAnsiTheme="majorHAnsi" w:cstheme="majorBidi"/>
          <w:b/>
          <w:bCs/>
        </w:rPr>
        <w:t>Member Story: Positive Social Outcomes</w:t>
      </w:r>
    </w:p>
    <w:p w14:paraId="5C26637E" w14:textId="08A6C279" w:rsidR="5154479C" w:rsidRDefault="5154479C" w:rsidP="18B1B932">
      <w:pPr>
        <w:pStyle w:val="NormalWeb"/>
        <w:spacing w:line="259" w:lineRule="auto"/>
        <w:rPr>
          <w:rFonts w:asciiTheme="majorHAnsi" w:hAnsiTheme="majorHAnsi" w:cstheme="majorBidi"/>
        </w:rPr>
      </w:pPr>
      <w:r w:rsidRPr="18B1B932">
        <w:rPr>
          <w:rFonts w:asciiTheme="majorHAnsi" w:hAnsiTheme="majorHAnsi" w:cstheme="majorBidi"/>
        </w:rPr>
        <w:t xml:space="preserve">A member facing various challenges regarding housing (e.g., in need of financial assistance and guided support for the housing search process) was referred by BACO to a housing program. This program successfully provided the </w:t>
      </w:r>
      <w:proofErr w:type="gramStart"/>
      <w:r w:rsidRPr="18B1B932">
        <w:rPr>
          <w:rFonts w:asciiTheme="majorHAnsi" w:hAnsiTheme="majorHAnsi" w:cstheme="majorBidi"/>
        </w:rPr>
        <w:t>member</w:t>
      </w:r>
      <w:proofErr w:type="gramEnd"/>
      <w:r w:rsidRPr="18B1B932">
        <w:rPr>
          <w:rFonts w:asciiTheme="majorHAnsi" w:hAnsiTheme="majorHAnsi" w:cstheme="majorBidi"/>
        </w:rPr>
        <w:t xml:space="preserve">: </w:t>
      </w:r>
    </w:p>
    <w:p w14:paraId="21A12EBD" w14:textId="70CECAFE" w:rsidR="5154479C" w:rsidRDefault="5154479C" w:rsidP="008240EA">
      <w:pPr>
        <w:pStyle w:val="NormalWeb"/>
        <w:numPr>
          <w:ilvl w:val="0"/>
          <w:numId w:val="42"/>
        </w:numPr>
        <w:spacing w:line="259" w:lineRule="auto"/>
      </w:pPr>
      <w:r w:rsidRPr="18B1B932">
        <w:rPr>
          <w:rFonts w:asciiTheme="majorHAnsi" w:hAnsiTheme="majorHAnsi" w:cstheme="majorBidi"/>
        </w:rPr>
        <w:t xml:space="preserve">Assistance with </w:t>
      </w:r>
      <w:r w:rsidRPr="18B1B932">
        <w:rPr>
          <w:rFonts w:asciiTheme="majorHAnsi" w:hAnsiTheme="majorHAnsi" w:cstheme="majorBidi"/>
          <w:b/>
          <w:bCs/>
        </w:rPr>
        <w:t xml:space="preserve">housing stability </w:t>
      </w:r>
      <w:r w:rsidRPr="18B1B932">
        <w:rPr>
          <w:rFonts w:asciiTheme="majorHAnsi" w:hAnsiTheme="majorHAnsi" w:cstheme="majorBidi"/>
        </w:rPr>
        <w:t xml:space="preserve">and </w:t>
      </w:r>
      <w:proofErr w:type="gramStart"/>
      <w:r w:rsidRPr="18B1B932">
        <w:rPr>
          <w:rFonts w:asciiTheme="majorHAnsi" w:hAnsiTheme="majorHAnsi" w:cstheme="majorBidi"/>
          <w:b/>
          <w:bCs/>
        </w:rPr>
        <w:t>eviction defense</w:t>
      </w:r>
      <w:proofErr w:type="gramEnd"/>
      <w:r w:rsidRPr="18B1B932">
        <w:rPr>
          <w:rFonts w:asciiTheme="majorHAnsi" w:hAnsiTheme="majorHAnsi" w:cstheme="majorBidi"/>
        </w:rPr>
        <w:t xml:space="preserve"> (e.g., supported the member in submitting a final motion for extension) </w:t>
      </w:r>
    </w:p>
    <w:p w14:paraId="765F3589" w14:textId="2EC1529C" w:rsidR="5154479C" w:rsidRDefault="5154479C" w:rsidP="008240EA">
      <w:pPr>
        <w:pStyle w:val="NormalWeb"/>
        <w:numPr>
          <w:ilvl w:val="0"/>
          <w:numId w:val="42"/>
        </w:numPr>
        <w:spacing w:line="259" w:lineRule="auto"/>
      </w:pPr>
      <w:r w:rsidRPr="18B1B932">
        <w:rPr>
          <w:rFonts w:asciiTheme="majorHAnsi" w:hAnsiTheme="majorHAnsi" w:cstheme="majorBidi"/>
        </w:rPr>
        <w:t xml:space="preserve">Assistance with </w:t>
      </w:r>
      <w:r w:rsidRPr="18B1B932">
        <w:rPr>
          <w:rFonts w:asciiTheme="majorHAnsi" w:hAnsiTheme="majorHAnsi" w:cstheme="majorBidi"/>
          <w:b/>
          <w:bCs/>
        </w:rPr>
        <w:t>housing search</w:t>
      </w:r>
      <w:r w:rsidRPr="18B1B932">
        <w:rPr>
          <w:rFonts w:asciiTheme="majorHAnsi" w:hAnsiTheme="majorHAnsi" w:cstheme="majorBidi"/>
        </w:rPr>
        <w:t xml:space="preserve"> and </w:t>
      </w:r>
      <w:r w:rsidRPr="18B1B932">
        <w:rPr>
          <w:rFonts w:asciiTheme="majorHAnsi" w:hAnsiTheme="majorHAnsi" w:cstheme="majorBidi"/>
          <w:b/>
          <w:bCs/>
        </w:rPr>
        <w:t>placement</w:t>
      </w:r>
      <w:r w:rsidRPr="18B1B932">
        <w:rPr>
          <w:rFonts w:asciiTheme="majorHAnsi" w:hAnsiTheme="majorHAnsi" w:cstheme="majorBidi"/>
        </w:rPr>
        <w:t xml:space="preserve"> (e.g., supported search and secured placement in a new unit) </w:t>
      </w:r>
    </w:p>
    <w:p w14:paraId="5D2423EF" w14:textId="2E1A9178" w:rsidR="7530DAF4" w:rsidRPr="00FF3572" w:rsidRDefault="5154479C" w:rsidP="7530DAF4">
      <w:pPr>
        <w:pStyle w:val="NormalWeb"/>
        <w:numPr>
          <w:ilvl w:val="0"/>
          <w:numId w:val="42"/>
        </w:numPr>
        <w:spacing w:line="259" w:lineRule="auto"/>
        <w:rPr>
          <w:rFonts w:ascii="Calibri Light" w:eastAsia="Calibri Light" w:hAnsi="Calibri Light" w:cs="Calibri Light"/>
        </w:rPr>
      </w:pPr>
      <w:r w:rsidRPr="7530DAF4">
        <w:rPr>
          <w:rFonts w:ascii="Calibri Light" w:eastAsia="Calibri Light" w:hAnsi="Calibri Light" w:cs="Calibri Light"/>
          <w:b/>
          <w:bCs/>
        </w:rPr>
        <w:t>Continued guidance and connection to community resources</w:t>
      </w:r>
      <w:r w:rsidRPr="7530DAF4">
        <w:rPr>
          <w:rFonts w:ascii="Calibri Light" w:eastAsia="Calibri Light" w:hAnsi="Calibri Light" w:cs="Calibri Light"/>
        </w:rPr>
        <w:t xml:space="preserve"> (e.g., assistance with getting members mental health services reinstated to provide long </w:t>
      </w:r>
      <w:proofErr w:type="gramStart"/>
      <w:r w:rsidRPr="7530DAF4">
        <w:rPr>
          <w:rFonts w:ascii="Calibri Light" w:eastAsia="Calibri Light" w:hAnsi="Calibri Light" w:cs="Calibri Light"/>
        </w:rPr>
        <w:t>term,</w:t>
      </w:r>
      <w:proofErr w:type="gramEnd"/>
      <w:r w:rsidRPr="7530DAF4">
        <w:rPr>
          <w:rFonts w:ascii="Calibri Light" w:eastAsia="Calibri Light" w:hAnsi="Calibri Light" w:cs="Calibri Light"/>
        </w:rPr>
        <w:t xml:space="preserve"> tenancy stabilization support)</w:t>
      </w:r>
    </w:p>
    <w:p w14:paraId="50182B20" w14:textId="343E48E7" w:rsidR="74DF489A" w:rsidRDefault="74DF489A" w:rsidP="18B1B932">
      <w:pPr>
        <w:pStyle w:val="Heading3"/>
      </w:pPr>
      <w:r>
        <w:t>Community Partners (CPs)</w:t>
      </w:r>
    </w:p>
    <w:p w14:paraId="7A9883A6" w14:textId="48A2D48F" w:rsidR="74DF489A" w:rsidRDefault="74DF489A" w:rsidP="18B1B932">
      <w:pPr>
        <w:pStyle w:val="Heading4"/>
      </w:pPr>
      <w:r>
        <w:t xml:space="preserve">Slide </w:t>
      </w:r>
      <w:r w:rsidR="454CA3F7">
        <w:t xml:space="preserve">26: </w:t>
      </w:r>
      <w:r>
        <w:t>Summary of CP Progress through</w:t>
      </w:r>
      <w:r w:rsidR="30298C67">
        <w:t xml:space="preserve"> March 2023</w:t>
      </w:r>
    </w:p>
    <w:p w14:paraId="7E073EB7" w14:textId="6F662FF9" w:rsidR="30298C67" w:rsidRDefault="30298C67" w:rsidP="008240EA">
      <w:pPr>
        <w:pStyle w:val="ListParagraph"/>
        <w:numPr>
          <w:ilvl w:val="0"/>
          <w:numId w:val="41"/>
        </w:numPr>
        <w:rPr>
          <w:rFonts w:asciiTheme="majorHAnsi" w:eastAsiaTheme="majorEastAsia" w:hAnsiTheme="majorHAnsi" w:cstheme="majorBidi"/>
          <w:b/>
          <w:bCs/>
          <w:sz w:val="24"/>
          <w:szCs w:val="24"/>
        </w:rPr>
      </w:pPr>
      <w:r w:rsidRPr="1A331411">
        <w:rPr>
          <w:rFonts w:asciiTheme="majorHAnsi" w:eastAsiaTheme="majorEastAsia" w:hAnsiTheme="majorHAnsi" w:cstheme="majorBidi"/>
          <w:sz w:val="24"/>
          <w:szCs w:val="24"/>
        </w:rPr>
        <w:t xml:space="preserve">CPs contract with ACOs to provide </w:t>
      </w:r>
      <w:r w:rsidRPr="1A331411">
        <w:rPr>
          <w:rFonts w:asciiTheme="majorHAnsi" w:eastAsiaTheme="majorEastAsia" w:hAnsiTheme="majorHAnsi" w:cstheme="majorBidi"/>
          <w:b/>
          <w:bCs/>
          <w:sz w:val="24"/>
          <w:szCs w:val="24"/>
        </w:rPr>
        <w:t xml:space="preserve">wrap-around expertise and support for behavioral health (BH) services and long-term services and </w:t>
      </w:r>
      <w:proofErr w:type="gramStart"/>
      <w:r w:rsidRPr="1A331411">
        <w:rPr>
          <w:rFonts w:asciiTheme="majorHAnsi" w:eastAsiaTheme="majorEastAsia" w:hAnsiTheme="majorHAnsi" w:cstheme="majorBidi"/>
          <w:b/>
          <w:bCs/>
          <w:sz w:val="24"/>
          <w:szCs w:val="24"/>
        </w:rPr>
        <w:t>supports</w:t>
      </w:r>
      <w:proofErr w:type="gramEnd"/>
      <w:r w:rsidRPr="1A331411">
        <w:rPr>
          <w:rFonts w:asciiTheme="majorHAnsi" w:eastAsiaTheme="majorEastAsia" w:hAnsiTheme="majorHAnsi" w:cstheme="majorBidi"/>
          <w:b/>
          <w:bCs/>
          <w:sz w:val="24"/>
          <w:szCs w:val="24"/>
        </w:rPr>
        <w:t xml:space="preserve"> (LTSS) </w:t>
      </w:r>
    </w:p>
    <w:p w14:paraId="14A9016F" w14:textId="6DC506DE" w:rsidR="30298C67" w:rsidRDefault="30298C67" w:rsidP="1A331411">
      <w:pPr>
        <w:pStyle w:val="ListParagraph"/>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t xml:space="preserve"> </w:t>
      </w:r>
    </w:p>
    <w:p w14:paraId="5108C36A" w14:textId="407789D2" w:rsidR="30298C67" w:rsidRDefault="30298C67" w:rsidP="008240EA">
      <w:pPr>
        <w:pStyle w:val="ListParagraph"/>
        <w:numPr>
          <w:ilvl w:val="0"/>
          <w:numId w:val="41"/>
        </w:numPr>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t xml:space="preserve">The CP program, which ran from September 2018 to March 2023, continued to see positive trends in utilization and cost measures, including: </w:t>
      </w:r>
    </w:p>
    <w:p w14:paraId="5702D272" w14:textId="02BCD56F" w:rsidR="2786F697" w:rsidRDefault="2786F697" w:rsidP="008240EA">
      <w:pPr>
        <w:pStyle w:val="ListParagraph"/>
        <w:numPr>
          <w:ilvl w:val="1"/>
          <w:numId w:val="41"/>
        </w:numPr>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t xml:space="preserve">Data showed reductions in ED and BH inpatient utilization rates for members with longer enrollment in the CP program. </w:t>
      </w:r>
    </w:p>
    <w:p w14:paraId="5C16C71D" w14:textId="1AE48B26" w:rsidR="2786F697" w:rsidRDefault="2786F697" w:rsidP="008240EA">
      <w:pPr>
        <w:pStyle w:val="ListParagraph"/>
        <w:numPr>
          <w:ilvl w:val="1"/>
          <w:numId w:val="41"/>
        </w:numPr>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lastRenderedPageBreak/>
        <w:t xml:space="preserve">Risk-adjusted TCOC was 20% lower for BH CP members following graduation from the CP program vs. members in the 12 months preceding enrollment  </w:t>
      </w:r>
    </w:p>
    <w:p w14:paraId="16590709" w14:textId="59BA2693" w:rsidR="2786F697" w:rsidRDefault="2786F697" w:rsidP="008240EA">
      <w:pPr>
        <w:pStyle w:val="ListParagraph"/>
        <w:numPr>
          <w:ilvl w:val="1"/>
          <w:numId w:val="41"/>
        </w:numPr>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t>However, these observed reductions may be confounded by overall utilization declines driven by the pandemic and changes in the CP population over time.</w:t>
      </w:r>
      <w:r w:rsidRPr="1A331411">
        <w:rPr>
          <w:rStyle w:val="FootnoteReference"/>
          <w:rFonts w:asciiTheme="majorHAnsi" w:eastAsiaTheme="majorEastAsia" w:hAnsiTheme="majorHAnsi" w:cstheme="majorBidi"/>
          <w:sz w:val="24"/>
          <w:szCs w:val="24"/>
        </w:rPr>
        <w:footnoteReference w:id="11"/>
      </w:r>
      <w:r w:rsidRPr="1A331411">
        <w:rPr>
          <w:rFonts w:asciiTheme="majorHAnsi" w:eastAsiaTheme="majorEastAsia" w:hAnsiTheme="majorHAnsi" w:cstheme="majorBidi"/>
          <w:sz w:val="24"/>
          <w:szCs w:val="24"/>
        </w:rPr>
        <w:t xml:space="preserve"> </w:t>
      </w:r>
    </w:p>
    <w:p w14:paraId="725604F4" w14:textId="68CA7AA9" w:rsidR="18B1B932" w:rsidRDefault="18B1B932" w:rsidP="1A331411">
      <w:pPr>
        <w:pStyle w:val="ListParagraph"/>
        <w:ind w:left="1440"/>
        <w:rPr>
          <w:rFonts w:asciiTheme="majorHAnsi" w:eastAsiaTheme="majorEastAsia" w:hAnsiTheme="majorHAnsi" w:cstheme="majorBidi"/>
          <w:sz w:val="24"/>
          <w:szCs w:val="24"/>
        </w:rPr>
      </w:pPr>
    </w:p>
    <w:p w14:paraId="2A74ED30" w14:textId="5E23B91C" w:rsidR="78AECDFD" w:rsidRDefault="78AECDFD" w:rsidP="008240EA">
      <w:pPr>
        <w:pStyle w:val="ListParagraph"/>
        <w:numPr>
          <w:ilvl w:val="0"/>
          <w:numId w:val="41"/>
        </w:numPr>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t xml:space="preserve">Despite lingering COVID-related challenges, CPs continued to make </w:t>
      </w:r>
      <w:r w:rsidRPr="1A331411">
        <w:rPr>
          <w:rFonts w:asciiTheme="majorHAnsi" w:eastAsiaTheme="majorEastAsia" w:hAnsiTheme="majorHAnsi" w:cstheme="majorBidi"/>
          <w:b/>
          <w:bCs/>
          <w:sz w:val="24"/>
          <w:szCs w:val="24"/>
        </w:rPr>
        <w:t>gains in member outreach and engagement.</w:t>
      </w:r>
      <w:r w:rsidRPr="1A331411">
        <w:rPr>
          <w:rFonts w:asciiTheme="majorHAnsi" w:eastAsiaTheme="majorEastAsia" w:hAnsiTheme="majorHAnsi" w:cstheme="majorBidi"/>
          <w:sz w:val="24"/>
          <w:szCs w:val="24"/>
        </w:rPr>
        <w:t xml:space="preserve"> During 2022, CPs:</w:t>
      </w:r>
    </w:p>
    <w:p w14:paraId="4177AD18" w14:textId="1C8A310A" w:rsidR="30298C67" w:rsidRDefault="30298C67" w:rsidP="008240EA">
      <w:pPr>
        <w:pStyle w:val="ListParagraph"/>
        <w:numPr>
          <w:ilvl w:val="1"/>
          <w:numId w:val="41"/>
        </w:numPr>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t xml:space="preserve">Served ~44,000 unique members </w:t>
      </w:r>
    </w:p>
    <w:p w14:paraId="539E54E5" w14:textId="6BD42323" w:rsidR="30298C67" w:rsidRDefault="30298C67" w:rsidP="008240EA">
      <w:pPr>
        <w:pStyle w:val="ListParagraph"/>
        <w:numPr>
          <w:ilvl w:val="1"/>
          <w:numId w:val="41"/>
        </w:numPr>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t>Increased the annual engagement rate</w:t>
      </w:r>
      <w:r w:rsidRPr="1A331411">
        <w:rPr>
          <w:rStyle w:val="FootnoteReference"/>
          <w:rFonts w:asciiTheme="majorHAnsi" w:eastAsiaTheme="majorEastAsia" w:hAnsiTheme="majorHAnsi" w:cstheme="majorBidi"/>
          <w:sz w:val="24"/>
          <w:szCs w:val="24"/>
        </w:rPr>
        <w:footnoteReference w:id="12"/>
      </w:r>
      <w:r w:rsidRPr="1A331411">
        <w:rPr>
          <w:rFonts w:asciiTheme="majorHAnsi" w:eastAsiaTheme="majorEastAsia" w:hAnsiTheme="majorHAnsi" w:cstheme="majorBidi"/>
          <w:sz w:val="24"/>
          <w:szCs w:val="24"/>
        </w:rPr>
        <w:t xml:space="preserve"> of actively enrolled members from 53% to 58% </w:t>
      </w:r>
    </w:p>
    <w:p w14:paraId="58CC2A5E" w14:textId="0DD80828" w:rsidR="30298C67" w:rsidRDefault="30298C67" w:rsidP="008240EA">
      <w:pPr>
        <w:pStyle w:val="ListParagraph"/>
        <w:numPr>
          <w:ilvl w:val="1"/>
          <w:numId w:val="41"/>
        </w:numPr>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t>Reduced the statewide average days to a complete care plan (a key indicator of successful coordination with PCPs) from 176 to 152 days (14% reduction)</w:t>
      </w:r>
    </w:p>
    <w:p w14:paraId="316E897F" w14:textId="618570FC" w:rsidR="3B0C1BFD" w:rsidRDefault="762CC499" w:rsidP="18B1B932">
      <w:pPr>
        <w:pStyle w:val="Heading4"/>
      </w:pPr>
      <w:r>
        <w:t>Slide 27: Overall Members with Longer CP Enrollment had lower ED utilization</w:t>
      </w:r>
    </w:p>
    <w:p w14:paraId="318C31CD" w14:textId="75D02C67" w:rsidR="62FDAD75" w:rsidRDefault="62FDAD75" w:rsidP="18B1B932">
      <w:r>
        <w:t>Graph 8:</w:t>
      </w:r>
      <w:r w:rsidR="762CC499">
        <w:t xml:space="preserve"> </w:t>
      </w:r>
    </w:p>
    <w:p w14:paraId="18333149" w14:textId="3A71403D" w:rsidR="00F5422A" w:rsidRPr="007B12DC" w:rsidRDefault="59F61423" w:rsidP="05FD1449">
      <w:pPr>
        <w:rPr>
          <w:rFonts w:asciiTheme="majorHAnsi" w:eastAsiaTheme="majorEastAsia" w:hAnsiTheme="majorHAnsi" w:cstheme="majorBidi"/>
          <w:sz w:val="24"/>
          <w:szCs w:val="24"/>
        </w:rPr>
      </w:pPr>
      <w:r>
        <w:rPr>
          <w:noProof/>
        </w:rPr>
        <w:drawing>
          <wp:inline distT="0" distB="0" distL="0" distR="0" wp14:anchorId="4F79D623" wp14:editId="6CF135BA">
            <wp:extent cx="5943600" cy="2505075"/>
            <wp:effectExtent l="0" t="0" r="0" b="0"/>
            <wp:docPr id="1075560017" name="Picture 1075560017" descr="This graph shows ED Visits by BH CP Engagement Levels in 2022. Reference key takeaway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60017" name="Picture 1075560017" descr="This graph shows ED Visits by BH CP Engagement Levels in 2022. Reference key takeaways below. "/>
                    <pic:cNvPicPr/>
                  </pic:nvPicPr>
                  <pic:blipFill>
                    <a:blip r:embed="rId18">
                      <a:extLst>
                        <a:ext uri="{28A0092B-C50C-407E-A947-70E740481C1C}">
                          <a14:useLocalDpi xmlns:a14="http://schemas.microsoft.com/office/drawing/2010/main" val="0"/>
                        </a:ext>
                      </a:extLst>
                    </a:blip>
                    <a:stretch>
                      <a:fillRect/>
                    </a:stretch>
                  </pic:blipFill>
                  <pic:spPr>
                    <a:xfrm>
                      <a:off x="0" y="0"/>
                      <a:ext cx="5943600" cy="2505075"/>
                    </a:xfrm>
                    <a:prstGeom prst="rect">
                      <a:avLst/>
                    </a:prstGeom>
                  </pic:spPr>
                </pic:pic>
              </a:graphicData>
            </a:graphic>
          </wp:inline>
        </w:drawing>
      </w:r>
      <w:r w:rsidRPr="04EAB959">
        <w:rPr>
          <w:rFonts w:asciiTheme="majorHAnsi" w:eastAsiaTheme="majorEastAsia" w:hAnsiTheme="majorHAnsi" w:cstheme="majorBidi"/>
          <w:sz w:val="24"/>
          <w:szCs w:val="24"/>
        </w:rPr>
        <w:t xml:space="preserve">Notes for Graph 8: </w:t>
      </w:r>
      <w:r w:rsidR="0801ECAF" w:rsidRPr="04EAB959">
        <w:rPr>
          <w:rFonts w:asciiTheme="majorHAnsi" w:eastAsiaTheme="majorEastAsia" w:hAnsiTheme="majorHAnsi" w:cstheme="majorBidi"/>
          <w:sz w:val="24"/>
          <w:szCs w:val="24"/>
        </w:rPr>
        <w:t xml:space="preserve">"No Completed Care Plan" means the member is enrolled in </w:t>
      </w:r>
      <w:proofErr w:type="gramStart"/>
      <w:r w:rsidR="0801ECAF" w:rsidRPr="04EAB959">
        <w:rPr>
          <w:rFonts w:asciiTheme="majorHAnsi" w:eastAsiaTheme="majorEastAsia" w:hAnsiTheme="majorHAnsi" w:cstheme="majorBidi"/>
          <w:sz w:val="24"/>
          <w:szCs w:val="24"/>
        </w:rPr>
        <w:t>CP</w:t>
      </w:r>
      <w:proofErr w:type="gramEnd"/>
      <w:r w:rsidR="0801ECAF" w:rsidRPr="04EAB959">
        <w:rPr>
          <w:rFonts w:asciiTheme="majorHAnsi" w:eastAsiaTheme="majorEastAsia" w:hAnsiTheme="majorHAnsi" w:cstheme="majorBidi"/>
          <w:sz w:val="24"/>
          <w:szCs w:val="24"/>
        </w:rPr>
        <w:t xml:space="preserve"> but their care plan has not yet been completed.  The Care Plan is considered completed when its development is finalized. Care plans are reviewed and completed annually for every member or updated when significant changes occur in the member's presentation/needs.</w:t>
      </w:r>
    </w:p>
    <w:p w14:paraId="1240795F" w14:textId="12B5824B" w:rsidR="00F5422A" w:rsidRPr="007B12DC" w:rsidRDefault="09902BB4"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Key Takeaways</w:t>
      </w:r>
      <w:r w:rsidR="357A9432" w:rsidRPr="05FD1449">
        <w:rPr>
          <w:rFonts w:asciiTheme="majorHAnsi" w:eastAsiaTheme="majorEastAsia" w:hAnsiTheme="majorHAnsi" w:cstheme="majorBidi"/>
          <w:sz w:val="24"/>
          <w:szCs w:val="24"/>
        </w:rPr>
        <w:t>:</w:t>
      </w:r>
    </w:p>
    <w:p w14:paraId="58BB7401" w14:textId="6FE32216" w:rsidR="00F5422A" w:rsidRPr="007B12DC" w:rsidRDefault="09902BB4" w:rsidP="008240EA">
      <w:pPr>
        <w:pStyle w:val="ListParagraph"/>
        <w:numPr>
          <w:ilvl w:val="0"/>
          <w:numId w:val="40"/>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In 2022, BH CP enrollees 13 months or more after their initial Care Plan was </w:t>
      </w:r>
      <w:proofErr w:type="gramStart"/>
      <w:r w:rsidRPr="05FD1449">
        <w:rPr>
          <w:rFonts w:asciiTheme="majorHAnsi" w:eastAsiaTheme="majorEastAsia" w:hAnsiTheme="majorHAnsi" w:cstheme="majorBidi"/>
          <w:sz w:val="24"/>
          <w:szCs w:val="24"/>
        </w:rPr>
        <w:t>completed</w:t>
      </w:r>
      <w:proofErr w:type="gramEnd"/>
      <w:r w:rsidRPr="05FD1449">
        <w:rPr>
          <w:rFonts w:asciiTheme="majorHAnsi" w:eastAsiaTheme="majorEastAsia" w:hAnsiTheme="majorHAnsi" w:cstheme="majorBidi"/>
          <w:sz w:val="24"/>
          <w:szCs w:val="24"/>
        </w:rPr>
        <w:t xml:space="preserve"> had 7.4% lower ED visits than enrollees before their completed Care Plan </w:t>
      </w:r>
    </w:p>
    <w:p w14:paraId="6C8EAB1E" w14:textId="785EE7BF" w:rsidR="00F5422A" w:rsidRPr="007B12DC" w:rsidRDefault="7510BFE1" w:rsidP="008240EA">
      <w:pPr>
        <w:pStyle w:val="ListParagraph"/>
        <w:numPr>
          <w:ilvl w:val="0"/>
          <w:numId w:val="40"/>
        </w:numPr>
        <w:rPr>
          <w:rFonts w:asciiTheme="majorHAnsi" w:eastAsiaTheme="majorEastAsia" w:hAnsiTheme="majorHAnsi" w:cstheme="majorBidi"/>
          <w:sz w:val="24"/>
          <w:szCs w:val="24"/>
        </w:rPr>
      </w:pPr>
      <w:r w:rsidRPr="1A331411">
        <w:rPr>
          <w:rFonts w:asciiTheme="majorHAnsi" w:eastAsiaTheme="majorEastAsia" w:hAnsiTheme="majorHAnsi" w:cstheme="majorBidi"/>
          <w:sz w:val="24"/>
          <w:szCs w:val="24"/>
        </w:rPr>
        <w:lastRenderedPageBreak/>
        <w:t xml:space="preserve">Overall, members with shorter CP enrollment (e.g., ≤ 6 months) had higher ED utilization, while members with longer CP enrollment had lower ED utilization.  </w:t>
      </w:r>
    </w:p>
    <w:p w14:paraId="16FF1D4A" w14:textId="42AE601B" w:rsidR="009D2665" w:rsidRPr="007B12DC" w:rsidRDefault="289D0D40" w:rsidP="231701B2">
      <w:pPr>
        <w:pStyle w:val="Heading4"/>
      </w:pPr>
      <w:r>
        <w:t xml:space="preserve">Slide 28: Members with Longer CP Enrollment had Lower BH Inpatient Admissions </w:t>
      </w:r>
    </w:p>
    <w:p w14:paraId="2453ABE6" w14:textId="580C92B1" w:rsidR="009D2665" w:rsidRPr="007B12DC" w:rsidRDefault="4F74CB66" w:rsidP="575F7924">
      <w:r>
        <w:t>Graph 9:</w:t>
      </w:r>
    </w:p>
    <w:p w14:paraId="75529EB7" w14:textId="03ECDABF" w:rsidR="009D2665" w:rsidRPr="007B12DC" w:rsidRDefault="006EB82C" w:rsidP="009D2665">
      <w:pPr>
        <w:pStyle w:val="NormalWeb"/>
        <w:rPr>
          <w:rFonts w:asciiTheme="majorHAnsi" w:hAnsiTheme="majorHAnsi" w:cstheme="majorBidi"/>
          <w:color w:val="4472C4" w:themeColor="accent1"/>
        </w:rPr>
      </w:pPr>
      <w:r>
        <w:rPr>
          <w:noProof/>
        </w:rPr>
        <w:drawing>
          <wp:inline distT="0" distB="0" distL="0" distR="0" wp14:anchorId="229B7B09" wp14:editId="02779E87">
            <wp:extent cx="5943600" cy="2590800"/>
            <wp:effectExtent l="0" t="0" r="0" b="0"/>
            <wp:docPr id="216576773" name="Picture 216576773" descr="This graph shows BH Inpatient Admissions compared to BH Care Plan engagement levels in 2022. Reference key takeaway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76773"/>
                    <pic:cNvPicPr/>
                  </pic:nvPicPr>
                  <pic:blipFill>
                    <a:blip r:embed="rId19">
                      <a:extLst>
                        <a:ext uri="{28A0092B-C50C-407E-A947-70E740481C1C}">
                          <a14:useLocalDpi xmlns:a14="http://schemas.microsoft.com/office/drawing/2010/main" val="0"/>
                        </a:ext>
                      </a:extLst>
                    </a:blip>
                    <a:stretch>
                      <a:fillRect/>
                    </a:stretch>
                  </pic:blipFill>
                  <pic:spPr>
                    <a:xfrm>
                      <a:off x="0" y="0"/>
                      <a:ext cx="5943600" cy="2590800"/>
                    </a:xfrm>
                    <a:prstGeom prst="rect">
                      <a:avLst/>
                    </a:prstGeom>
                  </pic:spPr>
                </pic:pic>
              </a:graphicData>
            </a:graphic>
          </wp:inline>
        </w:drawing>
      </w:r>
    </w:p>
    <w:p w14:paraId="7DAC3420" w14:textId="633A6C12" w:rsidR="001B7A2E" w:rsidRPr="007B12DC" w:rsidRDefault="2FBA9A8B" w:rsidP="05FD1449">
      <w:pPr>
        <w:pStyle w:val="NormalWeb"/>
        <w:spacing w:after="0" w:afterAutospacing="0"/>
        <w:rPr>
          <w:rFonts w:asciiTheme="majorHAnsi" w:hAnsiTheme="majorHAnsi" w:cstheme="majorBidi"/>
        </w:rPr>
      </w:pPr>
      <w:r w:rsidRPr="05FD1449">
        <w:rPr>
          <w:rFonts w:asciiTheme="majorHAnsi" w:hAnsiTheme="majorHAnsi" w:cstheme="majorBidi"/>
        </w:rPr>
        <w:t>Key Takeaways</w:t>
      </w:r>
      <w:r w:rsidR="5D2B29CA" w:rsidRPr="05FD1449">
        <w:rPr>
          <w:rFonts w:asciiTheme="majorHAnsi" w:hAnsiTheme="majorHAnsi" w:cstheme="majorBidi"/>
        </w:rPr>
        <w:t>:</w:t>
      </w:r>
    </w:p>
    <w:p w14:paraId="3A52E4C0" w14:textId="3A5AE9DA" w:rsidR="006471C6" w:rsidRPr="007B12DC" w:rsidRDefault="5D2B29CA" w:rsidP="008240EA">
      <w:pPr>
        <w:pStyle w:val="NormalWeb"/>
        <w:numPr>
          <w:ilvl w:val="0"/>
          <w:numId w:val="66"/>
        </w:numPr>
        <w:spacing w:after="0" w:afterAutospacing="0"/>
        <w:rPr>
          <w:rFonts w:asciiTheme="majorHAnsi" w:hAnsiTheme="majorHAnsi" w:cstheme="majorBidi"/>
        </w:rPr>
      </w:pPr>
      <w:r w:rsidRPr="05FD1449">
        <w:rPr>
          <w:rFonts w:asciiTheme="majorHAnsi" w:hAnsiTheme="majorHAnsi" w:cstheme="majorBidi"/>
        </w:rPr>
        <w:t xml:space="preserve">Overall, </w:t>
      </w:r>
      <w:r w:rsidRPr="05FD1449">
        <w:rPr>
          <w:rFonts w:asciiTheme="majorHAnsi" w:hAnsiTheme="majorHAnsi" w:cstheme="majorBidi"/>
          <w:b/>
          <w:bCs/>
        </w:rPr>
        <w:t xml:space="preserve">members with longer CP enrollment had lower BH Inpatient Admissions. </w:t>
      </w:r>
    </w:p>
    <w:p w14:paraId="7525AE82" w14:textId="4CC78A17" w:rsidR="006471C6" w:rsidRPr="007B12DC" w:rsidRDefault="3D224717" w:rsidP="008240EA">
      <w:pPr>
        <w:pStyle w:val="NormalWeb"/>
        <w:numPr>
          <w:ilvl w:val="0"/>
          <w:numId w:val="66"/>
        </w:numPr>
        <w:rPr>
          <w:rFonts w:asciiTheme="majorHAnsi" w:hAnsiTheme="majorHAnsi" w:cstheme="majorBidi"/>
        </w:rPr>
      </w:pPr>
      <w:r w:rsidRPr="683514F1">
        <w:rPr>
          <w:rFonts w:asciiTheme="majorHAnsi" w:hAnsiTheme="majorHAnsi" w:cstheme="majorBidi"/>
        </w:rPr>
        <w:t xml:space="preserve">Members 13 months or more after Care Plan completed had </w:t>
      </w:r>
      <w:r w:rsidRPr="683514F1">
        <w:rPr>
          <w:rFonts w:asciiTheme="majorHAnsi" w:hAnsiTheme="majorHAnsi" w:cstheme="majorBidi"/>
          <w:b/>
          <w:bCs/>
        </w:rPr>
        <w:t>~15% lower BH inpatient admissions</w:t>
      </w:r>
      <w:r w:rsidRPr="683514F1">
        <w:rPr>
          <w:rFonts w:asciiTheme="majorHAnsi" w:hAnsiTheme="majorHAnsi" w:cstheme="majorBidi"/>
        </w:rPr>
        <w:t xml:space="preserve"> than members before their completed Care Plan</w:t>
      </w:r>
    </w:p>
    <w:p w14:paraId="4FF8190B" w14:textId="759DD6B4" w:rsidR="05FCBE56" w:rsidRDefault="725D1CE1" w:rsidP="008240EA">
      <w:pPr>
        <w:pStyle w:val="NormalWeb"/>
        <w:numPr>
          <w:ilvl w:val="0"/>
          <w:numId w:val="66"/>
        </w:numPr>
        <w:rPr>
          <w:rFonts w:asciiTheme="majorHAnsi" w:hAnsiTheme="majorHAnsi" w:cstheme="majorBidi"/>
        </w:rPr>
      </w:pPr>
      <w:r w:rsidRPr="7C8EAC7F">
        <w:rPr>
          <w:rFonts w:asciiTheme="majorHAnsi" w:hAnsiTheme="majorHAnsi" w:cstheme="majorBidi"/>
        </w:rPr>
        <w:t xml:space="preserve">However, this is also confounded by large declines in BH inpatient admissions across the ACO population. </w:t>
      </w:r>
    </w:p>
    <w:p w14:paraId="405C85E2" w14:textId="48B51DFB" w:rsidR="004D5D8F" w:rsidRPr="00647CE5" w:rsidRDefault="74A22CED" w:rsidP="438FB35F">
      <w:pPr>
        <w:pStyle w:val="Heading4"/>
      </w:pPr>
      <w:r>
        <w:t>Slide 29: Risk-Adjusted Total Cost of Care (</w:t>
      </w:r>
      <w:proofErr w:type="spellStart"/>
      <w:r>
        <w:t>rTCOC</w:t>
      </w:r>
      <w:proofErr w:type="spellEnd"/>
      <w:r>
        <w:t>) Declined the Longer CP Members were Engaged</w:t>
      </w:r>
      <w:r w:rsidR="004D5D8F" w:rsidRPr="575F7924">
        <w:rPr>
          <w:rStyle w:val="FootnoteReference"/>
        </w:rPr>
        <w:footnoteReference w:id="13"/>
      </w:r>
      <w:r>
        <w:t xml:space="preserve"> in the CP Program </w:t>
      </w:r>
    </w:p>
    <w:p w14:paraId="6C29EE4A" w14:textId="27B674B9" w:rsidR="004D5D8F" w:rsidRPr="00647CE5" w:rsidRDefault="4DE3A29F" w:rsidP="05FCBE56">
      <w:r>
        <w:t xml:space="preserve">Graph 10: </w:t>
      </w:r>
    </w:p>
    <w:p w14:paraId="3293CCB7" w14:textId="43A6D092" w:rsidR="00D83772" w:rsidRPr="007B12DC" w:rsidRDefault="599B7652" w:rsidP="05FD1449">
      <w:pPr>
        <w:rPr>
          <w:rFonts w:asciiTheme="majorHAnsi" w:eastAsiaTheme="majorEastAsia" w:hAnsiTheme="majorHAnsi" w:cstheme="majorBidi"/>
          <w:sz w:val="24"/>
          <w:szCs w:val="24"/>
        </w:rPr>
      </w:pPr>
      <w:r>
        <w:rPr>
          <w:noProof/>
        </w:rPr>
        <w:lastRenderedPageBreak/>
        <w:drawing>
          <wp:inline distT="0" distB="0" distL="0" distR="0" wp14:anchorId="41DBB389" wp14:editId="244739D6">
            <wp:extent cx="5943600" cy="2219325"/>
            <wp:effectExtent l="0" t="0" r="0" b="0"/>
            <wp:docPr id="910262649" name="Picture 910262649" descr="This graph shows the risk-adjusted total cost of care across the CP member journey. Reference key takeaway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262649"/>
                    <pic:cNvPicPr/>
                  </pic:nvPicPr>
                  <pic:blipFill>
                    <a:blip r:embed="rId20">
                      <a:extLst>
                        <a:ext uri="{28A0092B-C50C-407E-A947-70E740481C1C}">
                          <a14:useLocalDpi xmlns:a14="http://schemas.microsoft.com/office/drawing/2010/main" val="0"/>
                        </a:ext>
                      </a:extLst>
                    </a:blip>
                    <a:stretch>
                      <a:fillRect/>
                    </a:stretch>
                  </pic:blipFill>
                  <pic:spPr>
                    <a:xfrm>
                      <a:off x="0" y="0"/>
                      <a:ext cx="5943600" cy="2219325"/>
                    </a:xfrm>
                    <a:prstGeom prst="rect">
                      <a:avLst/>
                    </a:prstGeom>
                  </pic:spPr>
                </pic:pic>
              </a:graphicData>
            </a:graphic>
          </wp:inline>
        </w:drawing>
      </w:r>
      <w:r w:rsidR="58642AA2" w:rsidRPr="05FD1449">
        <w:rPr>
          <w:rFonts w:asciiTheme="majorHAnsi" w:eastAsiaTheme="majorEastAsia" w:hAnsiTheme="majorHAnsi" w:cstheme="majorBidi"/>
          <w:sz w:val="24"/>
          <w:szCs w:val="24"/>
        </w:rPr>
        <w:t>Note: Graph 10 is sourced from Mathematica. Data was run in September 2023</w:t>
      </w:r>
    </w:p>
    <w:p w14:paraId="126B6012" w14:textId="56D0DC32" w:rsidR="4C70060A" w:rsidRDefault="2A5639E4"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Key Takeaways:</w:t>
      </w:r>
    </w:p>
    <w:p w14:paraId="0612F214" w14:textId="6977269C" w:rsidR="4C70060A" w:rsidRDefault="0326FC7A" w:rsidP="008240EA">
      <w:pPr>
        <w:pStyle w:val="ListParagraph"/>
        <w:numPr>
          <w:ilvl w:val="0"/>
          <w:numId w:val="38"/>
        </w:numPr>
        <w:spacing w:after="0"/>
        <w:rPr>
          <w:rFonts w:asciiTheme="majorHAnsi" w:eastAsiaTheme="majorEastAsia" w:hAnsiTheme="majorHAnsi" w:cstheme="majorBidi"/>
          <w:sz w:val="24"/>
          <w:szCs w:val="24"/>
        </w:rPr>
      </w:pPr>
      <w:proofErr w:type="spellStart"/>
      <w:r w:rsidRPr="05FD1449">
        <w:rPr>
          <w:rFonts w:asciiTheme="majorHAnsi" w:eastAsiaTheme="majorEastAsia" w:hAnsiTheme="majorHAnsi" w:cstheme="majorBidi"/>
          <w:sz w:val="24"/>
          <w:szCs w:val="24"/>
        </w:rPr>
        <w:t>rTCOC</w:t>
      </w:r>
      <w:proofErr w:type="spellEnd"/>
      <w:r w:rsidRPr="05FD1449">
        <w:rPr>
          <w:rFonts w:asciiTheme="majorHAnsi" w:eastAsiaTheme="majorEastAsia" w:hAnsiTheme="majorHAnsi" w:cstheme="majorBidi"/>
          <w:sz w:val="24"/>
          <w:szCs w:val="24"/>
        </w:rPr>
        <w:t xml:space="preserve"> is the average amount paid on claims by Medicaid and </w:t>
      </w:r>
      <w:r w:rsidR="1E1AEE14" w:rsidRPr="05FD1449">
        <w:rPr>
          <w:rFonts w:asciiTheme="majorHAnsi" w:eastAsiaTheme="majorEastAsia" w:hAnsiTheme="majorHAnsi" w:cstheme="majorBidi"/>
          <w:color w:val="000000" w:themeColor="text1"/>
          <w:sz w:val="24"/>
          <w:szCs w:val="24"/>
        </w:rPr>
        <w:t xml:space="preserve">ACOs/MCOs per CP member per month, risk adjusted within the CP population and excluding members who are </w:t>
      </w:r>
      <w:proofErr w:type="gramStart"/>
      <w:r w:rsidR="1E1AEE14" w:rsidRPr="05FD1449">
        <w:rPr>
          <w:rFonts w:asciiTheme="majorHAnsi" w:eastAsiaTheme="majorEastAsia" w:hAnsiTheme="majorHAnsi" w:cstheme="majorBidi"/>
          <w:color w:val="000000" w:themeColor="text1"/>
          <w:sz w:val="24"/>
          <w:szCs w:val="24"/>
        </w:rPr>
        <w:t>dually-eligible</w:t>
      </w:r>
      <w:proofErr w:type="gramEnd"/>
      <w:r w:rsidR="1E1AEE14" w:rsidRPr="05FD1449">
        <w:rPr>
          <w:rFonts w:asciiTheme="majorHAnsi" w:eastAsiaTheme="majorEastAsia" w:hAnsiTheme="majorHAnsi" w:cstheme="majorBidi"/>
          <w:color w:val="000000" w:themeColor="text1"/>
          <w:sz w:val="24"/>
          <w:szCs w:val="24"/>
        </w:rPr>
        <w:t xml:space="preserve"> for Medicaid and Medicare.</w:t>
      </w:r>
    </w:p>
    <w:p w14:paraId="77C47EEB" w14:textId="48E2D8A0" w:rsidR="7F7C8F18" w:rsidRDefault="04279E8E" w:rsidP="008240EA">
      <w:pPr>
        <w:pStyle w:val="ListParagraph"/>
        <w:numPr>
          <w:ilvl w:val="0"/>
          <w:numId w:val="38"/>
        </w:numPr>
        <w:rPr>
          <w:rFonts w:asciiTheme="majorHAnsi" w:eastAsiaTheme="majorEastAsia" w:hAnsiTheme="majorHAnsi" w:cstheme="majorBidi"/>
          <w:sz w:val="24"/>
          <w:szCs w:val="24"/>
        </w:rPr>
      </w:pPr>
      <w:r w:rsidRPr="470022DB">
        <w:rPr>
          <w:rFonts w:asciiTheme="majorHAnsi" w:eastAsiaTheme="majorEastAsia" w:hAnsiTheme="majorHAnsi" w:cstheme="majorBidi"/>
          <w:sz w:val="24"/>
          <w:szCs w:val="24"/>
        </w:rPr>
        <w:t xml:space="preserve">This graph represents all CP members enrolled in the program between July 1, </w:t>
      </w:r>
      <w:proofErr w:type="gramStart"/>
      <w:r w:rsidRPr="470022DB">
        <w:rPr>
          <w:rFonts w:asciiTheme="majorHAnsi" w:eastAsiaTheme="majorEastAsia" w:hAnsiTheme="majorHAnsi" w:cstheme="majorBidi"/>
          <w:sz w:val="24"/>
          <w:szCs w:val="24"/>
        </w:rPr>
        <w:t>2018</w:t>
      </w:r>
      <w:proofErr w:type="gramEnd"/>
      <w:r w:rsidRPr="470022DB">
        <w:rPr>
          <w:rFonts w:asciiTheme="majorHAnsi" w:eastAsiaTheme="majorEastAsia" w:hAnsiTheme="majorHAnsi" w:cstheme="majorBidi"/>
          <w:sz w:val="24"/>
          <w:szCs w:val="24"/>
        </w:rPr>
        <w:t xml:space="preserve"> to March 31, 2023 and shows the change in </w:t>
      </w:r>
      <w:proofErr w:type="spellStart"/>
      <w:r w:rsidRPr="470022DB">
        <w:rPr>
          <w:rFonts w:asciiTheme="majorHAnsi" w:eastAsiaTheme="majorEastAsia" w:hAnsiTheme="majorHAnsi" w:cstheme="majorBidi"/>
          <w:sz w:val="24"/>
          <w:szCs w:val="24"/>
        </w:rPr>
        <w:t>rTCOC</w:t>
      </w:r>
      <w:proofErr w:type="spellEnd"/>
      <w:r w:rsidRPr="470022DB">
        <w:rPr>
          <w:rFonts w:asciiTheme="majorHAnsi" w:eastAsiaTheme="majorEastAsia" w:hAnsiTheme="majorHAnsi" w:cstheme="majorBidi"/>
          <w:sz w:val="24"/>
          <w:szCs w:val="24"/>
        </w:rPr>
        <w:t xml:space="preserve"> throughout their time enrolled in the program. </w:t>
      </w:r>
    </w:p>
    <w:p w14:paraId="05186912" w14:textId="44A60ED3" w:rsidR="7F7C8F18" w:rsidRDefault="04279E8E" w:rsidP="008240EA">
      <w:pPr>
        <w:pStyle w:val="ListParagraph"/>
        <w:numPr>
          <w:ilvl w:val="0"/>
          <w:numId w:val="38"/>
        </w:numPr>
        <w:rPr>
          <w:rFonts w:asciiTheme="majorHAnsi" w:eastAsiaTheme="majorEastAsia" w:hAnsiTheme="majorHAnsi" w:cstheme="majorBidi"/>
          <w:sz w:val="24"/>
          <w:szCs w:val="24"/>
        </w:rPr>
      </w:pPr>
      <w:r w:rsidRPr="470022DB">
        <w:rPr>
          <w:rFonts w:asciiTheme="majorHAnsi" w:eastAsiaTheme="majorEastAsia" w:hAnsiTheme="majorHAnsi" w:cstheme="majorBidi"/>
          <w:sz w:val="24"/>
          <w:szCs w:val="24"/>
        </w:rPr>
        <w:t xml:space="preserve">Overall, </w:t>
      </w:r>
      <w:proofErr w:type="spellStart"/>
      <w:r w:rsidRPr="470022DB">
        <w:rPr>
          <w:rFonts w:asciiTheme="majorHAnsi" w:eastAsiaTheme="majorEastAsia" w:hAnsiTheme="majorHAnsi" w:cstheme="majorBidi"/>
          <w:sz w:val="24"/>
          <w:szCs w:val="24"/>
        </w:rPr>
        <w:t>rTCOC</w:t>
      </w:r>
      <w:proofErr w:type="spellEnd"/>
      <w:r w:rsidRPr="470022DB">
        <w:rPr>
          <w:rFonts w:asciiTheme="majorHAnsi" w:eastAsiaTheme="majorEastAsia" w:hAnsiTheme="majorHAnsi" w:cstheme="majorBidi"/>
          <w:sz w:val="24"/>
          <w:szCs w:val="24"/>
        </w:rPr>
        <w:t xml:space="preserve"> decreases throughout the time that CP members are engaged with a CP </w:t>
      </w:r>
    </w:p>
    <w:p w14:paraId="7FA5E1C4" w14:textId="7D243935" w:rsidR="354FCD3D" w:rsidRDefault="11B428E0" w:rsidP="008240EA">
      <w:pPr>
        <w:pStyle w:val="ListParagraph"/>
        <w:numPr>
          <w:ilvl w:val="1"/>
          <w:numId w:val="38"/>
        </w:numPr>
        <w:rPr>
          <w:rFonts w:asciiTheme="majorHAnsi" w:eastAsiaTheme="majorEastAsia" w:hAnsiTheme="majorHAnsi" w:cstheme="majorBidi"/>
          <w:sz w:val="24"/>
          <w:szCs w:val="24"/>
        </w:rPr>
      </w:pPr>
      <w:r w:rsidRPr="7C8EAC7F">
        <w:rPr>
          <w:rFonts w:asciiTheme="majorHAnsi" w:eastAsiaTheme="majorEastAsia" w:hAnsiTheme="majorHAnsi" w:cstheme="majorBidi"/>
          <w:sz w:val="24"/>
          <w:szCs w:val="24"/>
        </w:rPr>
        <w:t xml:space="preserve">On average, CP members have a 15% lower </w:t>
      </w:r>
      <w:proofErr w:type="spellStart"/>
      <w:r w:rsidRPr="7C8EAC7F">
        <w:rPr>
          <w:rFonts w:asciiTheme="majorHAnsi" w:eastAsiaTheme="majorEastAsia" w:hAnsiTheme="majorHAnsi" w:cstheme="majorBidi"/>
          <w:sz w:val="24"/>
          <w:szCs w:val="24"/>
        </w:rPr>
        <w:t>rTCOC</w:t>
      </w:r>
      <w:proofErr w:type="spellEnd"/>
      <w:r w:rsidRPr="7C8EAC7F">
        <w:rPr>
          <w:rFonts w:asciiTheme="majorHAnsi" w:eastAsiaTheme="majorEastAsia" w:hAnsiTheme="majorHAnsi" w:cstheme="majorBidi"/>
          <w:sz w:val="24"/>
          <w:szCs w:val="24"/>
        </w:rPr>
        <w:t xml:space="preserve"> upon discharge compared to CP members in the 12 months prior to enrollment ($1,491 vs. $1,753).</w:t>
      </w:r>
    </w:p>
    <w:p w14:paraId="3CCC51CA" w14:textId="6B717790" w:rsidR="00FA3ED8" w:rsidRPr="007B12DC" w:rsidRDefault="2944C759" w:rsidP="64102858">
      <w:pPr>
        <w:pStyle w:val="Heading4"/>
      </w:pPr>
      <w:r>
        <w:t>Slide 30: CP Member Engagement Continued to Improve During 2022</w:t>
      </w:r>
    </w:p>
    <w:p w14:paraId="21000477" w14:textId="78E56DE1" w:rsidR="054EFC47" w:rsidRDefault="054EFC47" w:rsidP="354FCD3D">
      <w:pPr>
        <w:rPr>
          <w:rFonts w:asciiTheme="majorHAnsi" w:eastAsiaTheme="majorEastAsia" w:hAnsiTheme="majorHAnsi" w:cstheme="majorBidi"/>
          <w:sz w:val="24"/>
          <w:szCs w:val="24"/>
        </w:rPr>
      </w:pPr>
      <w:r w:rsidRPr="354FCD3D">
        <w:rPr>
          <w:rFonts w:asciiTheme="majorHAnsi" w:eastAsiaTheme="majorEastAsia" w:hAnsiTheme="majorHAnsi" w:cstheme="majorBidi"/>
          <w:sz w:val="24"/>
          <w:szCs w:val="24"/>
        </w:rPr>
        <w:t>Graph 11</w:t>
      </w:r>
      <w:r w:rsidR="2850C388" w:rsidRPr="354FCD3D">
        <w:rPr>
          <w:rFonts w:asciiTheme="majorHAnsi" w:eastAsiaTheme="majorEastAsia" w:hAnsiTheme="majorHAnsi" w:cstheme="majorBidi"/>
          <w:sz w:val="24"/>
          <w:szCs w:val="24"/>
        </w:rPr>
        <w:t>:</w:t>
      </w:r>
    </w:p>
    <w:p w14:paraId="5CAF1AE4" w14:textId="663B75AB" w:rsidR="5E27A66A" w:rsidRDefault="3BD6E11D" w:rsidP="05FD1449">
      <w:pPr>
        <w:rPr>
          <w:rFonts w:asciiTheme="majorHAnsi" w:eastAsiaTheme="majorEastAsia" w:hAnsiTheme="majorHAnsi" w:cstheme="majorBidi"/>
          <w:sz w:val="24"/>
          <w:szCs w:val="24"/>
        </w:rPr>
      </w:pPr>
      <w:r>
        <w:rPr>
          <w:noProof/>
        </w:rPr>
        <w:drawing>
          <wp:inline distT="0" distB="0" distL="0" distR="0" wp14:anchorId="07BD37FE" wp14:editId="0A2720B7">
            <wp:extent cx="5943600" cy="2800350"/>
            <wp:effectExtent l="0" t="0" r="0" b="0"/>
            <wp:docPr id="255894881" name="Picture 255894881" descr="This graph shows the engagement rates for BH and LTSS CPs. Reference key takeaway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94881"/>
                    <pic:cNvPicPr/>
                  </pic:nvPicPr>
                  <pic:blipFill>
                    <a:blip r:embed="rId21">
                      <a:extLst>
                        <a:ext uri="{28A0092B-C50C-407E-A947-70E740481C1C}">
                          <a14:useLocalDpi xmlns:a14="http://schemas.microsoft.com/office/drawing/2010/main" val="0"/>
                        </a:ext>
                      </a:extLst>
                    </a:blip>
                    <a:stretch>
                      <a:fillRect/>
                    </a:stretch>
                  </pic:blipFill>
                  <pic:spPr>
                    <a:xfrm>
                      <a:off x="0" y="0"/>
                      <a:ext cx="5943600" cy="2800350"/>
                    </a:xfrm>
                    <a:prstGeom prst="rect">
                      <a:avLst/>
                    </a:prstGeom>
                  </pic:spPr>
                </pic:pic>
              </a:graphicData>
            </a:graphic>
          </wp:inline>
        </w:drawing>
      </w:r>
      <w:r w:rsidRPr="05FD1449">
        <w:rPr>
          <w:rFonts w:asciiTheme="majorHAnsi" w:eastAsiaTheme="majorEastAsia" w:hAnsiTheme="majorHAnsi" w:cstheme="majorBidi"/>
          <w:sz w:val="24"/>
          <w:szCs w:val="24"/>
        </w:rPr>
        <w:t>Note: Graph 11 is sourced from Dat</w:t>
      </w:r>
      <w:r w:rsidR="29D25531" w:rsidRPr="05FD1449">
        <w:rPr>
          <w:rFonts w:asciiTheme="majorHAnsi" w:eastAsiaTheme="majorEastAsia" w:hAnsiTheme="majorHAnsi" w:cstheme="majorBidi"/>
          <w:sz w:val="24"/>
          <w:szCs w:val="24"/>
        </w:rPr>
        <w:t>a Warehouse. Data was run in August 2024</w:t>
      </w:r>
    </w:p>
    <w:p w14:paraId="63AABEE0" w14:textId="437E3763" w:rsidR="2ED7FB47" w:rsidRDefault="3D73E79D"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lastRenderedPageBreak/>
        <w:t>Key Takeaways</w:t>
      </w:r>
      <w:r w:rsidR="3342DA29" w:rsidRPr="05FD1449">
        <w:rPr>
          <w:rFonts w:asciiTheme="majorHAnsi" w:eastAsiaTheme="majorEastAsia" w:hAnsiTheme="majorHAnsi" w:cstheme="majorBidi"/>
          <w:sz w:val="24"/>
          <w:szCs w:val="24"/>
        </w:rPr>
        <w:t>:</w:t>
      </w:r>
    </w:p>
    <w:p w14:paraId="0E4F2463" w14:textId="6DD12F1F" w:rsidR="269F8F6C" w:rsidRDefault="678E240C" w:rsidP="008240EA">
      <w:pPr>
        <w:pStyle w:val="ListParagraph"/>
        <w:numPr>
          <w:ilvl w:val="0"/>
          <w:numId w:val="37"/>
        </w:numPr>
        <w:spacing w:after="0"/>
        <w:rPr>
          <w:rFonts w:asciiTheme="majorHAnsi" w:eastAsiaTheme="majorEastAsia" w:hAnsiTheme="majorHAnsi" w:cstheme="majorBidi"/>
          <w:sz w:val="24"/>
          <w:szCs w:val="24"/>
        </w:rPr>
      </w:pPr>
      <w:r w:rsidRPr="2109ACC4">
        <w:rPr>
          <w:rFonts w:asciiTheme="majorHAnsi" w:eastAsiaTheme="majorEastAsia" w:hAnsiTheme="majorHAnsi" w:cstheme="majorBidi"/>
          <w:sz w:val="24"/>
          <w:szCs w:val="24"/>
        </w:rPr>
        <w:t>As of March 2023,</w:t>
      </w:r>
      <w:r w:rsidRPr="2109ACC4">
        <w:rPr>
          <w:rFonts w:asciiTheme="majorHAnsi" w:eastAsiaTheme="majorEastAsia" w:hAnsiTheme="majorHAnsi" w:cstheme="majorBidi"/>
          <w:b/>
          <w:bCs/>
          <w:sz w:val="24"/>
          <w:szCs w:val="24"/>
        </w:rPr>
        <w:t xml:space="preserve"> 66% of members enrolled in CPs were engaged</w:t>
      </w:r>
      <w:r w:rsidR="269F8F6C" w:rsidRPr="2109ACC4">
        <w:rPr>
          <w:rStyle w:val="FootnoteReference"/>
          <w:rFonts w:asciiTheme="majorHAnsi" w:eastAsiaTheme="majorEastAsia" w:hAnsiTheme="majorHAnsi" w:cstheme="majorBidi"/>
          <w:sz w:val="24"/>
          <w:szCs w:val="24"/>
        </w:rPr>
        <w:footnoteReference w:id="14"/>
      </w:r>
    </w:p>
    <w:p w14:paraId="684C8711" w14:textId="67806525" w:rsidR="269F8F6C" w:rsidRDefault="678E240C" w:rsidP="008240EA">
      <w:pPr>
        <w:pStyle w:val="ListParagraph"/>
        <w:numPr>
          <w:ilvl w:val="0"/>
          <w:numId w:val="37"/>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This is an i</w:t>
      </w:r>
      <w:r w:rsidRPr="05FD1449">
        <w:rPr>
          <w:rFonts w:asciiTheme="majorHAnsi" w:eastAsiaTheme="majorEastAsia" w:hAnsiTheme="majorHAnsi" w:cstheme="majorBidi"/>
          <w:b/>
          <w:bCs/>
          <w:sz w:val="24"/>
          <w:szCs w:val="24"/>
        </w:rPr>
        <w:t>ncrease from 57%</w:t>
      </w:r>
      <w:r w:rsidRPr="05FD1449">
        <w:rPr>
          <w:rFonts w:asciiTheme="majorHAnsi" w:eastAsiaTheme="majorEastAsia" w:hAnsiTheme="majorHAnsi" w:cstheme="majorBidi"/>
          <w:sz w:val="24"/>
          <w:szCs w:val="24"/>
        </w:rPr>
        <w:t xml:space="preserve"> in March 2022, 56% in March 2021, 51% in March 2020, and 19% in March 2019. </w:t>
      </w:r>
    </w:p>
    <w:p w14:paraId="0096FA7C" w14:textId="09A6AC6E" w:rsidR="25B50C87" w:rsidRDefault="25B50C87" w:rsidP="354FCD3D">
      <w:pPr>
        <w:pStyle w:val="Heading4"/>
      </w:pPr>
      <w:r>
        <w:t>Slide 31: CPs Reduced Days to Care Plan Complete in 2022, Building on Improvements in Outreach and Engagement from 2018-2020</w:t>
      </w:r>
    </w:p>
    <w:p w14:paraId="65BFB32B" w14:textId="33A2A6F0" w:rsidR="05FA71FF" w:rsidRDefault="05FA71FF" w:rsidP="354FCD3D">
      <w:pPr>
        <w:rPr>
          <w:rFonts w:asciiTheme="majorHAnsi" w:eastAsiaTheme="majorEastAsia" w:hAnsiTheme="majorHAnsi" w:cstheme="majorBidi"/>
          <w:sz w:val="24"/>
          <w:szCs w:val="24"/>
        </w:rPr>
      </w:pPr>
      <w:r w:rsidRPr="7530DAF4">
        <w:rPr>
          <w:rFonts w:asciiTheme="majorHAnsi" w:eastAsiaTheme="majorEastAsia" w:hAnsiTheme="majorHAnsi" w:cstheme="majorBidi"/>
          <w:sz w:val="24"/>
          <w:szCs w:val="24"/>
        </w:rPr>
        <w:t>Graph 12:</w:t>
      </w:r>
    </w:p>
    <w:p w14:paraId="1D02A7A4" w14:textId="06024381" w:rsidR="6469DDBB" w:rsidRDefault="188DBF81" w:rsidP="05FD1449">
      <w:pPr>
        <w:rPr>
          <w:rFonts w:asciiTheme="majorHAnsi" w:eastAsiaTheme="majorEastAsia" w:hAnsiTheme="majorHAnsi" w:cstheme="majorBidi"/>
          <w:sz w:val="24"/>
          <w:szCs w:val="24"/>
        </w:rPr>
      </w:pPr>
      <w:r>
        <w:rPr>
          <w:noProof/>
        </w:rPr>
        <w:drawing>
          <wp:inline distT="0" distB="0" distL="0" distR="0" wp14:anchorId="58F29DBD" wp14:editId="0D98804E">
            <wp:extent cx="5943600" cy="2676525"/>
            <wp:effectExtent l="0" t="0" r="0" b="0"/>
            <wp:docPr id="286432481" name="Picture 286432481" descr="This graph measures the average days to care plan complete in BH and LTSS CPs through the first quarter of 2023. Reference key takeaway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32481"/>
                    <pic:cNvPicPr/>
                  </pic:nvPicPr>
                  <pic:blipFill>
                    <a:blip r:embed="rId22">
                      <a:extLst>
                        <a:ext uri="{28A0092B-C50C-407E-A947-70E740481C1C}">
                          <a14:useLocalDpi xmlns:a14="http://schemas.microsoft.com/office/drawing/2010/main" val="0"/>
                        </a:ext>
                      </a:extLst>
                    </a:blip>
                    <a:stretch>
                      <a:fillRect/>
                    </a:stretch>
                  </pic:blipFill>
                  <pic:spPr>
                    <a:xfrm>
                      <a:off x="0" y="0"/>
                      <a:ext cx="5943600" cy="2676525"/>
                    </a:xfrm>
                    <a:prstGeom prst="rect">
                      <a:avLst/>
                    </a:prstGeom>
                  </pic:spPr>
                </pic:pic>
              </a:graphicData>
            </a:graphic>
          </wp:inline>
        </w:drawing>
      </w:r>
      <w:r w:rsidRPr="05FD1449">
        <w:rPr>
          <w:rFonts w:asciiTheme="majorHAnsi" w:eastAsiaTheme="majorEastAsia" w:hAnsiTheme="majorHAnsi" w:cstheme="majorBidi"/>
          <w:sz w:val="24"/>
          <w:szCs w:val="24"/>
        </w:rPr>
        <w:t xml:space="preserve">Note: Graph 12 is sourced from Mathematica. Data </w:t>
      </w:r>
      <w:r w:rsidR="2A033642" w:rsidRPr="05FD1449">
        <w:rPr>
          <w:rFonts w:asciiTheme="majorHAnsi" w:eastAsiaTheme="majorEastAsia" w:hAnsiTheme="majorHAnsi" w:cstheme="majorBidi"/>
          <w:sz w:val="24"/>
          <w:szCs w:val="24"/>
        </w:rPr>
        <w:t>was pulled on September 8</w:t>
      </w:r>
      <w:r w:rsidR="2A033642" w:rsidRPr="05FD1449">
        <w:rPr>
          <w:rFonts w:asciiTheme="majorHAnsi" w:eastAsiaTheme="majorEastAsia" w:hAnsiTheme="majorHAnsi" w:cstheme="majorBidi"/>
          <w:sz w:val="24"/>
          <w:szCs w:val="24"/>
          <w:vertAlign w:val="superscript"/>
        </w:rPr>
        <w:t>th</w:t>
      </w:r>
      <w:r w:rsidR="2A033642" w:rsidRPr="05FD1449">
        <w:rPr>
          <w:rFonts w:asciiTheme="majorHAnsi" w:eastAsiaTheme="majorEastAsia" w:hAnsiTheme="majorHAnsi" w:cstheme="majorBidi"/>
          <w:sz w:val="24"/>
          <w:szCs w:val="24"/>
        </w:rPr>
        <w:t>, 2024</w:t>
      </w:r>
    </w:p>
    <w:p w14:paraId="0F20C56F" w14:textId="51D314CA" w:rsidR="269F635A" w:rsidRDefault="06E2ABD3"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Key Takeaways: </w:t>
      </w:r>
    </w:p>
    <w:p w14:paraId="4788FD35" w14:textId="207B8431" w:rsidR="3C286552" w:rsidRDefault="5DA49118" w:rsidP="008240EA">
      <w:pPr>
        <w:pStyle w:val="ListParagraph"/>
        <w:numPr>
          <w:ilvl w:val="0"/>
          <w:numId w:val="36"/>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CP members are considered engaged in the CP Program once their Care Plan is completed and approved by their PCP. The Days to Care Plan Complete measure provides insight into how quickly and efficiently CPs are conducting outreach and engaging members and coordinating with other members of the care team </w:t>
      </w:r>
    </w:p>
    <w:p w14:paraId="0E1259F3" w14:textId="7AA2752A" w:rsidR="3C286552" w:rsidRDefault="3C286552" w:rsidP="008240EA">
      <w:pPr>
        <w:pStyle w:val="ListParagraph"/>
        <w:numPr>
          <w:ilvl w:val="0"/>
          <w:numId w:val="36"/>
        </w:numPr>
        <w:rPr>
          <w:rFonts w:asciiTheme="majorHAnsi" w:eastAsiaTheme="majorEastAsia" w:hAnsiTheme="majorHAnsi" w:cstheme="majorBidi"/>
          <w:sz w:val="24"/>
          <w:szCs w:val="24"/>
        </w:rPr>
      </w:pPr>
      <w:r w:rsidRPr="7C8EAC7F">
        <w:rPr>
          <w:rFonts w:asciiTheme="majorHAnsi" w:eastAsiaTheme="majorEastAsia" w:hAnsiTheme="majorHAnsi" w:cstheme="majorBidi"/>
          <w:sz w:val="24"/>
          <w:szCs w:val="24"/>
        </w:rPr>
        <w:t xml:space="preserve">During 2022, </w:t>
      </w:r>
      <w:r w:rsidRPr="7C8EAC7F">
        <w:rPr>
          <w:rFonts w:asciiTheme="majorHAnsi" w:eastAsiaTheme="majorEastAsia" w:hAnsiTheme="majorHAnsi" w:cstheme="majorBidi"/>
          <w:b/>
          <w:bCs/>
          <w:sz w:val="24"/>
          <w:szCs w:val="24"/>
        </w:rPr>
        <w:t>CPs continued to bring down the average number of days to Care Plan Complete</w:t>
      </w:r>
      <w:r w:rsidRPr="7C8EAC7F">
        <w:rPr>
          <w:rFonts w:asciiTheme="majorHAnsi" w:eastAsiaTheme="majorEastAsia" w:hAnsiTheme="majorHAnsi" w:cstheme="majorBidi"/>
          <w:sz w:val="24"/>
          <w:szCs w:val="24"/>
        </w:rPr>
        <w:t xml:space="preserve">, from 146 days in Q1 2022 to 139 days in Q4 2022. </w:t>
      </w:r>
    </w:p>
    <w:p w14:paraId="64DCE35E" w14:textId="15A16860" w:rsidR="3C286552" w:rsidRDefault="3C286552" w:rsidP="008240EA">
      <w:pPr>
        <w:pStyle w:val="ListParagraph"/>
        <w:numPr>
          <w:ilvl w:val="0"/>
          <w:numId w:val="36"/>
        </w:numPr>
        <w:rPr>
          <w:rFonts w:asciiTheme="majorHAnsi" w:eastAsiaTheme="majorEastAsia" w:hAnsiTheme="majorHAnsi" w:cstheme="majorBidi"/>
          <w:sz w:val="24"/>
          <w:szCs w:val="24"/>
        </w:rPr>
      </w:pPr>
      <w:r w:rsidRPr="7C8EAC7F">
        <w:rPr>
          <w:rFonts w:asciiTheme="majorHAnsi" w:eastAsiaTheme="majorEastAsia" w:hAnsiTheme="majorHAnsi" w:cstheme="majorBidi"/>
          <w:sz w:val="24"/>
          <w:szCs w:val="24"/>
        </w:rPr>
        <w:t xml:space="preserve">Days to Care Plan Complete has </w:t>
      </w:r>
      <w:r w:rsidRPr="7C8EAC7F">
        <w:rPr>
          <w:rFonts w:asciiTheme="majorHAnsi" w:eastAsiaTheme="majorEastAsia" w:hAnsiTheme="majorHAnsi" w:cstheme="majorBidi"/>
          <w:b/>
          <w:bCs/>
          <w:sz w:val="24"/>
          <w:szCs w:val="24"/>
        </w:rPr>
        <w:t>decreased 45%</w:t>
      </w:r>
      <w:r w:rsidRPr="7C8EAC7F">
        <w:rPr>
          <w:rFonts w:asciiTheme="majorHAnsi" w:eastAsiaTheme="majorEastAsia" w:hAnsiTheme="majorHAnsi" w:cstheme="majorBidi"/>
          <w:sz w:val="24"/>
          <w:szCs w:val="24"/>
        </w:rPr>
        <w:t xml:space="preserve"> from its peak in Q3 2019 (247 days) to Q1 2023 (136 days)</w:t>
      </w:r>
    </w:p>
    <w:p w14:paraId="79A9A0EB" w14:textId="709170AB" w:rsidR="5B46AC09" w:rsidRDefault="5B46AC09" w:rsidP="7C8EAC7F">
      <w:pPr>
        <w:pStyle w:val="Heading4"/>
      </w:pPr>
      <w:r>
        <w:t>Slide 32: Examples of CP Success: Community Care Partners Improves Member Engagement Timelines</w:t>
      </w:r>
    </w:p>
    <w:p w14:paraId="4C5C5138" w14:textId="7C6BE3E6" w:rsidR="0CEA6461" w:rsidRDefault="0CEA6461" w:rsidP="74B594D4">
      <w:pPr>
        <w:rPr>
          <w:rFonts w:asciiTheme="majorHAnsi" w:eastAsiaTheme="majorEastAsia" w:hAnsiTheme="majorHAnsi" w:cstheme="majorBidi"/>
          <w:sz w:val="24"/>
          <w:szCs w:val="24"/>
        </w:rPr>
      </w:pPr>
      <w:r w:rsidRPr="74B594D4">
        <w:rPr>
          <w:rFonts w:asciiTheme="majorHAnsi" w:eastAsiaTheme="majorEastAsia" w:hAnsiTheme="majorHAnsi" w:cstheme="majorBidi"/>
          <w:sz w:val="24"/>
          <w:szCs w:val="24"/>
        </w:rPr>
        <w:t xml:space="preserve">Graph 13: </w:t>
      </w:r>
    </w:p>
    <w:p w14:paraId="1681E083" w14:textId="1A6AAB97" w:rsidR="0CEA6461" w:rsidRDefault="399604E1" w:rsidP="05FD1449">
      <w:pPr>
        <w:spacing w:line="240" w:lineRule="auto"/>
        <w:rPr>
          <w:rFonts w:asciiTheme="majorHAnsi" w:eastAsiaTheme="majorEastAsia" w:hAnsiTheme="majorHAnsi" w:cstheme="majorBidi"/>
          <w:sz w:val="24"/>
          <w:szCs w:val="24"/>
        </w:rPr>
      </w:pPr>
      <w:r>
        <w:rPr>
          <w:noProof/>
        </w:rPr>
        <w:lastRenderedPageBreak/>
        <w:drawing>
          <wp:inline distT="0" distB="0" distL="0" distR="0" wp14:anchorId="1415D365" wp14:editId="5A2ED8DD">
            <wp:extent cx="4165814" cy="3410125"/>
            <wp:effectExtent l="0" t="0" r="0" b="0"/>
            <wp:docPr id="729900713" name="Picture 729900713" descr="This graph measures the CCP days to care plan complete. Reference key takeaway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900713"/>
                    <pic:cNvPicPr/>
                  </pic:nvPicPr>
                  <pic:blipFill>
                    <a:blip r:embed="rId23">
                      <a:extLst>
                        <a:ext uri="{28A0092B-C50C-407E-A947-70E740481C1C}">
                          <a14:useLocalDpi xmlns:a14="http://schemas.microsoft.com/office/drawing/2010/main" val="0"/>
                        </a:ext>
                      </a:extLst>
                    </a:blip>
                    <a:stretch>
                      <a:fillRect/>
                    </a:stretch>
                  </pic:blipFill>
                  <pic:spPr>
                    <a:xfrm>
                      <a:off x="0" y="0"/>
                      <a:ext cx="4165814" cy="3410125"/>
                    </a:xfrm>
                    <a:prstGeom prst="rect">
                      <a:avLst/>
                    </a:prstGeom>
                  </pic:spPr>
                </pic:pic>
              </a:graphicData>
            </a:graphic>
          </wp:inline>
        </w:drawing>
      </w:r>
    </w:p>
    <w:p w14:paraId="02BED0E8" w14:textId="47D04658" w:rsidR="0CEA6461" w:rsidRDefault="5A57AA19" w:rsidP="05FD1449">
      <w:pPr>
        <w:spacing w:line="240" w:lineRule="auto"/>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Note: Graph 13 is sourced from Mathematica. Data was pulled on September 8</w:t>
      </w:r>
      <w:r w:rsidRPr="05FD1449">
        <w:rPr>
          <w:rFonts w:asciiTheme="majorHAnsi" w:eastAsiaTheme="majorEastAsia" w:hAnsiTheme="majorHAnsi" w:cstheme="majorBidi"/>
          <w:sz w:val="24"/>
          <w:szCs w:val="24"/>
          <w:vertAlign w:val="superscript"/>
        </w:rPr>
        <w:t>th</w:t>
      </w:r>
      <w:r w:rsidRPr="05FD1449">
        <w:rPr>
          <w:rFonts w:asciiTheme="majorHAnsi" w:eastAsiaTheme="majorEastAsia" w:hAnsiTheme="majorHAnsi" w:cstheme="majorBidi"/>
          <w:sz w:val="24"/>
          <w:szCs w:val="24"/>
        </w:rPr>
        <w:t>, 2024</w:t>
      </w:r>
    </w:p>
    <w:p w14:paraId="1E7A1D0F" w14:textId="70C3CE54" w:rsidR="0CEA6461" w:rsidRDefault="399604E1"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Key Takeaways:</w:t>
      </w:r>
    </w:p>
    <w:p w14:paraId="22809B61" w14:textId="4753098C" w:rsidR="0CEA6461" w:rsidRDefault="399604E1" w:rsidP="008240EA">
      <w:pPr>
        <w:pStyle w:val="ListParagraph"/>
        <w:numPr>
          <w:ilvl w:val="0"/>
          <w:numId w:val="35"/>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In 2022, MassHealth engaged with Community Care Partners (CCP) BH CP around performance data related to care plan complete timelines, particularly within their Affiliated Partners, Bay Cove and </w:t>
      </w:r>
      <w:proofErr w:type="spellStart"/>
      <w:r w:rsidRPr="05FD1449">
        <w:rPr>
          <w:rFonts w:asciiTheme="majorHAnsi" w:eastAsiaTheme="majorEastAsia" w:hAnsiTheme="majorHAnsi" w:cstheme="majorBidi"/>
          <w:sz w:val="24"/>
          <w:szCs w:val="24"/>
        </w:rPr>
        <w:t>Vinfen</w:t>
      </w:r>
      <w:proofErr w:type="spellEnd"/>
      <w:r w:rsidRPr="05FD1449">
        <w:rPr>
          <w:rFonts w:asciiTheme="majorHAnsi" w:eastAsiaTheme="majorEastAsia" w:hAnsiTheme="majorHAnsi" w:cstheme="majorBidi"/>
          <w:sz w:val="24"/>
          <w:szCs w:val="24"/>
        </w:rPr>
        <w:t xml:space="preserve">. As a result of these engagements and reviewing MassHealth-provided performance data, CCP CP developed a strategy to focus on decreasing time from enrollment to Assessment and Care Plan Complete milestones. </w:t>
      </w:r>
    </w:p>
    <w:p w14:paraId="5E5D26B2" w14:textId="5689DE9E" w:rsidR="0CEA6461" w:rsidRDefault="399604E1" w:rsidP="05FD1449">
      <w:pPr>
        <w:spacing w:after="0"/>
        <w:rPr>
          <w:rFonts w:asciiTheme="majorHAnsi" w:eastAsiaTheme="majorEastAsia" w:hAnsiTheme="majorHAnsi" w:cstheme="majorBidi"/>
          <w:b/>
          <w:bCs/>
          <w:sz w:val="24"/>
          <w:szCs w:val="24"/>
        </w:rPr>
      </w:pPr>
      <w:r w:rsidRPr="05FD1449">
        <w:rPr>
          <w:rFonts w:asciiTheme="majorHAnsi" w:eastAsiaTheme="majorEastAsia" w:hAnsiTheme="majorHAnsi" w:cstheme="majorBidi"/>
          <w:b/>
          <w:bCs/>
          <w:sz w:val="24"/>
          <w:szCs w:val="24"/>
        </w:rPr>
        <w:t xml:space="preserve"> Strategies implemented: </w:t>
      </w:r>
    </w:p>
    <w:p w14:paraId="6548E116" w14:textId="5736C81C" w:rsidR="0CEA6461" w:rsidRDefault="399604E1" w:rsidP="008240EA">
      <w:pPr>
        <w:pStyle w:val="ListParagraph"/>
        <w:numPr>
          <w:ilvl w:val="0"/>
          <w:numId w:val="34"/>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Ensuring BH CP staff at both Bay Cove and </w:t>
      </w:r>
      <w:proofErr w:type="spellStart"/>
      <w:r w:rsidRPr="05FD1449">
        <w:rPr>
          <w:rFonts w:asciiTheme="majorHAnsi" w:eastAsiaTheme="majorEastAsia" w:hAnsiTheme="majorHAnsi" w:cstheme="majorBidi"/>
          <w:sz w:val="24"/>
          <w:szCs w:val="24"/>
        </w:rPr>
        <w:t>Vinfen</w:t>
      </w:r>
      <w:proofErr w:type="spellEnd"/>
      <w:r w:rsidRPr="05FD1449">
        <w:rPr>
          <w:rFonts w:asciiTheme="majorHAnsi" w:eastAsiaTheme="majorEastAsia" w:hAnsiTheme="majorHAnsi" w:cstheme="majorBidi"/>
          <w:sz w:val="24"/>
          <w:szCs w:val="24"/>
        </w:rPr>
        <w:t xml:space="preserve"> were retrained on how to escalate an outstanding Care </w:t>
      </w:r>
      <w:proofErr w:type="gramStart"/>
      <w:r w:rsidRPr="05FD1449">
        <w:rPr>
          <w:rFonts w:asciiTheme="majorHAnsi" w:eastAsiaTheme="majorEastAsia" w:hAnsiTheme="majorHAnsi" w:cstheme="majorBidi"/>
          <w:sz w:val="24"/>
          <w:szCs w:val="24"/>
        </w:rPr>
        <w:t>Plan;</w:t>
      </w:r>
      <w:proofErr w:type="gramEnd"/>
      <w:r w:rsidRPr="05FD1449">
        <w:rPr>
          <w:rFonts w:asciiTheme="majorHAnsi" w:eastAsiaTheme="majorEastAsia" w:hAnsiTheme="majorHAnsi" w:cstheme="majorBidi"/>
          <w:sz w:val="24"/>
          <w:szCs w:val="24"/>
        </w:rPr>
        <w:t xml:space="preserve">  </w:t>
      </w:r>
    </w:p>
    <w:p w14:paraId="34D92258" w14:textId="73CE02CC" w:rsidR="0CEA6461" w:rsidRDefault="5330446B" w:rsidP="008240EA">
      <w:pPr>
        <w:pStyle w:val="ListParagraph"/>
        <w:numPr>
          <w:ilvl w:val="0"/>
          <w:numId w:val="34"/>
        </w:numPr>
        <w:rPr>
          <w:rFonts w:asciiTheme="majorHAnsi" w:eastAsiaTheme="majorEastAsia" w:hAnsiTheme="majorHAnsi" w:cstheme="majorBidi"/>
          <w:sz w:val="24"/>
          <w:szCs w:val="24"/>
        </w:rPr>
      </w:pPr>
      <w:r w:rsidRPr="2109ACC4">
        <w:rPr>
          <w:rFonts w:asciiTheme="majorHAnsi" w:eastAsiaTheme="majorEastAsia" w:hAnsiTheme="majorHAnsi" w:cstheme="majorBidi"/>
          <w:sz w:val="24"/>
          <w:szCs w:val="24"/>
        </w:rPr>
        <w:t xml:space="preserve">Continuing to escalate centrally any care plan outstanding for more than 30 </w:t>
      </w:r>
      <w:proofErr w:type="gramStart"/>
      <w:r w:rsidRPr="2109ACC4">
        <w:rPr>
          <w:rFonts w:asciiTheme="majorHAnsi" w:eastAsiaTheme="majorEastAsia" w:hAnsiTheme="majorHAnsi" w:cstheme="majorBidi"/>
          <w:sz w:val="24"/>
          <w:szCs w:val="24"/>
        </w:rPr>
        <w:t>days;</w:t>
      </w:r>
      <w:proofErr w:type="gramEnd"/>
      <w:r w:rsidRPr="2109ACC4">
        <w:rPr>
          <w:rFonts w:asciiTheme="majorHAnsi" w:eastAsiaTheme="majorEastAsia" w:hAnsiTheme="majorHAnsi" w:cstheme="majorBidi"/>
          <w:sz w:val="24"/>
          <w:szCs w:val="24"/>
        </w:rPr>
        <w:t xml:space="preserve">   </w:t>
      </w:r>
    </w:p>
    <w:p w14:paraId="5C208368" w14:textId="033CCB62" w:rsidR="0CEA6461" w:rsidRDefault="5330446B" w:rsidP="008240EA">
      <w:pPr>
        <w:pStyle w:val="ListParagraph"/>
        <w:numPr>
          <w:ilvl w:val="0"/>
          <w:numId w:val="34"/>
        </w:numPr>
        <w:rPr>
          <w:rFonts w:asciiTheme="majorHAnsi" w:eastAsiaTheme="majorEastAsia" w:hAnsiTheme="majorHAnsi" w:cstheme="majorBidi"/>
          <w:sz w:val="24"/>
          <w:szCs w:val="24"/>
        </w:rPr>
      </w:pPr>
      <w:r w:rsidRPr="2109ACC4">
        <w:rPr>
          <w:rFonts w:asciiTheme="majorHAnsi" w:eastAsiaTheme="majorEastAsia" w:hAnsiTheme="majorHAnsi" w:cstheme="majorBidi"/>
          <w:sz w:val="24"/>
          <w:szCs w:val="24"/>
        </w:rPr>
        <w:t xml:space="preserve">Updating Assessment and Care Planning </w:t>
      </w:r>
      <w:proofErr w:type="gramStart"/>
      <w:r w:rsidRPr="2109ACC4">
        <w:rPr>
          <w:rFonts w:asciiTheme="majorHAnsi" w:eastAsiaTheme="majorEastAsia" w:hAnsiTheme="majorHAnsi" w:cstheme="majorBidi"/>
          <w:sz w:val="24"/>
          <w:szCs w:val="24"/>
        </w:rPr>
        <w:t>trainings</w:t>
      </w:r>
      <w:proofErr w:type="gramEnd"/>
      <w:r w:rsidRPr="2109ACC4">
        <w:rPr>
          <w:rFonts w:asciiTheme="majorHAnsi" w:eastAsiaTheme="majorEastAsia" w:hAnsiTheme="majorHAnsi" w:cstheme="majorBidi"/>
          <w:sz w:val="24"/>
          <w:szCs w:val="24"/>
        </w:rPr>
        <w:t xml:space="preserve"> in New Employee Training and Refresher </w:t>
      </w:r>
      <w:proofErr w:type="gramStart"/>
      <w:r w:rsidRPr="2109ACC4">
        <w:rPr>
          <w:rFonts w:asciiTheme="majorHAnsi" w:eastAsiaTheme="majorEastAsia" w:hAnsiTheme="majorHAnsi" w:cstheme="majorBidi"/>
          <w:sz w:val="24"/>
          <w:szCs w:val="24"/>
        </w:rPr>
        <w:t>trainings;</w:t>
      </w:r>
      <w:proofErr w:type="gramEnd"/>
      <w:r w:rsidRPr="2109ACC4">
        <w:rPr>
          <w:rFonts w:asciiTheme="majorHAnsi" w:eastAsiaTheme="majorEastAsia" w:hAnsiTheme="majorHAnsi" w:cstheme="majorBidi"/>
          <w:sz w:val="24"/>
          <w:szCs w:val="24"/>
        </w:rPr>
        <w:t xml:space="preserve">  </w:t>
      </w:r>
    </w:p>
    <w:p w14:paraId="370E431E" w14:textId="041FCF35" w:rsidR="0CEA6461" w:rsidRDefault="5330446B" w:rsidP="008240EA">
      <w:pPr>
        <w:pStyle w:val="ListParagraph"/>
        <w:numPr>
          <w:ilvl w:val="0"/>
          <w:numId w:val="34"/>
        </w:numPr>
        <w:rPr>
          <w:rFonts w:asciiTheme="majorHAnsi" w:eastAsiaTheme="majorEastAsia" w:hAnsiTheme="majorHAnsi" w:cstheme="majorBidi"/>
          <w:sz w:val="24"/>
          <w:szCs w:val="24"/>
        </w:rPr>
      </w:pPr>
      <w:r w:rsidRPr="2109ACC4">
        <w:rPr>
          <w:rFonts w:asciiTheme="majorHAnsi" w:eastAsiaTheme="majorEastAsia" w:hAnsiTheme="majorHAnsi" w:cstheme="majorBidi"/>
          <w:sz w:val="24"/>
          <w:szCs w:val="24"/>
        </w:rPr>
        <w:t xml:space="preserve">Developing Comprehensive Assessment and Care Planning guidance tools and ensure care team usability to promote decrease in time to complete documents; and </w:t>
      </w:r>
    </w:p>
    <w:p w14:paraId="73A13321" w14:textId="14D30320" w:rsidR="0CEA6461" w:rsidRDefault="5330446B" w:rsidP="008240EA">
      <w:pPr>
        <w:pStyle w:val="ListParagraph"/>
        <w:numPr>
          <w:ilvl w:val="0"/>
          <w:numId w:val="34"/>
        </w:numPr>
        <w:rPr>
          <w:rFonts w:asciiTheme="majorHAnsi" w:eastAsiaTheme="majorEastAsia" w:hAnsiTheme="majorHAnsi" w:cstheme="majorBidi"/>
          <w:sz w:val="24"/>
          <w:szCs w:val="24"/>
        </w:rPr>
      </w:pPr>
      <w:r w:rsidRPr="2109ACC4">
        <w:rPr>
          <w:rFonts w:asciiTheme="majorHAnsi" w:eastAsiaTheme="majorEastAsia" w:hAnsiTheme="majorHAnsi" w:cstheme="majorBidi"/>
          <w:sz w:val="24"/>
          <w:szCs w:val="24"/>
        </w:rPr>
        <w:t xml:space="preserve">Ensuring BH CP Staff at both Bay Cove and </w:t>
      </w:r>
      <w:proofErr w:type="spellStart"/>
      <w:r w:rsidRPr="2109ACC4">
        <w:rPr>
          <w:rFonts w:asciiTheme="majorHAnsi" w:eastAsiaTheme="majorEastAsia" w:hAnsiTheme="majorHAnsi" w:cstheme="majorBidi"/>
          <w:sz w:val="24"/>
          <w:szCs w:val="24"/>
        </w:rPr>
        <w:t>Vinfen</w:t>
      </w:r>
      <w:proofErr w:type="spellEnd"/>
      <w:r w:rsidRPr="2109ACC4">
        <w:rPr>
          <w:rFonts w:asciiTheme="majorHAnsi" w:eastAsiaTheme="majorEastAsia" w:hAnsiTheme="majorHAnsi" w:cstheme="majorBidi"/>
          <w:sz w:val="24"/>
          <w:szCs w:val="24"/>
        </w:rPr>
        <w:t xml:space="preserve"> are retrained on Comp Assessments and Care Planning to promote further efficiencies</w:t>
      </w:r>
    </w:p>
    <w:p w14:paraId="7E7FFD3A" w14:textId="0D88F1BE" w:rsidR="2109ACC4" w:rsidRDefault="2109ACC4" w:rsidP="2109ACC4">
      <w:pPr>
        <w:pStyle w:val="ListParagraph"/>
        <w:rPr>
          <w:rFonts w:asciiTheme="majorHAnsi" w:eastAsiaTheme="majorEastAsia" w:hAnsiTheme="majorHAnsi" w:cstheme="majorBidi"/>
        </w:rPr>
      </w:pPr>
    </w:p>
    <w:p w14:paraId="04FB84C0" w14:textId="4928A818" w:rsidR="0CEA6461" w:rsidRDefault="434F840A" w:rsidP="008240EA">
      <w:pPr>
        <w:pStyle w:val="ListParagraph"/>
        <w:numPr>
          <w:ilvl w:val="0"/>
          <w:numId w:val="34"/>
        </w:numPr>
        <w:rPr>
          <w:rFonts w:asciiTheme="majorHAnsi" w:eastAsiaTheme="majorEastAsia" w:hAnsiTheme="majorHAnsi" w:cstheme="majorBidi"/>
          <w:sz w:val="24"/>
          <w:szCs w:val="24"/>
        </w:rPr>
      </w:pPr>
      <w:r w:rsidRPr="2109ACC4">
        <w:rPr>
          <w:rFonts w:asciiTheme="majorHAnsi" w:eastAsiaTheme="majorEastAsia" w:hAnsiTheme="majorHAnsi" w:cstheme="majorBidi"/>
          <w:sz w:val="24"/>
          <w:szCs w:val="24"/>
        </w:rPr>
        <w:t>These strategies resulted in a 25% reduction and sustained improvement in the days to Care Plan Complete for their BH CP members from Q4 2020 through Q1 2023.</w:t>
      </w:r>
    </w:p>
    <w:p w14:paraId="4A97AB2C" w14:textId="0CE032F6" w:rsidR="0CEA6461" w:rsidRDefault="1FCAEE2D" w:rsidP="2109ACC4">
      <w:pPr>
        <w:pStyle w:val="Heading3"/>
      </w:pPr>
      <w:r>
        <w:lastRenderedPageBreak/>
        <w:t>DSRIP</w:t>
      </w:r>
    </w:p>
    <w:p w14:paraId="15B34653" w14:textId="3D8A365F" w:rsidR="1FCAEE2D" w:rsidRDefault="1FCAEE2D" w:rsidP="2109ACC4">
      <w:pPr>
        <w:pStyle w:val="Heading4"/>
      </w:pPr>
      <w:r>
        <w:t xml:space="preserve">Slide 34: Overview of DSRIP Program </w:t>
      </w:r>
    </w:p>
    <w:p w14:paraId="6AFDD9EB" w14:textId="4CE58A6A" w:rsidR="38F6C2F3" w:rsidRDefault="38F6C2F3" w:rsidP="008240EA">
      <w:pPr>
        <w:pStyle w:val="ListParagraph"/>
        <w:numPr>
          <w:ilvl w:val="0"/>
          <w:numId w:val="33"/>
        </w:numPr>
        <w:rPr>
          <w:rFonts w:asciiTheme="majorHAnsi" w:eastAsiaTheme="majorEastAsia" w:hAnsiTheme="majorHAnsi" w:cstheme="majorBidi"/>
          <w:sz w:val="24"/>
          <w:szCs w:val="24"/>
        </w:rPr>
      </w:pPr>
      <w:r w:rsidRPr="2109ACC4">
        <w:rPr>
          <w:rFonts w:asciiTheme="majorHAnsi" w:eastAsiaTheme="majorEastAsia" w:hAnsiTheme="majorHAnsi" w:cstheme="majorBidi"/>
          <w:sz w:val="24"/>
          <w:szCs w:val="24"/>
        </w:rPr>
        <w:t xml:space="preserve">The Delivery System Reform Incentive Payment (DSRIP) program was a $1.8 billion, five-year investment program authorized through MassHealth’s 1115 demonstration to support MassHealth’s restructuring efforts; 2022 was the last year of the DSRIP Program. </w:t>
      </w:r>
    </w:p>
    <w:p w14:paraId="70260FDE" w14:textId="074FD42B" w:rsidR="38F6C2F3" w:rsidRDefault="38F6C2F3" w:rsidP="008240EA">
      <w:pPr>
        <w:pStyle w:val="ListParagraph"/>
        <w:numPr>
          <w:ilvl w:val="0"/>
          <w:numId w:val="33"/>
        </w:numPr>
        <w:rPr>
          <w:rFonts w:asciiTheme="majorHAnsi" w:eastAsiaTheme="majorEastAsia" w:hAnsiTheme="majorHAnsi" w:cstheme="majorBidi"/>
          <w:sz w:val="24"/>
          <w:szCs w:val="24"/>
        </w:rPr>
      </w:pPr>
      <w:r w:rsidRPr="2109ACC4">
        <w:rPr>
          <w:rFonts w:asciiTheme="majorHAnsi" w:eastAsiaTheme="majorEastAsia" w:hAnsiTheme="majorHAnsi" w:cstheme="majorBidi"/>
          <w:sz w:val="24"/>
          <w:szCs w:val="24"/>
        </w:rPr>
        <w:t xml:space="preserve">ACOs and CPs used DSRIP funds to design and test innovative programs, with the expectation that they measure those programs’ outcomes, and to stand up </w:t>
      </w:r>
      <w:proofErr w:type="gramStart"/>
      <w:r w:rsidRPr="2109ACC4">
        <w:rPr>
          <w:rFonts w:asciiTheme="majorHAnsi" w:eastAsiaTheme="majorEastAsia" w:hAnsiTheme="majorHAnsi" w:cstheme="majorBidi"/>
          <w:sz w:val="24"/>
          <w:szCs w:val="24"/>
        </w:rPr>
        <w:t>infrastructure</w:t>
      </w:r>
      <w:proofErr w:type="gramEnd"/>
      <w:r w:rsidRPr="2109ACC4">
        <w:rPr>
          <w:rFonts w:asciiTheme="majorHAnsi" w:eastAsiaTheme="majorEastAsia" w:hAnsiTheme="majorHAnsi" w:cstheme="majorBidi"/>
          <w:sz w:val="24"/>
          <w:szCs w:val="24"/>
        </w:rPr>
        <w:t xml:space="preserve"> required for population health management </w:t>
      </w:r>
    </w:p>
    <w:p w14:paraId="1A9D8EEE" w14:textId="3E55FF07" w:rsidR="38F6C2F3" w:rsidRDefault="38F6C2F3" w:rsidP="008240EA">
      <w:pPr>
        <w:pStyle w:val="ListParagraph"/>
        <w:numPr>
          <w:ilvl w:val="0"/>
          <w:numId w:val="33"/>
        </w:numPr>
        <w:rPr>
          <w:rFonts w:asciiTheme="majorHAnsi" w:eastAsiaTheme="majorEastAsia" w:hAnsiTheme="majorHAnsi" w:cstheme="majorBidi"/>
          <w:sz w:val="24"/>
          <w:szCs w:val="24"/>
        </w:rPr>
      </w:pPr>
      <w:r w:rsidRPr="2109ACC4">
        <w:rPr>
          <w:rFonts w:asciiTheme="majorHAnsi" w:eastAsiaTheme="majorEastAsia" w:hAnsiTheme="majorHAnsi" w:cstheme="majorBidi"/>
          <w:sz w:val="24"/>
          <w:szCs w:val="24"/>
        </w:rPr>
        <w:t>In 2022</w:t>
      </w:r>
      <w:r w:rsidRPr="2109ACC4">
        <w:rPr>
          <w:rStyle w:val="FootnoteReference"/>
          <w:rFonts w:asciiTheme="majorHAnsi" w:eastAsiaTheme="majorEastAsia" w:hAnsiTheme="majorHAnsi" w:cstheme="majorBidi"/>
          <w:sz w:val="24"/>
          <w:szCs w:val="24"/>
        </w:rPr>
        <w:footnoteReference w:id="15"/>
      </w:r>
      <w:r w:rsidRPr="2109ACC4">
        <w:rPr>
          <w:rFonts w:asciiTheme="majorHAnsi" w:eastAsiaTheme="majorEastAsia" w:hAnsiTheme="majorHAnsi" w:cstheme="majorBidi"/>
          <w:sz w:val="24"/>
          <w:szCs w:val="24"/>
        </w:rPr>
        <w:t xml:space="preserve"> ACOs and CPs spent $209.1M </w:t>
      </w:r>
      <w:proofErr w:type="gramStart"/>
      <w:r w:rsidRPr="2109ACC4">
        <w:rPr>
          <w:rFonts w:asciiTheme="majorHAnsi" w:eastAsiaTheme="majorEastAsia" w:hAnsiTheme="majorHAnsi" w:cstheme="majorBidi"/>
          <w:sz w:val="24"/>
          <w:szCs w:val="24"/>
        </w:rPr>
        <w:t>in</w:t>
      </w:r>
      <w:proofErr w:type="gramEnd"/>
      <w:r w:rsidRPr="2109ACC4">
        <w:rPr>
          <w:rFonts w:asciiTheme="majorHAnsi" w:eastAsiaTheme="majorEastAsia" w:hAnsiTheme="majorHAnsi" w:cstheme="majorBidi"/>
          <w:sz w:val="24"/>
          <w:szCs w:val="24"/>
        </w:rPr>
        <w:t xml:space="preserve"> DSRIP funding: </w:t>
      </w:r>
    </w:p>
    <w:p w14:paraId="36A78648" w14:textId="6E0AFBA2" w:rsidR="38F6C2F3" w:rsidRDefault="38F6C2F3" w:rsidP="008240EA">
      <w:pPr>
        <w:pStyle w:val="ListParagraph"/>
        <w:numPr>
          <w:ilvl w:val="1"/>
          <w:numId w:val="33"/>
        </w:numPr>
        <w:rPr>
          <w:rFonts w:asciiTheme="majorHAnsi" w:eastAsiaTheme="majorEastAsia" w:hAnsiTheme="majorHAnsi" w:cstheme="majorBidi"/>
          <w:sz w:val="24"/>
          <w:szCs w:val="24"/>
        </w:rPr>
      </w:pPr>
      <w:r w:rsidRPr="2109ACC4">
        <w:rPr>
          <w:rFonts w:asciiTheme="majorHAnsi" w:eastAsiaTheme="majorEastAsia" w:hAnsiTheme="majorHAnsi" w:cstheme="majorBidi"/>
          <w:sz w:val="24"/>
          <w:szCs w:val="24"/>
        </w:rPr>
        <w:t>$121.4M by ACOs (Startup/Ongoing: $69M; and Flexible Services: $52.4M</w:t>
      </w:r>
      <w:r w:rsidR="1C661D72" w:rsidRPr="2109ACC4">
        <w:rPr>
          <w:rFonts w:asciiTheme="majorHAnsi" w:eastAsiaTheme="majorEastAsia" w:hAnsiTheme="majorHAnsi" w:cstheme="majorBidi"/>
          <w:sz w:val="24"/>
          <w:szCs w:val="24"/>
        </w:rPr>
        <w:t>)</w:t>
      </w:r>
      <w:r w:rsidRPr="2109ACC4">
        <w:rPr>
          <w:rStyle w:val="FootnoteReference"/>
          <w:rFonts w:asciiTheme="majorHAnsi" w:eastAsiaTheme="majorEastAsia" w:hAnsiTheme="majorHAnsi" w:cstheme="majorBidi"/>
          <w:sz w:val="24"/>
          <w:szCs w:val="24"/>
        </w:rPr>
        <w:footnoteReference w:id="16"/>
      </w:r>
      <w:r w:rsidRPr="2109ACC4">
        <w:rPr>
          <w:rFonts w:asciiTheme="majorHAnsi" w:eastAsiaTheme="majorEastAsia" w:hAnsiTheme="majorHAnsi" w:cstheme="majorBidi"/>
          <w:sz w:val="24"/>
          <w:szCs w:val="24"/>
        </w:rPr>
        <w:t xml:space="preserve"> </w:t>
      </w:r>
    </w:p>
    <w:p w14:paraId="5D1DEEBF" w14:textId="7F3BEE20" w:rsidR="38F6C2F3" w:rsidRDefault="38F6C2F3" w:rsidP="008240EA">
      <w:pPr>
        <w:pStyle w:val="ListParagraph"/>
        <w:numPr>
          <w:ilvl w:val="1"/>
          <w:numId w:val="33"/>
        </w:numPr>
        <w:rPr>
          <w:rFonts w:asciiTheme="majorHAnsi" w:eastAsiaTheme="majorEastAsia" w:hAnsiTheme="majorHAnsi" w:cstheme="majorBidi"/>
          <w:sz w:val="24"/>
          <w:szCs w:val="24"/>
        </w:rPr>
      </w:pPr>
      <w:r w:rsidRPr="2109ACC4">
        <w:rPr>
          <w:rFonts w:asciiTheme="majorHAnsi" w:eastAsiaTheme="majorEastAsia" w:hAnsiTheme="majorHAnsi" w:cstheme="majorBidi"/>
          <w:sz w:val="24"/>
          <w:szCs w:val="24"/>
        </w:rPr>
        <w:t xml:space="preserve">$87.7M by CPs (Infrastructure and Care Coordination) </w:t>
      </w:r>
    </w:p>
    <w:p w14:paraId="66FB45CE" w14:textId="7AD179C8" w:rsidR="267556D0" w:rsidRDefault="267556D0" w:rsidP="008240EA">
      <w:pPr>
        <w:pStyle w:val="ListParagraph"/>
        <w:numPr>
          <w:ilvl w:val="0"/>
          <w:numId w:val="33"/>
        </w:numPr>
        <w:rPr>
          <w:rFonts w:asciiTheme="majorHAnsi" w:eastAsiaTheme="majorEastAsia" w:hAnsiTheme="majorHAnsi" w:cstheme="majorBidi"/>
          <w:sz w:val="24"/>
          <w:szCs w:val="24"/>
        </w:rPr>
      </w:pPr>
      <w:r w:rsidRPr="2109ACC4">
        <w:rPr>
          <w:rFonts w:asciiTheme="majorHAnsi" w:eastAsiaTheme="majorEastAsia" w:hAnsiTheme="majorHAnsi" w:cstheme="majorBidi"/>
          <w:sz w:val="24"/>
          <w:szCs w:val="24"/>
        </w:rPr>
        <w:t>The most common type of DSRIP-funded ACO program in CY2022 was care coordination and care management programs (113 programs costing $</w:t>
      </w:r>
      <w:proofErr w:type="gramStart"/>
      <w:r w:rsidRPr="2109ACC4">
        <w:rPr>
          <w:rFonts w:asciiTheme="majorHAnsi" w:eastAsiaTheme="majorEastAsia" w:hAnsiTheme="majorHAnsi" w:cstheme="majorBidi"/>
          <w:sz w:val="24"/>
          <w:szCs w:val="24"/>
        </w:rPr>
        <w:t>26M;</w:t>
      </w:r>
      <w:proofErr w:type="gramEnd"/>
      <w:r w:rsidRPr="2109ACC4">
        <w:rPr>
          <w:rFonts w:asciiTheme="majorHAnsi" w:eastAsiaTheme="majorEastAsia" w:hAnsiTheme="majorHAnsi" w:cstheme="majorBidi"/>
          <w:sz w:val="24"/>
          <w:szCs w:val="24"/>
        </w:rPr>
        <w:t xml:space="preserve"> e.g., embedding community health workers in EDs to help members navigate the health care system and share resources upon ED departure)</w:t>
      </w:r>
      <w:r w:rsidRPr="2109ACC4">
        <w:rPr>
          <w:rStyle w:val="FootnoteReference"/>
          <w:rFonts w:asciiTheme="majorHAnsi" w:eastAsiaTheme="majorEastAsia" w:hAnsiTheme="majorHAnsi" w:cstheme="majorBidi"/>
          <w:sz w:val="24"/>
          <w:szCs w:val="24"/>
        </w:rPr>
        <w:footnoteReference w:id="17"/>
      </w:r>
      <w:r w:rsidRPr="2109ACC4">
        <w:rPr>
          <w:rFonts w:asciiTheme="majorHAnsi" w:eastAsiaTheme="majorEastAsia" w:hAnsiTheme="majorHAnsi" w:cstheme="majorBidi"/>
          <w:sz w:val="24"/>
          <w:szCs w:val="24"/>
        </w:rPr>
        <w:t xml:space="preserve">  </w:t>
      </w:r>
    </w:p>
    <w:p w14:paraId="2077E66C" w14:textId="1707373B" w:rsidR="38F6C2F3" w:rsidRDefault="38F6C2F3" w:rsidP="008240EA">
      <w:pPr>
        <w:pStyle w:val="ListParagraph"/>
        <w:numPr>
          <w:ilvl w:val="0"/>
          <w:numId w:val="33"/>
        </w:numPr>
        <w:rPr>
          <w:rFonts w:asciiTheme="majorHAnsi" w:eastAsiaTheme="majorEastAsia" w:hAnsiTheme="majorHAnsi" w:cstheme="majorBidi"/>
          <w:sz w:val="24"/>
          <w:szCs w:val="24"/>
        </w:rPr>
      </w:pPr>
      <w:r w:rsidRPr="2109ACC4">
        <w:rPr>
          <w:rFonts w:asciiTheme="majorHAnsi" w:eastAsiaTheme="majorEastAsia" w:hAnsiTheme="majorHAnsi" w:cstheme="majorBidi"/>
          <w:sz w:val="24"/>
          <w:szCs w:val="24"/>
        </w:rPr>
        <w:t xml:space="preserve">From July 1, </w:t>
      </w:r>
      <w:proofErr w:type="gramStart"/>
      <w:r w:rsidRPr="2109ACC4">
        <w:rPr>
          <w:rFonts w:asciiTheme="majorHAnsi" w:eastAsiaTheme="majorEastAsia" w:hAnsiTheme="majorHAnsi" w:cstheme="majorBidi"/>
          <w:sz w:val="24"/>
          <w:szCs w:val="24"/>
        </w:rPr>
        <w:t>2018</w:t>
      </w:r>
      <w:proofErr w:type="gramEnd"/>
      <w:r w:rsidRPr="2109ACC4">
        <w:rPr>
          <w:rFonts w:asciiTheme="majorHAnsi" w:eastAsiaTheme="majorEastAsia" w:hAnsiTheme="majorHAnsi" w:cstheme="majorBidi"/>
          <w:sz w:val="24"/>
          <w:szCs w:val="24"/>
        </w:rPr>
        <w:t xml:space="preserve"> to March 31, 2023, ACOs and CPs cumulatively spent $1.2B in DSRIP funding: </w:t>
      </w:r>
    </w:p>
    <w:p w14:paraId="4E95355F" w14:textId="28C6E622" w:rsidR="38F6C2F3" w:rsidRDefault="38F6C2F3" w:rsidP="008240EA">
      <w:pPr>
        <w:pStyle w:val="ListParagraph"/>
        <w:numPr>
          <w:ilvl w:val="1"/>
          <w:numId w:val="33"/>
        </w:numPr>
        <w:rPr>
          <w:rFonts w:asciiTheme="majorHAnsi" w:eastAsiaTheme="majorEastAsia" w:hAnsiTheme="majorHAnsi" w:cstheme="majorBidi"/>
          <w:sz w:val="24"/>
          <w:szCs w:val="24"/>
        </w:rPr>
      </w:pPr>
      <w:r w:rsidRPr="2109ACC4">
        <w:rPr>
          <w:rFonts w:asciiTheme="majorHAnsi" w:eastAsiaTheme="majorEastAsia" w:hAnsiTheme="majorHAnsi" w:cstheme="majorBidi"/>
          <w:sz w:val="24"/>
          <w:szCs w:val="24"/>
        </w:rPr>
        <w:t xml:space="preserve">$794.8M by ACOs (Startup/Ongoing and Flexible Services)  </w:t>
      </w:r>
    </w:p>
    <w:p w14:paraId="0101F4F8" w14:textId="37808A65" w:rsidR="38F6C2F3" w:rsidRDefault="38F6C2F3" w:rsidP="008240EA">
      <w:pPr>
        <w:pStyle w:val="ListParagraph"/>
        <w:numPr>
          <w:ilvl w:val="1"/>
          <w:numId w:val="33"/>
        </w:numPr>
        <w:rPr>
          <w:rFonts w:asciiTheme="majorHAnsi" w:eastAsiaTheme="majorEastAsia" w:hAnsiTheme="majorHAnsi" w:cstheme="majorBidi"/>
          <w:sz w:val="24"/>
          <w:szCs w:val="24"/>
        </w:rPr>
      </w:pPr>
      <w:r w:rsidRPr="2109ACC4">
        <w:rPr>
          <w:rFonts w:asciiTheme="majorHAnsi" w:eastAsiaTheme="majorEastAsia" w:hAnsiTheme="majorHAnsi" w:cstheme="majorBidi"/>
          <w:sz w:val="24"/>
          <w:szCs w:val="24"/>
        </w:rPr>
        <w:t xml:space="preserve">$377.1M by CPs (Infrastructure and Care Coordination) </w:t>
      </w:r>
    </w:p>
    <w:p w14:paraId="3867F285" w14:textId="0BEF137F" w:rsidR="38F6C2F3" w:rsidRDefault="38F6C2F3" w:rsidP="008240EA">
      <w:pPr>
        <w:pStyle w:val="ListParagraph"/>
        <w:numPr>
          <w:ilvl w:val="0"/>
          <w:numId w:val="32"/>
        </w:numPr>
        <w:rPr>
          <w:rFonts w:asciiTheme="majorHAnsi" w:eastAsiaTheme="majorEastAsia" w:hAnsiTheme="majorHAnsi" w:cstheme="majorBidi"/>
          <w:sz w:val="24"/>
          <w:szCs w:val="24"/>
        </w:rPr>
      </w:pPr>
      <w:r w:rsidRPr="2109ACC4">
        <w:rPr>
          <w:rFonts w:asciiTheme="majorHAnsi" w:eastAsiaTheme="majorEastAsia" w:hAnsiTheme="majorHAnsi" w:cstheme="majorBidi"/>
          <w:sz w:val="24"/>
          <w:szCs w:val="24"/>
        </w:rPr>
        <w:t>Additionally, $13.4M of DSRIP funding was used for Statewide Investments in 2022 to support workforce development (training, hiring, retention), technical assistance for ACOs and CPs, and related initiatives.</w:t>
      </w:r>
    </w:p>
    <w:p w14:paraId="20BA4679" w14:textId="2B11D351" w:rsidR="1B099874" w:rsidRDefault="1B099874" w:rsidP="2109ACC4">
      <w:pPr>
        <w:rPr>
          <w:rFonts w:asciiTheme="majorHAnsi" w:eastAsiaTheme="majorEastAsia" w:hAnsiTheme="majorHAnsi" w:cstheme="majorBidi"/>
        </w:rPr>
      </w:pPr>
      <w:r w:rsidRPr="2109ACC4">
        <w:rPr>
          <w:rFonts w:asciiTheme="majorHAnsi" w:eastAsiaTheme="majorEastAsia" w:hAnsiTheme="majorHAnsi" w:cstheme="majorBidi"/>
          <w:b/>
          <w:bCs/>
          <w:sz w:val="24"/>
          <w:szCs w:val="24"/>
          <w:u w:val="single"/>
        </w:rPr>
        <w:t>Note:</w:t>
      </w:r>
      <w:r w:rsidRPr="2109ACC4">
        <w:rPr>
          <w:rFonts w:asciiTheme="majorHAnsi" w:eastAsiaTheme="majorEastAsia" w:hAnsiTheme="majorHAnsi" w:cstheme="majorBidi"/>
          <w:sz w:val="24"/>
          <w:szCs w:val="24"/>
        </w:rPr>
        <w:t xml:space="preserve"> See Appendix for detailed DSRIP funding charts by ACO, CP, and Statewide Investments programs</w:t>
      </w:r>
    </w:p>
    <w:p w14:paraId="27401268" w14:textId="295E3D6D" w:rsidR="2E7B487C" w:rsidRDefault="2E7B487C" w:rsidP="2109ACC4">
      <w:pPr>
        <w:pStyle w:val="Heading4"/>
      </w:pPr>
      <w:r>
        <w:t>Slide 35: 2022 DSRIP Investments: by the Numbers</w:t>
      </w:r>
    </w:p>
    <w:p w14:paraId="77A4FF8D" w14:textId="6D9E5F07" w:rsidR="2E7B487C" w:rsidRDefault="2E7B487C" w:rsidP="008240EA">
      <w:pPr>
        <w:pStyle w:val="ListParagraph"/>
        <w:numPr>
          <w:ilvl w:val="0"/>
          <w:numId w:val="31"/>
        </w:numPr>
        <w:rPr>
          <w:rFonts w:asciiTheme="majorHAnsi" w:eastAsiaTheme="majorEastAsia" w:hAnsiTheme="majorHAnsi" w:cstheme="majorBidi"/>
          <w:sz w:val="24"/>
          <w:szCs w:val="24"/>
        </w:rPr>
      </w:pPr>
      <w:r w:rsidRPr="2109ACC4">
        <w:rPr>
          <w:rFonts w:asciiTheme="majorHAnsi" w:eastAsiaTheme="majorEastAsia" w:hAnsiTheme="majorHAnsi" w:cstheme="majorBidi"/>
          <w:b/>
          <w:bCs/>
          <w:sz w:val="24"/>
          <w:szCs w:val="24"/>
        </w:rPr>
        <w:t>444 different ACO investments/programs</w:t>
      </w:r>
      <w:r w:rsidRPr="2109ACC4">
        <w:rPr>
          <w:rFonts w:asciiTheme="majorHAnsi" w:eastAsiaTheme="majorEastAsia" w:hAnsiTheme="majorHAnsi" w:cstheme="majorBidi"/>
          <w:sz w:val="24"/>
          <w:szCs w:val="24"/>
        </w:rPr>
        <w:t xml:space="preserve"> supported by DSRIP</w:t>
      </w:r>
    </w:p>
    <w:p w14:paraId="1572B04F" w14:textId="346A77A0" w:rsidR="666A3F2C" w:rsidRDefault="666A3F2C" w:rsidP="008240EA">
      <w:pPr>
        <w:pStyle w:val="ListParagraph"/>
        <w:numPr>
          <w:ilvl w:val="1"/>
          <w:numId w:val="31"/>
        </w:numPr>
        <w:rPr>
          <w:rFonts w:asciiTheme="majorHAnsi" w:eastAsiaTheme="majorEastAsia" w:hAnsiTheme="majorHAnsi" w:cstheme="majorBidi"/>
          <w:sz w:val="24"/>
          <w:szCs w:val="24"/>
        </w:rPr>
      </w:pPr>
      <w:r w:rsidRPr="2109ACC4">
        <w:rPr>
          <w:rFonts w:asciiTheme="majorHAnsi" w:eastAsiaTheme="majorEastAsia" w:hAnsiTheme="majorHAnsi" w:cstheme="majorBidi"/>
          <w:sz w:val="24"/>
          <w:szCs w:val="24"/>
        </w:rPr>
        <w:t>Initiatives implemented by ACOs to improve quality of member care and lower total cost of care</w:t>
      </w:r>
    </w:p>
    <w:p w14:paraId="4DACA625" w14:textId="1EC0E3C5" w:rsidR="666A3F2C" w:rsidRDefault="666A3F2C" w:rsidP="008240EA">
      <w:pPr>
        <w:pStyle w:val="ListParagraph"/>
        <w:numPr>
          <w:ilvl w:val="0"/>
          <w:numId w:val="31"/>
        </w:numPr>
        <w:rPr>
          <w:rFonts w:asciiTheme="majorHAnsi" w:eastAsiaTheme="majorEastAsia" w:hAnsiTheme="majorHAnsi" w:cstheme="majorBidi"/>
          <w:b/>
          <w:bCs/>
          <w:sz w:val="24"/>
          <w:szCs w:val="24"/>
        </w:rPr>
      </w:pPr>
      <w:r w:rsidRPr="2109ACC4">
        <w:rPr>
          <w:rFonts w:asciiTheme="majorHAnsi" w:eastAsiaTheme="majorEastAsia" w:hAnsiTheme="majorHAnsi" w:cstheme="majorBidi"/>
          <w:b/>
          <w:bCs/>
          <w:sz w:val="24"/>
          <w:szCs w:val="24"/>
        </w:rPr>
        <w:t xml:space="preserve">$47M spent on personnel/staff </w:t>
      </w:r>
      <w:r w:rsidRPr="2109ACC4">
        <w:rPr>
          <w:rFonts w:asciiTheme="majorHAnsi" w:eastAsiaTheme="majorEastAsia" w:hAnsiTheme="majorHAnsi" w:cstheme="majorBidi"/>
          <w:sz w:val="24"/>
          <w:szCs w:val="24"/>
        </w:rPr>
        <w:t>by ACOs</w:t>
      </w:r>
    </w:p>
    <w:p w14:paraId="5C18E0B7" w14:textId="0FFE93AE" w:rsidR="666A3F2C" w:rsidRDefault="666A3F2C" w:rsidP="008240EA">
      <w:pPr>
        <w:pStyle w:val="ListParagraph"/>
        <w:numPr>
          <w:ilvl w:val="1"/>
          <w:numId w:val="31"/>
        </w:numPr>
        <w:rPr>
          <w:rFonts w:asciiTheme="majorHAnsi" w:eastAsiaTheme="majorEastAsia" w:hAnsiTheme="majorHAnsi" w:cstheme="majorBidi"/>
          <w:color w:val="000000" w:themeColor="text1"/>
          <w:sz w:val="24"/>
          <w:szCs w:val="24"/>
        </w:rPr>
      </w:pPr>
      <w:r w:rsidRPr="2109ACC4">
        <w:rPr>
          <w:rFonts w:asciiTheme="majorHAnsi" w:eastAsiaTheme="majorEastAsia" w:hAnsiTheme="majorHAnsi" w:cstheme="majorBidi"/>
          <w:color w:val="000000" w:themeColor="text1"/>
          <w:sz w:val="24"/>
          <w:szCs w:val="24"/>
        </w:rPr>
        <w:t xml:space="preserve">Significant investment in </w:t>
      </w:r>
      <w:proofErr w:type="gramStart"/>
      <w:r w:rsidRPr="2109ACC4">
        <w:rPr>
          <w:rFonts w:asciiTheme="majorHAnsi" w:eastAsiaTheme="majorEastAsia" w:hAnsiTheme="majorHAnsi" w:cstheme="majorBidi"/>
          <w:color w:val="000000" w:themeColor="text1"/>
          <w:sz w:val="24"/>
          <w:szCs w:val="24"/>
        </w:rPr>
        <w:t>workforce</w:t>
      </w:r>
      <w:proofErr w:type="gramEnd"/>
      <w:r w:rsidRPr="2109ACC4">
        <w:rPr>
          <w:rFonts w:asciiTheme="majorHAnsi" w:eastAsiaTheme="majorEastAsia" w:hAnsiTheme="majorHAnsi" w:cstheme="majorBidi"/>
          <w:color w:val="000000" w:themeColor="text1"/>
          <w:sz w:val="24"/>
          <w:szCs w:val="24"/>
        </w:rPr>
        <w:t xml:space="preserve"> (e.g., care coordinators, community health workers, IT staff) to support ACO efforts</w:t>
      </w:r>
    </w:p>
    <w:p w14:paraId="6724C22E" w14:textId="15996BD4" w:rsidR="666A3F2C" w:rsidRDefault="666A3F2C" w:rsidP="008240EA">
      <w:pPr>
        <w:pStyle w:val="ListParagraph"/>
        <w:numPr>
          <w:ilvl w:val="0"/>
          <w:numId w:val="31"/>
        </w:numPr>
        <w:rPr>
          <w:rFonts w:asciiTheme="majorHAnsi" w:eastAsiaTheme="majorEastAsia" w:hAnsiTheme="majorHAnsi" w:cstheme="majorBidi"/>
          <w:sz w:val="24"/>
          <w:szCs w:val="24"/>
        </w:rPr>
      </w:pPr>
      <w:r w:rsidRPr="2109ACC4">
        <w:rPr>
          <w:rFonts w:asciiTheme="majorHAnsi" w:eastAsiaTheme="majorEastAsia" w:hAnsiTheme="majorHAnsi" w:cstheme="majorBidi"/>
          <w:b/>
          <w:bCs/>
          <w:sz w:val="24"/>
          <w:szCs w:val="24"/>
        </w:rPr>
        <w:t>$14.4M spent on infrastructure</w:t>
      </w:r>
      <w:r w:rsidRPr="2109ACC4">
        <w:rPr>
          <w:rFonts w:asciiTheme="majorHAnsi" w:eastAsiaTheme="majorEastAsia" w:hAnsiTheme="majorHAnsi" w:cstheme="majorBidi"/>
          <w:sz w:val="24"/>
          <w:szCs w:val="24"/>
        </w:rPr>
        <w:t xml:space="preserve"> by CPs</w:t>
      </w:r>
    </w:p>
    <w:p w14:paraId="4C526668" w14:textId="2B129618" w:rsidR="666A3F2C" w:rsidRDefault="666A3F2C" w:rsidP="008240EA">
      <w:pPr>
        <w:pStyle w:val="ListParagraph"/>
        <w:numPr>
          <w:ilvl w:val="1"/>
          <w:numId w:val="31"/>
        </w:numPr>
        <w:rPr>
          <w:rFonts w:asciiTheme="majorHAnsi" w:eastAsiaTheme="majorEastAsia" w:hAnsiTheme="majorHAnsi" w:cstheme="majorBidi"/>
          <w:sz w:val="24"/>
          <w:szCs w:val="24"/>
        </w:rPr>
      </w:pPr>
      <w:r w:rsidRPr="2109ACC4">
        <w:rPr>
          <w:rFonts w:asciiTheme="majorHAnsi" w:eastAsiaTheme="majorEastAsia" w:hAnsiTheme="majorHAnsi" w:cstheme="majorBidi"/>
          <w:sz w:val="24"/>
          <w:szCs w:val="24"/>
        </w:rPr>
        <w:lastRenderedPageBreak/>
        <w:t>Build out infrastructure to implement CP program, such as establishing workflows, integrating electronic systems, purchasing tablets to facilitate in-person connections, etc.</w:t>
      </w:r>
    </w:p>
    <w:p w14:paraId="50EBEF84" w14:textId="55CBF916" w:rsidR="666A3F2C" w:rsidRDefault="666A3F2C" w:rsidP="008240EA">
      <w:pPr>
        <w:pStyle w:val="ListParagraph"/>
        <w:numPr>
          <w:ilvl w:val="0"/>
          <w:numId w:val="31"/>
        </w:numPr>
        <w:rPr>
          <w:rFonts w:asciiTheme="majorHAnsi" w:eastAsiaTheme="majorEastAsia" w:hAnsiTheme="majorHAnsi" w:cstheme="majorBidi"/>
          <w:sz w:val="24"/>
          <w:szCs w:val="24"/>
        </w:rPr>
      </w:pPr>
      <w:r w:rsidRPr="2109ACC4">
        <w:rPr>
          <w:rFonts w:asciiTheme="majorHAnsi" w:eastAsiaTheme="majorEastAsia" w:hAnsiTheme="majorHAnsi" w:cstheme="majorBidi"/>
          <w:b/>
          <w:bCs/>
          <w:sz w:val="24"/>
          <w:szCs w:val="24"/>
        </w:rPr>
        <w:t xml:space="preserve">$73.2M paid to CPs for care coordination </w:t>
      </w:r>
      <w:proofErr w:type="gramStart"/>
      <w:r w:rsidRPr="2109ACC4">
        <w:rPr>
          <w:rFonts w:asciiTheme="majorHAnsi" w:eastAsiaTheme="majorEastAsia" w:hAnsiTheme="majorHAnsi" w:cstheme="majorBidi"/>
          <w:b/>
          <w:bCs/>
          <w:sz w:val="24"/>
          <w:szCs w:val="24"/>
        </w:rPr>
        <w:t>supports</w:t>
      </w:r>
      <w:proofErr w:type="gramEnd"/>
      <w:r w:rsidRPr="2109ACC4">
        <w:rPr>
          <w:rFonts w:asciiTheme="majorHAnsi" w:eastAsiaTheme="majorEastAsia" w:hAnsiTheme="majorHAnsi" w:cstheme="majorBidi"/>
          <w:b/>
          <w:bCs/>
          <w:sz w:val="24"/>
          <w:szCs w:val="24"/>
        </w:rPr>
        <w:t xml:space="preserve"> </w:t>
      </w:r>
    </w:p>
    <w:p w14:paraId="710BBA91" w14:textId="673715C2" w:rsidR="666A3F2C" w:rsidRDefault="666A3F2C" w:rsidP="008240EA">
      <w:pPr>
        <w:pStyle w:val="ListParagraph"/>
        <w:numPr>
          <w:ilvl w:val="1"/>
          <w:numId w:val="31"/>
        </w:numPr>
        <w:rPr>
          <w:rFonts w:asciiTheme="majorHAnsi" w:eastAsiaTheme="majorEastAsia" w:hAnsiTheme="majorHAnsi" w:cstheme="majorBidi"/>
          <w:sz w:val="24"/>
          <w:szCs w:val="24"/>
        </w:rPr>
      </w:pPr>
      <w:r w:rsidRPr="2109ACC4">
        <w:rPr>
          <w:rFonts w:asciiTheme="majorHAnsi" w:eastAsiaTheme="majorEastAsia" w:hAnsiTheme="majorHAnsi" w:cstheme="majorBidi"/>
          <w:sz w:val="24"/>
          <w:szCs w:val="24"/>
        </w:rPr>
        <w:t>Payments for outreach, assessing needs, care planning, care coordination, etc.</w:t>
      </w:r>
    </w:p>
    <w:p w14:paraId="2A24C205" w14:textId="560F2AF6" w:rsidR="27F6A61E" w:rsidRDefault="1E99A203" w:rsidP="2109ACC4">
      <w:pPr>
        <w:pStyle w:val="Heading4"/>
      </w:pPr>
      <w:r>
        <w:t xml:space="preserve">Slide 36: ACO DSRIP Startup / Ongoing Investments: Overview by Category </w:t>
      </w:r>
    </w:p>
    <w:p w14:paraId="0856CCBD" w14:textId="6332483A" w:rsidR="2109ACC4" w:rsidRDefault="3C55F4D9" w:rsidP="2109ACC4">
      <w:r>
        <w:t xml:space="preserve">Graph 14: </w:t>
      </w:r>
    </w:p>
    <w:p w14:paraId="11527F30" w14:textId="050B1F99" w:rsidR="2109ACC4" w:rsidRDefault="3C55F4D9" w:rsidP="2109ACC4">
      <w:r>
        <w:rPr>
          <w:noProof/>
        </w:rPr>
        <w:drawing>
          <wp:inline distT="0" distB="0" distL="0" distR="0" wp14:anchorId="29FE79A6" wp14:editId="42950918">
            <wp:extent cx="3105310" cy="3168813"/>
            <wp:effectExtent l="0" t="0" r="0" b="0"/>
            <wp:docPr id="1850773659" name="Picture 1850773659" descr="this graph shows DSRIP startup and ongoing expenditures from January 1st, 2022 to March 31st, 2023. Reference Key Takeaway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105310" cy="3168813"/>
                    </a:xfrm>
                    <a:prstGeom prst="rect">
                      <a:avLst/>
                    </a:prstGeom>
                  </pic:spPr>
                </pic:pic>
              </a:graphicData>
            </a:graphic>
          </wp:inline>
        </w:drawing>
      </w:r>
    </w:p>
    <w:p w14:paraId="6200DD20" w14:textId="0576CEE6" w:rsidR="35A48EF4" w:rsidRDefault="35A48EF4" w:rsidP="05FD1449">
      <w:pPr>
        <w:rPr>
          <w:sz w:val="24"/>
          <w:szCs w:val="24"/>
        </w:rPr>
      </w:pPr>
      <w:r w:rsidRPr="05FD1449">
        <w:rPr>
          <w:sz w:val="24"/>
          <w:szCs w:val="24"/>
        </w:rPr>
        <w:t>Note</w:t>
      </w:r>
      <w:r w:rsidR="49E7F1CC" w:rsidRPr="05FD1449">
        <w:rPr>
          <w:sz w:val="24"/>
          <w:szCs w:val="24"/>
        </w:rPr>
        <w:t xml:space="preserve"> for Graph 14</w:t>
      </w:r>
      <w:r w:rsidR="51123D26" w:rsidRPr="05FD1449">
        <w:rPr>
          <w:sz w:val="24"/>
          <w:szCs w:val="24"/>
        </w:rPr>
        <w:t xml:space="preserve">: </w:t>
      </w:r>
      <w:r w:rsidR="6FF386C7" w:rsidRPr="05FD1449">
        <w:rPr>
          <w:sz w:val="24"/>
          <w:szCs w:val="24"/>
        </w:rPr>
        <w:t xml:space="preserve">Expenditures do not include ACO Delivery System Transformation Initiative (DSTI) or ACO Flexible Services Expenditures; See appendix for DSRIP funding per ACO.  </w:t>
      </w:r>
    </w:p>
    <w:p w14:paraId="2DE1A00E" w14:textId="7B8F607E" w:rsidR="6FF386C7" w:rsidRDefault="6FF386C7"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Key Takeaways: </w:t>
      </w:r>
    </w:p>
    <w:p w14:paraId="0FB2A02E" w14:textId="664D80B6" w:rsidR="5ADD5DA4" w:rsidRDefault="5ADD5DA4" w:rsidP="008240EA">
      <w:pPr>
        <w:pStyle w:val="ListParagraph"/>
        <w:numPr>
          <w:ilvl w:val="0"/>
          <w:numId w:val="30"/>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2022 Startup/Ongoing expenditure data ($69M) reflects a decrease from the 2021 report ($87.5M), which corresponds with an overall decrease in DSRIP funding provided to ACOs. ACO DSRIP allocation percentages by category remained relatively constant between 2021 and 2022</w:t>
      </w:r>
      <w:r w:rsidR="4320391B" w:rsidRPr="05FD1449">
        <w:rPr>
          <w:rFonts w:asciiTheme="majorHAnsi" w:eastAsiaTheme="majorEastAsia" w:hAnsiTheme="majorHAnsi" w:cstheme="majorBidi"/>
          <w:sz w:val="24"/>
          <w:szCs w:val="24"/>
        </w:rPr>
        <w:t>.</w:t>
      </w:r>
    </w:p>
    <w:p w14:paraId="5082D5E2" w14:textId="558C4874" w:rsidR="05FD1449" w:rsidRDefault="05FD1449" w:rsidP="05FD1449">
      <w:pPr>
        <w:pStyle w:val="ListParagraph"/>
        <w:rPr>
          <w:rFonts w:asciiTheme="majorHAnsi" w:eastAsiaTheme="majorEastAsia" w:hAnsiTheme="majorHAnsi" w:cstheme="majorBidi"/>
        </w:rPr>
      </w:pPr>
    </w:p>
    <w:p w14:paraId="4CD30EA8" w14:textId="26E86C64" w:rsidR="4320391B" w:rsidRDefault="4320391B" w:rsidP="008240EA">
      <w:pPr>
        <w:pStyle w:val="ListParagraph"/>
        <w:numPr>
          <w:ilvl w:val="0"/>
          <w:numId w:val="30"/>
        </w:numPr>
        <w:rPr>
          <w:rFonts w:asciiTheme="majorHAnsi" w:eastAsiaTheme="majorEastAsia" w:hAnsiTheme="majorHAnsi" w:cstheme="majorBidi"/>
        </w:rPr>
      </w:pPr>
      <w:r w:rsidRPr="05FD1449">
        <w:rPr>
          <w:rFonts w:asciiTheme="majorHAnsi" w:eastAsiaTheme="majorEastAsia" w:hAnsiTheme="majorHAnsi" w:cstheme="majorBidi"/>
          <w:sz w:val="24"/>
          <w:szCs w:val="24"/>
        </w:rPr>
        <w:t>Overview of categories</w:t>
      </w:r>
      <w:r w:rsidR="25272875" w:rsidRPr="05FD1449">
        <w:rPr>
          <w:rFonts w:asciiTheme="majorHAnsi" w:eastAsiaTheme="majorEastAsia" w:hAnsiTheme="majorHAnsi" w:cstheme="majorBidi"/>
          <w:sz w:val="24"/>
          <w:szCs w:val="24"/>
        </w:rPr>
        <w:t>:</w:t>
      </w:r>
    </w:p>
    <w:p w14:paraId="6F2F5403" w14:textId="1A465A9B" w:rsidR="6FF386C7" w:rsidRDefault="6FF386C7" w:rsidP="008240EA">
      <w:pPr>
        <w:pStyle w:val="ListParagraph"/>
        <w:numPr>
          <w:ilvl w:val="1"/>
          <w:numId w:val="30"/>
        </w:numPr>
        <w:rPr>
          <w:rFonts w:asciiTheme="majorHAnsi" w:eastAsiaTheme="majorEastAsia" w:hAnsiTheme="majorHAnsi" w:cstheme="majorBidi"/>
          <w:sz w:val="24"/>
          <w:szCs w:val="24"/>
        </w:rPr>
      </w:pPr>
      <w:r w:rsidRPr="05FD1449">
        <w:rPr>
          <w:rFonts w:asciiTheme="majorHAnsi" w:eastAsiaTheme="majorEastAsia" w:hAnsiTheme="majorHAnsi" w:cstheme="majorBidi"/>
          <w:b/>
          <w:bCs/>
          <w:sz w:val="24"/>
          <w:szCs w:val="24"/>
        </w:rPr>
        <w:t>Care Coordination &amp; Community-Based Care Initiatives:</w:t>
      </w:r>
      <w:r w:rsidRPr="05FD1449">
        <w:rPr>
          <w:rFonts w:asciiTheme="majorHAnsi" w:eastAsiaTheme="majorEastAsia" w:hAnsiTheme="majorHAnsi" w:cstheme="majorBidi"/>
          <w:sz w:val="24"/>
          <w:szCs w:val="24"/>
        </w:rPr>
        <w:t xml:space="preserve"> Strengthen care coordination/ management and community-based programming </w:t>
      </w:r>
    </w:p>
    <w:p w14:paraId="7A153E37" w14:textId="5CB828CE" w:rsidR="6FF386C7" w:rsidRDefault="6FF386C7" w:rsidP="008240EA">
      <w:pPr>
        <w:pStyle w:val="ListParagraph"/>
        <w:numPr>
          <w:ilvl w:val="1"/>
          <w:numId w:val="30"/>
        </w:numPr>
        <w:rPr>
          <w:rFonts w:asciiTheme="majorHAnsi" w:eastAsiaTheme="majorEastAsia" w:hAnsiTheme="majorHAnsi" w:cstheme="majorBidi"/>
          <w:sz w:val="24"/>
          <w:szCs w:val="24"/>
        </w:rPr>
      </w:pPr>
      <w:r w:rsidRPr="05FD1449">
        <w:rPr>
          <w:rFonts w:asciiTheme="majorHAnsi" w:eastAsiaTheme="majorEastAsia" w:hAnsiTheme="majorHAnsi" w:cstheme="majorBidi"/>
          <w:b/>
          <w:bCs/>
          <w:sz w:val="24"/>
          <w:szCs w:val="24"/>
        </w:rPr>
        <w:t xml:space="preserve">Integration Projects: </w:t>
      </w:r>
      <w:r w:rsidRPr="05FD1449">
        <w:rPr>
          <w:rFonts w:asciiTheme="majorHAnsi" w:eastAsiaTheme="majorEastAsia" w:hAnsiTheme="majorHAnsi" w:cstheme="majorBidi"/>
          <w:sz w:val="24"/>
          <w:szCs w:val="24"/>
        </w:rPr>
        <w:t xml:space="preserve">Increase organizational capacity, as well as integration amongst physical health, BH, LTSS, and health-related social services </w:t>
      </w:r>
    </w:p>
    <w:p w14:paraId="7613D5B3" w14:textId="119C1C65" w:rsidR="6FF386C7" w:rsidRDefault="6FF386C7" w:rsidP="008240EA">
      <w:pPr>
        <w:pStyle w:val="ListParagraph"/>
        <w:numPr>
          <w:ilvl w:val="1"/>
          <w:numId w:val="30"/>
        </w:numPr>
        <w:rPr>
          <w:rFonts w:asciiTheme="majorHAnsi" w:eastAsiaTheme="majorEastAsia" w:hAnsiTheme="majorHAnsi" w:cstheme="majorBidi"/>
          <w:sz w:val="24"/>
          <w:szCs w:val="24"/>
        </w:rPr>
      </w:pPr>
      <w:r w:rsidRPr="05FD1449">
        <w:rPr>
          <w:rFonts w:asciiTheme="majorHAnsi" w:eastAsiaTheme="majorEastAsia" w:hAnsiTheme="majorHAnsi" w:cstheme="majorBidi"/>
          <w:b/>
          <w:bCs/>
          <w:sz w:val="24"/>
          <w:szCs w:val="24"/>
        </w:rPr>
        <w:t>Data Analytics, Population Health, and Health Information Technology:</w:t>
      </w:r>
      <w:r w:rsidRPr="05FD1449">
        <w:rPr>
          <w:rFonts w:asciiTheme="majorHAnsi" w:eastAsiaTheme="majorEastAsia" w:hAnsiTheme="majorHAnsi" w:cstheme="majorBidi"/>
          <w:sz w:val="24"/>
          <w:szCs w:val="24"/>
        </w:rPr>
        <w:t xml:space="preserve"> Improve data collection, analytic platforms, algorithm development, EHR and care management software improvements, and interoperability </w:t>
      </w:r>
    </w:p>
    <w:p w14:paraId="4314ACD5" w14:textId="63E5844A" w:rsidR="6FF386C7" w:rsidRDefault="6FF386C7" w:rsidP="008240EA">
      <w:pPr>
        <w:pStyle w:val="ListParagraph"/>
        <w:numPr>
          <w:ilvl w:val="1"/>
          <w:numId w:val="30"/>
        </w:numPr>
        <w:rPr>
          <w:rFonts w:asciiTheme="majorHAnsi" w:eastAsiaTheme="majorEastAsia" w:hAnsiTheme="majorHAnsi" w:cstheme="majorBidi"/>
          <w:sz w:val="24"/>
          <w:szCs w:val="24"/>
        </w:rPr>
      </w:pPr>
      <w:r w:rsidRPr="05FD1449">
        <w:rPr>
          <w:rFonts w:asciiTheme="majorHAnsi" w:eastAsiaTheme="majorEastAsia" w:hAnsiTheme="majorHAnsi" w:cstheme="majorBidi"/>
          <w:b/>
          <w:bCs/>
          <w:sz w:val="24"/>
          <w:szCs w:val="24"/>
        </w:rPr>
        <w:lastRenderedPageBreak/>
        <w:t xml:space="preserve">Other: </w:t>
      </w:r>
      <w:r w:rsidRPr="05FD1449">
        <w:rPr>
          <w:rFonts w:asciiTheme="majorHAnsi" w:eastAsiaTheme="majorEastAsia" w:hAnsiTheme="majorHAnsi" w:cstheme="majorBidi"/>
          <w:sz w:val="24"/>
          <w:szCs w:val="24"/>
        </w:rPr>
        <w:t>Support workforce development, culturally and linguistically appropriate services, and other investments</w:t>
      </w:r>
    </w:p>
    <w:p w14:paraId="5798CD29" w14:textId="4F185D2D" w:rsidR="3E379514" w:rsidRDefault="3E379514" w:rsidP="05FD1449">
      <w:pPr>
        <w:pStyle w:val="Heading4"/>
      </w:pPr>
      <w:r>
        <w:t xml:space="preserve">Slide 37: </w:t>
      </w:r>
      <w:r w:rsidR="15E60701">
        <w:t xml:space="preserve">CP DSRIP Investments: Overview by Category </w:t>
      </w:r>
    </w:p>
    <w:p w14:paraId="5731137F" w14:textId="78320812" w:rsidR="6325911C" w:rsidRDefault="6325911C" w:rsidP="05FD1449">
      <w:r>
        <w:t xml:space="preserve">Graph 15: </w:t>
      </w:r>
    </w:p>
    <w:p w14:paraId="49148954" w14:textId="1922F935" w:rsidR="6325911C" w:rsidRDefault="6325911C" w:rsidP="05FD1449">
      <w:pPr>
        <w:rPr>
          <w:rFonts w:asciiTheme="majorHAnsi" w:eastAsiaTheme="majorEastAsia" w:hAnsiTheme="majorHAnsi" w:cstheme="majorBidi"/>
        </w:rPr>
      </w:pPr>
      <w:r>
        <w:rPr>
          <w:noProof/>
        </w:rPr>
        <w:drawing>
          <wp:inline distT="0" distB="0" distL="0" distR="0" wp14:anchorId="45413AB4" wp14:editId="1B1E715D">
            <wp:extent cx="2978303" cy="3086259"/>
            <wp:effectExtent l="0" t="0" r="0" b="0"/>
            <wp:docPr id="557430141" name="Picture 557430141" descr="This graph shows CP DSRIP Expenditure from January 1st, 2022 to March 31st 2023. Reference Key Takeaway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978303" cy="3086259"/>
                    </a:xfrm>
                    <a:prstGeom prst="rect">
                      <a:avLst/>
                    </a:prstGeom>
                  </pic:spPr>
                </pic:pic>
              </a:graphicData>
            </a:graphic>
          </wp:inline>
        </w:drawing>
      </w:r>
    </w:p>
    <w:p w14:paraId="531D3529" w14:textId="56A20F46" w:rsidR="6325911C" w:rsidRDefault="6325911C" w:rsidP="05FD1449">
      <w:pPr>
        <w:rPr>
          <w:rFonts w:asciiTheme="majorHAnsi" w:eastAsiaTheme="majorEastAsia" w:hAnsiTheme="majorHAnsi" w:cstheme="majorBidi"/>
        </w:rPr>
      </w:pPr>
      <w:r w:rsidRPr="05FD1449">
        <w:rPr>
          <w:rFonts w:asciiTheme="majorHAnsi" w:eastAsiaTheme="majorEastAsia" w:hAnsiTheme="majorHAnsi" w:cstheme="majorBidi"/>
        </w:rPr>
        <w:t>Note for Graph 1</w:t>
      </w:r>
      <w:r w:rsidR="7DC7E0A5" w:rsidRPr="05FD1449">
        <w:rPr>
          <w:rFonts w:asciiTheme="majorHAnsi" w:eastAsiaTheme="majorEastAsia" w:hAnsiTheme="majorHAnsi" w:cstheme="majorBidi"/>
        </w:rPr>
        <w:t>5</w:t>
      </w:r>
      <w:r w:rsidRPr="05FD1449">
        <w:rPr>
          <w:rFonts w:asciiTheme="majorHAnsi" w:eastAsiaTheme="majorEastAsia" w:hAnsiTheme="majorHAnsi" w:cstheme="majorBidi"/>
        </w:rPr>
        <w:t>: See appendix for DSRIP expenditures by CP</w:t>
      </w:r>
    </w:p>
    <w:p w14:paraId="099167E8" w14:textId="358C4DB7" w:rsidR="24041FAD" w:rsidRDefault="24041FAD" w:rsidP="05FD1449">
      <w:pPr>
        <w:spacing w:after="0"/>
        <w:rPr>
          <w:rFonts w:asciiTheme="majorHAnsi" w:eastAsiaTheme="majorEastAsia" w:hAnsiTheme="majorHAnsi" w:cstheme="majorBidi"/>
        </w:rPr>
      </w:pPr>
      <w:r w:rsidRPr="05FD1449">
        <w:rPr>
          <w:rFonts w:asciiTheme="majorHAnsi" w:eastAsiaTheme="majorEastAsia" w:hAnsiTheme="majorHAnsi" w:cstheme="majorBidi"/>
        </w:rPr>
        <w:t xml:space="preserve">Key Takeaways: </w:t>
      </w:r>
    </w:p>
    <w:p w14:paraId="7FE9058F" w14:textId="64B561A9" w:rsidR="24041FAD" w:rsidRDefault="24041FAD" w:rsidP="008240EA">
      <w:pPr>
        <w:pStyle w:val="ListParagraph"/>
        <w:numPr>
          <w:ilvl w:val="0"/>
          <w:numId w:val="29"/>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2022 expenditure data ($87.7M) reflects a decrease from 2021 expenditures ($95.3M), driven by a decrease in Care Coordination payments and an overall decrease in the CP Infrastructure allocations as the program began to wind down.</w:t>
      </w:r>
    </w:p>
    <w:p w14:paraId="59B5FBB6" w14:textId="0116D41E" w:rsidR="05FD1449" w:rsidRDefault="05FD1449" w:rsidP="05FD1449">
      <w:pPr>
        <w:pStyle w:val="ListParagraph"/>
        <w:rPr>
          <w:rFonts w:asciiTheme="majorHAnsi" w:eastAsiaTheme="majorEastAsia" w:hAnsiTheme="majorHAnsi" w:cstheme="majorBidi"/>
        </w:rPr>
      </w:pPr>
    </w:p>
    <w:p w14:paraId="6B17D943" w14:textId="112E8703" w:rsidR="24041FAD" w:rsidRDefault="24041FAD" w:rsidP="008240EA">
      <w:pPr>
        <w:pStyle w:val="ListParagraph"/>
        <w:numPr>
          <w:ilvl w:val="0"/>
          <w:numId w:val="29"/>
        </w:num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Overview of categories</w:t>
      </w:r>
      <w:r w:rsidR="6B324F0B" w:rsidRPr="05FD1449">
        <w:rPr>
          <w:rFonts w:asciiTheme="majorHAnsi" w:eastAsiaTheme="majorEastAsia" w:hAnsiTheme="majorHAnsi" w:cstheme="majorBidi"/>
          <w:sz w:val="24"/>
          <w:szCs w:val="24"/>
        </w:rPr>
        <w:t xml:space="preserve">: </w:t>
      </w:r>
    </w:p>
    <w:p w14:paraId="2C404109" w14:textId="13D6ACA6" w:rsidR="24041FAD" w:rsidRDefault="24041FAD" w:rsidP="008240EA">
      <w:pPr>
        <w:pStyle w:val="ListParagraph"/>
        <w:numPr>
          <w:ilvl w:val="1"/>
          <w:numId w:val="29"/>
        </w:numPr>
        <w:rPr>
          <w:rFonts w:asciiTheme="majorHAnsi" w:eastAsiaTheme="majorEastAsia" w:hAnsiTheme="majorHAnsi" w:cstheme="majorBidi"/>
          <w:sz w:val="24"/>
          <w:szCs w:val="24"/>
        </w:rPr>
      </w:pPr>
      <w:r w:rsidRPr="05FD1449">
        <w:rPr>
          <w:rFonts w:asciiTheme="majorHAnsi" w:eastAsiaTheme="majorEastAsia" w:hAnsiTheme="majorHAnsi" w:cstheme="majorBidi"/>
          <w:b/>
          <w:bCs/>
          <w:sz w:val="24"/>
          <w:szCs w:val="24"/>
        </w:rPr>
        <w:t>Infrastructure:</w:t>
      </w:r>
      <w:r w:rsidRPr="05FD1449">
        <w:rPr>
          <w:rFonts w:asciiTheme="majorHAnsi" w:eastAsiaTheme="majorEastAsia" w:hAnsiTheme="majorHAnsi" w:cstheme="majorBidi"/>
          <w:sz w:val="24"/>
          <w:szCs w:val="24"/>
        </w:rPr>
        <w:t xml:space="preserve"> Investments in technology, workforce development (e.g., recruitment and training expenses), business </w:t>
      </w:r>
      <w:proofErr w:type="spellStart"/>
      <w:r w:rsidRPr="05FD1449">
        <w:rPr>
          <w:rFonts w:asciiTheme="majorHAnsi" w:eastAsiaTheme="majorEastAsia" w:hAnsiTheme="majorHAnsi" w:cstheme="majorBidi"/>
          <w:sz w:val="24"/>
          <w:szCs w:val="24"/>
        </w:rPr>
        <w:t>start up</w:t>
      </w:r>
      <w:proofErr w:type="spellEnd"/>
      <w:r w:rsidRPr="05FD1449">
        <w:rPr>
          <w:rFonts w:asciiTheme="majorHAnsi" w:eastAsiaTheme="majorEastAsia" w:hAnsiTheme="majorHAnsi" w:cstheme="majorBidi"/>
          <w:sz w:val="24"/>
          <w:szCs w:val="24"/>
        </w:rPr>
        <w:t xml:space="preserve"> costs, and operational infrastructure (e.g., data analytics staff) </w:t>
      </w:r>
    </w:p>
    <w:p w14:paraId="108DBC3D" w14:textId="686A6433" w:rsidR="24041FAD" w:rsidRDefault="24041FAD" w:rsidP="008240EA">
      <w:pPr>
        <w:pStyle w:val="ListParagraph"/>
        <w:numPr>
          <w:ilvl w:val="1"/>
          <w:numId w:val="29"/>
        </w:numPr>
        <w:rPr>
          <w:rFonts w:asciiTheme="majorHAnsi" w:eastAsiaTheme="majorEastAsia" w:hAnsiTheme="majorHAnsi" w:cstheme="majorBidi"/>
          <w:sz w:val="24"/>
          <w:szCs w:val="24"/>
        </w:rPr>
      </w:pPr>
      <w:r w:rsidRPr="05FD1449">
        <w:rPr>
          <w:rFonts w:asciiTheme="majorHAnsi" w:eastAsiaTheme="majorEastAsia" w:hAnsiTheme="majorHAnsi" w:cstheme="majorBidi"/>
          <w:b/>
          <w:bCs/>
          <w:sz w:val="24"/>
          <w:szCs w:val="24"/>
        </w:rPr>
        <w:t xml:space="preserve">Care coordination: </w:t>
      </w:r>
      <w:r w:rsidRPr="05FD1449">
        <w:rPr>
          <w:rFonts w:asciiTheme="majorHAnsi" w:eastAsiaTheme="majorEastAsia" w:hAnsiTheme="majorHAnsi" w:cstheme="majorBidi"/>
          <w:sz w:val="24"/>
          <w:szCs w:val="24"/>
        </w:rPr>
        <w:t>Payment for outreach, assessing needs, care planning, care coordination, etc.</w:t>
      </w:r>
    </w:p>
    <w:p w14:paraId="29BADF3D" w14:textId="4DCDF679" w:rsidR="4CCF55B9" w:rsidRDefault="4CCF55B9" w:rsidP="05FD1449">
      <w:pPr>
        <w:pStyle w:val="Heading4"/>
      </w:pPr>
      <w:r>
        <w:t xml:space="preserve">Slide 38: DSRIP Health-Related Social Needs Spending </w:t>
      </w:r>
    </w:p>
    <w:p w14:paraId="2CFE59BD" w14:textId="257132FB" w:rsidR="4CCF55B9" w:rsidRDefault="4CCF55B9" w:rsidP="05FD1449">
      <w:pPr>
        <w:rPr>
          <w:rFonts w:ascii="Calibri Light" w:eastAsia="Calibri Light" w:hAnsi="Calibri Light" w:cs="Calibri Light"/>
          <w:sz w:val="24"/>
          <w:szCs w:val="24"/>
        </w:rPr>
      </w:pPr>
      <w:r w:rsidRPr="05FD1449">
        <w:rPr>
          <w:rFonts w:ascii="Calibri Light" w:eastAsia="Calibri Light" w:hAnsi="Calibri Light" w:cs="Calibri Light"/>
          <w:sz w:val="24"/>
          <w:szCs w:val="24"/>
        </w:rPr>
        <w:t>One of MassHealth’s key priorities for its ACO program is to better address the health-related socials needs (HRSNs) of its ACO-enrolled members. ACOs have two funding sources available to address HRSNs:</w:t>
      </w:r>
    </w:p>
    <w:p w14:paraId="17312576" w14:textId="5333C910" w:rsidR="38FF9FC9" w:rsidRDefault="38FF9FC9" w:rsidP="008240EA">
      <w:pPr>
        <w:pStyle w:val="ListParagraph"/>
        <w:numPr>
          <w:ilvl w:val="0"/>
          <w:numId w:val="28"/>
        </w:numPr>
        <w:rPr>
          <w:rFonts w:asciiTheme="majorHAnsi" w:eastAsiaTheme="majorEastAsia" w:hAnsiTheme="majorHAnsi" w:cstheme="majorBidi"/>
          <w:b/>
          <w:bCs/>
          <w:sz w:val="24"/>
          <w:szCs w:val="24"/>
        </w:rPr>
      </w:pPr>
      <w:r w:rsidRPr="05FD1449">
        <w:rPr>
          <w:rFonts w:asciiTheme="majorHAnsi" w:eastAsiaTheme="majorEastAsia" w:hAnsiTheme="majorHAnsi" w:cstheme="majorBidi"/>
          <w:b/>
          <w:bCs/>
          <w:sz w:val="24"/>
          <w:szCs w:val="24"/>
        </w:rPr>
        <w:t>General DSRIP Funds:</w:t>
      </w:r>
    </w:p>
    <w:p w14:paraId="60821DA8" w14:textId="2867F3A9" w:rsidR="38FF9FC9" w:rsidRDefault="38FF9FC9" w:rsidP="008240EA">
      <w:pPr>
        <w:pStyle w:val="ListParagraph"/>
        <w:numPr>
          <w:ilvl w:val="1"/>
          <w:numId w:val="28"/>
        </w:num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lastRenderedPageBreak/>
        <w:t xml:space="preserve">ACOs may use general DSRIP funds on investments such as infrastructure, technology, and workforce in support of ACO goals, and some ACOs have leveraged this funding to address HRSNs. </w:t>
      </w:r>
    </w:p>
    <w:p w14:paraId="65C32E31" w14:textId="24D441F5" w:rsidR="38FF9FC9" w:rsidRDefault="38FF9FC9" w:rsidP="008240EA">
      <w:pPr>
        <w:pStyle w:val="ListParagraph"/>
        <w:numPr>
          <w:ilvl w:val="1"/>
          <w:numId w:val="28"/>
        </w:num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CPs may also use DSRIP funds to address certain HRSNs. </w:t>
      </w:r>
    </w:p>
    <w:p w14:paraId="2AFCDA96" w14:textId="40473156" w:rsidR="38FF9FC9" w:rsidRDefault="38FF9FC9" w:rsidP="008240EA">
      <w:pPr>
        <w:pStyle w:val="ListParagraph"/>
        <w:numPr>
          <w:ilvl w:val="1"/>
          <w:numId w:val="28"/>
        </w:num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Funds Spent </w:t>
      </w:r>
      <w:proofErr w:type="gramStart"/>
      <w:r w:rsidRPr="05FD1449">
        <w:rPr>
          <w:rFonts w:asciiTheme="majorHAnsi" w:eastAsiaTheme="majorEastAsia" w:hAnsiTheme="majorHAnsi" w:cstheme="majorBidi"/>
          <w:sz w:val="24"/>
          <w:szCs w:val="24"/>
        </w:rPr>
        <w:t>On</w:t>
      </w:r>
      <w:proofErr w:type="gramEnd"/>
      <w:r w:rsidRPr="05FD1449">
        <w:rPr>
          <w:rFonts w:asciiTheme="majorHAnsi" w:eastAsiaTheme="majorEastAsia" w:hAnsiTheme="majorHAnsi" w:cstheme="majorBidi"/>
          <w:sz w:val="24"/>
          <w:szCs w:val="24"/>
        </w:rPr>
        <w:t xml:space="preserve"> HRSNs</w:t>
      </w:r>
      <w:r w:rsidRPr="05FD1449">
        <w:rPr>
          <w:rStyle w:val="FootnoteReference"/>
          <w:rFonts w:asciiTheme="majorHAnsi" w:eastAsiaTheme="majorEastAsia" w:hAnsiTheme="majorHAnsi" w:cstheme="majorBidi"/>
          <w:sz w:val="24"/>
          <w:szCs w:val="24"/>
        </w:rPr>
        <w:footnoteReference w:id="18"/>
      </w:r>
      <w:r w:rsidR="5F5CA6CE" w:rsidRPr="05FD1449">
        <w:rPr>
          <w:rFonts w:asciiTheme="majorHAnsi" w:eastAsiaTheme="majorEastAsia" w:hAnsiTheme="majorHAnsi" w:cstheme="majorBidi"/>
          <w:sz w:val="24"/>
          <w:szCs w:val="24"/>
          <w:vertAlign w:val="superscript"/>
        </w:rPr>
        <w:t>,</w:t>
      </w:r>
      <w:r w:rsidRPr="05FD1449">
        <w:rPr>
          <w:rStyle w:val="FootnoteReference"/>
          <w:rFonts w:asciiTheme="majorHAnsi" w:eastAsiaTheme="majorEastAsia" w:hAnsiTheme="majorHAnsi" w:cstheme="majorBidi"/>
          <w:sz w:val="24"/>
          <w:szCs w:val="24"/>
        </w:rPr>
        <w:footnoteReference w:id="19"/>
      </w:r>
      <w:r w:rsidRPr="05FD1449">
        <w:rPr>
          <w:rFonts w:asciiTheme="majorHAnsi" w:eastAsiaTheme="majorEastAsia" w:hAnsiTheme="majorHAnsi" w:cstheme="majorBidi"/>
          <w:sz w:val="24"/>
          <w:szCs w:val="24"/>
        </w:rPr>
        <w:t xml:space="preserve"> – 2017: $7.4M, 2018: $34.3M, 2019: $44M, 2020: $32.9M, 2021: $20.5M</w:t>
      </w:r>
      <w:r w:rsidRPr="05FD1449">
        <w:rPr>
          <w:rStyle w:val="FootnoteReference"/>
          <w:rFonts w:asciiTheme="majorHAnsi" w:eastAsiaTheme="majorEastAsia" w:hAnsiTheme="majorHAnsi" w:cstheme="majorBidi"/>
          <w:sz w:val="24"/>
          <w:szCs w:val="24"/>
        </w:rPr>
        <w:footnoteReference w:id="20"/>
      </w:r>
      <w:r w:rsidRPr="05FD1449">
        <w:rPr>
          <w:rFonts w:asciiTheme="majorHAnsi" w:eastAsiaTheme="majorEastAsia" w:hAnsiTheme="majorHAnsi" w:cstheme="majorBidi"/>
          <w:sz w:val="24"/>
          <w:szCs w:val="24"/>
        </w:rPr>
        <w:t>, 2022: $13M</w:t>
      </w:r>
      <w:r w:rsidRPr="05FD1449">
        <w:rPr>
          <w:rStyle w:val="FootnoteReference"/>
          <w:rFonts w:asciiTheme="majorHAnsi" w:eastAsiaTheme="majorEastAsia" w:hAnsiTheme="majorHAnsi" w:cstheme="majorBidi"/>
          <w:sz w:val="24"/>
          <w:szCs w:val="24"/>
        </w:rPr>
        <w:footnoteReference w:id="21"/>
      </w:r>
    </w:p>
    <w:p w14:paraId="753CE283" w14:textId="6C34433F" w:rsidR="38FF9FC9" w:rsidRDefault="38FF9FC9" w:rsidP="008240EA">
      <w:pPr>
        <w:pStyle w:val="ListParagraph"/>
        <w:numPr>
          <w:ilvl w:val="0"/>
          <w:numId w:val="28"/>
        </w:numPr>
        <w:rPr>
          <w:rFonts w:asciiTheme="majorHAnsi" w:eastAsiaTheme="majorEastAsia" w:hAnsiTheme="majorHAnsi" w:cstheme="majorBidi"/>
          <w:b/>
          <w:bCs/>
          <w:sz w:val="24"/>
          <w:szCs w:val="24"/>
        </w:rPr>
      </w:pPr>
      <w:r w:rsidRPr="05FD1449">
        <w:rPr>
          <w:rFonts w:asciiTheme="majorHAnsi" w:eastAsiaTheme="majorEastAsia" w:hAnsiTheme="majorHAnsi" w:cstheme="majorBidi"/>
          <w:b/>
          <w:bCs/>
          <w:sz w:val="24"/>
          <w:szCs w:val="24"/>
        </w:rPr>
        <w:t xml:space="preserve">Flexible Services: </w:t>
      </w:r>
    </w:p>
    <w:p w14:paraId="29CEB027" w14:textId="13F9DA1E" w:rsidR="38FF9FC9" w:rsidRDefault="38FF9FC9" w:rsidP="008240EA">
      <w:pPr>
        <w:pStyle w:val="ListParagraph"/>
        <w:numPr>
          <w:ilvl w:val="1"/>
          <w:numId w:val="28"/>
        </w:num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“Flexible Services” funding can be used to pay for certain nutrition and housing supports, including pre-tenancy supports (e.g., transitional assistance), tenancy sustaining supports, home modifications, and nutrition supports, for certain ACO members. </w:t>
      </w:r>
    </w:p>
    <w:p w14:paraId="5B02CECF" w14:textId="5BBA31DB" w:rsidR="38FF9FC9" w:rsidRDefault="38FF9FC9" w:rsidP="008240EA">
      <w:pPr>
        <w:pStyle w:val="ListParagraph"/>
        <w:numPr>
          <w:ilvl w:val="1"/>
          <w:numId w:val="28"/>
        </w:num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The Flexible Services Program launched in January 2020. </w:t>
      </w:r>
    </w:p>
    <w:p w14:paraId="601D3B03" w14:textId="1925E114" w:rsidR="38FF9FC9" w:rsidRDefault="38FF9FC9" w:rsidP="008240EA">
      <w:pPr>
        <w:pStyle w:val="ListParagraph"/>
        <w:numPr>
          <w:ilvl w:val="1"/>
          <w:numId w:val="28"/>
        </w:num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Details on Flexible Services spending and utilization can be found on p. 18-23.</w:t>
      </w:r>
    </w:p>
    <w:p w14:paraId="679A8BB0" w14:textId="132D22E4" w:rsidR="305DD9DB" w:rsidRDefault="305DD9DB" w:rsidP="05FD1449">
      <w:pPr>
        <w:pStyle w:val="Heading4"/>
      </w:pPr>
      <w:r>
        <w:t xml:space="preserve">Slide 39: Statewide Investments: by the Numbers – Workforce </w:t>
      </w:r>
    </w:p>
    <w:p w14:paraId="6781C460" w14:textId="736F6214" w:rsidR="305DD9DB" w:rsidRDefault="305DD9DB"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Cumulative Through CY22</w:t>
      </w:r>
      <w:r w:rsidRPr="05FD1449">
        <w:rPr>
          <w:rStyle w:val="FootnoteReference"/>
          <w:rFonts w:asciiTheme="majorHAnsi" w:eastAsiaTheme="majorEastAsia" w:hAnsiTheme="majorHAnsi" w:cstheme="majorBidi"/>
          <w:sz w:val="24"/>
          <w:szCs w:val="24"/>
        </w:rPr>
        <w:footnoteReference w:id="22"/>
      </w:r>
    </w:p>
    <w:p w14:paraId="698A4C26" w14:textId="7D14B603" w:rsidR="1A873D7B" w:rsidRDefault="1A873D7B" w:rsidP="008240EA">
      <w:pPr>
        <w:pStyle w:val="ListParagraph"/>
        <w:numPr>
          <w:ilvl w:val="0"/>
          <w:numId w:val="27"/>
        </w:numPr>
        <w:spacing w:after="0"/>
        <w:rPr>
          <w:rFonts w:asciiTheme="majorHAnsi" w:eastAsiaTheme="majorEastAsia" w:hAnsiTheme="majorHAnsi" w:cstheme="majorBidi"/>
          <w:b/>
          <w:bCs/>
          <w:sz w:val="24"/>
          <w:szCs w:val="24"/>
        </w:rPr>
      </w:pPr>
      <w:r w:rsidRPr="05FD1449">
        <w:rPr>
          <w:rFonts w:asciiTheme="majorHAnsi" w:eastAsiaTheme="majorEastAsia" w:hAnsiTheme="majorHAnsi" w:cstheme="majorBidi"/>
          <w:b/>
          <w:bCs/>
          <w:sz w:val="24"/>
          <w:szCs w:val="24"/>
        </w:rPr>
        <w:t xml:space="preserve">307 student loans repaid for community-based clinicians </w:t>
      </w:r>
    </w:p>
    <w:p w14:paraId="6BABBBE6" w14:textId="5213810F" w:rsidR="1A873D7B" w:rsidRDefault="1A873D7B" w:rsidP="008240EA">
      <w:pPr>
        <w:pStyle w:val="ListParagraph"/>
        <w:numPr>
          <w:ilvl w:val="0"/>
          <w:numId w:val="27"/>
        </w:numPr>
        <w:rPr>
          <w:rFonts w:asciiTheme="majorHAnsi" w:eastAsiaTheme="majorEastAsia" w:hAnsiTheme="majorHAnsi" w:cstheme="majorBidi"/>
          <w:b/>
          <w:bCs/>
          <w:sz w:val="24"/>
          <w:szCs w:val="24"/>
        </w:rPr>
      </w:pPr>
      <w:r w:rsidRPr="05FD1449">
        <w:rPr>
          <w:rFonts w:asciiTheme="majorHAnsi" w:eastAsiaTheme="majorEastAsia" w:hAnsiTheme="majorHAnsi" w:cstheme="majorBidi"/>
          <w:b/>
          <w:bCs/>
          <w:sz w:val="24"/>
          <w:szCs w:val="24"/>
        </w:rPr>
        <w:t>$11.1M in student loan repayment</w:t>
      </w:r>
    </w:p>
    <w:p w14:paraId="38060611" w14:textId="12D2A802" w:rsidR="1A873D7B" w:rsidRDefault="1A873D7B" w:rsidP="008240EA">
      <w:pPr>
        <w:pStyle w:val="ListParagraph"/>
        <w:numPr>
          <w:ilvl w:val="0"/>
          <w:numId w:val="27"/>
        </w:numPr>
        <w:rPr>
          <w:rFonts w:asciiTheme="majorHAnsi" w:eastAsiaTheme="majorEastAsia" w:hAnsiTheme="majorHAnsi" w:cstheme="majorBidi"/>
          <w:b/>
          <w:bCs/>
          <w:color w:val="000000" w:themeColor="text1"/>
          <w:sz w:val="24"/>
          <w:szCs w:val="24"/>
        </w:rPr>
      </w:pPr>
      <w:r w:rsidRPr="05FD1449">
        <w:rPr>
          <w:rFonts w:asciiTheme="majorHAnsi" w:eastAsiaTheme="majorEastAsia" w:hAnsiTheme="majorHAnsi" w:cstheme="majorBidi"/>
          <w:b/>
          <w:bCs/>
          <w:sz w:val="24"/>
          <w:szCs w:val="24"/>
        </w:rPr>
        <w:t>90%</w:t>
      </w:r>
      <w:r w:rsidR="501E6955" w:rsidRPr="05FD1449">
        <w:rPr>
          <w:rFonts w:asciiTheme="majorHAnsi" w:eastAsiaTheme="majorEastAsia" w:hAnsiTheme="majorHAnsi" w:cstheme="majorBidi"/>
          <w:b/>
          <w:bCs/>
          <w:sz w:val="24"/>
          <w:szCs w:val="24"/>
        </w:rPr>
        <w:t xml:space="preserve"> </w:t>
      </w:r>
      <w:r w:rsidR="501E6955" w:rsidRPr="05FD1449">
        <w:rPr>
          <w:rFonts w:asciiTheme="majorHAnsi" w:eastAsiaTheme="majorEastAsia" w:hAnsiTheme="majorHAnsi" w:cstheme="majorBidi"/>
          <w:b/>
          <w:bCs/>
          <w:color w:val="000000" w:themeColor="text1"/>
          <w:sz w:val="24"/>
          <w:szCs w:val="24"/>
        </w:rPr>
        <w:t>of BH and primary care providers who received student loan repayment awards from 2018-</w:t>
      </w:r>
      <w:proofErr w:type="gramStart"/>
      <w:r w:rsidR="501E6955" w:rsidRPr="05FD1449">
        <w:rPr>
          <w:rFonts w:asciiTheme="majorHAnsi" w:eastAsiaTheme="majorEastAsia" w:hAnsiTheme="majorHAnsi" w:cstheme="majorBidi"/>
          <w:b/>
          <w:bCs/>
          <w:color w:val="000000" w:themeColor="text1"/>
          <w:sz w:val="24"/>
          <w:szCs w:val="24"/>
        </w:rPr>
        <w:t>2022 that</w:t>
      </w:r>
      <w:proofErr w:type="gramEnd"/>
      <w:r w:rsidR="501E6955" w:rsidRPr="05FD1449">
        <w:rPr>
          <w:rFonts w:asciiTheme="majorHAnsi" w:eastAsiaTheme="majorEastAsia" w:hAnsiTheme="majorHAnsi" w:cstheme="majorBidi"/>
          <w:b/>
          <w:bCs/>
          <w:color w:val="000000" w:themeColor="text1"/>
          <w:sz w:val="24"/>
          <w:szCs w:val="24"/>
        </w:rPr>
        <w:t xml:space="preserve"> are honoring their multi-year service commitment</w:t>
      </w:r>
    </w:p>
    <w:p w14:paraId="6D20DB80" w14:textId="2A252A59" w:rsidR="501E6955" w:rsidRDefault="501E6955" w:rsidP="008240EA">
      <w:pPr>
        <w:pStyle w:val="ListParagraph"/>
        <w:numPr>
          <w:ilvl w:val="1"/>
          <w:numId w:val="27"/>
        </w:numPr>
        <w:rPr>
          <w:rFonts w:asciiTheme="majorHAnsi" w:eastAsiaTheme="majorEastAsia" w:hAnsiTheme="majorHAnsi" w:cstheme="majorBidi"/>
          <w:color w:val="000000" w:themeColor="text1"/>
          <w:sz w:val="24"/>
          <w:szCs w:val="24"/>
        </w:rPr>
      </w:pPr>
      <w:r w:rsidRPr="05FD1449">
        <w:rPr>
          <w:rFonts w:asciiTheme="majorHAnsi" w:eastAsiaTheme="majorEastAsia" w:hAnsiTheme="majorHAnsi" w:cstheme="majorBidi"/>
          <w:color w:val="000000" w:themeColor="text1"/>
          <w:sz w:val="24"/>
          <w:szCs w:val="24"/>
        </w:rPr>
        <w:t>Empowers and incentivizes clinicians to work at and remain in safety net provider organizations</w:t>
      </w:r>
    </w:p>
    <w:p w14:paraId="4949030C" w14:textId="5F88DE67" w:rsidR="2A53A87F" w:rsidRDefault="2A53A87F" w:rsidP="008240EA">
      <w:pPr>
        <w:pStyle w:val="ListParagraph"/>
        <w:numPr>
          <w:ilvl w:val="0"/>
          <w:numId w:val="27"/>
        </w:numPr>
        <w:rPr>
          <w:rFonts w:asciiTheme="majorHAnsi" w:eastAsiaTheme="majorEastAsia" w:hAnsiTheme="majorHAnsi" w:cstheme="majorBidi"/>
          <w:b/>
          <w:bCs/>
          <w:sz w:val="24"/>
          <w:szCs w:val="24"/>
        </w:rPr>
      </w:pPr>
      <w:r w:rsidRPr="05FD1449">
        <w:rPr>
          <w:rFonts w:asciiTheme="majorHAnsi" w:eastAsiaTheme="majorEastAsia" w:hAnsiTheme="majorHAnsi" w:cstheme="majorBidi"/>
          <w:b/>
          <w:bCs/>
          <w:sz w:val="24"/>
          <w:szCs w:val="24"/>
        </w:rPr>
        <w:t>1027 community health workers and peer specialists trained</w:t>
      </w:r>
    </w:p>
    <w:p w14:paraId="1EA23709" w14:textId="5317C863" w:rsidR="2A53A87F" w:rsidRDefault="2A53A87F" w:rsidP="008240EA">
      <w:pPr>
        <w:pStyle w:val="ListParagraph"/>
        <w:numPr>
          <w:ilvl w:val="1"/>
          <w:numId w:val="27"/>
        </w:num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Key members of the extended care team, who help engage members in their care</w:t>
      </w:r>
    </w:p>
    <w:p w14:paraId="48B97271" w14:textId="0DC94BA1" w:rsidR="2A53A87F" w:rsidRDefault="2A53A87F" w:rsidP="008240EA">
      <w:pPr>
        <w:pStyle w:val="ListParagraph"/>
        <w:numPr>
          <w:ilvl w:val="0"/>
          <w:numId w:val="27"/>
        </w:numPr>
        <w:rPr>
          <w:rFonts w:asciiTheme="majorHAnsi" w:eastAsiaTheme="majorEastAsia" w:hAnsiTheme="majorHAnsi" w:cstheme="majorBidi"/>
          <w:b/>
          <w:bCs/>
          <w:sz w:val="24"/>
          <w:szCs w:val="24"/>
        </w:rPr>
      </w:pPr>
      <w:r w:rsidRPr="05FD1449">
        <w:rPr>
          <w:rFonts w:asciiTheme="majorHAnsi" w:eastAsiaTheme="majorEastAsia" w:hAnsiTheme="majorHAnsi" w:cstheme="majorBidi"/>
          <w:b/>
          <w:bCs/>
          <w:sz w:val="24"/>
          <w:szCs w:val="24"/>
        </w:rPr>
        <w:t>34 community health center-based Family Medicine and Family Nurse Practitioner residency training slots supported</w:t>
      </w:r>
    </w:p>
    <w:p w14:paraId="59D234D6" w14:textId="3B336F81" w:rsidR="2A53A87F" w:rsidRDefault="2A53A87F" w:rsidP="008240EA">
      <w:pPr>
        <w:pStyle w:val="ListParagraph"/>
        <w:numPr>
          <w:ilvl w:val="1"/>
          <w:numId w:val="27"/>
        </w:num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Clinicians trained in community-based residency programs more likely to remain in community upon training completion</w:t>
      </w:r>
    </w:p>
    <w:p w14:paraId="1A4D5237" w14:textId="2ABDDFDB" w:rsidR="2A53A87F" w:rsidRDefault="2A53A87F" w:rsidP="05FD1449">
      <w:pPr>
        <w:rPr>
          <w:rFonts w:asciiTheme="majorHAnsi" w:eastAsiaTheme="majorEastAsia" w:hAnsiTheme="majorHAnsi" w:cstheme="majorBidi"/>
          <w:sz w:val="24"/>
          <w:szCs w:val="24"/>
        </w:rPr>
      </w:pPr>
      <w:r w:rsidRPr="05FD1449">
        <w:rPr>
          <w:rFonts w:asciiTheme="majorHAnsi" w:eastAsiaTheme="majorEastAsia" w:hAnsiTheme="majorHAnsi" w:cstheme="majorBidi"/>
          <w:b/>
          <w:bCs/>
          <w:sz w:val="24"/>
          <w:szCs w:val="24"/>
          <w:u w:val="single"/>
        </w:rPr>
        <w:t>Note:</w:t>
      </w:r>
      <w:r w:rsidRPr="05FD1449">
        <w:rPr>
          <w:rFonts w:asciiTheme="majorHAnsi" w:eastAsiaTheme="majorEastAsia" w:hAnsiTheme="majorHAnsi" w:cstheme="majorBidi"/>
          <w:sz w:val="24"/>
          <w:szCs w:val="24"/>
        </w:rPr>
        <w:t xml:space="preserve"> See appendix for DSRIP funding per Statewide Investments program</w:t>
      </w:r>
    </w:p>
    <w:p w14:paraId="00296F25" w14:textId="7C7C1499" w:rsidR="1A5E3507" w:rsidRDefault="1A5E3507" w:rsidP="05FD1449">
      <w:pPr>
        <w:pStyle w:val="Heading4"/>
      </w:pPr>
      <w:r>
        <w:lastRenderedPageBreak/>
        <w:t>Slide 40: Statewide Investments: by the Numbers – Technical Assistance</w:t>
      </w:r>
    </w:p>
    <w:p w14:paraId="0C5E41AA" w14:textId="2F0AD30F" w:rsidR="1A5E3507" w:rsidRDefault="1A5E3507" w:rsidP="05FD1449">
      <w:pPr>
        <w:spacing w:after="0"/>
        <w:rPr>
          <w:sz w:val="24"/>
          <w:szCs w:val="24"/>
        </w:rPr>
      </w:pPr>
      <w:r w:rsidRPr="05FD1449">
        <w:rPr>
          <w:sz w:val="24"/>
          <w:szCs w:val="24"/>
        </w:rPr>
        <w:t>Cumulative through CY22</w:t>
      </w:r>
    </w:p>
    <w:p w14:paraId="3B39B6CE" w14:textId="1412D226" w:rsidR="14A37D17" w:rsidRDefault="14A37D17" w:rsidP="008240EA">
      <w:pPr>
        <w:pStyle w:val="ListParagraph"/>
        <w:numPr>
          <w:ilvl w:val="0"/>
          <w:numId w:val="26"/>
        </w:numPr>
        <w:spacing w:after="0"/>
        <w:rPr>
          <w:rFonts w:asciiTheme="majorHAnsi" w:eastAsiaTheme="majorEastAsia" w:hAnsiTheme="majorHAnsi" w:cstheme="majorBidi"/>
          <w:b/>
          <w:bCs/>
          <w:sz w:val="24"/>
          <w:szCs w:val="24"/>
        </w:rPr>
      </w:pPr>
      <w:r w:rsidRPr="05FD1449">
        <w:rPr>
          <w:rFonts w:asciiTheme="majorHAnsi" w:eastAsiaTheme="majorEastAsia" w:hAnsiTheme="majorHAnsi" w:cstheme="majorBidi"/>
          <w:b/>
          <w:bCs/>
          <w:sz w:val="24"/>
          <w:szCs w:val="24"/>
        </w:rPr>
        <w:t>366 technical assistance (TA) projects funded at ACOs/CPs</w:t>
      </w:r>
    </w:p>
    <w:p w14:paraId="45E6C02D" w14:textId="016CCE67" w:rsidR="14A37D17" w:rsidRDefault="14A37D17" w:rsidP="008240EA">
      <w:pPr>
        <w:pStyle w:val="ListParagraph"/>
        <w:numPr>
          <w:ilvl w:val="0"/>
          <w:numId w:val="26"/>
        </w:numPr>
        <w:spacing w:after="0"/>
        <w:rPr>
          <w:rFonts w:asciiTheme="majorHAnsi" w:eastAsiaTheme="majorEastAsia" w:hAnsiTheme="majorHAnsi" w:cstheme="majorBidi"/>
          <w:b/>
          <w:bCs/>
          <w:sz w:val="24"/>
          <w:szCs w:val="24"/>
        </w:rPr>
      </w:pPr>
      <w:r w:rsidRPr="05FD1449">
        <w:rPr>
          <w:rFonts w:asciiTheme="majorHAnsi" w:eastAsiaTheme="majorEastAsia" w:hAnsiTheme="majorHAnsi" w:cstheme="majorBidi"/>
          <w:b/>
          <w:bCs/>
          <w:sz w:val="24"/>
          <w:szCs w:val="24"/>
        </w:rPr>
        <w:t xml:space="preserve">$28.0M of technical assistance support </w:t>
      </w:r>
    </w:p>
    <w:p w14:paraId="28D99B7A" w14:textId="25DF2EA2" w:rsidR="14A37D17" w:rsidRDefault="14A37D17" w:rsidP="008240EA">
      <w:pPr>
        <w:pStyle w:val="ListParagraph"/>
        <w:numPr>
          <w:ilvl w:val="1"/>
          <w:numId w:val="26"/>
        </w:num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ACOs and CPs were given funds to purchase TA support from a curated catalog of 47 TA vendors with expertise in 9 different domains (e.g., population health management, care coordination/integration, performance improvement) </w:t>
      </w:r>
    </w:p>
    <w:p w14:paraId="5B207EA7" w14:textId="045A48E3" w:rsidR="14A37D17" w:rsidRDefault="14A37D17" w:rsidP="008240EA">
      <w:pPr>
        <w:pStyle w:val="ListParagraph"/>
        <w:numPr>
          <w:ilvl w:val="0"/>
          <w:numId w:val="26"/>
        </w:numPr>
        <w:rPr>
          <w:rFonts w:asciiTheme="majorHAnsi" w:eastAsiaTheme="majorEastAsia" w:hAnsiTheme="majorHAnsi" w:cstheme="majorBidi"/>
          <w:b/>
          <w:bCs/>
          <w:sz w:val="24"/>
          <w:szCs w:val="24"/>
        </w:rPr>
      </w:pPr>
      <w:r w:rsidRPr="05FD1449">
        <w:rPr>
          <w:rFonts w:asciiTheme="majorHAnsi" w:eastAsiaTheme="majorEastAsia" w:hAnsiTheme="majorHAnsi" w:cstheme="majorBidi"/>
          <w:b/>
          <w:bCs/>
          <w:sz w:val="24"/>
          <w:szCs w:val="24"/>
        </w:rPr>
        <w:t>2,233 average monthly active users of DSRIP TA website</w:t>
      </w:r>
      <w:r w:rsidRPr="05FD1449">
        <w:rPr>
          <w:rStyle w:val="FootnoteReference"/>
          <w:rFonts w:asciiTheme="majorHAnsi" w:eastAsiaTheme="majorEastAsia" w:hAnsiTheme="majorHAnsi" w:cstheme="majorBidi"/>
          <w:b/>
          <w:bCs/>
          <w:sz w:val="24"/>
          <w:szCs w:val="24"/>
        </w:rPr>
        <w:footnoteReference w:id="23"/>
      </w:r>
    </w:p>
    <w:p w14:paraId="76EBE928" w14:textId="27D63B38" w:rsidR="14A37D17" w:rsidRDefault="14A37D17" w:rsidP="008240EA">
      <w:pPr>
        <w:pStyle w:val="ListParagraph"/>
        <w:numPr>
          <w:ilvl w:val="1"/>
          <w:numId w:val="26"/>
        </w:numPr>
        <w:rPr>
          <w:sz w:val="24"/>
          <w:szCs w:val="24"/>
        </w:rPr>
      </w:pPr>
      <w:r w:rsidRPr="05FD1449">
        <w:rPr>
          <w:rFonts w:asciiTheme="majorHAnsi" w:eastAsiaTheme="majorEastAsia" w:hAnsiTheme="majorHAnsi" w:cstheme="majorBidi"/>
          <w:sz w:val="24"/>
          <w:szCs w:val="24"/>
        </w:rPr>
        <w:t xml:space="preserve">High interest from ACOs and CPs occurred in 2021 </w:t>
      </w:r>
    </w:p>
    <w:p w14:paraId="5B1B01F8" w14:textId="0E35C1F7" w:rsidR="488E2BC7" w:rsidRDefault="488E2BC7" w:rsidP="05FD1449">
      <w:pPr>
        <w:pStyle w:val="Heading2"/>
      </w:pPr>
      <w:r>
        <w:t xml:space="preserve">Quality and Member Experience Data: Updates and Trends </w:t>
      </w:r>
    </w:p>
    <w:p w14:paraId="0014FCB9" w14:textId="3865E0EB" w:rsidR="488E2BC7" w:rsidRDefault="488E2BC7" w:rsidP="05FD1449">
      <w:pPr>
        <w:pStyle w:val="Heading3"/>
      </w:pPr>
      <w:r>
        <w:t xml:space="preserve">Quality </w:t>
      </w:r>
    </w:p>
    <w:p w14:paraId="4F6C634C" w14:textId="40B3CA95" w:rsidR="0E61F0A3" w:rsidRDefault="0E61F0A3" w:rsidP="05FD1449">
      <w:pPr>
        <w:pStyle w:val="Heading4"/>
      </w:pPr>
      <w:r>
        <w:t xml:space="preserve">Slide 42: Overview of 2022 ACO and CP Quality Data and Performance </w:t>
      </w:r>
    </w:p>
    <w:p w14:paraId="5A22C5D5" w14:textId="71997505" w:rsidR="15B6C3D4" w:rsidRDefault="15B6C3D4" w:rsidP="008240EA">
      <w:pPr>
        <w:pStyle w:val="ListParagraph"/>
        <w:numPr>
          <w:ilvl w:val="0"/>
          <w:numId w:val="25"/>
        </w:num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The varying impact of the pandemic across ACO and CP quality measures, as well as the addition of various COVID-based scoring modifications 2020-2022, </w:t>
      </w:r>
      <w:r w:rsidRPr="05FD1449">
        <w:rPr>
          <w:rFonts w:asciiTheme="majorHAnsi" w:eastAsiaTheme="majorEastAsia" w:hAnsiTheme="majorHAnsi" w:cstheme="majorBidi"/>
          <w:b/>
          <w:bCs/>
          <w:sz w:val="24"/>
          <w:szCs w:val="24"/>
        </w:rPr>
        <w:t xml:space="preserve">makes the comparison of year over year overall quality performance difficult. </w:t>
      </w:r>
      <w:r>
        <w:br/>
      </w:r>
      <w:r w:rsidRPr="05FD1449">
        <w:rPr>
          <w:rFonts w:asciiTheme="majorHAnsi" w:eastAsiaTheme="majorEastAsia" w:hAnsiTheme="majorHAnsi" w:cstheme="majorBidi"/>
          <w:sz w:val="24"/>
          <w:szCs w:val="24"/>
        </w:rPr>
        <w:t xml:space="preserve"> </w:t>
      </w:r>
    </w:p>
    <w:p w14:paraId="0FEAD1F6" w14:textId="1FDA2809" w:rsidR="15B6C3D4" w:rsidRDefault="15B6C3D4" w:rsidP="008240EA">
      <w:pPr>
        <w:pStyle w:val="ListParagraph"/>
        <w:numPr>
          <w:ilvl w:val="0"/>
          <w:numId w:val="25"/>
        </w:numPr>
        <w:rPr>
          <w:rFonts w:asciiTheme="majorHAnsi" w:eastAsiaTheme="majorEastAsia" w:hAnsiTheme="majorHAnsi" w:cstheme="majorBidi"/>
          <w:b/>
          <w:bCs/>
          <w:sz w:val="24"/>
          <w:szCs w:val="24"/>
        </w:rPr>
      </w:pPr>
      <w:r w:rsidRPr="05FD1449">
        <w:rPr>
          <w:rFonts w:asciiTheme="majorHAnsi" w:eastAsiaTheme="majorEastAsia" w:hAnsiTheme="majorHAnsi" w:cstheme="majorBidi"/>
          <w:sz w:val="24"/>
          <w:szCs w:val="24"/>
        </w:rPr>
        <w:t>However, at a</w:t>
      </w:r>
      <w:r w:rsidRPr="05FD1449">
        <w:rPr>
          <w:rFonts w:asciiTheme="majorHAnsi" w:eastAsiaTheme="majorEastAsia" w:hAnsiTheme="majorHAnsi" w:cstheme="majorBidi"/>
          <w:b/>
          <w:bCs/>
          <w:sz w:val="24"/>
          <w:szCs w:val="24"/>
        </w:rPr>
        <w:t xml:space="preserve"> high-level, clinical quality performance improved for ACOs</w:t>
      </w:r>
      <w:r w:rsidRPr="05FD1449">
        <w:rPr>
          <w:rFonts w:asciiTheme="majorHAnsi" w:eastAsiaTheme="majorEastAsia" w:hAnsiTheme="majorHAnsi" w:cstheme="majorBidi"/>
          <w:sz w:val="24"/>
          <w:szCs w:val="24"/>
        </w:rPr>
        <w:t xml:space="preserve"> (73.90% vs. 85.25%) and </w:t>
      </w:r>
      <w:r w:rsidRPr="05FD1449">
        <w:rPr>
          <w:rFonts w:asciiTheme="majorHAnsi" w:eastAsiaTheme="majorEastAsia" w:hAnsiTheme="majorHAnsi" w:cstheme="majorBidi"/>
          <w:b/>
          <w:bCs/>
          <w:sz w:val="24"/>
          <w:szCs w:val="24"/>
        </w:rPr>
        <w:t xml:space="preserve">declined for CPs </w:t>
      </w:r>
      <w:r w:rsidRPr="05FD1449">
        <w:rPr>
          <w:rFonts w:asciiTheme="majorHAnsi" w:eastAsiaTheme="majorEastAsia" w:hAnsiTheme="majorHAnsi" w:cstheme="majorBidi"/>
          <w:sz w:val="24"/>
          <w:szCs w:val="24"/>
        </w:rPr>
        <w:t xml:space="preserve">(69.84% vs. 64.40%) </w:t>
      </w:r>
      <w:r w:rsidRPr="05FD1449">
        <w:rPr>
          <w:rFonts w:asciiTheme="majorHAnsi" w:eastAsiaTheme="majorEastAsia" w:hAnsiTheme="majorHAnsi" w:cstheme="majorBidi"/>
          <w:b/>
          <w:bCs/>
          <w:sz w:val="24"/>
          <w:szCs w:val="24"/>
        </w:rPr>
        <w:t xml:space="preserve">when comparing 2021 to 2022 performance. </w:t>
      </w:r>
    </w:p>
    <w:p w14:paraId="2C9E635D" w14:textId="43E9F70A" w:rsidR="1757CFE5" w:rsidRDefault="1757CFE5" w:rsidP="008240EA">
      <w:pPr>
        <w:pStyle w:val="ListParagraph"/>
        <w:numPr>
          <w:ilvl w:val="1"/>
          <w:numId w:val="25"/>
        </w:num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I</w:t>
      </w:r>
      <w:r w:rsidR="15B6C3D4" w:rsidRPr="05FD1449">
        <w:rPr>
          <w:rFonts w:asciiTheme="majorHAnsi" w:eastAsiaTheme="majorEastAsia" w:hAnsiTheme="majorHAnsi" w:cstheme="majorBidi"/>
          <w:sz w:val="24"/>
          <w:szCs w:val="24"/>
        </w:rPr>
        <w:t xml:space="preserve">n 2022, of the measures that showed substantial declines in performance from 2019 to 2020, all six ACO measures and all four CP measures demonstrated partial to full recovery from their respective previous declines. </w:t>
      </w:r>
    </w:p>
    <w:p w14:paraId="5F7F38AB" w14:textId="6B8956CA" w:rsidR="15B6C3D4" w:rsidRDefault="15B6C3D4" w:rsidP="008240EA">
      <w:pPr>
        <w:pStyle w:val="ListParagraph"/>
        <w:numPr>
          <w:ilvl w:val="1"/>
          <w:numId w:val="25"/>
        </w:num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Despite these improvements, </w:t>
      </w:r>
      <w:r w:rsidRPr="05FD1449">
        <w:rPr>
          <w:rFonts w:asciiTheme="majorHAnsi" w:eastAsiaTheme="majorEastAsia" w:hAnsiTheme="majorHAnsi" w:cstheme="majorBidi"/>
          <w:b/>
          <w:bCs/>
          <w:sz w:val="24"/>
          <w:szCs w:val="24"/>
        </w:rPr>
        <w:t>some measures did not reach their pre-pandemic performance levels or demonstrate improvement over 2021 performance.</w:t>
      </w:r>
      <w:r w:rsidRPr="05FD1449">
        <w:rPr>
          <w:rFonts w:asciiTheme="majorHAnsi" w:eastAsiaTheme="majorEastAsia" w:hAnsiTheme="majorHAnsi" w:cstheme="majorBidi"/>
          <w:sz w:val="24"/>
          <w:szCs w:val="24"/>
        </w:rPr>
        <w:t xml:space="preserve"> </w:t>
      </w:r>
      <w:r>
        <w:br/>
      </w:r>
      <w:r w:rsidRPr="05FD1449">
        <w:rPr>
          <w:rFonts w:asciiTheme="majorHAnsi" w:eastAsiaTheme="majorEastAsia" w:hAnsiTheme="majorHAnsi" w:cstheme="majorBidi"/>
          <w:sz w:val="24"/>
          <w:szCs w:val="24"/>
        </w:rPr>
        <w:t xml:space="preserve"> </w:t>
      </w:r>
    </w:p>
    <w:p w14:paraId="20976373" w14:textId="16E6636E" w:rsidR="15B6C3D4" w:rsidRDefault="15B6C3D4" w:rsidP="008240EA">
      <w:pPr>
        <w:pStyle w:val="ListParagraph"/>
        <w:numPr>
          <w:ilvl w:val="0"/>
          <w:numId w:val="24"/>
        </w:numPr>
        <w:rPr>
          <w:rFonts w:asciiTheme="majorHAnsi" w:eastAsiaTheme="majorEastAsia" w:hAnsiTheme="majorHAnsi" w:cstheme="majorBidi"/>
          <w:sz w:val="24"/>
          <w:szCs w:val="24"/>
        </w:rPr>
      </w:pPr>
      <w:proofErr w:type="gramStart"/>
      <w:r w:rsidRPr="05FD1449">
        <w:rPr>
          <w:rFonts w:asciiTheme="majorHAnsi" w:eastAsiaTheme="majorEastAsia" w:hAnsiTheme="majorHAnsi" w:cstheme="majorBidi"/>
          <w:b/>
          <w:bCs/>
          <w:sz w:val="24"/>
          <w:szCs w:val="24"/>
        </w:rPr>
        <w:t>Member</w:t>
      </w:r>
      <w:proofErr w:type="gramEnd"/>
      <w:r w:rsidRPr="05FD1449">
        <w:rPr>
          <w:rFonts w:asciiTheme="majorHAnsi" w:eastAsiaTheme="majorEastAsia" w:hAnsiTheme="majorHAnsi" w:cstheme="majorBidi"/>
          <w:b/>
          <w:bCs/>
          <w:sz w:val="24"/>
          <w:szCs w:val="24"/>
        </w:rPr>
        <w:t xml:space="preserve"> experience results were similar to 2020-2021,</w:t>
      </w:r>
      <w:r w:rsidRPr="05FD1449">
        <w:rPr>
          <w:rFonts w:asciiTheme="majorHAnsi" w:eastAsiaTheme="majorEastAsia" w:hAnsiTheme="majorHAnsi" w:cstheme="majorBidi"/>
          <w:sz w:val="24"/>
          <w:szCs w:val="24"/>
        </w:rPr>
        <w:t xml:space="preserve"> and demonstrated strong levels of satisfaction with providers, and ongoing opportunities for increased care coordination </w:t>
      </w:r>
    </w:p>
    <w:p w14:paraId="31F238F9" w14:textId="469FC738" w:rsidR="15B6C3D4" w:rsidRDefault="15B6C3D4" w:rsidP="008240EA">
      <w:pPr>
        <w:pStyle w:val="ListParagraph"/>
        <w:numPr>
          <w:ilvl w:val="0"/>
          <w:numId w:val="24"/>
        </w:numPr>
        <w:rPr>
          <w:rFonts w:asciiTheme="majorHAnsi" w:eastAsiaTheme="majorEastAsia" w:hAnsiTheme="majorHAnsi" w:cstheme="majorBidi"/>
          <w:sz w:val="24"/>
          <w:szCs w:val="24"/>
        </w:rPr>
      </w:pPr>
      <w:r w:rsidRPr="05FD1449">
        <w:rPr>
          <w:rFonts w:asciiTheme="majorHAnsi" w:eastAsiaTheme="majorEastAsia" w:hAnsiTheme="majorHAnsi" w:cstheme="majorBidi"/>
          <w:b/>
          <w:bCs/>
          <w:sz w:val="24"/>
          <w:szCs w:val="24"/>
          <w:u w:val="single"/>
        </w:rPr>
        <w:t>Note</w:t>
      </w:r>
      <w:r w:rsidR="3EEB1EBF" w:rsidRPr="05FD1449">
        <w:rPr>
          <w:rFonts w:asciiTheme="majorHAnsi" w:eastAsiaTheme="majorEastAsia" w:hAnsiTheme="majorHAnsi" w:cstheme="majorBidi"/>
          <w:b/>
          <w:bCs/>
          <w:sz w:val="24"/>
          <w:szCs w:val="24"/>
          <w:u w:val="single"/>
        </w:rPr>
        <w:t>:</w:t>
      </w:r>
      <w:r w:rsidR="0BBF892A" w:rsidRPr="05FD1449">
        <w:rPr>
          <w:rFonts w:asciiTheme="majorHAnsi" w:eastAsiaTheme="majorEastAsia" w:hAnsiTheme="majorHAnsi" w:cstheme="majorBidi"/>
          <w:sz w:val="24"/>
          <w:szCs w:val="24"/>
        </w:rPr>
        <w:t xml:space="preserve"> </w:t>
      </w:r>
      <w:r w:rsidRPr="05FD1449">
        <w:rPr>
          <w:rFonts w:asciiTheme="majorHAnsi" w:eastAsiaTheme="majorEastAsia" w:hAnsiTheme="majorHAnsi" w:cstheme="majorBidi"/>
          <w:sz w:val="24"/>
          <w:szCs w:val="24"/>
        </w:rPr>
        <w:t xml:space="preserve">Quality results were not generated for the January – March 2023 </w:t>
      </w:r>
      <w:proofErr w:type="gramStart"/>
      <w:r w:rsidRPr="05FD1449">
        <w:rPr>
          <w:rFonts w:asciiTheme="majorHAnsi" w:eastAsiaTheme="majorEastAsia" w:hAnsiTheme="majorHAnsi" w:cstheme="majorBidi"/>
          <w:sz w:val="24"/>
          <w:szCs w:val="24"/>
        </w:rPr>
        <w:t>time period</w:t>
      </w:r>
      <w:proofErr w:type="gramEnd"/>
      <w:r w:rsidRPr="05FD1449">
        <w:rPr>
          <w:rFonts w:asciiTheme="majorHAnsi" w:eastAsiaTheme="majorEastAsia" w:hAnsiTheme="majorHAnsi" w:cstheme="majorBidi"/>
          <w:sz w:val="24"/>
          <w:szCs w:val="24"/>
        </w:rPr>
        <w:t xml:space="preserve"> as individual measures and/or benchmarks are designed and tested based on a 12-month measurement period </w:t>
      </w:r>
    </w:p>
    <w:p w14:paraId="672F31CB" w14:textId="01B86E92" w:rsidR="26491099" w:rsidRDefault="26491099" w:rsidP="05FD1449">
      <w:pPr>
        <w:rPr>
          <w:rFonts w:asciiTheme="majorHAnsi" w:eastAsiaTheme="majorEastAsia" w:hAnsiTheme="majorHAnsi" w:cstheme="majorBidi"/>
        </w:rPr>
      </w:pPr>
      <w:r w:rsidRPr="05FD1449">
        <w:rPr>
          <w:rFonts w:asciiTheme="majorHAnsi" w:eastAsiaTheme="majorEastAsia" w:hAnsiTheme="majorHAnsi" w:cstheme="majorBidi"/>
          <w:b/>
          <w:bCs/>
          <w:sz w:val="24"/>
          <w:szCs w:val="24"/>
          <w:u w:val="single"/>
        </w:rPr>
        <w:t>Note:</w:t>
      </w:r>
      <w:r w:rsidRPr="05FD1449">
        <w:rPr>
          <w:rFonts w:asciiTheme="majorHAnsi" w:eastAsiaTheme="majorEastAsia" w:hAnsiTheme="majorHAnsi" w:cstheme="majorBidi"/>
          <w:sz w:val="24"/>
          <w:szCs w:val="24"/>
        </w:rPr>
        <w:t xml:space="preserve"> </w:t>
      </w:r>
      <w:r w:rsidR="21E1C7AF" w:rsidRPr="05FD1449">
        <w:rPr>
          <w:rFonts w:asciiTheme="majorHAnsi" w:eastAsiaTheme="majorEastAsia" w:hAnsiTheme="majorHAnsi" w:cstheme="majorBidi"/>
          <w:sz w:val="24"/>
          <w:szCs w:val="24"/>
        </w:rPr>
        <w:t xml:space="preserve">Despite the ongoing PHE, MassHealth and CMS determined 2021 and 2022 data was usable for official quality scoring. This </w:t>
      </w:r>
      <w:proofErr w:type="gramStart"/>
      <w:r w:rsidR="21E1C7AF" w:rsidRPr="05FD1449">
        <w:rPr>
          <w:rFonts w:asciiTheme="majorHAnsi" w:eastAsiaTheme="majorEastAsia" w:hAnsiTheme="majorHAnsi" w:cstheme="majorBidi"/>
          <w:sz w:val="24"/>
          <w:szCs w:val="24"/>
        </w:rPr>
        <w:t>is in contrast to</w:t>
      </w:r>
      <w:proofErr w:type="gramEnd"/>
      <w:r w:rsidR="21E1C7AF" w:rsidRPr="05FD1449">
        <w:rPr>
          <w:rFonts w:asciiTheme="majorHAnsi" w:eastAsiaTheme="majorEastAsia" w:hAnsiTheme="majorHAnsi" w:cstheme="majorBidi"/>
          <w:sz w:val="24"/>
          <w:szCs w:val="24"/>
        </w:rPr>
        <w:t xml:space="preserve"> 2020 when data was deemed unusable due to the pandemic. In response to concerns over the pandemic’s impact on individual quality measures, MassHealth and CMS agreed to certain benchmark reductions for ACO/CP measures demonstrating 2019-2020 performance declines. See the appendix for more details on benchmark reductions and for the ACO and CP measure slates.  </w:t>
      </w:r>
    </w:p>
    <w:p w14:paraId="14CBBFD0" w14:textId="7669C443" w:rsidR="5F97673E" w:rsidRDefault="5F97673E" w:rsidP="05FD1449">
      <w:pPr>
        <w:pStyle w:val="Heading4"/>
      </w:pPr>
      <w:r>
        <w:lastRenderedPageBreak/>
        <w:t>Slide 43: Clinical Quality: Overview of ACO and CP Performance 2019-2022</w:t>
      </w:r>
    </w:p>
    <w:p w14:paraId="46A692AB" w14:textId="6E566EA1" w:rsidR="774E7445" w:rsidRDefault="774E7445" w:rsidP="05FD1449">
      <w:r>
        <w:t xml:space="preserve">Table 4 </w:t>
      </w:r>
      <w:r w:rsidR="3282A228">
        <w:t xml:space="preserve">and </w:t>
      </w:r>
      <w:r w:rsidR="300A5BDB">
        <w:t>5</w:t>
      </w:r>
      <w:r w:rsidR="3282A228">
        <w:t xml:space="preserve">: </w:t>
      </w:r>
    </w:p>
    <w:p w14:paraId="2FF31F46" w14:textId="0ACF30C7" w:rsidR="05FD1449" w:rsidRDefault="05FD1449" w:rsidP="05FD1449"/>
    <w:tbl>
      <w:tblPr>
        <w:tblStyle w:val="TableGrid"/>
        <w:tblW w:w="0" w:type="auto"/>
        <w:tblBorders>
          <w:top w:val="single" w:sz="2" w:space="0" w:color="171717" w:themeColor="background2" w:themeShade="1A"/>
          <w:left w:val="single" w:sz="2" w:space="0" w:color="171717" w:themeColor="background2" w:themeShade="1A"/>
          <w:bottom w:val="single" w:sz="2" w:space="0" w:color="171717" w:themeColor="background2" w:themeShade="1A"/>
          <w:right w:val="single" w:sz="2" w:space="0" w:color="171717" w:themeColor="background2" w:themeShade="1A"/>
          <w:insideH w:val="single" w:sz="2" w:space="0" w:color="171717" w:themeColor="background2" w:themeShade="1A"/>
          <w:insideV w:val="single" w:sz="2" w:space="0" w:color="171717" w:themeColor="background2" w:themeShade="1A"/>
        </w:tblBorders>
        <w:tblLayout w:type="fixed"/>
        <w:tblLook w:val="06A0" w:firstRow="1" w:lastRow="0" w:firstColumn="1" w:lastColumn="0" w:noHBand="1" w:noVBand="1"/>
      </w:tblPr>
      <w:tblGrid>
        <w:gridCol w:w="1515"/>
        <w:gridCol w:w="1605"/>
        <w:gridCol w:w="1641"/>
        <w:gridCol w:w="1479"/>
        <w:gridCol w:w="1560"/>
        <w:gridCol w:w="1560"/>
      </w:tblGrid>
      <w:tr w:rsidR="05FD1449" w14:paraId="69C66604" w14:textId="77777777" w:rsidTr="05FD1449">
        <w:trPr>
          <w:trHeight w:val="1440"/>
        </w:trPr>
        <w:tc>
          <w:tcPr>
            <w:tcW w:w="1515" w:type="dxa"/>
            <w:shd w:val="clear" w:color="auto" w:fill="D9E2F3" w:themeFill="accent1" w:themeFillTint="33"/>
            <w:tcMar>
              <w:top w:w="42" w:type="dxa"/>
              <w:left w:w="85" w:type="dxa"/>
              <w:bottom w:w="42" w:type="dxa"/>
              <w:right w:w="85" w:type="dxa"/>
            </w:tcMar>
          </w:tcPr>
          <w:p w14:paraId="5C460A9A" w14:textId="4721A2FC" w:rsidR="05FD1449" w:rsidRDefault="05FD1449" w:rsidP="05FD1449">
            <w:pP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ACO</w:t>
            </w:r>
          </w:p>
        </w:tc>
        <w:tc>
          <w:tcPr>
            <w:tcW w:w="1605" w:type="dxa"/>
            <w:shd w:val="clear" w:color="auto" w:fill="D9E2F3" w:themeFill="accent1" w:themeFillTint="33"/>
            <w:tcMar>
              <w:top w:w="42" w:type="dxa"/>
              <w:left w:w="85" w:type="dxa"/>
              <w:bottom w:w="42" w:type="dxa"/>
              <w:right w:w="85" w:type="dxa"/>
            </w:tcMar>
          </w:tcPr>
          <w:p w14:paraId="35A91954" w14:textId="10F8B4E3" w:rsidR="05FD1449" w:rsidRDefault="05FD1449" w:rsidP="05FD1449">
            <w:pPr>
              <w:jc w:val="center"/>
              <w:rPr>
                <w:rFonts w:asciiTheme="majorHAnsi" w:eastAsiaTheme="majorEastAsia" w:hAnsiTheme="majorHAnsi" w:cstheme="majorBidi"/>
                <w:b/>
                <w:bCs/>
                <w:color w:val="000000" w:themeColor="text1"/>
              </w:rPr>
            </w:pPr>
            <w:r w:rsidRPr="05FD1449">
              <w:rPr>
                <w:rFonts w:asciiTheme="majorHAnsi" w:eastAsiaTheme="majorEastAsia" w:hAnsiTheme="majorHAnsi" w:cstheme="majorBidi"/>
                <w:b/>
                <w:bCs/>
                <w:color w:val="000000" w:themeColor="text1"/>
              </w:rPr>
              <w:t xml:space="preserve">2019 Official Quality </w:t>
            </w:r>
          </w:p>
          <w:p w14:paraId="20B408AE" w14:textId="3C461EC4"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Score (based on actual 2019 data)</w:t>
            </w:r>
          </w:p>
        </w:tc>
        <w:tc>
          <w:tcPr>
            <w:tcW w:w="1641" w:type="dxa"/>
            <w:shd w:val="clear" w:color="auto" w:fill="D9E2F3" w:themeFill="accent1" w:themeFillTint="33"/>
            <w:tcMar>
              <w:top w:w="42" w:type="dxa"/>
              <w:left w:w="85" w:type="dxa"/>
              <w:bottom w:w="42" w:type="dxa"/>
              <w:right w:w="85" w:type="dxa"/>
            </w:tcMar>
          </w:tcPr>
          <w:p w14:paraId="61E7F09C" w14:textId="06979DE6"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2020 Official</w:t>
            </w:r>
          </w:p>
          <w:p w14:paraId="3DFAA2FC" w14:textId="4135B4A0" w:rsidR="05FD1449" w:rsidRDefault="05FD1449" w:rsidP="05FD1449">
            <w:pPr>
              <w:jc w:val="center"/>
              <w:rPr>
                <w:rFonts w:asciiTheme="majorHAnsi" w:eastAsiaTheme="majorEastAsia" w:hAnsiTheme="majorHAnsi" w:cstheme="majorBidi"/>
                <w:b/>
                <w:bCs/>
                <w:color w:val="000000" w:themeColor="text1"/>
              </w:rPr>
            </w:pPr>
            <w:r w:rsidRPr="05FD1449">
              <w:rPr>
                <w:rFonts w:asciiTheme="majorHAnsi" w:eastAsiaTheme="majorEastAsia" w:hAnsiTheme="majorHAnsi" w:cstheme="majorBidi"/>
                <w:b/>
                <w:bCs/>
                <w:color w:val="000000" w:themeColor="text1"/>
              </w:rPr>
              <w:t xml:space="preserve">Quality Score </w:t>
            </w:r>
            <w:r>
              <w:br/>
            </w:r>
            <w:r w:rsidRPr="05FD1449">
              <w:rPr>
                <w:rFonts w:asciiTheme="majorHAnsi" w:eastAsiaTheme="majorEastAsia" w:hAnsiTheme="majorHAnsi" w:cstheme="majorBidi"/>
                <w:b/>
                <w:bCs/>
                <w:color w:val="000000" w:themeColor="text1"/>
              </w:rPr>
              <w:t xml:space="preserve">(based on 2019 data + COVID </w:t>
            </w:r>
          </w:p>
          <w:p w14:paraId="78B70BF8" w14:textId="25EBED79"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allowances)</w:t>
            </w:r>
            <w:r w:rsidRPr="05FD1449">
              <w:rPr>
                <w:rStyle w:val="FootnoteReference"/>
                <w:rFonts w:asciiTheme="majorHAnsi" w:eastAsiaTheme="majorEastAsia" w:hAnsiTheme="majorHAnsi" w:cstheme="majorBidi"/>
                <w:b/>
                <w:bCs/>
                <w:color w:val="000000" w:themeColor="text1"/>
              </w:rPr>
              <w:footnoteReference w:id="24"/>
            </w:r>
            <w:r w:rsidRPr="05FD1449">
              <w:rPr>
                <w:rFonts w:asciiTheme="majorHAnsi" w:eastAsiaTheme="majorEastAsia" w:hAnsiTheme="majorHAnsi" w:cstheme="majorBidi"/>
                <w:b/>
                <w:bCs/>
                <w:color w:val="000000" w:themeColor="text1"/>
              </w:rPr>
              <w:t xml:space="preserve"> </w:t>
            </w:r>
          </w:p>
        </w:tc>
        <w:tc>
          <w:tcPr>
            <w:tcW w:w="1479" w:type="dxa"/>
            <w:shd w:val="clear" w:color="auto" w:fill="D9E2F3" w:themeFill="accent1" w:themeFillTint="33"/>
            <w:tcMar>
              <w:top w:w="42" w:type="dxa"/>
              <w:left w:w="85" w:type="dxa"/>
              <w:bottom w:w="42" w:type="dxa"/>
              <w:right w:w="85" w:type="dxa"/>
            </w:tcMar>
          </w:tcPr>
          <w:p w14:paraId="5608701D" w14:textId="4D9DA6B6"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 xml:space="preserve">2020 Actual Quality Score </w:t>
            </w:r>
            <w:r>
              <w:br/>
            </w:r>
            <w:r w:rsidRPr="05FD1449">
              <w:rPr>
                <w:rFonts w:asciiTheme="majorHAnsi" w:eastAsiaTheme="majorEastAsia" w:hAnsiTheme="majorHAnsi" w:cstheme="majorBidi"/>
                <w:b/>
                <w:bCs/>
                <w:color w:val="000000" w:themeColor="text1"/>
              </w:rPr>
              <w:t>(based on actual 2020 data)</w:t>
            </w:r>
          </w:p>
        </w:tc>
        <w:tc>
          <w:tcPr>
            <w:tcW w:w="1560" w:type="dxa"/>
            <w:shd w:val="clear" w:color="auto" w:fill="D9E2F3" w:themeFill="accent1" w:themeFillTint="33"/>
            <w:tcMar>
              <w:top w:w="42" w:type="dxa"/>
              <w:left w:w="85" w:type="dxa"/>
              <w:bottom w:w="42" w:type="dxa"/>
              <w:right w:w="85" w:type="dxa"/>
            </w:tcMar>
          </w:tcPr>
          <w:p w14:paraId="08672C73" w14:textId="66DDD73F"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 xml:space="preserve">2021 Actual Quality Score </w:t>
            </w:r>
            <w:r>
              <w:br/>
            </w:r>
            <w:r w:rsidRPr="05FD1449">
              <w:rPr>
                <w:rFonts w:asciiTheme="majorHAnsi" w:eastAsiaTheme="majorEastAsia" w:hAnsiTheme="majorHAnsi" w:cstheme="majorBidi"/>
                <w:b/>
                <w:bCs/>
                <w:color w:val="000000" w:themeColor="text1"/>
              </w:rPr>
              <w:t>(based on actual 2021 data)</w:t>
            </w:r>
          </w:p>
          <w:p w14:paraId="4DA0B427" w14:textId="6FC41D81" w:rsidR="05FD1449" w:rsidRDefault="05FD1449" w:rsidP="05FD1449">
            <w:pPr>
              <w:jc w:val="center"/>
              <w:rPr>
                <w:rFonts w:asciiTheme="majorHAnsi" w:eastAsiaTheme="majorEastAsia" w:hAnsiTheme="majorHAnsi" w:cstheme="majorBidi"/>
                <w:b/>
                <w:bCs/>
                <w:color w:val="FFFFFF" w:themeColor="background1"/>
              </w:rPr>
            </w:pPr>
          </w:p>
        </w:tc>
        <w:tc>
          <w:tcPr>
            <w:tcW w:w="1560" w:type="dxa"/>
            <w:shd w:val="clear" w:color="auto" w:fill="D9E2F3" w:themeFill="accent1" w:themeFillTint="33"/>
            <w:tcMar>
              <w:top w:w="42" w:type="dxa"/>
              <w:left w:w="85" w:type="dxa"/>
              <w:bottom w:w="42" w:type="dxa"/>
              <w:right w:w="85" w:type="dxa"/>
            </w:tcMar>
          </w:tcPr>
          <w:p w14:paraId="0456E813" w14:textId="46B708D1"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 xml:space="preserve">2022 Actual Quality Score </w:t>
            </w:r>
          </w:p>
          <w:p w14:paraId="13E0F0E2" w14:textId="7943E0D9"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 xml:space="preserve">(based on actual 2022 data) </w:t>
            </w:r>
          </w:p>
        </w:tc>
      </w:tr>
      <w:tr w:rsidR="05FD1449" w14:paraId="4D833F74" w14:textId="77777777" w:rsidTr="05FD1449">
        <w:trPr>
          <w:trHeight w:val="1395"/>
        </w:trPr>
        <w:tc>
          <w:tcPr>
            <w:tcW w:w="1515" w:type="dxa"/>
            <w:shd w:val="clear" w:color="auto" w:fill="D9D9D9" w:themeFill="background1" w:themeFillShade="D9"/>
            <w:tcMar>
              <w:top w:w="42" w:type="dxa"/>
              <w:left w:w="85" w:type="dxa"/>
              <w:bottom w:w="42" w:type="dxa"/>
              <w:right w:w="85" w:type="dxa"/>
            </w:tcMar>
            <w:vAlign w:val="center"/>
          </w:tcPr>
          <w:p w14:paraId="40511B39" w14:textId="0AAC24E7" w:rsidR="05FD1449" w:rsidRDefault="05FD1449" w:rsidP="05FD1449">
            <w:pPr>
              <w:rPr>
                <w:rFonts w:asciiTheme="majorHAnsi" w:eastAsiaTheme="majorEastAsia" w:hAnsiTheme="majorHAnsi" w:cstheme="majorBidi"/>
                <w:b/>
                <w:bCs/>
                <w:color w:val="000000" w:themeColor="text1"/>
              </w:rPr>
            </w:pPr>
            <w:r w:rsidRPr="05FD1449">
              <w:rPr>
                <w:rFonts w:asciiTheme="majorHAnsi" w:eastAsiaTheme="majorEastAsia" w:hAnsiTheme="majorHAnsi" w:cstheme="majorBidi"/>
                <w:b/>
                <w:bCs/>
                <w:color w:val="000000" w:themeColor="text1"/>
              </w:rPr>
              <w:t xml:space="preserve">Measures where median ACO passed </w:t>
            </w:r>
          </w:p>
          <w:p w14:paraId="2A247C8B" w14:textId="5B8D2A85" w:rsidR="05FD1449" w:rsidRDefault="05FD1449" w:rsidP="05FD1449">
            <w:pPr>
              <w:rPr>
                <w:rFonts w:asciiTheme="majorHAnsi" w:eastAsiaTheme="majorEastAsia" w:hAnsiTheme="majorHAnsi" w:cstheme="majorBidi"/>
                <w:b/>
                <w:bCs/>
                <w:color w:val="000000" w:themeColor="text1"/>
              </w:rPr>
            </w:pPr>
            <w:r w:rsidRPr="05FD1449">
              <w:rPr>
                <w:rFonts w:asciiTheme="majorHAnsi" w:eastAsiaTheme="majorEastAsia" w:hAnsiTheme="majorHAnsi" w:cstheme="majorBidi"/>
                <w:b/>
                <w:bCs/>
                <w:color w:val="000000" w:themeColor="text1"/>
              </w:rPr>
              <w:t xml:space="preserve">Attainment </w:t>
            </w:r>
          </w:p>
          <w:p w14:paraId="4D55B2D4" w14:textId="33C20801"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Threshold</w:t>
            </w:r>
          </w:p>
        </w:tc>
        <w:tc>
          <w:tcPr>
            <w:tcW w:w="1605" w:type="dxa"/>
            <w:shd w:val="clear" w:color="auto" w:fill="D9D9D9" w:themeFill="background1" w:themeFillShade="D9"/>
            <w:tcMar>
              <w:top w:w="42" w:type="dxa"/>
              <w:left w:w="85" w:type="dxa"/>
              <w:bottom w:w="42" w:type="dxa"/>
              <w:right w:w="85" w:type="dxa"/>
            </w:tcMar>
            <w:vAlign w:val="center"/>
          </w:tcPr>
          <w:p w14:paraId="76E4565E" w14:textId="5CBFF10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14/16 (87.5%)</w:t>
            </w:r>
          </w:p>
        </w:tc>
        <w:tc>
          <w:tcPr>
            <w:tcW w:w="1641" w:type="dxa"/>
            <w:shd w:val="clear" w:color="auto" w:fill="D9D9D9" w:themeFill="background1" w:themeFillShade="D9"/>
            <w:tcMar>
              <w:top w:w="42" w:type="dxa"/>
              <w:left w:w="85" w:type="dxa"/>
              <w:bottom w:w="42" w:type="dxa"/>
              <w:right w:w="85" w:type="dxa"/>
            </w:tcMar>
            <w:vAlign w:val="center"/>
          </w:tcPr>
          <w:p w14:paraId="00D42621" w14:textId="53F122B3"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14/16 (87.5%) – </w:t>
            </w:r>
            <w:r w:rsidRPr="05FD1449">
              <w:rPr>
                <w:rFonts w:asciiTheme="majorHAnsi" w:eastAsiaTheme="majorEastAsia" w:hAnsiTheme="majorHAnsi" w:cstheme="majorBidi"/>
                <w:i/>
                <w:iCs/>
                <w:color w:val="000000" w:themeColor="text1"/>
              </w:rPr>
              <w:t>note: mirrors 2019 by definition</w:t>
            </w:r>
          </w:p>
        </w:tc>
        <w:tc>
          <w:tcPr>
            <w:tcW w:w="1479" w:type="dxa"/>
            <w:shd w:val="clear" w:color="auto" w:fill="D9D9D9" w:themeFill="background1" w:themeFillShade="D9"/>
            <w:tcMar>
              <w:top w:w="42" w:type="dxa"/>
              <w:left w:w="85" w:type="dxa"/>
              <w:bottom w:w="42" w:type="dxa"/>
              <w:right w:w="85" w:type="dxa"/>
            </w:tcMar>
            <w:vAlign w:val="center"/>
          </w:tcPr>
          <w:p w14:paraId="439A7499" w14:textId="3CD09E5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10/16 (62.5%)</w:t>
            </w:r>
          </w:p>
        </w:tc>
        <w:tc>
          <w:tcPr>
            <w:tcW w:w="1560" w:type="dxa"/>
            <w:shd w:val="clear" w:color="auto" w:fill="D9D9D9" w:themeFill="background1" w:themeFillShade="D9"/>
            <w:tcMar>
              <w:top w:w="42" w:type="dxa"/>
              <w:left w:w="85" w:type="dxa"/>
              <w:bottom w:w="42" w:type="dxa"/>
              <w:right w:w="85" w:type="dxa"/>
            </w:tcMar>
            <w:vAlign w:val="center"/>
          </w:tcPr>
          <w:p w14:paraId="2244CD53" w14:textId="533469A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16/18 (88.9%)</w:t>
            </w:r>
          </w:p>
        </w:tc>
        <w:tc>
          <w:tcPr>
            <w:tcW w:w="1560" w:type="dxa"/>
            <w:shd w:val="clear" w:color="auto" w:fill="D9D9D9" w:themeFill="background1" w:themeFillShade="D9"/>
            <w:tcMar>
              <w:top w:w="42" w:type="dxa"/>
              <w:left w:w="85" w:type="dxa"/>
              <w:bottom w:w="42" w:type="dxa"/>
              <w:right w:w="85" w:type="dxa"/>
            </w:tcMar>
            <w:vAlign w:val="center"/>
          </w:tcPr>
          <w:p w14:paraId="68D6FCCF" w14:textId="3ED0BE4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17/19 (89.5%)</w:t>
            </w:r>
          </w:p>
        </w:tc>
      </w:tr>
      <w:tr w:rsidR="05FD1449" w14:paraId="4A517CDC" w14:textId="77777777" w:rsidTr="05FD1449">
        <w:trPr>
          <w:trHeight w:val="1230"/>
        </w:trPr>
        <w:tc>
          <w:tcPr>
            <w:tcW w:w="1515" w:type="dxa"/>
            <w:tcMar>
              <w:top w:w="42" w:type="dxa"/>
              <w:left w:w="85" w:type="dxa"/>
              <w:bottom w:w="42" w:type="dxa"/>
              <w:right w:w="85" w:type="dxa"/>
            </w:tcMar>
            <w:vAlign w:val="center"/>
          </w:tcPr>
          <w:p w14:paraId="41D9323A" w14:textId="4FACE37D"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Median ACO quality score</w:t>
            </w:r>
          </w:p>
        </w:tc>
        <w:tc>
          <w:tcPr>
            <w:tcW w:w="1605" w:type="dxa"/>
            <w:tcMar>
              <w:top w:w="42" w:type="dxa"/>
              <w:left w:w="85" w:type="dxa"/>
              <w:bottom w:w="42" w:type="dxa"/>
              <w:right w:w="85" w:type="dxa"/>
            </w:tcMar>
            <w:vAlign w:val="center"/>
          </w:tcPr>
          <w:p w14:paraId="0A83CA08" w14:textId="640C111E"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75.71%</w:t>
            </w:r>
          </w:p>
        </w:tc>
        <w:tc>
          <w:tcPr>
            <w:tcW w:w="1641" w:type="dxa"/>
            <w:tcMar>
              <w:top w:w="42" w:type="dxa"/>
              <w:left w:w="85" w:type="dxa"/>
              <w:bottom w:w="42" w:type="dxa"/>
              <w:right w:w="85" w:type="dxa"/>
            </w:tcMar>
            <w:vAlign w:val="center"/>
          </w:tcPr>
          <w:p w14:paraId="1A2E5850" w14:textId="6ADDD053"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97.14%</w:t>
            </w:r>
          </w:p>
        </w:tc>
        <w:tc>
          <w:tcPr>
            <w:tcW w:w="1479" w:type="dxa"/>
            <w:tcMar>
              <w:top w:w="42" w:type="dxa"/>
              <w:left w:w="85" w:type="dxa"/>
              <w:bottom w:w="42" w:type="dxa"/>
              <w:right w:w="85" w:type="dxa"/>
            </w:tcMar>
            <w:vAlign w:val="center"/>
          </w:tcPr>
          <w:p w14:paraId="3932C71E" w14:textId="67B4A845"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61.24% </w:t>
            </w:r>
          </w:p>
          <w:p w14:paraId="5079A6B6" w14:textId="67250F51"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(proxy score)</w:t>
            </w:r>
          </w:p>
        </w:tc>
        <w:tc>
          <w:tcPr>
            <w:tcW w:w="1560" w:type="dxa"/>
            <w:tcMar>
              <w:top w:w="42" w:type="dxa"/>
              <w:left w:w="85" w:type="dxa"/>
              <w:bottom w:w="42" w:type="dxa"/>
              <w:right w:w="85" w:type="dxa"/>
            </w:tcMar>
            <w:vAlign w:val="center"/>
          </w:tcPr>
          <w:p w14:paraId="4BE80C55" w14:textId="37F6BEE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73.90%</w:t>
            </w:r>
          </w:p>
        </w:tc>
        <w:tc>
          <w:tcPr>
            <w:tcW w:w="1560" w:type="dxa"/>
            <w:tcMar>
              <w:top w:w="42" w:type="dxa"/>
              <w:left w:w="85" w:type="dxa"/>
              <w:bottom w:w="42" w:type="dxa"/>
              <w:right w:w="85" w:type="dxa"/>
            </w:tcMar>
            <w:vAlign w:val="center"/>
          </w:tcPr>
          <w:p w14:paraId="43A82611" w14:textId="666C7D2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85.25%</w:t>
            </w:r>
          </w:p>
        </w:tc>
      </w:tr>
    </w:tbl>
    <w:p w14:paraId="1351F335" w14:textId="2A4E96DF" w:rsidR="05FD1449" w:rsidRDefault="05FD1449" w:rsidP="05FD1449"/>
    <w:tbl>
      <w:tblPr>
        <w:tblStyle w:val="TableGrid"/>
        <w:tblW w:w="0" w:type="auto"/>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6A0" w:firstRow="1" w:lastRow="0" w:firstColumn="1" w:lastColumn="0" w:noHBand="1" w:noVBand="1"/>
      </w:tblPr>
      <w:tblGrid>
        <w:gridCol w:w="1560"/>
        <w:gridCol w:w="1560"/>
        <w:gridCol w:w="1641"/>
        <w:gridCol w:w="1479"/>
        <w:gridCol w:w="1560"/>
        <w:gridCol w:w="1560"/>
      </w:tblGrid>
      <w:tr w:rsidR="05FD1449" w14:paraId="59ECD492" w14:textId="77777777" w:rsidTr="05FD1449">
        <w:trPr>
          <w:trHeight w:val="870"/>
        </w:trPr>
        <w:tc>
          <w:tcPr>
            <w:tcW w:w="1560" w:type="dxa"/>
            <w:shd w:val="clear" w:color="auto" w:fill="D9E2F3" w:themeFill="accent1" w:themeFillTint="33"/>
            <w:tcMar>
              <w:top w:w="42" w:type="dxa"/>
              <w:left w:w="85" w:type="dxa"/>
              <w:bottom w:w="42" w:type="dxa"/>
              <w:right w:w="85" w:type="dxa"/>
            </w:tcMar>
          </w:tcPr>
          <w:p w14:paraId="25BE3076" w14:textId="6B795DFD" w:rsidR="05FD1449" w:rsidRDefault="05FD1449" w:rsidP="05FD1449">
            <w:pP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CP</w:t>
            </w:r>
          </w:p>
        </w:tc>
        <w:tc>
          <w:tcPr>
            <w:tcW w:w="1560" w:type="dxa"/>
            <w:shd w:val="clear" w:color="auto" w:fill="D9E2F3" w:themeFill="accent1" w:themeFillTint="33"/>
            <w:tcMar>
              <w:top w:w="42" w:type="dxa"/>
              <w:left w:w="85" w:type="dxa"/>
              <w:bottom w:w="42" w:type="dxa"/>
              <w:right w:w="85" w:type="dxa"/>
            </w:tcMar>
          </w:tcPr>
          <w:p w14:paraId="2FE88301" w14:textId="5B98C6C3" w:rsidR="05FD1449" w:rsidRDefault="05FD1449" w:rsidP="05FD1449">
            <w:pPr>
              <w:spacing w:line="14" w:lineRule="auto"/>
              <w:jc w:val="center"/>
              <w:rPr>
                <w:rFonts w:asciiTheme="majorHAnsi" w:eastAsiaTheme="majorEastAsia" w:hAnsiTheme="majorHAnsi" w:cstheme="majorBidi"/>
                <w:b/>
                <w:bCs/>
                <w:color w:val="FFFFFF" w:themeColor="background1"/>
              </w:rPr>
            </w:pPr>
          </w:p>
        </w:tc>
        <w:tc>
          <w:tcPr>
            <w:tcW w:w="1641" w:type="dxa"/>
            <w:shd w:val="clear" w:color="auto" w:fill="D9E2F3" w:themeFill="accent1" w:themeFillTint="33"/>
            <w:tcMar>
              <w:top w:w="42" w:type="dxa"/>
              <w:left w:w="85" w:type="dxa"/>
              <w:bottom w:w="42" w:type="dxa"/>
              <w:right w:w="85" w:type="dxa"/>
            </w:tcMar>
          </w:tcPr>
          <w:p w14:paraId="05D73EDA" w14:textId="3999433C" w:rsidR="05FD1449" w:rsidRDefault="05FD1449" w:rsidP="05FD1449">
            <w:pPr>
              <w:spacing w:line="14" w:lineRule="auto"/>
              <w:jc w:val="center"/>
              <w:rPr>
                <w:rFonts w:asciiTheme="majorHAnsi" w:eastAsiaTheme="majorEastAsia" w:hAnsiTheme="majorHAnsi" w:cstheme="majorBidi"/>
                <w:b/>
                <w:bCs/>
                <w:color w:val="FFFFFF" w:themeColor="background1"/>
              </w:rPr>
            </w:pPr>
          </w:p>
        </w:tc>
        <w:tc>
          <w:tcPr>
            <w:tcW w:w="1479" w:type="dxa"/>
            <w:shd w:val="clear" w:color="auto" w:fill="D9E2F3" w:themeFill="accent1" w:themeFillTint="33"/>
            <w:tcMar>
              <w:top w:w="42" w:type="dxa"/>
              <w:left w:w="85" w:type="dxa"/>
              <w:bottom w:w="42" w:type="dxa"/>
              <w:right w:w="85" w:type="dxa"/>
            </w:tcMar>
          </w:tcPr>
          <w:p w14:paraId="5DC00107" w14:textId="6E078352" w:rsidR="05FD1449" w:rsidRDefault="05FD1449" w:rsidP="05FD1449">
            <w:pPr>
              <w:spacing w:line="14" w:lineRule="auto"/>
              <w:jc w:val="center"/>
              <w:rPr>
                <w:rFonts w:asciiTheme="majorHAnsi" w:eastAsiaTheme="majorEastAsia" w:hAnsiTheme="majorHAnsi" w:cstheme="majorBidi"/>
                <w:b/>
                <w:bCs/>
                <w:color w:val="FFFFFF" w:themeColor="background1"/>
              </w:rPr>
            </w:pPr>
          </w:p>
        </w:tc>
        <w:tc>
          <w:tcPr>
            <w:tcW w:w="1560" w:type="dxa"/>
            <w:shd w:val="clear" w:color="auto" w:fill="D9E2F3" w:themeFill="accent1" w:themeFillTint="33"/>
            <w:tcMar>
              <w:top w:w="42" w:type="dxa"/>
              <w:left w:w="85" w:type="dxa"/>
              <w:bottom w:w="42" w:type="dxa"/>
              <w:right w:w="85" w:type="dxa"/>
            </w:tcMar>
          </w:tcPr>
          <w:p w14:paraId="5AF175FD" w14:textId="55BFA5FD" w:rsidR="05FD1449" w:rsidRDefault="05FD1449" w:rsidP="05FD1449">
            <w:pPr>
              <w:spacing w:line="14" w:lineRule="auto"/>
              <w:jc w:val="center"/>
              <w:rPr>
                <w:rFonts w:asciiTheme="majorHAnsi" w:eastAsiaTheme="majorEastAsia" w:hAnsiTheme="majorHAnsi" w:cstheme="majorBidi"/>
                <w:b/>
                <w:bCs/>
                <w:color w:val="FFFFFF" w:themeColor="background1"/>
              </w:rPr>
            </w:pPr>
          </w:p>
        </w:tc>
        <w:tc>
          <w:tcPr>
            <w:tcW w:w="1560" w:type="dxa"/>
            <w:shd w:val="clear" w:color="auto" w:fill="D9E2F3" w:themeFill="accent1" w:themeFillTint="33"/>
            <w:tcMar>
              <w:top w:w="42" w:type="dxa"/>
              <w:left w:w="85" w:type="dxa"/>
              <w:bottom w:w="42" w:type="dxa"/>
              <w:right w:w="85" w:type="dxa"/>
            </w:tcMar>
          </w:tcPr>
          <w:p w14:paraId="3C3A63BF" w14:textId="4D81CF18" w:rsidR="05FD1449" w:rsidRDefault="05FD1449" w:rsidP="05FD1449">
            <w:pPr>
              <w:spacing w:line="14" w:lineRule="auto"/>
              <w:jc w:val="center"/>
              <w:rPr>
                <w:rFonts w:asciiTheme="majorHAnsi" w:eastAsiaTheme="majorEastAsia" w:hAnsiTheme="majorHAnsi" w:cstheme="majorBidi"/>
                <w:b/>
                <w:bCs/>
                <w:color w:val="FFFFFF" w:themeColor="background1"/>
              </w:rPr>
            </w:pPr>
          </w:p>
        </w:tc>
      </w:tr>
      <w:tr w:rsidR="05FD1449" w14:paraId="01242EB7" w14:textId="77777777" w:rsidTr="05FD1449">
        <w:trPr>
          <w:trHeight w:val="1425"/>
        </w:trPr>
        <w:tc>
          <w:tcPr>
            <w:tcW w:w="1560" w:type="dxa"/>
            <w:shd w:val="clear" w:color="auto" w:fill="D9D9D9" w:themeFill="background1" w:themeFillShade="D9"/>
            <w:tcMar>
              <w:top w:w="42" w:type="dxa"/>
              <w:left w:w="85" w:type="dxa"/>
              <w:bottom w:w="42" w:type="dxa"/>
              <w:right w:w="85" w:type="dxa"/>
            </w:tcMar>
          </w:tcPr>
          <w:p w14:paraId="573B6829" w14:textId="5E71FDFE" w:rsidR="05FD1449" w:rsidRDefault="05FD1449" w:rsidP="05FD1449">
            <w:pPr>
              <w:rPr>
                <w:rFonts w:asciiTheme="majorHAnsi" w:eastAsiaTheme="majorEastAsia" w:hAnsiTheme="majorHAnsi" w:cstheme="majorBidi"/>
                <w:b/>
                <w:bCs/>
                <w:color w:val="000000" w:themeColor="text1"/>
              </w:rPr>
            </w:pPr>
            <w:r w:rsidRPr="05FD1449">
              <w:rPr>
                <w:rFonts w:asciiTheme="majorHAnsi" w:eastAsiaTheme="majorEastAsia" w:hAnsiTheme="majorHAnsi" w:cstheme="majorBidi"/>
                <w:b/>
                <w:bCs/>
                <w:color w:val="000000" w:themeColor="text1"/>
              </w:rPr>
              <w:t>Measures where median</w:t>
            </w:r>
          </w:p>
          <w:p w14:paraId="43B88FD3" w14:textId="2FD7720D" w:rsidR="05FD1449" w:rsidRDefault="05FD1449" w:rsidP="05FD1449">
            <w:pPr>
              <w:rPr>
                <w:rFonts w:asciiTheme="majorHAnsi" w:eastAsiaTheme="majorEastAsia" w:hAnsiTheme="majorHAnsi" w:cstheme="majorBidi"/>
                <w:b/>
                <w:bCs/>
                <w:color w:val="000000" w:themeColor="text1"/>
              </w:rPr>
            </w:pPr>
            <w:r w:rsidRPr="05FD1449">
              <w:rPr>
                <w:rFonts w:asciiTheme="majorHAnsi" w:eastAsiaTheme="majorEastAsia" w:hAnsiTheme="majorHAnsi" w:cstheme="majorBidi"/>
                <w:b/>
                <w:bCs/>
                <w:color w:val="000000" w:themeColor="text1"/>
              </w:rPr>
              <w:t xml:space="preserve">CP passed </w:t>
            </w:r>
          </w:p>
          <w:p w14:paraId="722485FF" w14:textId="6C754708" w:rsidR="05FD1449" w:rsidRDefault="05FD1449" w:rsidP="05FD1449">
            <w:pPr>
              <w:rPr>
                <w:rFonts w:asciiTheme="majorHAnsi" w:eastAsiaTheme="majorEastAsia" w:hAnsiTheme="majorHAnsi" w:cstheme="majorBidi"/>
                <w:b/>
                <w:bCs/>
                <w:color w:val="000000" w:themeColor="text1"/>
              </w:rPr>
            </w:pPr>
            <w:r w:rsidRPr="05FD1449">
              <w:rPr>
                <w:rFonts w:asciiTheme="majorHAnsi" w:eastAsiaTheme="majorEastAsia" w:hAnsiTheme="majorHAnsi" w:cstheme="majorBidi"/>
                <w:b/>
                <w:bCs/>
                <w:color w:val="000000" w:themeColor="text1"/>
              </w:rPr>
              <w:t xml:space="preserve">Attainment </w:t>
            </w:r>
          </w:p>
          <w:p w14:paraId="3E659405" w14:textId="1A5F1A9D"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Threshold</w:t>
            </w:r>
          </w:p>
        </w:tc>
        <w:tc>
          <w:tcPr>
            <w:tcW w:w="1560" w:type="dxa"/>
            <w:shd w:val="clear" w:color="auto" w:fill="D9D9D9" w:themeFill="background1" w:themeFillShade="D9"/>
            <w:tcMar>
              <w:top w:w="42" w:type="dxa"/>
              <w:left w:w="85" w:type="dxa"/>
              <w:bottom w:w="42" w:type="dxa"/>
              <w:right w:w="85" w:type="dxa"/>
            </w:tcMar>
          </w:tcPr>
          <w:p w14:paraId="0C679796" w14:textId="2E74F9C2"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15/15 (100.0%)</w:t>
            </w:r>
          </w:p>
        </w:tc>
        <w:tc>
          <w:tcPr>
            <w:tcW w:w="1641" w:type="dxa"/>
            <w:shd w:val="clear" w:color="auto" w:fill="D9D9D9" w:themeFill="background1" w:themeFillShade="D9"/>
            <w:tcMar>
              <w:top w:w="42" w:type="dxa"/>
              <w:left w:w="85" w:type="dxa"/>
              <w:bottom w:w="42" w:type="dxa"/>
              <w:right w:w="85" w:type="dxa"/>
            </w:tcMar>
          </w:tcPr>
          <w:p w14:paraId="56333FC9" w14:textId="4E04F36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15/15 (100.0%) - note: mirrors 2019 by definition</w:t>
            </w:r>
          </w:p>
        </w:tc>
        <w:tc>
          <w:tcPr>
            <w:tcW w:w="1479" w:type="dxa"/>
            <w:shd w:val="clear" w:color="auto" w:fill="D9D9D9" w:themeFill="background1" w:themeFillShade="D9"/>
            <w:tcMar>
              <w:top w:w="42" w:type="dxa"/>
              <w:left w:w="85" w:type="dxa"/>
              <w:bottom w:w="42" w:type="dxa"/>
              <w:right w:w="85" w:type="dxa"/>
            </w:tcMar>
          </w:tcPr>
          <w:p w14:paraId="22AAF391" w14:textId="43ECF84B"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11/15 (73.3%)</w:t>
            </w:r>
          </w:p>
        </w:tc>
        <w:tc>
          <w:tcPr>
            <w:tcW w:w="1560" w:type="dxa"/>
            <w:shd w:val="clear" w:color="auto" w:fill="D9D9D9" w:themeFill="background1" w:themeFillShade="D9"/>
            <w:tcMar>
              <w:top w:w="42" w:type="dxa"/>
              <w:left w:w="85" w:type="dxa"/>
              <w:bottom w:w="42" w:type="dxa"/>
              <w:right w:w="85" w:type="dxa"/>
            </w:tcMar>
          </w:tcPr>
          <w:p w14:paraId="3FA3A442" w14:textId="017D922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20/20 (100.0%)</w:t>
            </w:r>
          </w:p>
        </w:tc>
        <w:tc>
          <w:tcPr>
            <w:tcW w:w="1560" w:type="dxa"/>
            <w:shd w:val="clear" w:color="auto" w:fill="D9D9D9" w:themeFill="background1" w:themeFillShade="D9"/>
            <w:tcMar>
              <w:top w:w="42" w:type="dxa"/>
              <w:left w:w="85" w:type="dxa"/>
              <w:bottom w:w="42" w:type="dxa"/>
              <w:right w:w="85" w:type="dxa"/>
            </w:tcMar>
          </w:tcPr>
          <w:p w14:paraId="467F5035" w14:textId="6A525B0E"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19/20 (95.0%)</w:t>
            </w:r>
          </w:p>
        </w:tc>
      </w:tr>
      <w:tr w:rsidR="05FD1449" w14:paraId="6FD17B6E" w14:textId="77777777" w:rsidTr="05FD1449">
        <w:trPr>
          <w:trHeight w:val="1080"/>
        </w:trPr>
        <w:tc>
          <w:tcPr>
            <w:tcW w:w="1560" w:type="dxa"/>
            <w:tcMar>
              <w:top w:w="42" w:type="dxa"/>
              <w:left w:w="85" w:type="dxa"/>
              <w:bottom w:w="42" w:type="dxa"/>
              <w:right w:w="85" w:type="dxa"/>
            </w:tcMar>
          </w:tcPr>
          <w:p w14:paraId="3CF75754" w14:textId="44150A59"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Median CP quality score</w:t>
            </w:r>
          </w:p>
        </w:tc>
        <w:tc>
          <w:tcPr>
            <w:tcW w:w="1560" w:type="dxa"/>
            <w:tcMar>
              <w:top w:w="42" w:type="dxa"/>
              <w:left w:w="85" w:type="dxa"/>
              <w:bottom w:w="42" w:type="dxa"/>
              <w:right w:w="85" w:type="dxa"/>
            </w:tcMar>
          </w:tcPr>
          <w:p w14:paraId="1746088C" w14:textId="573DEF2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34.96%</w:t>
            </w:r>
          </w:p>
        </w:tc>
        <w:tc>
          <w:tcPr>
            <w:tcW w:w="1641" w:type="dxa"/>
            <w:tcMar>
              <w:top w:w="42" w:type="dxa"/>
              <w:left w:w="85" w:type="dxa"/>
              <w:bottom w:w="42" w:type="dxa"/>
              <w:right w:w="85" w:type="dxa"/>
            </w:tcMar>
          </w:tcPr>
          <w:p w14:paraId="6C34E905" w14:textId="1BB1BF0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55.53%</w:t>
            </w:r>
          </w:p>
        </w:tc>
        <w:tc>
          <w:tcPr>
            <w:tcW w:w="1479" w:type="dxa"/>
            <w:tcMar>
              <w:top w:w="42" w:type="dxa"/>
              <w:left w:w="85" w:type="dxa"/>
              <w:bottom w:w="42" w:type="dxa"/>
              <w:right w:w="85" w:type="dxa"/>
            </w:tcMar>
          </w:tcPr>
          <w:p w14:paraId="5B50463C" w14:textId="50134B75"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36.92% </w:t>
            </w:r>
          </w:p>
          <w:p w14:paraId="6C94513A" w14:textId="4966DB5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(proxy score)</w:t>
            </w:r>
          </w:p>
        </w:tc>
        <w:tc>
          <w:tcPr>
            <w:tcW w:w="1560" w:type="dxa"/>
            <w:tcMar>
              <w:top w:w="42" w:type="dxa"/>
              <w:left w:w="85" w:type="dxa"/>
              <w:bottom w:w="42" w:type="dxa"/>
              <w:right w:w="85" w:type="dxa"/>
            </w:tcMar>
          </w:tcPr>
          <w:p w14:paraId="0BAAFC59" w14:textId="47CA1A60"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69.84%</w:t>
            </w:r>
          </w:p>
        </w:tc>
        <w:tc>
          <w:tcPr>
            <w:tcW w:w="1560" w:type="dxa"/>
            <w:tcMar>
              <w:top w:w="42" w:type="dxa"/>
              <w:left w:w="85" w:type="dxa"/>
              <w:bottom w:w="42" w:type="dxa"/>
              <w:right w:w="85" w:type="dxa"/>
            </w:tcMar>
          </w:tcPr>
          <w:p w14:paraId="3F8F3064" w14:textId="34E694A0"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64.40%</w:t>
            </w:r>
          </w:p>
        </w:tc>
      </w:tr>
    </w:tbl>
    <w:p w14:paraId="16051D5F" w14:textId="7385E3A7" w:rsidR="05FD1449" w:rsidRDefault="05FD1449" w:rsidP="05FD1449"/>
    <w:p w14:paraId="671A42DA" w14:textId="7A5EAF6B" w:rsidR="1842206A" w:rsidRDefault="1842206A"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Key Takeaways: </w:t>
      </w:r>
    </w:p>
    <w:p w14:paraId="123CCC69" w14:textId="4ABBC040" w:rsidR="1842206A" w:rsidRDefault="1842206A" w:rsidP="008240EA">
      <w:pPr>
        <w:pStyle w:val="ListParagraph"/>
        <w:numPr>
          <w:ilvl w:val="0"/>
          <w:numId w:val="23"/>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b/>
          <w:bCs/>
          <w:sz w:val="24"/>
          <w:szCs w:val="24"/>
        </w:rPr>
        <w:t>ACO/CP clinical quality performance improved for ACOs (73.90% vs. 85.25%) and CPs (69.84% vs. 64.40%)</w:t>
      </w:r>
      <w:r w:rsidRPr="05FD1449">
        <w:rPr>
          <w:rFonts w:asciiTheme="majorHAnsi" w:eastAsiaTheme="majorEastAsia" w:hAnsiTheme="majorHAnsi" w:cstheme="majorBidi"/>
          <w:sz w:val="24"/>
          <w:szCs w:val="24"/>
        </w:rPr>
        <w:t xml:space="preserve"> when comparing 2021 performance data to 2022 performance data </w:t>
      </w:r>
    </w:p>
    <w:p w14:paraId="483E983B" w14:textId="54A72AD8" w:rsidR="1842206A" w:rsidRDefault="1842206A" w:rsidP="008240EA">
      <w:pPr>
        <w:pStyle w:val="ListParagraph"/>
        <w:numPr>
          <w:ilvl w:val="0"/>
          <w:numId w:val="23"/>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b/>
          <w:bCs/>
          <w:sz w:val="24"/>
          <w:szCs w:val="24"/>
        </w:rPr>
        <w:t xml:space="preserve">Improvements above reflect both measure level increases as well as benchmarks reductions implemented in 2021-2022. </w:t>
      </w:r>
      <w:r w:rsidRPr="05FD1449">
        <w:rPr>
          <w:rFonts w:asciiTheme="majorHAnsi" w:eastAsiaTheme="majorEastAsia" w:hAnsiTheme="majorHAnsi" w:cstheme="majorBidi"/>
          <w:sz w:val="24"/>
          <w:szCs w:val="24"/>
        </w:rPr>
        <w:t>However, the expansion of measures in pay-for-</w:t>
      </w:r>
      <w:r w:rsidRPr="05FD1449">
        <w:rPr>
          <w:rFonts w:asciiTheme="majorHAnsi" w:eastAsiaTheme="majorEastAsia" w:hAnsiTheme="majorHAnsi" w:cstheme="majorBidi"/>
          <w:sz w:val="24"/>
          <w:szCs w:val="24"/>
        </w:rPr>
        <w:lastRenderedPageBreak/>
        <w:t>performance status and differences in scoring methodologies (</w:t>
      </w:r>
      <w:proofErr w:type="gramStart"/>
      <w:r w:rsidRPr="05FD1449">
        <w:rPr>
          <w:rFonts w:asciiTheme="majorHAnsi" w:eastAsiaTheme="majorEastAsia" w:hAnsiTheme="majorHAnsi" w:cstheme="majorBidi"/>
          <w:sz w:val="24"/>
          <w:szCs w:val="24"/>
        </w:rPr>
        <w:t>as a result of</w:t>
      </w:r>
      <w:proofErr w:type="gramEnd"/>
      <w:r w:rsidRPr="05FD1449">
        <w:rPr>
          <w:rFonts w:asciiTheme="majorHAnsi" w:eastAsiaTheme="majorEastAsia" w:hAnsiTheme="majorHAnsi" w:cstheme="majorBidi"/>
          <w:sz w:val="24"/>
          <w:szCs w:val="24"/>
        </w:rPr>
        <w:t xml:space="preserve"> COVID-19) place limitations on year-over-year comparisons</w:t>
      </w:r>
    </w:p>
    <w:p w14:paraId="1F684970" w14:textId="570EAB81" w:rsidR="05FD1449" w:rsidRDefault="05FD1449" w:rsidP="05FD1449">
      <w:pPr>
        <w:spacing w:after="0"/>
        <w:rPr>
          <w:rFonts w:ascii="Calibri Light" w:eastAsia="Calibri Light" w:hAnsi="Calibri Light" w:cs="Calibri Light"/>
        </w:rPr>
      </w:pPr>
    </w:p>
    <w:p w14:paraId="3484076C" w14:textId="5218B61A" w:rsidR="6540CBC7" w:rsidRDefault="6540CBC7" w:rsidP="05FD1449">
      <w:pPr>
        <w:pStyle w:val="Heading4"/>
      </w:pPr>
      <w:r>
        <w:t>Slide 44: ACO Clinical Quality: ACO-Level Comparison 2019-2022</w:t>
      </w:r>
    </w:p>
    <w:p w14:paraId="4A0C94D2" w14:textId="51306E4B" w:rsidR="3D9B9B82" w:rsidRDefault="3D9B9B82" w:rsidP="05FD1449">
      <w:r>
        <w:t xml:space="preserve">Table 6: </w:t>
      </w:r>
      <w:r w:rsidR="6540CBC7">
        <w:t xml:space="preserve"> </w:t>
      </w:r>
    </w:p>
    <w:tbl>
      <w:tblPr>
        <w:tblStyle w:val="TableGrid"/>
        <w:tblW w:w="0" w:type="auto"/>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6A0" w:firstRow="1" w:lastRow="0" w:firstColumn="1" w:lastColumn="0" w:noHBand="1" w:noVBand="1"/>
      </w:tblPr>
      <w:tblGrid>
        <w:gridCol w:w="2850"/>
        <w:gridCol w:w="1241"/>
        <w:gridCol w:w="1514"/>
        <w:gridCol w:w="1219"/>
        <w:gridCol w:w="1268"/>
        <w:gridCol w:w="1268"/>
      </w:tblGrid>
      <w:tr w:rsidR="05FD1449" w14:paraId="55283A4B" w14:textId="77777777" w:rsidTr="05FD1449">
        <w:trPr>
          <w:trHeight w:val="1680"/>
        </w:trPr>
        <w:tc>
          <w:tcPr>
            <w:tcW w:w="2850" w:type="dxa"/>
            <w:shd w:val="clear" w:color="auto" w:fill="D9E2F3" w:themeFill="accent1" w:themeFillTint="33"/>
            <w:tcMar>
              <w:top w:w="0" w:type="dxa"/>
              <w:left w:w="0" w:type="dxa"/>
              <w:right w:w="0" w:type="dxa"/>
            </w:tcMar>
            <w:vAlign w:val="bottom"/>
          </w:tcPr>
          <w:p w14:paraId="16C57A1F" w14:textId="39BD29C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ACO</w:t>
            </w:r>
          </w:p>
        </w:tc>
        <w:tc>
          <w:tcPr>
            <w:tcW w:w="1241" w:type="dxa"/>
            <w:shd w:val="clear" w:color="auto" w:fill="D9E2F3" w:themeFill="accent1" w:themeFillTint="33"/>
            <w:tcMar>
              <w:top w:w="42" w:type="dxa"/>
              <w:left w:w="85" w:type="dxa"/>
              <w:bottom w:w="42" w:type="dxa"/>
              <w:right w:w="85" w:type="dxa"/>
            </w:tcMar>
            <w:vAlign w:val="center"/>
          </w:tcPr>
          <w:p w14:paraId="191D1344" w14:textId="3C9588C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2019 Official Quality Score </w:t>
            </w:r>
          </w:p>
          <w:p w14:paraId="2A775476" w14:textId="4321F46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(based on actual 2019 data)</w:t>
            </w:r>
          </w:p>
        </w:tc>
        <w:tc>
          <w:tcPr>
            <w:tcW w:w="1514" w:type="dxa"/>
            <w:shd w:val="clear" w:color="auto" w:fill="D9E2F3" w:themeFill="accent1" w:themeFillTint="33"/>
            <w:tcMar>
              <w:top w:w="42" w:type="dxa"/>
              <w:left w:w="85" w:type="dxa"/>
              <w:bottom w:w="42" w:type="dxa"/>
              <w:right w:w="85" w:type="dxa"/>
            </w:tcMar>
            <w:vAlign w:val="center"/>
          </w:tcPr>
          <w:p w14:paraId="280F4599" w14:textId="4E8173B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2020 Official</w:t>
            </w:r>
          </w:p>
          <w:p w14:paraId="0C1BDC1F" w14:textId="267A9785"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Quality Score </w:t>
            </w:r>
            <w:r>
              <w:br/>
            </w:r>
            <w:r w:rsidRPr="05FD1449">
              <w:rPr>
                <w:rFonts w:asciiTheme="majorHAnsi" w:eastAsiaTheme="majorEastAsia" w:hAnsiTheme="majorHAnsi" w:cstheme="majorBidi"/>
                <w:b/>
                <w:bCs/>
                <w:color w:val="000000" w:themeColor="text1"/>
              </w:rPr>
              <w:t xml:space="preserve">(based on 2019 data + COVID </w:t>
            </w:r>
          </w:p>
          <w:p w14:paraId="4FEFB68C" w14:textId="769EC66E"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allowances)</w:t>
            </w:r>
            <w:r w:rsidRPr="05FD1449">
              <w:rPr>
                <w:rStyle w:val="FootnoteReference"/>
                <w:rFonts w:asciiTheme="majorHAnsi" w:eastAsiaTheme="majorEastAsia" w:hAnsiTheme="majorHAnsi" w:cstheme="majorBidi"/>
                <w:b/>
                <w:bCs/>
                <w:color w:val="000000" w:themeColor="text1"/>
              </w:rPr>
              <w:footnoteReference w:id="25"/>
            </w:r>
            <w:r w:rsidRPr="05FD1449">
              <w:rPr>
                <w:rFonts w:asciiTheme="majorHAnsi" w:eastAsiaTheme="majorEastAsia" w:hAnsiTheme="majorHAnsi" w:cstheme="majorBidi"/>
                <w:b/>
                <w:bCs/>
                <w:color w:val="000000" w:themeColor="text1"/>
              </w:rPr>
              <w:t xml:space="preserve"> </w:t>
            </w:r>
          </w:p>
        </w:tc>
        <w:tc>
          <w:tcPr>
            <w:tcW w:w="1219" w:type="dxa"/>
            <w:shd w:val="clear" w:color="auto" w:fill="D9E2F3" w:themeFill="accent1" w:themeFillTint="33"/>
            <w:tcMar>
              <w:top w:w="42" w:type="dxa"/>
              <w:left w:w="85" w:type="dxa"/>
              <w:bottom w:w="42" w:type="dxa"/>
              <w:right w:w="85" w:type="dxa"/>
            </w:tcMar>
            <w:vAlign w:val="center"/>
          </w:tcPr>
          <w:p w14:paraId="083B4067" w14:textId="50A8F49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2020 Actual Quality Score </w:t>
            </w:r>
            <w:r>
              <w:br/>
            </w:r>
            <w:r w:rsidRPr="05FD1449">
              <w:rPr>
                <w:rFonts w:asciiTheme="majorHAnsi" w:eastAsiaTheme="majorEastAsia" w:hAnsiTheme="majorHAnsi" w:cstheme="majorBidi"/>
                <w:b/>
                <w:bCs/>
                <w:color w:val="000000" w:themeColor="text1"/>
              </w:rPr>
              <w:t>(based on actual 2020 data)</w:t>
            </w:r>
            <w:r w:rsidRPr="05FD1449">
              <w:rPr>
                <w:rStyle w:val="FootnoteReference"/>
                <w:rFonts w:asciiTheme="majorHAnsi" w:eastAsiaTheme="majorEastAsia" w:hAnsiTheme="majorHAnsi" w:cstheme="majorBidi"/>
                <w:color w:val="000000" w:themeColor="text1"/>
              </w:rPr>
              <w:footnoteReference w:id="26"/>
            </w:r>
          </w:p>
        </w:tc>
        <w:tc>
          <w:tcPr>
            <w:tcW w:w="1268" w:type="dxa"/>
            <w:shd w:val="clear" w:color="auto" w:fill="D9E2F3" w:themeFill="accent1" w:themeFillTint="33"/>
            <w:tcMar>
              <w:top w:w="42" w:type="dxa"/>
              <w:left w:w="85" w:type="dxa"/>
              <w:bottom w:w="42" w:type="dxa"/>
              <w:right w:w="85" w:type="dxa"/>
            </w:tcMar>
            <w:vAlign w:val="center"/>
          </w:tcPr>
          <w:p w14:paraId="08FC45B2" w14:textId="6AD4D28F"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2021 Actual </w:t>
            </w:r>
          </w:p>
          <w:p w14:paraId="3FCD61E2" w14:textId="22D4114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Quality </w:t>
            </w:r>
          </w:p>
          <w:p w14:paraId="2BFB8D7C" w14:textId="65A26D4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Score </w:t>
            </w:r>
            <w:r>
              <w:br/>
            </w:r>
            <w:r w:rsidRPr="05FD1449">
              <w:rPr>
                <w:rFonts w:asciiTheme="majorHAnsi" w:eastAsiaTheme="majorEastAsia" w:hAnsiTheme="majorHAnsi" w:cstheme="majorBidi"/>
                <w:b/>
                <w:bCs/>
                <w:color w:val="000000" w:themeColor="text1"/>
              </w:rPr>
              <w:t xml:space="preserve">(based on actual </w:t>
            </w:r>
          </w:p>
          <w:p w14:paraId="10558E11" w14:textId="68087CC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2021 data)</w:t>
            </w:r>
          </w:p>
        </w:tc>
        <w:tc>
          <w:tcPr>
            <w:tcW w:w="1268" w:type="dxa"/>
            <w:shd w:val="clear" w:color="auto" w:fill="D9E2F3" w:themeFill="accent1" w:themeFillTint="33"/>
            <w:tcMar>
              <w:top w:w="42" w:type="dxa"/>
              <w:left w:w="85" w:type="dxa"/>
              <w:bottom w:w="42" w:type="dxa"/>
              <w:right w:w="85" w:type="dxa"/>
            </w:tcMar>
            <w:vAlign w:val="center"/>
          </w:tcPr>
          <w:p w14:paraId="24C0B052" w14:textId="6DD23D76"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2022 Actual Quality </w:t>
            </w:r>
          </w:p>
          <w:p w14:paraId="46D97B33" w14:textId="73E7B53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Score </w:t>
            </w:r>
          </w:p>
          <w:p w14:paraId="0CEA7875" w14:textId="2C95A2F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w:t>
            </w:r>
            <w:proofErr w:type="gramStart"/>
            <w:r w:rsidRPr="05FD1449">
              <w:rPr>
                <w:rFonts w:asciiTheme="majorHAnsi" w:eastAsiaTheme="majorEastAsia" w:hAnsiTheme="majorHAnsi" w:cstheme="majorBidi"/>
                <w:b/>
                <w:bCs/>
                <w:color w:val="000000" w:themeColor="text1"/>
              </w:rPr>
              <w:t>based</w:t>
            </w:r>
            <w:proofErr w:type="gramEnd"/>
            <w:r w:rsidRPr="05FD1449">
              <w:rPr>
                <w:rFonts w:asciiTheme="majorHAnsi" w:eastAsiaTheme="majorEastAsia" w:hAnsiTheme="majorHAnsi" w:cstheme="majorBidi"/>
                <w:b/>
                <w:bCs/>
                <w:color w:val="000000" w:themeColor="text1"/>
              </w:rPr>
              <w:t xml:space="preserve"> on </w:t>
            </w:r>
          </w:p>
          <w:p w14:paraId="42D0E907" w14:textId="21764CD6"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actual 2022</w:t>
            </w:r>
          </w:p>
          <w:p w14:paraId="2EC9F7FC" w14:textId="5D6A222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data) </w:t>
            </w:r>
          </w:p>
        </w:tc>
      </w:tr>
      <w:tr w:rsidR="05FD1449" w14:paraId="3F82137A" w14:textId="77777777" w:rsidTr="05FD1449">
        <w:trPr>
          <w:trHeight w:val="300"/>
        </w:trPr>
        <w:tc>
          <w:tcPr>
            <w:tcW w:w="2850" w:type="dxa"/>
            <w:tcMar>
              <w:top w:w="0" w:type="dxa"/>
              <w:left w:w="0" w:type="dxa"/>
              <w:right w:w="0" w:type="dxa"/>
            </w:tcMar>
            <w:vAlign w:val="bottom"/>
          </w:tcPr>
          <w:p w14:paraId="690D2FDE" w14:textId="6B11AF50"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Berkshire Fallon Health Collaborative </w:t>
            </w:r>
          </w:p>
        </w:tc>
        <w:tc>
          <w:tcPr>
            <w:tcW w:w="1241" w:type="dxa"/>
            <w:tcMar>
              <w:top w:w="0" w:type="dxa"/>
              <w:left w:w="0" w:type="dxa"/>
              <w:right w:w="0" w:type="dxa"/>
            </w:tcMar>
            <w:vAlign w:val="bottom"/>
          </w:tcPr>
          <w:p w14:paraId="3F7B74B7" w14:textId="3CDBEB2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67.19</w:t>
            </w:r>
          </w:p>
        </w:tc>
        <w:tc>
          <w:tcPr>
            <w:tcW w:w="1514" w:type="dxa"/>
            <w:tcMar>
              <w:top w:w="0" w:type="dxa"/>
              <w:left w:w="0" w:type="dxa"/>
              <w:right w:w="0" w:type="dxa"/>
            </w:tcMar>
            <w:vAlign w:val="bottom"/>
          </w:tcPr>
          <w:p w14:paraId="5961DF11" w14:textId="76D20AB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89.34</w:t>
            </w:r>
          </w:p>
        </w:tc>
        <w:tc>
          <w:tcPr>
            <w:tcW w:w="1219" w:type="dxa"/>
            <w:tcMar>
              <w:top w:w="0" w:type="dxa"/>
              <w:left w:w="0" w:type="dxa"/>
              <w:right w:w="0" w:type="dxa"/>
            </w:tcMar>
            <w:vAlign w:val="bottom"/>
          </w:tcPr>
          <w:p w14:paraId="4A4DE5BD" w14:textId="7997B506"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39.18</w:t>
            </w:r>
          </w:p>
        </w:tc>
        <w:tc>
          <w:tcPr>
            <w:tcW w:w="1268" w:type="dxa"/>
            <w:tcMar>
              <w:top w:w="0" w:type="dxa"/>
              <w:left w:w="0" w:type="dxa"/>
              <w:right w:w="0" w:type="dxa"/>
            </w:tcMar>
            <w:vAlign w:val="bottom"/>
          </w:tcPr>
          <w:p w14:paraId="7E6B9C79" w14:textId="4D4356C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74.39</w:t>
            </w:r>
          </w:p>
        </w:tc>
        <w:tc>
          <w:tcPr>
            <w:tcW w:w="1268" w:type="dxa"/>
            <w:tcMar>
              <w:top w:w="0" w:type="dxa"/>
              <w:left w:w="0" w:type="dxa"/>
              <w:right w:w="0" w:type="dxa"/>
            </w:tcMar>
            <w:vAlign w:val="bottom"/>
          </w:tcPr>
          <w:p w14:paraId="15DEA48E" w14:textId="3DA7C35F"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66.23</w:t>
            </w:r>
          </w:p>
        </w:tc>
      </w:tr>
      <w:tr w:rsidR="05FD1449" w14:paraId="54A09E1F" w14:textId="77777777" w:rsidTr="05FD1449">
        <w:trPr>
          <w:trHeight w:val="300"/>
        </w:trPr>
        <w:tc>
          <w:tcPr>
            <w:tcW w:w="2850" w:type="dxa"/>
            <w:shd w:val="clear" w:color="auto" w:fill="D9D9D9" w:themeFill="background1" w:themeFillShade="D9"/>
            <w:tcMar>
              <w:top w:w="0" w:type="dxa"/>
              <w:left w:w="0" w:type="dxa"/>
              <w:right w:w="0" w:type="dxa"/>
            </w:tcMar>
            <w:vAlign w:val="bottom"/>
          </w:tcPr>
          <w:p w14:paraId="7B566215" w14:textId="755232BD"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Fallon 365 Care </w:t>
            </w:r>
          </w:p>
        </w:tc>
        <w:tc>
          <w:tcPr>
            <w:tcW w:w="1241" w:type="dxa"/>
            <w:shd w:val="clear" w:color="auto" w:fill="D9D9D9" w:themeFill="background1" w:themeFillShade="D9"/>
            <w:tcMar>
              <w:top w:w="0" w:type="dxa"/>
              <w:left w:w="0" w:type="dxa"/>
              <w:right w:w="0" w:type="dxa"/>
            </w:tcMar>
            <w:vAlign w:val="bottom"/>
          </w:tcPr>
          <w:p w14:paraId="38EF04E6" w14:textId="6D34C47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66.52</w:t>
            </w:r>
          </w:p>
        </w:tc>
        <w:tc>
          <w:tcPr>
            <w:tcW w:w="1514" w:type="dxa"/>
            <w:shd w:val="clear" w:color="auto" w:fill="D9D9D9" w:themeFill="background1" w:themeFillShade="D9"/>
            <w:tcMar>
              <w:top w:w="0" w:type="dxa"/>
              <w:left w:w="0" w:type="dxa"/>
              <w:right w:w="0" w:type="dxa"/>
            </w:tcMar>
            <w:vAlign w:val="bottom"/>
          </w:tcPr>
          <w:p w14:paraId="643175E9" w14:textId="59A234A3"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100</w:t>
            </w:r>
          </w:p>
        </w:tc>
        <w:tc>
          <w:tcPr>
            <w:tcW w:w="1219" w:type="dxa"/>
            <w:shd w:val="clear" w:color="auto" w:fill="D9D9D9" w:themeFill="background1" w:themeFillShade="D9"/>
            <w:tcMar>
              <w:top w:w="0" w:type="dxa"/>
              <w:left w:w="0" w:type="dxa"/>
              <w:right w:w="0" w:type="dxa"/>
            </w:tcMar>
            <w:vAlign w:val="bottom"/>
          </w:tcPr>
          <w:p w14:paraId="1E747307" w14:textId="6B3829C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78.76</w:t>
            </w:r>
          </w:p>
        </w:tc>
        <w:tc>
          <w:tcPr>
            <w:tcW w:w="1268" w:type="dxa"/>
            <w:shd w:val="clear" w:color="auto" w:fill="D9D9D9" w:themeFill="background1" w:themeFillShade="D9"/>
            <w:tcMar>
              <w:top w:w="0" w:type="dxa"/>
              <w:left w:w="0" w:type="dxa"/>
              <w:right w:w="0" w:type="dxa"/>
            </w:tcMar>
            <w:vAlign w:val="bottom"/>
          </w:tcPr>
          <w:p w14:paraId="0F577214" w14:textId="5019FF1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96.62</w:t>
            </w:r>
          </w:p>
        </w:tc>
        <w:tc>
          <w:tcPr>
            <w:tcW w:w="1268" w:type="dxa"/>
            <w:shd w:val="clear" w:color="auto" w:fill="D9D9D9" w:themeFill="background1" w:themeFillShade="D9"/>
            <w:tcMar>
              <w:top w:w="0" w:type="dxa"/>
              <w:left w:w="0" w:type="dxa"/>
              <w:right w:w="0" w:type="dxa"/>
            </w:tcMar>
            <w:vAlign w:val="bottom"/>
          </w:tcPr>
          <w:p w14:paraId="44D73685" w14:textId="284D80FB"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92.17</w:t>
            </w:r>
          </w:p>
        </w:tc>
      </w:tr>
      <w:tr w:rsidR="05FD1449" w14:paraId="5D3B426C" w14:textId="77777777" w:rsidTr="05FD1449">
        <w:trPr>
          <w:trHeight w:val="300"/>
        </w:trPr>
        <w:tc>
          <w:tcPr>
            <w:tcW w:w="2850" w:type="dxa"/>
            <w:tcMar>
              <w:top w:w="0" w:type="dxa"/>
              <w:left w:w="0" w:type="dxa"/>
              <w:right w:w="0" w:type="dxa"/>
            </w:tcMar>
            <w:vAlign w:val="bottom"/>
          </w:tcPr>
          <w:p w14:paraId="77893750" w14:textId="712C185E" w:rsidR="05FD1449" w:rsidRDefault="05FD1449" w:rsidP="05FD1449">
            <w:pPr>
              <w:rPr>
                <w:rFonts w:asciiTheme="majorHAnsi" w:eastAsiaTheme="majorEastAsia" w:hAnsiTheme="majorHAnsi" w:cstheme="majorBidi"/>
                <w:color w:val="000000" w:themeColor="text1"/>
              </w:rPr>
            </w:pPr>
            <w:proofErr w:type="spellStart"/>
            <w:r w:rsidRPr="05FD1449">
              <w:rPr>
                <w:rFonts w:asciiTheme="majorHAnsi" w:eastAsiaTheme="majorEastAsia" w:hAnsiTheme="majorHAnsi" w:cstheme="majorBidi"/>
                <w:color w:val="000000" w:themeColor="text1"/>
              </w:rPr>
              <w:t>Wellforce</w:t>
            </w:r>
            <w:proofErr w:type="spellEnd"/>
            <w:r w:rsidRPr="05FD1449">
              <w:rPr>
                <w:rFonts w:asciiTheme="majorHAnsi" w:eastAsiaTheme="majorEastAsia" w:hAnsiTheme="majorHAnsi" w:cstheme="majorBidi"/>
                <w:color w:val="000000" w:themeColor="text1"/>
              </w:rPr>
              <w:t xml:space="preserve"> Care Plan </w:t>
            </w:r>
          </w:p>
        </w:tc>
        <w:tc>
          <w:tcPr>
            <w:tcW w:w="1241" w:type="dxa"/>
            <w:tcMar>
              <w:top w:w="0" w:type="dxa"/>
              <w:left w:w="0" w:type="dxa"/>
              <w:right w:w="0" w:type="dxa"/>
            </w:tcMar>
            <w:vAlign w:val="bottom"/>
          </w:tcPr>
          <w:p w14:paraId="6524DBE4" w14:textId="1EFEB0E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76.90</w:t>
            </w:r>
          </w:p>
        </w:tc>
        <w:tc>
          <w:tcPr>
            <w:tcW w:w="1514" w:type="dxa"/>
            <w:tcMar>
              <w:top w:w="0" w:type="dxa"/>
              <w:left w:w="0" w:type="dxa"/>
              <w:right w:w="0" w:type="dxa"/>
            </w:tcMar>
            <w:vAlign w:val="bottom"/>
          </w:tcPr>
          <w:p w14:paraId="089B20F4" w14:textId="4FDD05CB"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90.4</w:t>
            </w:r>
          </w:p>
        </w:tc>
        <w:tc>
          <w:tcPr>
            <w:tcW w:w="1219" w:type="dxa"/>
            <w:tcMar>
              <w:top w:w="0" w:type="dxa"/>
              <w:left w:w="0" w:type="dxa"/>
              <w:right w:w="0" w:type="dxa"/>
            </w:tcMar>
            <w:vAlign w:val="bottom"/>
          </w:tcPr>
          <w:p w14:paraId="3C4E9383" w14:textId="64C60862"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53.05</w:t>
            </w:r>
          </w:p>
        </w:tc>
        <w:tc>
          <w:tcPr>
            <w:tcW w:w="1268" w:type="dxa"/>
            <w:tcMar>
              <w:top w:w="0" w:type="dxa"/>
              <w:left w:w="0" w:type="dxa"/>
              <w:right w:w="0" w:type="dxa"/>
            </w:tcMar>
            <w:vAlign w:val="bottom"/>
          </w:tcPr>
          <w:p w14:paraId="53E3DF29" w14:textId="44AF71D0"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57.95</w:t>
            </w:r>
          </w:p>
        </w:tc>
        <w:tc>
          <w:tcPr>
            <w:tcW w:w="1268" w:type="dxa"/>
            <w:tcMar>
              <w:top w:w="0" w:type="dxa"/>
              <w:left w:w="0" w:type="dxa"/>
              <w:right w:w="0" w:type="dxa"/>
            </w:tcMar>
            <w:vAlign w:val="bottom"/>
          </w:tcPr>
          <w:p w14:paraId="522A0599" w14:textId="36B8E1A3"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84.89</w:t>
            </w:r>
          </w:p>
        </w:tc>
      </w:tr>
      <w:tr w:rsidR="05FD1449" w14:paraId="28A70D43" w14:textId="77777777" w:rsidTr="05FD1449">
        <w:trPr>
          <w:trHeight w:val="300"/>
        </w:trPr>
        <w:tc>
          <w:tcPr>
            <w:tcW w:w="2850" w:type="dxa"/>
            <w:shd w:val="clear" w:color="auto" w:fill="D9D9D9" w:themeFill="background1" w:themeFillShade="D9"/>
            <w:tcMar>
              <w:top w:w="0" w:type="dxa"/>
              <w:left w:w="0" w:type="dxa"/>
              <w:right w:w="0" w:type="dxa"/>
            </w:tcMar>
            <w:vAlign w:val="bottom"/>
          </w:tcPr>
          <w:p w14:paraId="1F92DD21" w14:textId="7A869085" w:rsidR="05FD1449" w:rsidRDefault="05FD1449" w:rsidP="05FD1449">
            <w:pPr>
              <w:rPr>
                <w:rFonts w:asciiTheme="majorHAnsi" w:eastAsiaTheme="majorEastAsia" w:hAnsiTheme="majorHAnsi" w:cstheme="majorBidi"/>
                <w:color w:val="000000" w:themeColor="text1"/>
              </w:rPr>
            </w:pPr>
            <w:proofErr w:type="spellStart"/>
            <w:r w:rsidRPr="05FD1449">
              <w:rPr>
                <w:rFonts w:asciiTheme="majorHAnsi" w:eastAsiaTheme="majorEastAsia" w:hAnsiTheme="majorHAnsi" w:cstheme="majorBidi"/>
                <w:color w:val="000000" w:themeColor="text1"/>
              </w:rPr>
              <w:t>BeHealthy</w:t>
            </w:r>
            <w:proofErr w:type="spellEnd"/>
            <w:r w:rsidRPr="05FD1449">
              <w:rPr>
                <w:rFonts w:asciiTheme="majorHAnsi" w:eastAsiaTheme="majorEastAsia" w:hAnsiTheme="majorHAnsi" w:cstheme="majorBidi"/>
                <w:color w:val="000000" w:themeColor="text1"/>
              </w:rPr>
              <w:t xml:space="preserve"> Partnership </w:t>
            </w:r>
          </w:p>
        </w:tc>
        <w:tc>
          <w:tcPr>
            <w:tcW w:w="1241" w:type="dxa"/>
            <w:shd w:val="clear" w:color="auto" w:fill="D9D9D9" w:themeFill="background1" w:themeFillShade="D9"/>
            <w:tcMar>
              <w:top w:w="0" w:type="dxa"/>
              <w:left w:w="0" w:type="dxa"/>
              <w:right w:w="0" w:type="dxa"/>
            </w:tcMar>
            <w:vAlign w:val="bottom"/>
          </w:tcPr>
          <w:p w14:paraId="50C2F50A" w14:textId="4B5905F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85.78</w:t>
            </w:r>
          </w:p>
        </w:tc>
        <w:tc>
          <w:tcPr>
            <w:tcW w:w="1514" w:type="dxa"/>
            <w:shd w:val="clear" w:color="auto" w:fill="D9D9D9" w:themeFill="background1" w:themeFillShade="D9"/>
            <w:tcMar>
              <w:top w:w="0" w:type="dxa"/>
              <w:left w:w="0" w:type="dxa"/>
              <w:right w:w="0" w:type="dxa"/>
            </w:tcMar>
            <w:vAlign w:val="bottom"/>
          </w:tcPr>
          <w:p w14:paraId="19A4CA47" w14:textId="431C6B5F"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98.96</w:t>
            </w:r>
          </w:p>
        </w:tc>
        <w:tc>
          <w:tcPr>
            <w:tcW w:w="1219" w:type="dxa"/>
            <w:shd w:val="clear" w:color="auto" w:fill="D9D9D9" w:themeFill="background1" w:themeFillShade="D9"/>
            <w:tcMar>
              <w:top w:w="0" w:type="dxa"/>
              <w:left w:w="0" w:type="dxa"/>
              <w:right w:w="0" w:type="dxa"/>
            </w:tcMar>
            <w:vAlign w:val="bottom"/>
          </w:tcPr>
          <w:p w14:paraId="4A88A38F" w14:textId="7587D2C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68.04</w:t>
            </w:r>
          </w:p>
        </w:tc>
        <w:tc>
          <w:tcPr>
            <w:tcW w:w="1268" w:type="dxa"/>
            <w:shd w:val="clear" w:color="auto" w:fill="D9D9D9" w:themeFill="background1" w:themeFillShade="D9"/>
            <w:tcMar>
              <w:top w:w="0" w:type="dxa"/>
              <w:left w:w="0" w:type="dxa"/>
              <w:right w:w="0" w:type="dxa"/>
            </w:tcMar>
            <w:vAlign w:val="bottom"/>
          </w:tcPr>
          <w:p w14:paraId="34BCBB2C" w14:textId="01B709A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67.64</w:t>
            </w:r>
          </w:p>
        </w:tc>
        <w:tc>
          <w:tcPr>
            <w:tcW w:w="1268" w:type="dxa"/>
            <w:shd w:val="clear" w:color="auto" w:fill="D9D9D9" w:themeFill="background1" w:themeFillShade="D9"/>
            <w:tcMar>
              <w:top w:w="0" w:type="dxa"/>
              <w:left w:w="0" w:type="dxa"/>
              <w:right w:w="0" w:type="dxa"/>
            </w:tcMar>
            <w:vAlign w:val="bottom"/>
          </w:tcPr>
          <w:p w14:paraId="221607DB" w14:textId="39F442E6"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83.41</w:t>
            </w:r>
          </w:p>
        </w:tc>
      </w:tr>
      <w:tr w:rsidR="05FD1449" w14:paraId="2D1C81B1" w14:textId="77777777" w:rsidTr="05FD1449">
        <w:trPr>
          <w:trHeight w:val="300"/>
        </w:trPr>
        <w:tc>
          <w:tcPr>
            <w:tcW w:w="2850" w:type="dxa"/>
            <w:tcMar>
              <w:top w:w="0" w:type="dxa"/>
              <w:left w:w="0" w:type="dxa"/>
              <w:right w:w="0" w:type="dxa"/>
            </w:tcMar>
            <w:vAlign w:val="bottom"/>
          </w:tcPr>
          <w:p w14:paraId="547083F1" w14:textId="57EB6D13"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My Care Family </w:t>
            </w:r>
          </w:p>
        </w:tc>
        <w:tc>
          <w:tcPr>
            <w:tcW w:w="1241" w:type="dxa"/>
            <w:tcMar>
              <w:top w:w="0" w:type="dxa"/>
              <w:left w:w="0" w:type="dxa"/>
              <w:right w:w="0" w:type="dxa"/>
            </w:tcMar>
            <w:vAlign w:val="bottom"/>
          </w:tcPr>
          <w:p w14:paraId="2BCD35BD" w14:textId="189D889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90.23</w:t>
            </w:r>
          </w:p>
        </w:tc>
        <w:tc>
          <w:tcPr>
            <w:tcW w:w="1514" w:type="dxa"/>
            <w:tcMar>
              <w:top w:w="0" w:type="dxa"/>
              <w:left w:w="0" w:type="dxa"/>
              <w:right w:w="0" w:type="dxa"/>
            </w:tcMar>
            <w:vAlign w:val="bottom"/>
          </w:tcPr>
          <w:p w14:paraId="79DF49A0" w14:textId="28B44CC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97.97</w:t>
            </w:r>
          </w:p>
        </w:tc>
        <w:tc>
          <w:tcPr>
            <w:tcW w:w="1219" w:type="dxa"/>
            <w:tcMar>
              <w:top w:w="0" w:type="dxa"/>
              <w:left w:w="0" w:type="dxa"/>
              <w:right w:w="0" w:type="dxa"/>
            </w:tcMar>
            <w:vAlign w:val="bottom"/>
          </w:tcPr>
          <w:p w14:paraId="521E16C6" w14:textId="382DA8B5"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55.22</w:t>
            </w:r>
          </w:p>
        </w:tc>
        <w:tc>
          <w:tcPr>
            <w:tcW w:w="1268" w:type="dxa"/>
            <w:tcMar>
              <w:top w:w="0" w:type="dxa"/>
              <w:left w:w="0" w:type="dxa"/>
              <w:right w:w="0" w:type="dxa"/>
            </w:tcMar>
            <w:vAlign w:val="bottom"/>
          </w:tcPr>
          <w:p w14:paraId="24B4A3D9" w14:textId="46BB51E6"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69.21</w:t>
            </w:r>
          </w:p>
        </w:tc>
        <w:tc>
          <w:tcPr>
            <w:tcW w:w="1268" w:type="dxa"/>
            <w:tcMar>
              <w:top w:w="0" w:type="dxa"/>
              <w:left w:w="0" w:type="dxa"/>
              <w:right w:w="0" w:type="dxa"/>
            </w:tcMar>
            <w:vAlign w:val="bottom"/>
          </w:tcPr>
          <w:p w14:paraId="0046DC04" w14:textId="685820A2"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86.07</w:t>
            </w:r>
          </w:p>
        </w:tc>
      </w:tr>
      <w:tr w:rsidR="05FD1449" w14:paraId="6B15D6DD" w14:textId="77777777" w:rsidTr="05FD1449">
        <w:trPr>
          <w:trHeight w:val="300"/>
        </w:trPr>
        <w:tc>
          <w:tcPr>
            <w:tcW w:w="2850" w:type="dxa"/>
            <w:shd w:val="clear" w:color="auto" w:fill="D9D9D9" w:themeFill="background1" w:themeFillShade="D9"/>
            <w:tcMar>
              <w:top w:w="0" w:type="dxa"/>
              <w:left w:w="0" w:type="dxa"/>
              <w:right w:w="0" w:type="dxa"/>
            </w:tcMar>
            <w:vAlign w:val="bottom"/>
          </w:tcPr>
          <w:p w14:paraId="7AB94DA9" w14:textId="3DA8C570"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Tufts Health Together with Atrius Health </w:t>
            </w:r>
          </w:p>
        </w:tc>
        <w:tc>
          <w:tcPr>
            <w:tcW w:w="1241" w:type="dxa"/>
            <w:shd w:val="clear" w:color="auto" w:fill="D9D9D9" w:themeFill="background1" w:themeFillShade="D9"/>
            <w:tcMar>
              <w:top w:w="0" w:type="dxa"/>
              <w:left w:w="0" w:type="dxa"/>
              <w:right w:w="0" w:type="dxa"/>
            </w:tcMar>
            <w:vAlign w:val="bottom"/>
          </w:tcPr>
          <w:p w14:paraId="79DACF85" w14:textId="07D391C5"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75.71</w:t>
            </w:r>
          </w:p>
        </w:tc>
        <w:tc>
          <w:tcPr>
            <w:tcW w:w="1514" w:type="dxa"/>
            <w:shd w:val="clear" w:color="auto" w:fill="D9D9D9" w:themeFill="background1" w:themeFillShade="D9"/>
            <w:tcMar>
              <w:top w:w="0" w:type="dxa"/>
              <w:left w:w="0" w:type="dxa"/>
              <w:right w:w="0" w:type="dxa"/>
            </w:tcMar>
            <w:vAlign w:val="bottom"/>
          </w:tcPr>
          <w:p w14:paraId="62914D75" w14:textId="609E172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94.68</w:t>
            </w:r>
          </w:p>
        </w:tc>
        <w:tc>
          <w:tcPr>
            <w:tcW w:w="1219" w:type="dxa"/>
            <w:shd w:val="clear" w:color="auto" w:fill="D9D9D9" w:themeFill="background1" w:themeFillShade="D9"/>
            <w:tcMar>
              <w:top w:w="0" w:type="dxa"/>
              <w:left w:w="0" w:type="dxa"/>
              <w:right w:w="0" w:type="dxa"/>
            </w:tcMar>
            <w:vAlign w:val="bottom"/>
          </w:tcPr>
          <w:p w14:paraId="5D058BAF" w14:textId="05DD74EA"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68.76</w:t>
            </w:r>
          </w:p>
        </w:tc>
        <w:tc>
          <w:tcPr>
            <w:tcW w:w="1268" w:type="dxa"/>
            <w:shd w:val="clear" w:color="auto" w:fill="D9D9D9" w:themeFill="background1" w:themeFillShade="D9"/>
            <w:tcMar>
              <w:top w:w="0" w:type="dxa"/>
              <w:left w:w="0" w:type="dxa"/>
              <w:right w:w="0" w:type="dxa"/>
            </w:tcMar>
            <w:vAlign w:val="bottom"/>
          </w:tcPr>
          <w:p w14:paraId="2C4498E8" w14:textId="728E638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76.59</w:t>
            </w:r>
          </w:p>
        </w:tc>
        <w:tc>
          <w:tcPr>
            <w:tcW w:w="1268" w:type="dxa"/>
            <w:shd w:val="clear" w:color="auto" w:fill="D9D9D9" w:themeFill="background1" w:themeFillShade="D9"/>
            <w:tcMar>
              <w:top w:w="0" w:type="dxa"/>
              <w:left w:w="0" w:type="dxa"/>
              <w:right w:w="0" w:type="dxa"/>
            </w:tcMar>
            <w:vAlign w:val="bottom"/>
          </w:tcPr>
          <w:p w14:paraId="059CA97C" w14:textId="79A81D30"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91.91</w:t>
            </w:r>
          </w:p>
        </w:tc>
      </w:tr>
      <w:tr w:rsidR="05FD1449" w14:paraId="07713E83" w14:textId="77777777" w:rsidTr="05FD1449">
        <w:trPr>
          <w:trHeight w:val="300"/>
        </w:trPr>
        <w:tc>
          <w:tcPr>
            <w:tcW w:w="2850" w:type="dxa"/>
            <w:tcMar>
              <w:top w:w="0" w:type="dxa"/>
              <w:left w:w="0" w:type="dxa"/>
              <w:right w:w="0" w:type="dxa"/>
            </w:tcMar>
            <w:vAlign w:val="bottom"/>
          </w:tcPr>
          <w:p w14:paraId="64B4D945" w14:textId="0286E172"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Tufts Health Together with BIDCO</w:t>
            </w:r>
          </w:p>
        </w:tc>
        <w:tc>
          <w:tcPr>
            <w:tcW w:w="1241" w:type="dxa"/>
            <w:tcMar>
              <w:top w:w="0" w:type="dxa"/>
              <w:left w:w="0" w:type="dxa"/>
              <w:right w:w="0" w:type="dxa"/>
            </w:tcMar>
            <w:vAlign w:val="bottom"/>
          </w:tcPr>
          <w:p w14:paraId="30633375" w14:textId="1506142B"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66.83</w:t>
            </w:r>
          </w:p>
        </w:tc>
        <w:tc>
          <w:tcPr>
            <w:tcW w:w="1514" w:type="dxa"/>
            <w:tcMar>
              <w:top w:w="0" w:type="dxa"/>
              <w:left w:w="0" w:type="dxa"/>
              <w:right w:w="0" w:type="dxa"/>
            </w:tcMar>
            <w:vAlign w:val="bottom"/>
          </w:tcPr>
          <w:p w14:paraId="14E153BF" w14:textId="1AB19132"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88.94</w:t>
            </w:r>
          </w:p>
        </w:tc>
        <w:tc>
          <w:tcPr>
            <w:tcW w:w="1219" w:type="dxa"/>
            <w:tcMar>
              <w:top w:w="0" w:type="dxa"/>
              <w:left w:w="0" w:type="dxa"/>
              <w:right w:w="0" w:type="dxa"/>
            </w:tcMar>
            <w:vAlign w:val="bottom"/>
          </w:tcPr>
          <w:p w14:paraId="59985553" w14:textId="6E2F6580"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34.33</w:t>
            </w:r>
          </w:p>
        </w:tc>
        <w:tc>
          <w:tcPr>
            <w:tcW w:w="1268" w:type="dxa"/>
            <w:tcMar>
              <w:top w:w="0" w:type="dxa"/>
              <w:left w:w="0" w:type="dxa"/>
              <w:right w:w="0" w:type="dxa"/>
            </w:tcMar>
            <w:vAlign w:val="bottom"/>
          </w:tcPr>
          <w:p w14:paraId="5B8F6CB0" w14:textId="4EDA81C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60.51</w:t>
            </w:r>
          </w:p>
        </w:tc>
        <w:tc>
          <w:tcPr>
            <w:tcW w:w="1268" w:type="dxa"/>
            <w:tcMar>
              <w:top w:w="0" w:type="dxa"/>
              <w:left w:w="0" w:type="dxa"/>
              <w:right w:w="0" w:type="dxa"/>
            </w:tcMar>
            <w:vAlign w:val="bottom"/>
          </w:tcPr>
          <w:p w14:paraId="10CB1226" w14:textId="5623382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74.39</w:t>
            </w:r>
          </w:p>
        </w:tc>
      </w:tr>
      <w:tr w:rsidR="05FD1449" w14:paraId="3594F0B4" w14:textId="77777777" w:rsidTr="05FD1449">
        <w:trPr>
          <w:trHeight w:val="300"/>
        </w:trPr>
        <w:tc>
          <w:tcPr>
            <w:tcW w:w="2850" w:type="dxa"/>
            <w:shd w:val="clear" w:color="auto" w:fill="D9D9D9" w:themeFill="background1" w:themeFillShade="D9"/>
            <w:tcMar>
              <w:top w:w="0" w:type="dxa"/>
              <w:left w:w="0" w:type="dxa"/>
              <w:right w:w="0" w:type="dxa"/>
            </w:tcMar>
            <w:vAlign w:val="bottom"/>
          </w:tcPr>
          <w:p w14:paraId="09C8EFAA" w14:textId="1DFD10A3"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Tufts Health Together with CHA</w:t>
            </w:r>
          </w:p>
        </w:tc>
        <w:tc>
          <w:tcPr>
            <w:tcW w:w="1241" w:type="dxa"/>
            <w:shd w:val="clear" w:color="auto" w:fill="D9D9D9" w:themeFill="background1" w:themeFillShade="D9"/>
            <w:tcMar>
              <w:top w:w="0" w:type="dxa"/>
              <w:left w:w="0" w:type="dxa"/>
              <w:right w:w="0" w:type="dxa"/>
            </w:tcMar>
            <w:vAlign w:val="bottom"/>
          </w:tcPr>
          <w:p w14:paraId="782F41EE" w14:textId="62629896"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99.18</w:t>
            </w:r>
          </w:p>
        </w:tc>
        <w:tc>
          <w:tcPr>
            <w:tcW w:w="1514" w:type="dxa"/>
            <w:shd w:val="clear" w:color="auto" w:fill="D9D9D9" w:themeFill="background1" w:themeFillShade="D9"/>
            <w:tcMar>
              <w:top w:w="0" w:type="dxa"/>
              <w:left w:w="0" w:type="dxa"/>
              <w:right w:w="0" w:type="dxa"/>
            </w:tcMar>
            <w:vAlign w:val="bottom"/>
          </w:tcPr>
          <w:p w14:paraId="127A79F8" w14:textId="5EBE544A"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100</w:t>
            </w:r>
          </w:p>
        </w:tc>
        <w:tc>
          <w:tcPr>
            <w:tcW w:w="1219" w:type="dxa"/>
            <w:shd w:val="clear" w:color="auto" w:fill="D9D9D9" w:themeFill="background1" w:themeFillShade="D9"/>
            <w:tcMar>
              <w:top w:w="0" w:type="dxa"/>
              <w:left w:w="0" w:type="dxa"/>
              <w:right w:w="0" w:type="dxa"/>
            </w:tcMar>
            <w:vAlign w:val="bottom"/>
          </w:tcPr>
          <w:p w14:paraId="58BB3706" w14:textId="08A13002"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65.74</w:t>
            </w:r>
          </w:p>
        </w:tc>
        <w:tc>
          <w:tcPr>
            <w:tcW w:w="1268" w:type="dxa"/>
            <w:shd w:val="clear" w:color="auto" w:fill="D9D9D9" w:themeFill="background1" w:themeFillShade="D9"/>
            <w:tcMar>
              <w:top w:w="0" w:type="dxa"/>
              <w:left w:w="0" w:type="dxa"/>
              <w:right w:w="0" w:type="dxa"/>
            </w:tcMar>
            <w:vAlign w:val="bottom"/>
          </w:tcPr>
          <w:p w14:paraId="5D20A9CA" w14:textId="1913363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73.90</w:t>
            </w:r>
          </w:p>
        </w:tc>
        <w:tc>
          <w:tcPr>
            <w:tcW w:w="1268" w:type="dxa"/>
            <w:shd w:val="clear" w:color="auto" w:fill="D9D9D9" w:themeFill="background1" w:themeFillShade="D9"/>
            <w:tcMar>
              <w:top w:w="0" w:type="dxa"/>
              <w:left w:w="0" w:type="dxa"/>
              <w:right w:w="0" w:type="dxa"/>
            </w:tcMar>
            <w:vAlign w:val="bottom"/>
          </w:tcPr>
          <w:p w14:paraId="28537F39" w14:textId="2C31C3D3"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85.24</w:t>
            </w:r>
          </w:p>
        </w:tc>
      </w:tr>
      <w:tr w:rsidR="05FD1449" w14:paraId="5AC85ED0" w14:textId="77777777" w:rsidTr="05FD1449">
        <w:trPr>
          <w:trHeight w:val="510"/>
        </w:trPr>
        <w:tc>
          <w:tcPr>
            <w:tcW w:w="2850" w:type="dxa"/>
            <w:tcMar>
              <w:top w:w="0" w:type="dxa"/>
              <w:left w:w="0" w:type="dxa"/>
              <w:right w:w="0" w:type="dxa"/>
            </w:tcMar>
            <w:vAlign w:val="bottom"/>
          </w:tcPr>
          <w:p w14:paraId="59D47935" w14:textId="3CA80064"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Tufts Health Together with Boston Children's ACO</w:t>
            </w:r>
          </w:p>
        </w:tc>
        <w:tc>
          <w:tcPr>
            <w:tcW w:w="1241" w:type="dxa"/>
            <w:tcMar>
              <w:top w:w="0" w:type="dxa"/>
              <w:left w:w="0" w:type="dxa"/>
              <w:right w:w="0" w:type="dxa"/>
            </w:tcMar>
            <w:vAlign w:val="bottom"/>
          </w:tcPr>
          <w:p w14:paraId="37791EB5" w14:textId="6E100A1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72.19</w:t>
            </w:r>
          </w:p>
        </w:tc>
        <w:tc>
          <w:tcPr>
            <w:tcW w:w="1514" w:type="dxa"/>
            <w:tcMar>
              <w:top w:w="0" w:type="dxa"/>
              <w:left w:w="0" w:type="dxa"/>
              <w:right w:w="0" w:type="dxa"/>
            </w:tcMar>
            <w:vAlign w:val="bottom"/>
          </w:tcPr>
          <w:p w14:paraId="3653E263" w14:textId="4B39CD10"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89.17</w:t>
            </w:r>
          </w:p>
        </w:tc>
        <w:tc>
          <w:tcPr>
            <w:tcW w:w="1219" w:type="dxa"/>
            <w:tcMar>
              <w:top w:w="0" w:type="dxa"/>
              <w:left w:w="0" w:type="dxa"/>
              <w:right w:w="0" w:type="dxa"/>
            </w:tcMar>
            <w:vAlign w:val="bottom"/>
          </w:tcPr>
          <w:p w14:paraId="33D0ACE5" w14:textId="5661DE2E"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71.58</w:t>
            </w:r>
          </w:p>
        </w:tc>
        <w:tc>
          <w:tcPr>
            <w:tcW w:w="1268" w:type="dxa"/>
            <w:tcMar>
              <w:top w:w="0" w:type="dxa"/>
              <w:left w:w="0" w:type="dxa"/>
              <w:right w:w="0" w:type="dxa"/>
            </w:tcMar>
            <w:vAlign w:val="bottom"/>
          </w:tcPr>
          <w:p w14:paraId="51DA4FBE" w14:textId="4910705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81.00</w:t>
            </w:r>
          </w:p>
        </w:tc>
        <w:tc>
          <w:tcPr>
            <w:tcW w:w="1268" w:type="dxa"/>
            <w:tcMar>
              <w:top w:w="0" w:type="dxa"/>
              <w:left w:w="0" w:type="dxa"/>
              <w:right w:w="0" w:type="dxa"/>
            </w:tcMar>
            <w:vAlign w:val="bottom"/>
          </w:tcPr>
          <w:p w14:paraId="2EDC9FA5" w14:textId="54CBDB61"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95.51</w:t>
            </w:r>
          </w:p>
        </w:tc>
      </w:tr>
      <w:tr w:rsidR="05FD1449" w14:paraId="27D04391" w14:textId="77777777" w:rsidTr="05FD1449">
        <w:trPr>
          <w:trHeight w:val="510"/>
        </w:trPr>
        <w:tc>
          <w:tcPr>
            <w:tcW w:w="2850" w:type="dxa"/>
            <w:shd w:val="clear" w:color="auto" w:fill="D9D9D9" w:themeFill="background1" w:themeFillShade="D9"/>
            <w:tcMar>
              <w:top w:w="0" w:type="dxa"/>
              <w:left w:w="0" w:type="dxa"/>
              <w:right w:w="0" w:type="dxa"/>
            </w:tcMar>
            <w:vAlign w:val="bottom"/>
          </w:tcPr>
          <w:p w14:paraId="5CE31144" w14:textId="549352A9"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BMC HealthNet Plan Community Alliance</w:t>
            </w:r>
          </w:p>
        </w:tc>
        <w:tc>
          <w:tcPr>
            <w:tcW w:w="1241" w:type="dxa"/>
            <w:shd w:val="clear" w:color="auto" w:fill="D9D9D9" w:themeFill="background1" w:themeFillShade="D9"/>
            <w:tcMar>
              <w:top w:w="0" w:type="dxa"/>
              <w:left w:w="0" w:type="dxa"/>
              <w:right w:w="0" w:type="dxa"/>
            </w:tcMar>
            <w:vAlign w:val="bottom"/>
          </w:tcPr>
          <w:p w14:paraId="7B3C53A9" w14:textId="1EDAC94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96.01</w:t>
            </w:r>
          </w:p>
        </w:tc>
        <w:tc>
          <w:tcPr>
            <w:tcW w:w="1514" w:type="dxa"/>
            <w:shd w:val="clear" w:color="auto" w:fill="D9D9D9" w:themeFill="background1" w:themeFillShade="D9"/>
            <w:tcMar>
              <w:top w:w="0" w:type="dxa"/>
              <w:left w:w="0" w:type="dxa"/>
              <w:right w:w="0" w:type="dxa"/>
            </w:tcMar>
            <w:vAlign w:val="bottom"/>
          </w:tcPr>
          <w:p w14:paraId="0914712F" w14:textId="342691AE"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93.99</w:t>
            </w:r>
          </w:p>
        </w:tc>
        <w:tc>
          <w:tcPr>
            <w:tcW w:w="1219" w:type="dxa"/>
            <w:shd w:val="clear" w:color="auto" w:fill="D9D9D9" w:themeFill="background1" w:themeFillShade="D9"/>
            <w:tcMar>
              <w:top w:w="0" w:type="dxa"/>
              <w:left w:w="0" w:type="dxa"/>
              <w:right w:w="0" w:type="dxa"/>
            </w:tcMar>
            <w:vAlign w:val="bottom"/>
          </w:tcPr>
          <w:p w14:paraId="791AF960" w14:textId="1610F7F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61.02</w:t>
            </w:r>
          </w:p>
        </w:tc>
        <w:tc>
          <w:tcPr>
            <w:tcW w:w="1268" w:type="dxa"/>
            <w:shd w:val="clear" w:color="auto" w:fill="D9D9D9" w:themeFill="background1" w:themeFillShade="D9"/>
            <w:tcMar>
              <w:top w:w="0" w:type="dxa"/>
              <w:left w:w="0" w:type="dxa"/>
              <w:right w:w="0" w:type="dxa"/>
            </w:tcMar>
            <w:vAlign w:val="bottom"/>
          </w:tcPr>
          <w:p w14:paraId="22F46847" w14:textId="59848DE6"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74.90</w:t>
            </w:r>
          </w:p>
        </w:tc>
        <w:tc>
          <w:tcPr>
            <w:tcW w:w="1268" w:type="dxa"/>
            <w:shd w:val="clear" w:color="auto" w:fill="D9D9D9" w:themeFill="background1" w:themeFillShade="D9"/>
            <w:tcMar>
              <w:top w:w="0" w:type="dxa"/>
              <w:left w:w="0" w:type="dxa"/>
              <w:right w:w="0" w:type="dxa"/>
            </w:tcMar>
            <w:vAlign w:val="bottom"/>
          </w:tcPr>
          <w:p w14:paraId="625C52A0" w14:textId="512E0BF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85.58</w:t>
            </w:r>
          </w:p>
        </w:tc>
      </w:tr>
      <w:tr w:rsidR="05FD1449" w14:paraId="58FC094C" w14:textId="77777777" w:rsidTr="05FD1449">
        <w:trPr>
          <w:trHeight w:val="300"/>
        </w:trPr>
        <w:tc>
          <w:tcPr>
            <w:tcW w:w="2850" w:type="dxa"/>
            <w:tcMar>
              <w:top w:w="0" w:type="dxa"/>
              <w:left w:w="0" w:type="dxa"/>
              <w:right w:w="0" w:type="dxa"/>
            </w:tcMar>
            <w:vAlign w:val="bottom"/>
          </w:tcPr>
          <w:p w14:paraId="4CFA689A" w14:textId="62B64EA3"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BMC HealthNet Plan Mercy Alliance </w:t>
            </w:r>
          </w:p>
        </w:tc>
        <w:tc>
          <w:tcPr>
            <w:tcW w:w="1241" w:type="dxa"/>
            <w:tcMar>
              <w:top w:w="0" w:type="dxa"/>
              <w:left w:w="0" w:type="dxa"/>
              <w:right w:w="0" w:type="dxa"/>
            </w:tcMar>
            <w:vAlign w:val="bottom"/>
          </w:tcPr>
          <w:p w14:paraId="538BFE5B" w14:textId="44F5532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66.93</w:t>
            </w:r>
          </w:p>
        </w:tc>
        <w:tc>
          <w:tcPr>
            <w:tcW w:w="1514" w:type="dxa"/>
            <w:tcMar>
              <w:top w:w="0" w:type="dxa"/>
              <w:left w:w="0" w:type="dxa"/>
              <w:right w:w="0" w:type="dxa"/>
            </w:tcMar>
            <w:vAlign w:val="bottom"/>
          </w:tcPr>
          <w:p w14:paraId="1EC1AB13" w14:textId="6276CCFF"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94.53</w:t>
            </w:r>
          </w:p>
        </w:tc>
        <w:tc>
          <w:tcPr>
            <w:tcW w:w="1219" w:type="dxa"/>
            <w:tcMar>
              <w:top w:w="0" w:type="dxa"/>
              <w:left w:w="0" w:type="dxa"/>
              <w:right w:w="0" w:type="dxa"/>
            </w:tcMar>
            <w:vAlign w:val="bottom"/>
          </w:tcPr>
          <w:p w14:paraId="3F92C997" w14:textId="38993EB1"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66.14</w:t>
            </w:r>
          </w:p>
        </w:tc>
        <w:tc>
          <w:tcPr>
            <w:tcW w:w="1268" w:type="dxa"/>
            <w:tcMar>
              <w:top w:w="0" w:type="dxa"/>
              <w:left w:w="0" w:type="dxa"/>
              <w:right w:w="0" w:type="dxa"/>
            </w:tcMar>
            <w:vAlign w:val="bottom"/>
          </w:tcPr>
          <w:p w14:paraId="0294CAEE" w14:textId="519BE26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72.04</w:t>
            </w:r>
          </w:p>
        </w:tc>
        <w:tc>
          <w:tcPr>
            <w:tcW w:w="1268" w:type="dxa"/>
            <w:tcMar>
              <w:top w:w="0" w:type="dxa"/>
              <w:left w:w="0" w:type="dxa"/>
              <w:right w:w="0" w:type="dxa"/>
            </w:tcMar>
            <w:vAlign w:val="bottom"/>
          </w:tcPr>
          <w:p w14:paraId="44060796" w14:textId="174DEC21"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82.68</w:t>
            </w:r>
          </w:p>
        </w:tc>
      </w:tr>
      <w:tr w:rsidR="05FD1449" w14:paraId="7EEA9203" w14:textId="77777777" w:rsidTr="05FD1449">
        <w:trPr>
          <w:trHeight w:val="510"/>
        </w:trPr>
        <w:tc>
          <w:tcPr>
            <w:tcW w:w="2850" w:type="dxa"/>
            <w:shd w:val="clear" w:color="auto" w:fill="D9D9D9" w:themeFill="background1" w:themeFillShade="D9"/>
            <w:tcMar>
              <w:top w:w="0" w:type="dxa"/>
              <w:left w:w="0" w:type="dxa"/>
              <w:right w:w="0" w:type="dxa"/>
            </w:tcMar>
            <w:vAlign w:val="bottom"/>
          </w:tcPr>
          <w:p w14:paraId="776EF28E" w14:textId="5E60DFDF"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BMC HealthNet Plan Signature Alliance </w:t>
            </w:r>
          </w:p>
        </w:tc>
        <w:tc>
          <w:tcPr>
            <w:tcW w:w="1241" w:type="dxa"/>
            <w:shd w:val="clear" w:color="auto" w:fill="D9D9D9" w:themeFill="background1" w:themeFillShade="D9"/>
            <w:tcMar>
              <w:top w:w="0" w:type="dxa"/>
              <w:left w:w="0" w:type="dxa"/>
              <w:right w:w="0" w:type="dxa"/>
            </w:tcMar>
            <w:vAlign w:val="bottom"/>
          </w:tcPr>
          <w:p w14:paraId="0B1BADFA" w14:textId="63D29DE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100.00</w:t>
            </w:r>
          </w:p>
        </w:tc>
        <w:tc>
          <w:tcPr>
            <w:tcW w:w="1514" w:type="dxa"/>
            <w:shd w:val="clear" w:color="auto" w:fill="D9D9D9" w:themeFill="background1" w:themeFillShade="D9"/>
            <w:tcMar>
              <w:top w:w="0" w:type="dxa"/>
              <w:left w:w="0" w:type="dxa"/>
              <w:right w:w="0" w:type="dxa"/>
            </w:tcMar>
            <w:vAlign w:val="bottom"/>
          </w:tcPr>
          <w:p w14:paraId="764C0C59" w14:textId="3F2A9E56"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98.96</w:t>
            </w:r>
          </w:p>
        </w:tc>
        <w:tc>
          <w:tcPr>
            <w:tcW w:w="1219" w:type="dxa"/>
            <w:shd w:val="clear" w:color="auto" w:fill="D9D9D9" w:themeFill="background1" w:themeFillShade="D9"/>
            <w:tcMar>
              <w:top w:w="0" w:type="dxa"/>
              <w:left w:w="0" w:type="dxa"/>
              <w:right w:w="0" w:type="dxa"/>
            </w:tcMar>
            <w:vAlign w:val="bottom"/>
          </w:tcPr>
          <w:p w14:paraId="28908672" w14:textId="33A5ED96"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61.63</w:t>
            </w:r>
          </w:p>
        </w:tc>
        <w:tc>
          <w:tcPr>
            <w:tcW w:w="1268" w:type="dxa"/>
            <w:shd w:val="clear" w:color="auto" w:fill="D9D9D9" w:themeFill="background1" w:themeFillShade="D9"/>
            <w:tcMar>
              <w:top w:w="0" w:type="dxa"/>
              <w:left w:w="0" w:type="dxa"/>
              <w:right w:w="0" w:type="dxa"/>
            </w:tcMar>
            <w:vAlign w:val="bottom"/>
          </w:tcPr>
          <w:p w14:paraId="1386D96F" w14:textId="6F60DA5A"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81.93</w:t>
            </w:r>
          </w:p>
        </w:tc>
        <w:tc>
          <w:tcPr>
            <w:tcW w:w="1268" w:type="dxa"/>
            <w:shd w:val="clear" w:color="auto" w:fill="D9D9D9" w:themeFill="background1" w:themeFillShade="D9"/>
            <w:tcMar>
              <w:top w:w="0" w:type="dxa"/>
              <w:left w:w="0" w:type="dxa"/>
              <w:right w:w="0" w:type="dxa"/>
            </w:tcMar>
            <w:vAlign w:val="bottom"/>
          </w:tcPr>
          <w:p w14:paraId="36B70C02" w14:textId="20DE59B5"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92.94</w:t>
            </w:r>
          </w:p>
        </w:tc>
      </w:tr>
      <w:tr w:rsidR="05FD1449" w14:paraId="540AA0E4" w14:textId="77777777" w:rsidTr="05FD1449">
        <w:trPr>
          <w:trHeight w:val="510"/>
        </w:trPr>
        <w:tc>
          <w:tcPr>
            <w:tcW w:w="2850" w:type="dxa"/>
            <w:tcMar>
              <w:top w:w="0" w:type="dxa"/>
              <w:left w:w="0" w:type="dxa"/>
              <w:right w:w="0" w:type="dxa"/>
            </w:tcMar>
            <w:vAlign w:val="bottom"/>
          </w:tcPr>
          <w:p w14:paraId="33B30B08" w14:textId="6035017A"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BMC HealthNet Plan Southcoast Alliance </w:t>
            </w:r>
          </w:p>
        </w:tc>
        <w:tc>
          <w:tcPr>
            <w:tcW w:w="1241" w:type="dxa"/>
            <w:tcMar>
              <w:top w:w="0" w:type="dxa"/>
              <w:left w:w="0" w:type="dxa"/>
              <w:right w:w="0" w:type="dxa"/>
            </w:tcMar>
            <w:vAlign w:val="bottom"/>
          </w:tcPr>
          <w:p w14:paraId="309A6711" w14:textId="3D3C498B"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74.55</w:t>
            </w:r>
          </w:p>
        </w:tc>
        <w:tc>
          <w:tcPr>
            <w:tcW w:w="1514" w:type="dxa"/>
            <w:tcMar>
              <w:top w:w="0" w:type="dxa"/>
              <w:left w:w="0" w:type="dxa"/>
              <w:right w:w="0" w:type="dxa"/>
            </w:tcMar>
            <w:vAlign w:val="bottom"/>
          </w:tcPr>
          <w:p w14:paraId="13FDD921" w14:textId="5FEE5A2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93.53</w:t>
            </w:r>
          </w:p>
        </w:tc>
        <w:tc>
          <w:tcPr>
            <w:tcW w:w="1219" w:type="dxa"/>
            <w:tcMar>
              <w:top w:w="0" w:type="dxa"/>
              <w:left w:w="0" w:type="dxa"/>
              <w:right w:w="0" w:type="dxa"/>
            </w:tcMar>
            <w:vAlign w:val="bottom"/>
          </w:tcPr>
          <w:p w14:paraId="4BF7D1C1" w14:textId="21CB494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70.28</w:t>
            </w:r>
          </w:p>
        </w:tc>
        <w:tc>
          <w:tcPr>
            <w:tcW w:w="1268" w:type="dxa"/>
            <w:tcMar>
              <w:top w:w="0" w:type="dxa"/>
              <w:left w:w="0" w:type="dxa"/>
              <w:right w:w="0" w:type="dxa"/>
            </w:tcMar>
            <w:vAlign w:val="bottom"/>
          </w:tcPr>
          <w:p w14:paraId="222AF2FA" w14:textId="4EC3458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87.33</w:t>
            </w:r>
          </w:p>
        </w:tc>
        <w:tc>
          <w:tcPr>
            <w:tcW w:w="1268" w:type="dxa"/>
            <w:tcMar>
              <w:top w:w="0" w:type="dxa"/>
              <w:left w:w="0" w:type="dxa"/>
              <w:right w:w="0" w:type="dxa"/>
            </w:tcMar>
            <w:vAlign w:val="bottom"/>
          </w:tcPr>
          <w:p w14:paraId="0FF64E2D" w14:textId="0AB3CA4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87.13</w:t>
            </w:r>
          </w:p>
        </w:tc>
      </w:tr>
      <w:tr w:rsidR="05FD1449" w14:paraId="41827CD7" w14:textId="77777777" w:rsidTr="05FD1449">
        <w:trPr>
          <w:trHeight w:val="300"/>
        </w:trPr>
        <w:tc>
          <w:tcPr>
            <w:tcW w:w="2850" w:type="dxa"/>
            <w:shd w:val="clear" w:color="auto" w:fill="D9D9D9" w:themeFill="background1" w:themeFillShade="D9"/>
            <w:tcMar>
              <w:top w:w="0" w:type="dxa"/>
              <w:left w:w="0" w:type="dxa"/>
              <w:right w:w="0" w:type="dxa"/>
            </w:tcMar>
            <w:vAlign w:val="bottom"/>
          </w:tcPr>
          <w:p w14:paraId="7EF523B0" w14:textId="539A2331"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Community Care Cooperative  </w:t>
            </w:r>
          </w:p>
        </w:tc>
        <w:tc>
          <w:tcPr>
            <w:tcW w:w="1241" w:type="dxa"/>
            <w:shd w:val="clear" w:color="auto" w:fill="D9D9D9" w:themeFill="background1" w:themeFillShade="D9"/>
            <w:tcMar>
              <w:top w:w="0" w:type="dxa"/>
              <w:left w:w="0" w:type="dxa"/>
              <w:right w:w="0" w:type="dxa"/>
            </w:tcMar>
            <w:vAlign w:val="bottom"/>
          </w:tcPr>
          <w:p w14:paraId="7EFD64C0" w14:textId="7A190A61"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80.28</w:t>
            </w:r>
          </w:p>
        </w:tc>
        <w:tc>
          <w:tcPr>
            <w:tcW w:w="1514" w:type="dxa"/>
            <w:shd w:val="clear" w:color="auto" w:fill="D9D9D9" w:themeFill="background1" w:themeFillShade="D9"/>
            <w:tcMar>
              <w:top w:w="0" w:type="dxa"/>
              <w:left w:w="0" w:type="dxa"/>
              <w:right w:w="0" w:type="dxa"/>
            </w:tcMar>
            <w:vAlign w:val="bottom"/>
          </w:tcPr>
          <w:p w14:paraId="47229597" w14:textId="722C5EA6"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95.85</w:t>
            </w:r>
          </w:p>
        </w:tc>
        <w:tc>
          <w:tcPr>
            <w:tcW w:w="1219" w:type="dxa"/>
            <w:shd w:val="clear" w:color="auto" w:fill="D9D9D9" w:themeFill="background1" w:themeFillShade="D9"/>
            <w:tcMar>
              <w:top w:w="0" w:type="dxa"/>
              <w:left w:w="0" w:type="dxa"/>
              <w:right w:w="0" w:type="dxa"/>
            </w:tcMar>
            <w:vAlign w:val="bottom"/>
          </w:tcPr>
          <w:p w14:paraId="76F52B06" w14:textId="171001FF"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61.24</w:t>
            </w:r>
          </w:p>
        </w:tc>
        <w:tc>
          <w:tcPr>
            <w:tcW w:w="1268" w:type="dxa"/>
            <w:shd w:val="clear" w:color="auto" w:fill="D9D9D9" w:themeFill="background1" w:themeFillShade="D9"/>
            <w:tcMar>
              <w:top w:w="0" w:type="dxa"/>
              <w:left w:w="0" w:type="dxa"/>
              <w:right w:w="0" w:type="dxa"/>
            </w:tcMar>
            <w:vAlign w:val="bottom"/>
          </w:tcPr>
          <w:p w14:paraId="34936C54" w14:textId="782FC9B2"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88.81</w:t>
            </w:r>
          </w:p>
        </w:tc>
        <w:tc>
          <w:tcPr>
            <w:tcW w:w="1268" w:type="dxa"/>
            <w:shd w:val="clear" w:color="auto" w:fill="D9D9D9" w:themeFill="background1" w:themeFillShade="D9"/>
            <w:tcMar>
              <w:top w:w="0" w:type="dxa"/>
              <w:left w:w="0" w:type="dxa"/>
              <w:right w:w="0" w:type="dxa"/>
            </w:tcMar>
            <w:vAlign w:val="bottom"/>
          </w:tcPr>
          <w:p w14:paraId="2969ED15" w14:textId="483282D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87.96</w:t>
            </w:r>
          </w:p>
        </w:tc>
      </w:tr>
      <w:tr w:rsidR="05FD1449" w14:paraId="030FF32E" w14:textId="77777777" w:rsidTr="05FD1449">
        <w:trPr>
          <w:trHeight w:val="300"/>
        </w:trPr>
        <w:tc>
          <w:tcPr>
            <w:tcW w:w="2850" w:type="dxa"/>
            <w:tcMar>
              <w:top w:w="0" w:type="dxa"/>
              <w:left w:w="0" w:type="dxa"/>
              <w:right w:w="0" w:type="dxa"/>
            </w:tcMar>
            <w:vAlign w:val="bottom"/>
          </w:tcPr>
          <w:p w14:paraId="50F79604" w14:textId="1D38F420"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Partners HealthCare Choice </w:t>
            </w:r>
          </w:p>
        </w:tc>
        <w:tc>
          <w:tcPr>
            <w:tcW w:w="1241" w:type="dxa"/>
            <w:tcMar>
              <w:top w:w="0" w:type="dxa"/>
              <w:left w:w="0" w:type="dxa"/>
              <w:right w:w="0" w:type="dxa"/>
            </w:tcMar>
            <w:vAlign w:val="bottom"/>
          </w:tcPr>
          <w:p w14:paraId="26ED0158" w14:textId="54446C02"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74.53</w:t>
            </w:r>
          </w:p>
        </w:tc>
        <w:tc>
          <w:tcPr>
            <w:tcW w:w="1514" w:type="dxa"/>
            <w:tcMar>
              <w:top w:w="0" w:type="dxa"/>
              <w:left w:w="0" w:type="dxa"/>
              <w:right w:w="0" w:type="dxa"/>
            </w:tcMar>
            <w:vAlign w:val="bottom"/>
          </w:tcPr>
          <w:p w14:paraId="0C8EF238" w14:textId="1D8DFE20"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93.52</w:t>
            </w:r>
          </w:p>
        </w:tc>
        <w:tc>
          <w:tcPr>
            <w:tcW w:w="1219" w:type="dxa"/>
            <w:tcMar>
              <w:top w:w="0" w:type="dxa"/>
              <w:left w:w="0" w:type="dxa"/>
              <w:right w:w="0" w:type="dxa"/>
            </w:tcMar>
            <w:vAlign w:val="bottom"/>
          </w:tcPr>
          <w:p w14:paraId="0E6F0AD5" w14:textId="039EC055"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54.93</w:t>
            </w:r>
          </w:p>
        </w:tc>
        <w:tc>
          <w:tcPr>
            <w:tcW w:w="1268" w:type="dxa"/>
            <w:tcMar>
              <w:top w:w="0" w:type="dxa"/>
              <w:left w:w="0" w:type="dxa"/>
              <w:right w:w="0" w:type="dxa"/>
            </w:tcMar>
            <w:vAlign w:val="bottom"/>
          </w:tcPr>
          <w:p w14:paraId="4DD6F73E" w14:textId="6B02A67B"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63.52</w:t>
            </w:r>
          </w:p>
        </w:tc>
        <w:tc>
          <w:tcPr>
            <w:tcW w:w="1268" w:type="dxa"/>
            <w:tcMar>
              <w:top w:w="0" w:type="dxa"/>
              <w:left w:w="0" w:type="dxa"/>
              <w:right w:w="0" w:type="dxa"/>
            </w:tcMar>
            <w:vAlign w:val="bottom"/>
          </w:tcPr>
          <w:p w14:paraId="0B9ADC9A" w14:textId="3EA4164F"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70.03</w:t>
            </w:r>
          </w:p>
        </w:tc>
      </w:tr>
      <w:tr w:rsidR="05FD1449" w14:paraId="5AB50130" w14:textId="77777777" w:rsidTr="05FD1449">
        <w:trPr>
          <w:trHeight w:val="300"/>
        </w:trPr>
        <w:tc>
          <w:tcPr>
            <w:tcW w:w="2850" w:type="dxa"/>
            <w:shd w:val="clear" w:color="auto" w:fill="D9D9D9" w:themeFill="background1" w:themeFillShade="D9"/>
            <w:tcMar>
              <w:top w:w="0" w:type="dxa"/>
              <w:left w:w="0" w:type="dxa"/>
              <w:right w:w="0" w:type="dxa"/>
            </w:tcMar>
            <w:vAlign w:val="bottom"/>
          </w:tcPr>
          <w:p w14:paraId="222FBA3A" w14:textId="274AE135"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Steward Health Choice </w:t>
            </w:r>
          </w:p>
        </w:tc>
        <w:tc>
          <w:tcPr>
            <w:tcW w:w="1241" w:type="dxa"/>
            <w:shd w:val="clear" w:color="auto" w:fill="D9D9D9" w:themeFill="background1" w:themeFillShade="D9"/>
            <w:tcMar>
              <w:top w:w="0" w:type="dxa"/>
              <w:left w:w="0" w:type="dxa"/>
              <w:right w:w="0" w:type="dxa"/>
            </w:tcMar>
            <w:vAlign w:val="bottom"/>
          </w:tcPr>
          <w:p w14:paraId="0C772000" w14:textId="044E3EC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64.24</w:t>
            </w:r>
          </w:p>
        </w:tc>
        <w:tc>
          <w:tcPr>
            <w:tcW w:w="1514" w:type="dxa"/>
            <w:shd w:val="clear" w:color="auto" w:fill="D9D9D9" w:themeFill="background1" w:themeFillShade="D9"/>
            <w:tcMar>
              <w:top w:w="0" w:type="dxa"/>
              <w:left w:w="0" w:type="dxa"/>
              <w:right w:w="0" w:type="dxa"/>
            </w:tcMar>
            <w:vAlign w:val="bottom"/>
          </w:tcPr>
          <w:p w14:paraId="73E86B99" w14:textId="32F6ADE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90.15</w:t>
            </w:r>
          </w:p>
        </w:tc>
        <w:tc>
          <w:tcPr>
            <w:tcW w:w="1219" w:type="dxa"/>
            <w:shd w:val="clear" w:color="auto" w:fill="D9D9D9" w:themeFill="background1" w:themeFillShade="D9"/>
            <w:tcMar>
              <w:top w:w="0" w:type="dxa"/>
              <w:left w:w="0" w:type="dxa"/>
              <w:right w:w="0" w:type="dxa"/>
            </w:tcMar>
            <w:vAlign w:val="bottom"/>
          </w:tcPr>
          <w:p w14:paraId="348CCB78" w14:textId="4D6D0DE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50.19</w:t>
            </w:r>
          </w:p>
        </w:tc>
        <w:tc>
          <w:tcPr>
            <w:tcW w:w="1268" w:type="dxa"/>
            <w:shd w:val="clear" w:color="auto" w:fill="D9D9D9" w:themeFill="background1" w:themeFillShade="D9"/>
            <w:tcMar>
              <w:top w:w="0" w:type="dxa"/>
              <w:left w:w="0" w:type="dxa"/>
              <w:right w:w="0" w:type="dxa"/>
            </w:tcMar>
            <w:vAlign w:val="bottom"/>
          </w:tcPr>
          <w:p w14:paraId="6E629B65" w14:textId="655BC91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68.23</w:t>
            </w:r>
          </w:p>
        </w:tc>
        <w:tc>
          <w:tcPr>
            <w:tcW w:w="1268" w:type="dxa"/>
            <w:shd w:val="clear" w:color="auto" w:fill="D9D9D9" w:themeFill="background1" w:themeFillShade="D9"/>
            <w:tcMar>
              <w:top w:w="0" w:type="dxa"/>
              <w:left w:w="0" w:type="dxa"/>
              <w:right w:w="0" w:type="dxa"/>
            </w:tcMar>
            <w:vAlign w:val="bottom"/>
          </w:tcPr>
          <w:p w14:paraId="0B910137" w14:textId="297E3695"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76.17</w:t>
            </w:r>
          </w:p>
        </w:tc>
      </w:tr>
      <w:tr w:rsidR="05FD1449" w14:paraId="556F8119" w14:textId="77777777" w:rsidTr="05FD1449">
        <w:trPr>
          <w:trHeight w:val="300"/>
        </w:trPr>
        <w:tc>
          <w:tcPr>
            <w:tcW w:w="2850" w:type="dxa"/>
            <w:tcMar>
              <w:top w:w="0" w:type="dxa"/>
              <w:left w:w="0" w:type="dxa"/>
              <w:right w:w="0" w:type="dxa"/>
            </w:tcMar>
            <w:vAlign w:val="bottom"/>
          </w:tcPr>
          <w:p w14:paraId="34847FFE" w14:textId="792F3C78"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Lahey</w:t>
            </w:r>
          </w:p>
        </w:tc>
        <w:tc>
          <w:tcPr>
            <w:tcW w:w="1241" w:type="dxa"/>
            <w:tcMar>
              <w:top w:w="0" w:type="dxa"/>
              <w:left w:w="0" w:type="dxa"/>
              <w:right w:w="0" w:type="dxa"/>
            </w:tcMar>
            <w:vAlign w:val="bottom"/>
          </w:tcPr>
          <w:p w14:paraId="4381507D" w14:textId="02836C5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80.82</w:t>
            </w:r>
          </w:p>
        </w:tc>
        <w:tc>
          <w:tcPr>
            <w:tcW w:w="1514" w:type="dxa"/>
            <w:tcMar>
              <w:top w:w="0" w:type="dxa"/>
              <w:left w:w="0" w:type="dxa"/>
              <w:right w:w="0" w:type="dxa"/>
            </w:tcMar>
            <w:vAlign w:val="bottom"/>
          </w:tcPr>
          <w:p w14:paraId="2E7888CA" w14:textId="1D89F4D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80.77 </w:t>
            </w:r>
          </w:p>
        </w:tc>
        <w:tc>
          <w:tcPr>
            <w:tcW w:w="1219" w:type="dxa"/>
            <w:tcMar>
              <w:top w:w="0" w:type="dxa"/>
              <w:left w:w="0" w:type="dxa"/>
              <w:right w:w="0" w:type="dxa"/>
            </w:tcMar>
            <w:vAlign w:val="bottom"/>
          </w:tcPr>
          <w:p w14:paraId="28CDE327" w14:textId="647A0613"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45.31</w:t>
            </w:r>
          </w:p>
        </w:tc>
        <w:tc>
          <w:tcPr>
            <w:tcW w:w="1268" w:type="dxa"/>
            <w:tcMar>
              <w:top w:w="0" w:type="dxa"/>
              <w:left w:w="0" w:type="dxa"/>
              <w:right w:w="0" w:type="dxa"/>
            </w:tcMar>
            <w:vAlign w:val="bottom"/>
          </w:tcPr>
          <w:p w14:paraId="6528FEC2" w14:textId="36A4DA0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52.86</w:t>
            </w:r>
          </w:p>
        </w:tc>
        <w:tc>
          <w:tcPr>
            <w:tcW w:w="1268" w:type="dxa"/>
            <w:tcMar>
              <w:top w:w="0" w:type="dxa"/>
              <w:left w:w="0" w:type="dxa"/>
              <w:right w:w="0" w:type="dxa"/>
            </w:tcMar>
            <w:vAlign w:val="bottom"/>
          </w:tcPr>
          <w:p w14:paraId="5AB96695" w14:textId="27951E4B"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85.25</w:t>
            </w:r>
          </w:p>
        </w:tc>
      </w:tr>
    </w:tbl>
    <w:p w14:paraId="157E936C" w14:textId="1602C7FD" w:rsidR="05FD1449" w:rsidRDefault="05FD1449" w:rsidP="05FD1449">
      <w:pPr>
        <w:spacing w:after="0"/>
        <w:rPr>
          <w:rFonts w:asciiTheme="majorHAnsi" w:eastAsiaTheme="majorEastAsia" w:hAnsiTheme="majorHAnsi" w:cstheme="majorBidi"/>
          <w:sz w:val="24"/>
          <w:szCs w:val="24"/>
        </w:rPr>
      </w:pPr>
    </w:p>
    <w:p w14:paraId="69127D97" w14:textId="6FE41C2E" w:rsidR="61EDAA44" w:rsidRDefault="61EDAA44"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Key Takeaway: </w:t>
      </w:r>
    </w:p>
    <w:p w14:paraId="5644EC68" w14:textId="1FBC26BC" w:rsidR="61EDAA44" w:rsidRDefault="61EDAA44" w:rsidP="008240EA">
      <w:pPr>
        <w:pStyle w:val="ListParagraph"/>
        <w:numPr>
          <w:ilvl w:val="0"/>
          <w:numId w:val="22"/>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lastRenderedPageBreak/>
        <w:t>In 2022, 13/17 ACOs improved their quality performance compared to 2021, and most showed sustained improvements compared to 2019</w:t>
      </w:r>
    </w:p>
    <w:p w14:paraId="3F9F4422" w14:textId="3819D157" w:rsidR="05FD1449" w:rsidRDefault="05FD1449" w:rsidP="05FD1449">
      <w:pPr>
        <w:pStyle w:val="ListParagraph"/>
        <w:spacing w:after="0"/>
        <w:ind w:left="1440"/>
        <w:rPr>
          <w:rFonts w:asciiTheme="majorHAnsi" w:eastAsiaTheme="majorEastAsia" w:hAnsiTheme="majorHAnsi" w:cstheme="majorBidi"/>
          <w:sz w:val="24"/>
          <w:szCs w:val="24"/>
        </w:rPr>
      </w:pPr>
    </w:p>
    <w:p w14:paraId="22492710" w14:textId="0889C923" w:rsidR="1ED05138" w:rsidRDefault="1ED05138" w:rsidP="05FD1449">
      <w:pPr>
        <w:pStyle w:val="Heading4"/>
      </w:pPr>
      <w:r>
        <w:t xml:space="preserve">Slide 45: ACO Clinical Quality: 2022 Measures with Substantial Performance Drop </w:t>
      </w:r>
    </w:p>
    <w:p w14:paraId="06CC4178" w14:textId="1785F12D" w:rsidR="3E0D010E" w:rsidRDefault="3E0D010E" w:rsidP="05FD1449">
      <w:r>
        <w:t>Table 7:</w:t>
      </w:r>
      <w:r w:rsidR="1A9D95C9">
        <w:t xml:space="preserve"> </w:t>
      </w:r>
    </w:p>
    <w:tbl>
      <w:tblPr>
        <w:tblStyle w:val="TableGrid"/>
        <w:tblW w:w="0" w:type="auto"/>
        <w:tblLayout w:type="fixed"/>
        <w:tblLook w:val="06A0" w:firstRow="1" w:lastRow="0" w:firstColumn="1" w:lastColumn="0" w:noHBand="1" w:noVBand="1"/>
      </w:tblPr>
      <w:tblGrid>
        <w:gridCol w:w="1560"/>
        <w:gridCol w:w="1560"/>
        <w:gridCol w:w="1560"/>
        <w:gridCol w:w="1560"/>
        <w:gridCol w:w="1620"/>
        <w:gridCol w:w="1500"/>
      </w:tblGrid>
      <w:tr w:rsidR="05FD1449" w14:paraId="52701B45" w14:textId="77777777" w:rsidTr="05FD1449">
        <w:trPr>
          <w:trHeight w:val="300"/>
        </w:trPr>
        <w:tc>
          <w:tcPr>
            <w:tcW w:w="1560" w:type="dxa"/>
            <w:shd w:val="clear" w:color="auto" w:fill="D9E2F3" w:themeFill="accent1" w:themeFillTint="33"/>
          </w:tcPr>
          <w:p w14:paraId="0F1AE485" w14:textId="08EB07DA" w:rsidR="45D70BF5" w:rsidRDefault="45D70BF5" w:rsidP="05FD1449">
            <w:pPr>
              <w:rPr>
                <w:rFonts w:asciiTheme="majorHAnsi" w:eastAsiaTheme="majorEastAsia" w:hAnsiTheme="majorHAnsi" w:cstheme="majorBidi"/>
              </w:rPr>
            </w:pPr>
            <w:r w:rsidRPr="05FD1449">
              <w:rPr>
                <w:rFonts w:asciiTheme="majorHAnsi" w:eastAsiaTheme="majorEastAsia" w:hAnsiTheme="majorHAnsi" w:cstheme="majorBidi"/>
              </w:rPr>
              <w:t>Measure</w:t>
            </w:r>
          </w:p>
        </w:tc>
        <w:tc>
          <w:tcPr>
            <w:tcW w:w="1560" w:type="dxa"/>
            <w:shd w:val="clear" w:color="auto" w:fill="D9E2F3" w:themeFill="accent1" w:themeFillTint="33"/>
          </w:tcPr>
          <w:p w14:paraId="4560929D" w14:textId="62FDC1A8" w:rsidR="45D70BF5" w:rsidRDefault="45D70BF5" w:rsidP="05FD1449">
            <w:pPr>
              <w:rPr>
                <w:rFonts w:asciiTheme="majorHAnsi" w:eastAsiaTheme="majorEastAsia" w:hAnsiTheme="majorHAnsi" w:cstheme="majorBidi"/>
              </w:rPr>
            </w:pPr>
            <w:r w:rsidRPr="05FD1449">
              <w:rPr>
                <w:rFonts w:asciiTheme="majorHAnsi" w:eastAsiaTheme="majorEastAsia" w:hAnsiTheme="majorHAnsi" w:cstheme="majorBidi"/>
              </w:rPr>
              <w:t xml:space="preserve">Performance Monitoring </w:t>
            </w:r>
          </w:p>
        </w:tc>
        <w:tc>
          <w:tcPr>
            <w:tcW w:w="1560" w:type="dxa"/>
            <w:shd w:val="clear" w:color="auto" w:fill="D9E2F3" w:themeFill="accent1" w:themeFillTint="33"/>
          </w:tcPr>
          <w:p w14:paraId="1C831DFE" w14:textId="4335A756" w:rsidR="45D70BF5" w:rsidRDefault="45D70BF5" w:rsidP="05FD1449">
            <w:pPr>
              <w:rPr>
                <w:rFonts w:asciiTheme="majorHAnsi" w:eastAsiaTheme="majorEastAsia" w:hAnsiTheme="majorHAnsi" w:cstheme="majorBidi"/>
              </w:rPr>
            </w:pPr>
            <w:r w:rsidRPr="05FD1449">
              <w:rPr>
                <w:rFonts w:asciiTheme="majorHAnsi" w:eastAsiaTheme="majorEastAsia" w:hAnsiTheme="majorHAnsi" w:cstheme="majorBidi"/>
              </w:rPr>
              <w:t xml:space="preserve">Performance Monitoring </w:t>
            </w:r>
          </w:p>
        </w:tc>
        <w:tc>
          <w:tcPr>
            <w:tcW w:w="1560" w:type="dxa"/>
            <w:shd w:val="clear" w:color="auto" w:fill="D9E2F3" w:themeFill="accent1" w:themeFillTint="33"/>
          </w:tcPr>
          <w:p w14:paraId="17B28DE3" w14:textId="75AAE827" w:rsidR="45D70BF5" w:rsidRDefault="45D70BF5" w:rsidP="05FD1449">
            <w:pPr>
              <w:rPr>
                <w:rFonts w:asciiTheme="majorHAnsi" w:eastAsiaTheme="majorEastAsia" w:hAnsiTheme="majorHAnsi" w:cstheme="majorBidi"/>
              </w:rPr>
            </w:pPr>
            <w:r w:rsidRPr="05FD1449">
              <w:rPr>
                <w:rFonts w:asciiTheme="majorHAnsi" w:eastAsiaTheme="majorEastAsia" w:hAnsiTheme="majorHAnsi" w:cstheme="majorBidi"/>
              </w:rPr>
              <w:t xml:space="preserve">Performance Monitoring </w:t>
            </w:r>
          </w:p>
        </w:tc>
        <w:tc>
          <w:tcPr>
            <w:tcW w:w="1620" w:type="dxa"/>
            <w:shd w:val="clear" w:color="auto" w:fill="D9E2F3" w:themeFill="accent1" w:themeFillTint="33"/>
          </w:tcPr>
          <w:p w14:paraId="03A4BA50" w14:textId="55414444" w:rsidR="45D70BF5" w:rsidRDefault="45D70BF5" w:rsidP="05FD1449">
            <w:pPr>
              <w:rPr>
                <w:rFonts w:asciiTheme="majorHAnsi" w:eastAsiaTheme="majorEastAsia" w:hAnsiTheme="majorHAnsi" w:cstheme="majorBidi"/>
              </w:rPr>
            </w:pPr>
            <w:r w:rsidRPr="05FD1449">
              <w:rPr>
                <w:rFonts w:asciiTheme="majorHAnsi" w:eastAsiaTheme="majorEastAsia" w:hAnsiTheme="majorHAnsi" w:cstheme="majorBidi"/>
              </w:rPr>
              <w:t>Performance</w:t>
            </w:r>
          </w:p>
          <w:p w14:paraId="30B9A977" w14:textId="51540E1A" w:rsidR="45D70BF5" w:rsidRDefault="45D70BF5" w:rsidP="05FD1449">
            <w:pPr>
              <w:rPr>
                <w:rFonts w:asciiTheme="majorHAnsi" w:eastAsiaTheme="majorEastAsia" w:hAnsiTheme="majorHAnsi" w:cstheme="majorBidi"/>
              </w:rPr>
            </w:pPr>
            <w:r w:rsidRPr="05FD1449">
              <w:rPr>
                <w:rFonts w:asciiTheme="majorHAnsi" w:eastAsiaTheme="majorEastAsia" w:hAnsiTheme="majorHAnsi" w:cstheme="majorBidi"/>
              </w:rPr>
              <w:t>Monitoring</w:t>
            </w:r>
          </w:p>
        </w:tc>
        <w:tc>
          <w:tcPr>
            <w:tcW w:w="1500" w:type="dxa"/>
            <w:shd w:val="clear" w:color="auto" w:fill="D9E2F3" w:themeFill="accent1" w:themeFillTint="33"/>
          </w:tcPr>
          <w:p w14:paraId="57841CE1" w14:textId="19218EA7" w:rsidR="45D70BF5" w:rsidRDefault="45D70BF5" w:rsidP="05FD1449">
            <w:pPr>
              <w:rPr>
                <w:rFonts w:asciiTheme="majorHAnsi" w:eastAsiaTheme="majorEastAsia" w:hAnsiTheme="majorHAnsi" w:cstheme="majorBidi"/>
              </w:rPr>
            </w:pPr>
            <w:r w:rsidRPr="05FD1449">
              <w:rPr>
                <w:rFonts w:asciiTheme="majorHAnsi" w:eastAsiaTheme="majorEastAsia" w:hAnsiTheme="majorHAnsi" w:cstheme="majorBidi"/>
              </w:rPr>
              <w:t xml:space="preserve">Performance Monitoring </w:t>
            </w:r>
          </w:p>
        </w:tc>
      </w:tr>
      <w:tr w:rsidR="05FD1449" w14:paraId="01164776" w14:textId="77777777" w:rsidTr="05FD1449">
        <w:trPr>
          <w:trHeight w:val="300"/>
        </w:trPr>
        <w:tc>
          <w:tcPr>
            <w:tcW w:w="1560" w:type="dxa"/>
            <w:shd w:val="clear" w:color="auto" w:fill="D9E2F3" w:themeFill="accent1" w:themeFillTint="33"/>
          </w:tcPr>
          <w:p w14:paraId="0644F5C3" w14:textId="18664264" w:rsidR="05FD1449" w:rsidRDefault="05FD1449" w:rsidP="05FD1449">
            <w:pPr>
              <w:rPr>
                <w:rFonts w:asciiTheme="majorHAnsi" w:eastAsiaTheme="majorEastAsia" w:hAnsiTheme="majorHAnsi" w:cstheme="majorBidi"/>
              </w:rPr>
            </w:pPr>
          </w:p>
        </w:tc>
        <w:tc>
          <w:tcPr>
            <w:tcW w:w="1560" w:type="dxa"/>
            <w:shd w:val="clear" w:color="auto" w:fill="D9E2F3" w:themeFill="accent1" w:themeFillTint="33"/>
            <w:vAlign w:val="center"/>
          </w:tcPr>
          <w:p w14:paraId="3E1617E0" w14:textId="35199FCA" w:rsidR="45D70BF5" w:rsidRDefault="45D70BF5" w:rsidP="05FD1449">
            <w:pPr>
              <w:jc w:val="center"/>
              <w:rPr>
                <w:rFonts w:asciiTheme="majorHAnsi" w:eastAsiaTheme="majorEastAsia" w:hAnsiTheme="majorHAnsi" w:cstheme="majorBidi"/>
              </w:rPr>
            </w:pPr>
            <w:r w:rsidRPr="05FD1449">
              <w:rPr>
                <w:rFonts w:asciiTheme="majorHAnsi" w:eastAsiaTheme="majorEastAsia" w:hAnsiTheme="majorHAnsi" w:cstheme="majorBidi"/>
              </w:rPr>
              <w:t>2019-2020 Perf. Drop</w:t>
            </w:r>
          </w:p>
        </w:tc>
        <w:tc>
          <w:tcPr>
            <w:tcW w:w="1560" w:type="dxa"/>
            <w:shd w:val="clear" w:color="auto" w:fill="D9E2F3" w:themeFill="accent1" w:themeFillTint="33"/>
            <w:vAlign w:val="center"/>
          </w:tcPr>
          <w:p w14:paraId="4DF7B7EB" w14:textId="10BDCBC9" w:rsidR="45D70BF5" w:rsidRDefault="45D70BF5" w:rsidP="05FD1449">
            <w:pPr>
              <w:jc w:val="center"/>
              <w:rPr>
                <w:rFonts w:asciiTheme="majorHAnsi" w:eastAsiaTheme="majorEastAsia" w:hAnsiTheme="majorHAnsi" w:cstheme="majorBidi"/>
              </w:rPr>
            </w:pPr>
            <w:r w:rsidRPr="05FD1449">
              <w:rPr>
                <w:rFonts w:asciiTheme="majorHAnsi" w:eastAsiaTheme="majorEastAsia" w:hAnsiTheme="majorHAnsi" w:cstheme="majorBidi"/>
              </w:rPr>
              <w:t>2019-2021 Perf. Drop</w:t>
            </w:r>
          </w:p>
        </w:tc>
        <w:tc>
          <w:tcPr>
            <w:tcW w:w="1560" w:type="dxa"/>
            <w:shd w:val="clear" w:color="auto" w:fill="D9E2F3" w:themeFill="accent1" w:themeFillTint="33"/>
            <w:vAlign w:val="center"/>
          </w:tcPr>
          <w:p w14:paraId="6A96C533" w14:textId="7672D0E4" w:rsidR="45D70BF5" w:rsidRDefault="45D70BF5" w:rsidP="05FD1449">
            <w:pPr>
              <w:jc w:val="center"/>
              <w:rPr>
                <w:rFonts w:asciiTheme="majorHAnsi" w:eastAsiaTheme="majorEastAsia" w:hAnsiTheme="majorHAnsi" w:cstheme="majorBidi"/>
              </w:rPr>
            </w:pPr>
            <w:r w:rsidRPr="05FD1449">
              <w:rPr>
                <w:rFonts w:asciiTheme="majorHAnsi" w:eastAsiaTheme="majorEastAsia" w:hAnsiTheme="majorHAnsi" w:cstheme="majorBidi"/>
              </w:rPr>
              <w:t>2019-2022 Perf. Drop</w:t>
            </w:r>
          </w:p>
        </w:tc>
        <w:tc>
          <w:tcPr>
            <w:tcW w:w="1620" w:type="dxa"/>
            <w:shd w:val="clear" w:color="auto" w:fill="D9E2F3" w:themeFill="accent1" w:themeFillTint="33"/>
            <w:vAlign w:val="center"/>
          </w:tcPr>
          <w:p w14:paraId="2118B00D" w14:textId="2CC26681" w:rsidR="45D70BF5" w:rsidRDefault="45D70BF5" w:rsidP="05FD1449">
            <w:pPr>
              <w:jc w:val="center"/>
              <w:rPr>
                <w:rFonts w:asciiTheme="majorHAnsi" w:eastAsiaTheme="majorEastAsia" w:hAnsiTheme="majorHAnsi" w:cstheme="majorBidi"/>
              </w:rPr>
            </w:pPr>
            <w:r w:rsidRPr="05FD1449">
              <w:rPr>
                <w:rFonts w:asciiTheme="majorHAnsi" w:eastAsiaTheme="majorEastAsia" w:hAnsiTheme="majorHAnsi" w:cstheme="majorBidi"/>
              </w:rPr>
              <w:t xml:space="preserve">Recovery </w:t>
            </w:r>
          </w:p>
        </w:tc>
        <w:tc>
          <w:tcPr>
            <w:tcW w:w="1500" w:type="dxa"/>
            <w:shd w:val="clear" w:color="auto" w:fill="D9E2F3" w:themeFill="accent1" w:themeFillTint="33"/>
            <w:vAlign w:val="center"/>
          </w:tcPr>
          <w:p w14:paraId="50EC3737" w14:textId="4C8CA7B4" w:rsidR="45D70BF5" w:rsidRDefault="45D70BF5" w:rsidP="05FD1449">
            <w:pPr>
              <w:jc w:val="center"/>
              <w:rPr>
                <w:rFonts w:asciiTheme="majorHAnsi" w:eastAsiaTheme="majorEastAsia" w:hAnsiTheme="majorHAnsi" w:cstheme="majorBidi"/>
              </w:rPr>
            </w:pPr>
            <w:r w:rsidRPr="05FD1449">
              <w:rPr>
                <w:rFonts w:asciiTheme="majorHAnsi" w:eastAsiaTheme="majorEastAsia" w:hAnsiTheme="majorHAnsi" w:cstheme="majorBidi"/>
              </w:rPr>
              <w:t>Recovery %</w:t>
            </w:r>
          </w:p>
        </w:tc>
      </w:tr>
      <w:tr w:rsidR="05FD1449" w14:paraId="37BE70CA" w14:textId="77777777" w:rsidTr="05FD1449">
        <w:trPr>
          <w:trHeight w:val="300"/>
        </w:trPr>
        <w:tc>
          <w:tcPr>
            <w:tcW w:w="1560" w:type="dxa"/>
          </w:tcPr>
          <w:p w14:paraId="4D6E89E5" w14:textId="15475909" w:rsidR="05FD1449" w:rsidRDefault="05FD1449" w:rsidP="05FD1449">
            <w:pPr>
              <w:rPr>
                <w:rFonts w:asciiTheme="majorHAnsi" w:eastAsiaTheme="majorEastAsia" w:hAnsiTheme="majorHAnsi" w:cstheme="majorBidi"/>
              </w:rPr>
            </w:pPr>
            <w:r w:rsidRPr="05FD1449">
              <w:rPr>
                <w:rFonts w:asciiTheme="majorHAnsi" w:eastAsiaTheme="majorEastAsia" w:hAnsiTheme="majorHAnsi" w:cstheme="majorBidi"/>
              </w:rPr>
              <w:t xml:space="preserve">1. </w:t>
            </w:r>
            <w:r w:rsidR="45D70BF5" w:rsidRPr="05FD1449">
              <w:rPr>
                <w:rFonts w:asciiTheme="majorHAnsi" w:eastAsiaTheme="majorEastAsia" w:hAnsiTheme="majorHAnsi" w:cstheme="majorBidi"/>
              </w:rPr>
              <w:t xml:space="preserve">Metabolic monitoring for children using </w:t>
            </w:r>
          </w:p>
          <w:p w14:paraId="0EA4F60C" w14:textId="5C0E84B3" w:rsidR="45D70BF5" w:rsidRDefault="45D70BF5" w:rsidP="05FD1449">
            <w:pPr>
              <w:rPr>
                <w:rFonts w:asciiTheme="majorHAnsi" w:eastAsiaTheme="majorEastAsia" w:hAnsiTheme="majorHAnsi" w:cstheme="majorBidi"/>
              </w:rPr>
            </w:pPr>
            <w:r w:rsidRPr="05FD1449">
              <w:rPr>
                <w:rFonts w:asciiTheme="majorHAnsi" w:eastAsiaTheme="majorEastAsia" w:hAnsiTheme="majorHAnsi" w:cstheme="majorBidi"/>
              </w:rPr>
              <w:t>antipsychotics</w:t>
            </w:r>
          </w:p>
          <w:p w14:paraId="3EBAFA9F" w14:textId="155BB0C2" w:rsidR="05FD1449" w:rsidRDefault="05FD1449" w:rsidP="05FD1449">
            <w:pPr>
              <w:rPr>
                <w:rFonts w:asciiTheme="majorHAnsi" w:eastAsiaTheme="majorEastAsia" w:hAnsiTheme="majorHAnsi" w:cstheme="majorBidi"/>
              </w:rPr>
            </w:pPr>
          </w:p>
        </w:tc>
        <w:tc>
          <w:tcPr>
            <w:tcW w:w="1560" w:type="dxa"/>
            <w:vAlign w:val="center"/>
          </w:tcPr>
          <w:p w14:paraId="56310471" w14:textId="20FD4701" w:rsidR="3FE2D27D" w:rsidRDefault="3FE2D27D" w:rsidP="05FD1449">
            <w:pPr>
              <w:jc w:val="center"/>
              <w:rPr>
                <w:rFonts w:asciiTheme="majorHAnsi" w:eastAsiaTheme="majorEastAsia" w:hAnsiTheme="majorHAnsi" w:cstheme="majorBidi"/>
              </w:rPr>
            </w:pPr>
            <w:r w:rsidRPr="05FD1449">
              <w:rPr>
                <w:rFonts w:asciiTheme="majorHAnsi" w:eastAsiaTheme="majorEastAsia" w:hAnsiTheme="majorHAnsi" w:cstheme="majorBidi"/>
              </w:rPr>
              <w:t>-7.9</w:t>
            </w:r>
          </w:p>
        </w:tc>
        <w:tc>
          <w:tcPr>
            <w:tcW w:w="1560" w:type="dxa"/>
            <w:vAlign w:val="center"/>
          </w:tcPr>
          <w:p w14:paraId="6C929E08" w14:textId="10DD0EF0" w:rsidR="3FE2D27D" w:rsidRDefault="3FE2D27D" w:rsidP="05FD1449">
            <w:pPr>
              <w:jc w:val="center"/>
              <w:rPr>
                <w:rFonts w:asciiTheme="majorHAnsi" w:eastAsiaTheme="majorEastAsia" w:hAnsiTheme="majorHAnsi" w:cstheme="majorBidi"/>
              </w:rPr>
            </w:pPr>
            <w:r w:rsidRPr="05FD1449">
              <w:rPr>
                <w:rFonts w:asciiTheme="majorHAnsi" w:eastAsiaTheme="majorEastAsia" w:hAnsiTheme="majorHAnsi" w:cstheme="majorBidi"/>
              </w:rPr>
              <w:t>-5.6</w:t>
            </w:r>
          </w:p>
        </w:tc>
        <w:tc>
          <w:tcPr>
            <w:tcW w:w="1560" w:type="dxa"/>
            <w:vAlign w:val="center"/>
          </w:tcPr>
          <w:p w14:paraId="25469240" w14:textId="4F52A8C5" w:rsidR="3FE2D27D" w:rsidRDefault="3FE2D27D" w:rsidP="05FD1449">
            <w:pPr>
              <w:jc w:val="center"/>
              <w:rPr>
                <w:rFonts w:asciiTheme="majorHAnsi" w:eastAsiaTheme="majorEastAsia" w:hAnsiTheme="majorHAnsi" w:cstheme="majorBidi"/>
              </w:rPr>
            </w:pPr>
            <w:r w:rsidRPr="05FD1449">
              <w:rPr>
                <w:rFonts w:asciiTheme="majorHAnsi" w:eastAsiaTheme="majorEastAsia" w:hAnsiTheme="majorHAnsi" w:cstheme="majorBidi"/>
              </w:rPr>
              <w:t>-5.5</w:t>
            </w:r>
          </w:p>
        </w:tc>
        <w:tc>
          <w:tcPr>
            <w:tcW w:w="1620" w:type="dxa"/>
            <w:vAlign w:val="center"/>
          </w:tcPr>
          <w:p w14:paraId="4A33CE08" w14:textId="52120E0F" w:rsidR="3FE2D27D" w:rsidRDefault="3FE2D27D" w:rsidP="05FD1449">
            <w:pPr>
              <w:jc w:val="center"/>
              <w:rPr>
                <w:rFonts w:asciiTheme="majorHAnsi" w:eastAsiaTheme="majorEastAsia" w:hAnsiTheme="majorHAnsi" w:cstheme="majorBidi"/>
              </w:rPr>
            </w:pPr>
            <w:r w:rsidRPr="05FD1449">
              <w:rPr>
                <w:rFonts w:asciiTheme="majorHAnsi" w:eastAsiaTheme="majorEastAsia" w:hAnsiTheme="majorHAnsi" w:cstheme="majorBidi"/>
              </w:rPr>
              <w:t>+2.4</w:t>
            </w:r>
          </w:p>
        </w:tc>
        <w:tc>
          <w:tcPr>
            <w:tcW w:w="1500" w:type="dxa"/>
            <w:vAlign w:val="center"/>
          </w:tcPr>
          <w:p w14:paraId="2FDD0581" w14:textId="570EFF2C" w:rsidR="3FE2D27D" w:rsidRDefault="3FE2D27D" w:rsidP="05FD1449">
            <w:pPr>
              <w:jc w:val="center"/>
              <w:rPr>
                <w:rFonts w:asciiTheme="majorHAnsi" w:eastAsiaTheme="majorEastAsia" w:hAnsiTheme="majorHAnsi" w:cstheme="majorBidi"/>
              </w:rPr>
            </w:pPr>
            <w:r w:rsidRPr="05FD1449">
              <w:rPr>
                <w:rFonts w:asciiTheme="majorHAnsi" w:eastAsiaTheme="majorEastAsia" w:hAnsiTheme="majorHAnsi" w:cstheme="majorBidi"/>
              </w:rPr>
              <w:t>30%</w:t>
            </w:r>
          </w:p>
        </w:tc>
      </w:tr>
      <w:tr w:rsidR="05FD1449" w14:paraId="7A7067B0" w14:textId="77777777" w:rsidTr="05FD1449">
        <w:trPr>
          <w:trHeight w:val="300"/>
        </w:trPr>
        <w:tc>
          <w:tcPr>
            <w:tcW w:w="1560" w:type="dxa"/>
            <w:shd w:val="clear" w:color="auto" w:fill="D9D9D9" w:themeFill="background1" w:themeFillShade="D9"/>
          </w:tcPr>
          <w:p w14:paraId="23636F8D" w14:textId="5C411FC4" w:rsidR="45D70BF5" w:rsidRDefault="45D70BF5" w:rsidP="05FD1449">
            <w:pPr>
              <w:rPr>
                <w:rFonts w:asciiTheme="majorHAnsi" w:eastAsiaTheme="majorEastAsia" w:hAnsiTheme="majorHAnsi" w:cstheme="majorBidi"/>
              </w:rPr>
            </w:pPr>
            <w:r w:rsidRPr="05FD1449">
              <w:rPr>
                <w:rFonts w:asciiTheme="majorHAnsi" w:eastAsiaTheme="majorEastAsia" w:hAnsiTheme="majorHAnsi" w:cstheme="majorBidi"/>
              </w:rPr>
              <w:t>2. Diabetes care: a1c poor control</w:t>
            </w:r>
          </w:p>
        </w:tc>
        <w:tc>
          <w:tcPr>
            <w:tcW w:w="1560" w:type="dxa"/>
            <w:shd w:val="clear" w:color="auto" w:fill="D9D9D9" w:themeFill="background1" w:themeFillShade="D9"/>
            <w:vAlign w:val="center"/>
          </w:tcPr>
          <w:p w14:paraId="5E2C4FA5" w14:textId="7640D36C" w:rsidR="30EC08C8" w:rsidRDefault="30EC08C8" w:rsidP="05FD1449">
            <w:pPr>
              <w:jc w:val="center"/>
              <w:rPr>
                <w:rFonts w:asciiTheme="majorHAnsi" w:eastAsiaTheme="majorEastAsia" w:hAnsiTheme="majorHAnsi" w:cstheme="majorBidi"/>
              </w:rPr>
            </w:pPr>
            <w:r w:rsidRPr="05FD1449">
              <w:rPr>
                <w:rFonts w:asciiTheme="majorHAnsi" w:eastAsiaTheme="majorEastAsia" w:hAnsiTheme="majorHAnsi" w:cstheme="majorBidi"/>
              </w:rPr>
              <w:t>-11.0</w:t>
            </w:r>
          </w:p>
        </w:tc>
        <w:tc>
          <w:tcPr>
            <w:tcW w:w="1560" w:type="dxa"/>
            <w:shd w:val="clear" w:color="auto" w:fill="D9D9D9" w:themeFill="background1" w:themeFillShade="D9"/>
            <w:vAlign w:val="center"/>
          </w:tcPr>
          <w:p w14:paraId="48A1246C" w14:textId="746C3CCC" w:rsidR="30EC08C8" w:rsidRDefault="30EC08C8" w:rsidP="05FD1449">
            <w:pPr>
              <w:jc w:val="center"/>
              <w:rPr>
                <w:rFonts w:asciiTheme="majorHAnsi" w:eastAsiaTheme="majorEastAsia" w:hAnsiTheme="majorHAnsi" w:cstheme="majorBidi"/>
              </w:rPr>
            </w:pPr>
            <w:r w:rsidRPr="05FD1449">
              <w:rPr>
                <w:rFonts w:asciiTheme="majorHAnsi" w:eastAsiaTheme="majorEastAsia" w:hAnsiTheme="majorHAnsi" w:cstheme="majorBidi"/>
              </w:rPr>
              <w:t>-3.9</w:t>
            </w:r>
          </w:p>
        </w:tc>
        <w:tc>
          <w:tcPr>
            <w:tcW w:w="1560" w:type="dxa"/>
            <w:shd w:val="clear" w:color="auto" w:fill="D9D9D9" w:themeFill="background1" w:themeFillShade="D9"/>
            <w:vAlign w:val="center"/>
          </w:tcPr>
          <w:p w14:paraId="57B57B82" w14:textId="051E54A0" w:rsidR="30EC08C8" w:rsidRDefault="30EC08C8" w:rsidP="05FD1449">
            <w:pPr>
              <w:jc w:val="center"/>
              <w:rPr>
                <w:rFonts w:asciiTheme="majorHAnsi" w:eastAsiaTheme="majorEastAsia" w:hAnsiTheme="majorHAnsi" w:cstheme="majorBidi"/>
              </w:rPr>
            </w:pPr>
            <w:r w:rsidRPr="05FD1449">
              <w:rPr>
                <w:rFonts w:asciiTheme="majorHAnsi" w:eastAsiaTheme="majorEastAsia" w:hAnsiTheme="majorHAnsi" w:cstheme="majorBidi"/>
              </w:rPr>
              <w:t>-3.6</w:t>
            </w:r>
          </w:p>
        </w:tc>
        <w:tc>
          <w:tcPr>
            <w:tcW w:w="1620" w:type="dxa"/>
            <w:shd w:val="clear" w:color="auto" w:fill="D9D9D9" w:themeFill="background1" w:themeFillShade="D9"/>
            <w:vAlign w:val="center"/>
          </w:tcPr>
          <w:p w14:paraId="24D8A378" w14:textId="0FBEB865" w:rsidR="30EC08C8" w:rsidRDefault="30EC08C8" w:rsidP="05FD1449">
            <w:pPr>
              <w:jc w:val="center"/>
              <w:rPr>
                <w:rFonts w:asciiTheme="majorHAnsi" w:eastAsiaTheme="majorEastAsia" w:hAnsiTheme="majorHAnsi" w:cstheme="majorBidi"/>
              </w:rPr>
            </w:pPr>
            <w:r w:rsidRPr="05FD1449">
              <w:rPr>
                <w:rFonts w:asciiTheme="majorHAnsi" w:eastAsiaTheme="majorEastAsia" w:hAnsiTheme="majorHAnsi" w:cstheme="majorBidi"/>
              </w:rPr>
              <w:t>+7.4</w:t>
            </w:r>
          </w:p>
        </w:tc>
        <w:tc>
          <w:tcPr>
            <w:tcW w:w="1500" w:type="dxa"/>
            <w:shd w:val="clear" w:color="auto" w:fill="D9D9D9" w:themeFill="background1" w:themeFillShade="D9"/>
            <w:vAlign w:val="center"/>
          </w:tcPr>
          <w:p w14:paraId="28180FB7" w14:textId="449B8C66" w:rsidR="30EC08C8" w:rsidRDefault="30EC08C8" w:rsidP="05FD1449">
            <w:pPr>
              <w:jc w:val="center"/>
              <w:rPr>
                <w:rFonts w:asciiTheme="majorHAnsi" w:eastAsiaTheme="majorEastAsia" w:hAnsiTheme="majorHAnsi" w:cstheme="majorBidi"/>
              </w:rPr>
            </w:pPr>
            <w:r w:rsidRPr="05FD1449">
              <w:rPr>
                <w:rFonts w:asciiTheme="majorHAnsi" w:eastAsiaTheme="majorEastAsia" w:hAnsiTheme="majorHAnsi" w:cstheme="majorBidi"/>
              </w:rPr>
              <w:t>67%</w:t>
            </w:r>
          </w:p>
        </w:tc>
      </w:tr>
      <w:tr w:rsidR="05FD1449" w14:paraId="0731CC2D" w14:textId="77777777" w:rsidTr="05FD1449">
        <w:trPr>
          <w:trHeight w:val="300"/>
        </w:trPr>
        <w:tc>
          <w:tcPr>
            <w:tcW w:w="1560" w:type="dxa"/>
          </w:tcPr>
          <w:p w14:paraId="38893C69" w14:textId="555C05BB" w:rsidR="45D70BF5" w:rsidRDefault="45D70BF5" w:rsidP="05FD1449">
            <w:pPr>
              <w:rPr>
                <w:rFonts w:asciiTheme="majorHAnsi" w:eastAsiaTheme="majorEastAsia" w:hAnsiTheme="majorHAnsi" w:cstheme="majorBidi"/>
              </w:rPr>
            </w:pPr>
            <w:r w:rsidRPr="05FD1449">
              <w:rPr>
                <w:rFonts w:asciiTheme="majorHAnsi" w:eastAsiaTheme="majorEastAsia" w:hAnsiTheme="majorHAnsi" w:cstheme="majorBidi"/>
              </w:rPr>
              <w:t xml:space="preserve">3. Controlling high blood pressure  </w:t>
            </w:r>
          </w:p>
        </w:tc>
        <w:tc>
          <w:tcPr>
            <w:tcW w:w="1560" w:type="dxa"/>
            <w:vAlign w:val="center"/>
          </w:tcPr>
          <w:p w14:paraId="1D2EA21C" w14:textId="14496923" w:rsidR="634A7BFD" w:rsidRDefault="634A7BFD" w:rsidP="05FD1449">
            <w:pPr>
              <w:jc w:val="center"/>
              <w:rPr>
                <w:rFonts w:asciiTheme="majorHAnsi" w:eastAsiaTheme="majorEastAsia" w:hAnsiTheme="majorHAnsi" w:cstheme="majorBidi"/>
              </w:rPr>
            </w:pPr>
            <w:r w:rsidRPr="05FD1449">
              <w:rPr>
                <w:rFonts w:asciiTheme="majorHAnsi" w:eastAsiaTheme="majorEastAsia" w:hAnsiTheme="majorHAnsi" w:cstheme="majorBidi"/>
              </w:rPr>
              <w:t>-12.6</w:t>
            </w:r>
          </w:p>
        </w:tc>
        <w:tc>
          <w:tcPr>
            <w:tcW w:w="1560" w:type="dxa"/>
            <w:vAlign w:val="center"/>
          </w:tcPr>
          <w:p w14:paraId="1B993E7D" w14:textId="3A1CFCB2" w:rsidR="634A7BFD" w:rsidRDefault="634A7BFD" w:rsidP="05FD1449">
            <w:pPr>
              <w:jc w:val="center"/>
              <w:rPr>
                <w:rFonts w:asciiTheme="majorHAnsi" w:eastAsiaTheme="majorEastAsia" w:hAnsiTheme="majorHAnsi" w:cstheme="majorBidi"/>
              </w:rPr>
            </w:pPr>
            <w:r w:rsidRPr="05FD1449">
              <w:rPr>
                <w:rFonts w:asciiTheme="majorHAnsi" w:eastAsiaTheme="majorEastAsia" w:hAnsiTheme="majorHAnsi" w:cstheme="majorBidi"/>
              </w:rPr>
              <w:t>-6.1</w:t>
            </w:r>
          </w:p>
        </w:tc>
        <w:tc>
          <w:tcPr>
            <w:tcW w:w="1560" w:type="dxa"/>
            <w:vAlign w:val="center"/>
          </w:tcPr>
          <w:p w14:paraId="15477D28" w14:textId="7FC9415D" w:rsidR="634A7BFD" w:rsidRDefault="634A7BFD" w:rsidP="05FD1449">
            <w:pPr>
              <w:jc w:val="center"/>
              <w:rPr>
                <w:rFonts w:asciiTheme="majorHAnsi" w:eastAsiaTheme="majorEastAsia" w:hAnsiTheme="majorHAnsi" w:cstheme="majorBidi"/>
              </w:rPr>
            </w:pPr>
            <w:r w:rsidRPr="05FD1449">
              <w:rPr>
                <w:rFonts w:asciiTheme="majorHAnsi" w:eastAsiaTheme="majorEastAsia" w:hAnsiTheme="majorHAnsi" w:cstheme="majorBidi"/>
              </w:rPr>
              <w:t>-5.3</w:t>
            </w:r>
          </w:p>
        </w:tc>
        <w:tc>
          <w:tcPr>
            <w:tcW w:w="1620" w:type="dxa"/>
            <w:vAlign w:val="center"/>
          </w:tcPr>
          <w:p w14:paraId="1AD05728" w14:textId="5DB8E5E2" w:rsidR="634A7BFD" w:rsidRDefault="634A7BFD" w:rsidP="05FD1449">
            <w:pPr>
              <w:jc w:val="center"/>
              <w:rPr>
                <w:rFonts w:asciiTheme="majorHAnsi" w:eastAsiaTheme="majorEastAsia" w:hAnsiTheme="majorHAnsi" w:cstheme="majorBidi"/>
              </w:rPr>
            </w:pPr>
            <w:r w:rsidRPr="05FD1449">
              <w:rPr>
                <w:rFonts w:asciiTheme="majorHAnsi" w:eastAsiaTheme="majorEastAsia" w:hAnsiTheme="majorHAnsi" w:cstheme="majorBidi"/>
              </w:rPr>
              <w:t>+7.3</w:t>
            </w:r>
          </w:p>
        </w:tc>
        <w:tc>
          <w:tcPr>
            <w:tcW w:w="1500" w:type="dxa"/>
            <w:vAlign w:val="center"/>
          </w:tcPr>
          <w:p w14:paraId="45872694" w14:textId="57B1D527" w:rsidR="634A7BFD" w:rsidRDefault="634A7BFD" w:rsidP="05FD1449">
            <w:pPr>
              <w:jc w:val="center"/>
              <w:rPr>
                <w:rFonts w:asciiTheme="majorHAnsi" w:eastAsiaTheme="majorEastAsia" w:hAnsiTheme="majorHAnsi" w:cstheme="majorBidi"/>
              </w:rPr>
            </w:pPr>
            <w:r w:rsidRPr="05FD1449">
              <w:rPr>
                <w:rFonts w:asciiTheme="majorHAnsi" w:eastAsiaTheme="majorEastAsia" w:hAnsiTheme="majorHAnsi" w:cstheme="majorBidi"/>
              </w:rPr>
              <w:t>58%</w:t>
            </w:r>
          </w:p>
        </w:tc>
      </w:tr>
      <w:tr w:rsidR="05FD1449" w14:paraId="56AB7A58" w14:textId="77777777" w:rsidTr="05FD1449">
        <w:trPr>
          <w:trHeight w:val="300"/>
        </w:trPr>
        <w:tc>
          <w:tcPr>
            <w:tcW w:w="1560" w:type="dxa"/>
            <w:shd w:val="clear" w:color="auto" w:fill="D9D9D9" w:themeFill="background1" w:themeFillShade="D9"/>
          </w:tcPr>
          <w:p w14:paraId="4CB54328" w14:textId="691A7D4A" w:rsidR="45D70BF5" w:rsidRDefault="45D70BF5" w:rsidP="05FD1449">
            <w:pPr>
              <w:rPr>
                <w:rFonts w:asciiTheme="majorHAnsi" w:eastAsiaTheme="majorEastAsia" w:hAnsiTheme="majorHAnsi" w:cstheme="majorBidi"/>
              </w:rPr>
            </w:pPr>
            <w:r w:rsidRPr="05FD1449">
              <w:rPr>
                <w:rFonts w:asciiTheme="majorHAnsi" w:eastAsiaTheme="majorEastAsia" w:hAnsiTheme="majorHAnsi" w:cstheme="majorBidi"/>
              </w:rPr>
              <w:t xml:space="preserve">4. Oral health evaluation  </w:t>
            </w:r>
          </w:p>
        </w:tc>
        <w:tc>
          <w:tcPr>
            <w:tcW w:w="1560" w:type="dxa"/>
            <w:shd w:val="clear" w:color="auto" w:fill="D9D9D9" w:themeFill="background1" w:themeFillShade="D9"/>
            <w:vAlign w:val="center"/>
          </w:tcPr>
          <w:p w14:paraId="236A3155" w14:textId="22B7D435" w:rsidR="7698A896" w:rsidRDefault="7698A896" w:rsidP="05FD1449">
            <w:pPr>
              <w:jc w:val="center"/>
              <w:rPr>
                <w:rFonts w:asciiTheme="majorHAnsi" w:eastAsiaTheme="majorEastAsia" w:hAnsiTheme="majorHAnsi" w:cstheme="majorBidi"/>
              </w:rPr>
            </w:pPr>
            <w:r w:rsidRPr="05FD1449">
              <w:rPr>
                <w:rFonts w:asciiTheme="majorHAnsi" w:eastAsiaTheme="majorEastAsia" w:hAnsiTheme="majorHAnsi" w:cstheme="majorBidi"/>
              </w:rPr>
              <w:t>-16.7</w:t>
            </w:r>
          </w:p>
        </w:tc>
        <w:tc>
          <w:tcPr>
            <w:tcW w:w="1560" w:type="dxa"/>
            <w:shd w:val="clear" w:color="auto" w:fill="D9D9D9" w:themeFill="background1" w:themeFillShade="D9"/>
            <w:vAlign w:val="center"/>
          </w:tcPr>
          <w:p w14:paraId="17366BF2" w14:textId="0CA1DAB8" w:rsidR="7698A896" w:rsidRDefault="7698A896" w:rsidP="05FD1449">
            <w:pPr>
              <w:jc w:val="center"/>
              <w:rPr>
                <w:rFonts w:asciiTheme="majorHAnsi" w:eastAsiaTheme="majorEastAsia" w:hAnsiTheme="majorHAnsi" w:cstheme="majorBidi"/>
              </w:rPr>
            </w:pPr>
            <w:r w:rsidRPr="05FD1449">
              <w:rPr>
                <w:rFonts w:asciiTheme="majorHAnsi" w:eastAsiaTheme="majorEastAsia" w:hAnsiTheme="majorHAnsi" w:cstheme="majorBidi"/>
              </w:rPr>
              <w:t>-7.4</w:t>
            </w:r>
          </w:p>
        </w:tc>
        <w:tc>
          <w:tcPr>
            <w:tcW w:w="1560" w:type="dxa"/>
            <w:shd w:val="clear" w:color="auto" w:fill="D9D9D9" w:themeFill="background1" w:themeFillShade="D9"/>
            <w:vAlign w:val="center"/>
          </w:tcPr>
          <w:p w14:paraId="19A9305C" w14:textId="115D92CE" w:rsidR="7698A896" w:rsidRDefault="7698A896" w:rsidP="05FD1449">
            <w:pPr>
              <w:jc w:val="center"/>
              <w:rPr>
                <w:rFonts w:asciiTheme="majorHAnsi" w:eastAsiaTheme="majorEastAsia" w:hAnsiTheme="majorHAnsi" w:cstheme="majorBidi"/>
              </w:rPr>
            </w:pPr>
            <w:r w:rsidRPr="05FD1449">
              <w:rPr>
                <w:rFonts w:asciiTheme="majorHAnsi" w:eastAsiaTheme="majorEastAsia" w:hAnsiTheme="majorHAnsi" w:cstheme="majorBidi"/>
              </w:rPr>
              <w:t>-7.1</w:t>
            </w:r>
          </w:p>
        </w:tc>
        <w:tc>
          <w:tcPr>
            <w:tcW w:w="1620" w:type="dxa"/>
            <w:shd w:val="clear" w:color="auto" w:fill="D9D9D9" w:themeFill="background1" w:themeFillShade="D9"/>
            <w:vAlign w:val="center"/>
          </w:tcPr>
          <w:p w14:paraId="5D121CA7" w14:textId="6ADD149A" w:rsidR="7698A896" w:rsidRDefault="7698A896" w:rsidP="05FD1449">
            <w:pPr>
              <w:jc w:val="center"/>
              <w:rPr>
                <w:rFonts w:asciiTheme="majorHAnsi" w:eastAsiaTheme="majorEastAsia" w:hAnsiTheme="majorHAnsi" w:cstheme="majorBidi"/>
              </w:rPr>
            </w:pPr>
            <w:r w:rsidRPr="05FD1449">
              <w:rPr>
                <w:rFonts w:asciiTheme="majorHAnsi" w:eastAsiaTheme="majorEastAsia" w:hAnsiTheme="majorHAnsi" w:cstheme="majorBidi"/>
              </w:rPr>
              <w:t>+9.6</w:t>
            </w:r>
          </w:p>
        </w:tc>
        <w:tc>
          <w:tcPr>
            <w:tcW w:w="1500" w:type="dxa"/>
            <w:shd w:val="clear" w:color="auto" w:fill="D9D9D9" w:themeFill="background1" w:themeFillShade="D9"/>
            <w:vAlign w:val="center"/>
          </w:tcPr>
          <w:p w14:paraId="5B653040" w14:textId="2D5691D7" w:rsidR="511A16FC" w:rsidRDefault="511A16FC" w:rsidP="05FD1449">
            <w:pPr>
              <w:jc w:val="center"/>
              <w:rPr>
                <w:rFonts w:asciiTheme="majorHAnsi" w:eastAsiaTheme="majorEastAsia" w:hAnsiTheme="majorHAnsi" w:cstheme="majorBidi"/>
              </w:rPr>
            </w:pPr>
            <w:r w:rsidRPr="05FD1449">
              <w:rPr>
                <w:rFonts w:asciiTheme="majorHAnsi" w:eastAsiaTheme="majorEastAsia" w:hAnsiTheme="majorHAnsi" w:cstheme="majorBidi"/>
              </w:rPr>
              <w:t>57%</w:t>
            </w:r>
          </w:p>
        </w:tc>
      </w:tr>
      <w:tr w:rsidR="05FD1449" w14:paraId="4066C324" w14:textId="77777777" w:rsidTr="05FD1449">
        <w:trPr>
          <w:trHeight w:val="1095"/>
        </w:trPr>
        <w:tc>
          <w:tcPr>
            <w:tcW w:w="1560" w:type="dxa"/>
          </w:tcPr>
          <w:p w14:paraId="04C15A06" w14:textId="2870245D" w:rsidR="45D70BF5" w:rsidRDefault="45D70BF5" w:rsidP="05FD1449">
            <w:pPr>
              <w:rPr>
                <w:rFonts w:asciiTheme="majorHAnsi" w:eastAsiaTheme="majorEastAsia" w:hAnsiTheme="majorHAnsi" w:cstheme="majorBidi"/>
              </w:rPr>
            </w:pPr>
            <w:r w:rsidRPr="05FD1449">
              <w:rPr>
                <w:rFonts w:asciiTheme="majorHAnsi" w:eastAsiaTheme="majorEastAsia" w:hAnsiTheme="majorHAnsi" w:cstheme="majorBidi"/>
                <w:color w:val="000000" w:themeColor="text1"/>
              </w:rPr>
              <w:t>5. Screening for depression and follow-up plan</w:t>
            </w:r>
          </w:p>
        </w:tc>
        <w:tc>
          <w:tcPr>
            <w:tcW w:w="1560" w:type="dxa"/>
            <w:vAlign w:val="center"/>
          </w:tcPr>
          <w:p w14:paraId="2FD0BFE1" w14:textId="0242E20E" w:rsidR="71BD8010" w:rsidRDefault="71BD8010" w:rsidP="05FD1449">
            <w:pPr>
              <w:jc w:val="center"/>
              <w:rPr>
                <w:rFonts w:asciiTheme="majorHAnsi" w:eastAsiaTheme="majorEastAsia" w:hAnsiTheme="majorHAnsi" w:cstheme="majorBidi"/>
              </w:rPr>
            </w:pPr>
            <w:r w:rsidRPr="05FD1449">
              <w:rPr>
                <w:rFonts w:asciiTheme="majorHAnsi" w:eastAsiaTheme="majorEastAsia" w:hAnsiTheme="majorHAnsi" w:cstheme="majorBidi"/>
              </w:rPr>
              <w:t>-9.0</w:t>
            </w:r>
          </w:p>
        </w:tc>
        <w:tc>
          <w:tcPr>
            <w:tcW w:w="1560" w:type="dxa"/>
            <w:vAlign w:val="center"/>
          </w:tcPr>
          <w:p w14:paraId="6BAC3181" w14:textId="5DDE1048" w:rsidR="71BD8010" w:rsidRDefault="71BD8010" w:rsidP="05FD1449">
            <w:pPr>
              <w:jc w:val="center"/>
              <w:rPr>
                <w:rFonts w:asciiTheme="majorHAnsi" w:eastAsiaTheme="majorEastAsia" w:hAnsiTheme="majorHAnsi" w:cstheme="majorBidi"/>
              </w:rPr>
            </w:pPr>
            <w:r w:rsidRPr="05FD1449">
              <w:rPr>
                <w:rFonts w:asciiTheme="majorHAnsi" w:eastAsiaTheme="majorEastAsia" w:hAnsiTheme="majorHAnsi" w:cstheme="majorBidi"/>
              </w:rPr>
              <w:t>-3.7</w:t>
            </w:r>
          </w:p>
        </w:tc>
        <w:tc>
          <w:tcPr>
            <w:tcW w:w="1560" w:type="dxa"/>
            <w:vAlign w:val="center"/>
          </w:tcPr>
          <w:p w14:paraId="2C7B20D0" w14:textId="46C37BE7" w:rsidR="71BD8010" w:rsidRDefault="71BD8010" w:rsidP="05FD1449">
            <w:pPr>
              <w:jc w:val="center"/>
              <w:rPr>
                <w:rFonts w:asciiTheme="majorHAnsi" w:eastAsiaTheme="majorEastAsia" w:hAnsiTheme="majorHAnsi" w:cstheme="majorBidi"/>
              </w:rPr>
            </w:pPr>
            <w:r w:rsidRPr="05FD1449">
              <w:rPr>
                <w:rFonts w:asciiTheme="majorHAnsi" w:eastAsiaTheme="majorEastAsia" w:hAnsiTheme="majorHAnsi" w:cstheme="majorBidi"/>
              </w:rPr>
              <w:t>-0.8</w:t>
            </w:r>
          </w:p>
        </w:tc>
        <w:tc>
          <w:tcPr>
            <w:tcW w:w="1620" w:type="dxa"/>
            <w:vAlign w:val="center"/>
          </w:tcPr>
          <w:p w14:paraId="152677A6" w14:textId="2155B228" w:rsidR="71BD8010" w:rsidRDefault="71BD8010" w:rsidP="05FD1449">
            <w:pPr>
              <w:jc w:val="center"/>
              <w:rPr>
                <w:rFonts w:asciiTheme="majorHAnsi" w:eastAsiaTheme="majorEastAsia" w:hAnsiTheme="majorHAnsi" w:cstheme="majorBidi"/>
              </w:rPr>
            </w:pPr>
            <w:r w:rsidRPr="05FD1449">
              <w:rPr>
                <w:rFonts w:asciiTheme="majorHAnsi" w:eastAsiaTheme="majorEastAsia" w:hAnsiTheme="majorHAnsi" w:cstheme="majorBidi"/>
              </w:rPr>
              <w:t>+8.2</w:t>
            </w:r>
          </w:p>
        </w:tc>
        <w:tc>
          <w:tcPr>
            <w:tcW w:w="1500" w:type="dxa"/>
            <w:vAlign w:val="center"/>
          </w:tcPr>
          <w:p w14:paraId="2CA75B2C" w14:textId="2E3F03E3" w:rsidR="410DAA2A" w:rsidRDefault="410DAA2A" w:rsidP="05FD1449">
            <w:pPr>
              <w:jc w:val="center"/>
              <w:rPr>
                <w:rFonts w:asciiTheme="majorHAnsi" w:eastAsiaTheme="majorEastAsia" w:hAnsiTheme="majorHAnsi" w:cstheme="majorBidi"/>
              </w:rPr>
            </w:pPr>
            <w:r w:rsidRPr="05FD1449">
              <w:rPr>
                <w:rFonts w:asciiTheme="majorHAnsi" w:eastAsiaTheme="majorEastAsia" w:hAnsiTheme="majorHAnsi" w:cstheme="majorBidi"/>
              </w:rPr>
              <w:t>91%</w:t>
            </w:r>
          </w:p>
        </w:tc>
      </w:tr>
      <w:tr w:rsidR="05FD1449" w14:paraId="0D043838" w14:textId="77777777" w:rsidTr="05FD1449">
        <w:trPr>
          <w:trHeight w:val="1815"/>
        </w:trPr>
        <w:tc>
          <w:tcPr>
            <w:tcW w:w="1560" w:type="dxa"/>
            <w:shd w:val="clear" w:color="auto" w:fill="D9D9D9" w:themeFill="background1" w:themeFillShade="D9"/>
          </w:tcPr>
          <w:p w14:paraId="2686980C" w14:textId="004B1F91" w:rsidR="05FD1449" w:rsidRDefault="05FD1449" w:rsidP="05FD1449">
            <w:pPr>
              <w:rPr>
                <w:rFonts w:asciiTheme="majorHAnsi" w:eastAsiaTheme="majorEastAsia" w:hAnsiTheme="majorHAnsi" w:cstheme="majorBidi"/>
              </w:rPr>
            </w:pPr>
            <w:r w:rsidRPr="05FD1449">
              <w:rPr>
                <w:rFonts w:asciiTheme="majorHAnsi" w:eastAsiaTheme="majorEastAsia" w:hAnsiTheme="majorHAnsi" w:cstheme="majorBidi"/>
              </w:rPr>
              <w:t xml:space="preserve">6. </w:t>
            </w:r>
            <w:r w:rsidR="22CAFA5E" w:rsidRPr="05FD1449">
              <w:rPr>
                <w:rFonts w:asciiTheme="majorHAnsi" w:eastAsiaTheme="majorEastAsia" w:hAnsiTheme="majorHAnsi" w:cstheme="majorBidi"/>
              </w:rPr>
              <w:t xml:space="preserve">ED Visits for individuals with mental illness and/or addiction </w:t>
            </w:r>
          </w:p>
          <w:p w14:paraId="4D63A7D3" w14:textId="45330862" w:rsidR="22CAFA5E" w:rsidRDefault="22CAFA5E" w:rsidP="05FD1449">
            <w:pPr>
              <w:rPr>
                <w:rFonts w:asciiTheme="majorHAnsi" w:eastAsiaTheme="majorEastAsia" w:hAnsiTheme="majorHAnsi" w:cstheme="majorBidi"/>
              </w:rPr>
            </w:pPr>
            <w:r w:rsidRPr="05FD1449">
              <w:rPr>
                <w:rFonts w:asciiTheme="majorHAnsi" w:eastAsiaTheme="majorEastAsia" w:hAnsiTheme="majorHAnsi" w:cstheme="majorBidi"/>
              </w:rPr>
              <w:t>(observed/</w:t>
            </w:r>
          </w:p>
          <w:p w14:paraId="6DF41FA9" w14:textId="3913CAA2" w:rsidR="22CAFA5E" w:rsidRDefault="22CAFA5E" w:rsidP="05FD1449">
            <w:pPr>
              <w:rPr>
                <w:rFonts w:asciiTheme="majorHAnsi" w:eastAsiaTheme="majorEastAsia" w:hAnsiTheme="majorHAnsi" w:cstheme="majorBidi"/>
              </w:rPr>
            </w:pPr>
            <w:r w:rsidRPr="05FD1449">
              <w:rPr>
                <w:rFonts w:asciiTheme="majorHAnsi" w:eastAsiaTheme="majorEastAsia" w:hAnsiTheme="majorHAnsi" w:cstheme="majorBidi"/>
              </w:rPr>
              <w:t>expected ratio)</w:t>
            </w:r>
          </w:p>
        </w:tc>
        <w:tc>
          <w:tcPr>
            <w:tcW w:w="1560" w:type="dxa"/>
            <w:shd w:val="clear" w:color="auto" w:fill="D9D9D9" w:themeFill="background1" w:themeFillShade="D9"/>
            <w:vAlign w:val="center"/>
          </w:tcPr>
          <w:p w14:paraId="154534A9" w14:textId="4124FD57" w:rsidR="47E9DD93" w:rsidRDefault="47E9DD93" w:rsidP="05FD1449">
            <w:pPr>
              <w:jc w:val="center"/>
              <w:rPr>
                <w:rFonts w:asciiTheme="majorHAnsi" w:eastAsiaTheme="majorEastAsia" w:hAnsiTheme="majorHAnsi" w:cstheme="majorBidi"/>
              </w:rPr>
            </w:pPr>
            <w:r w:rsidRPr="05FD1449">
              <w:rPr>
                <w:rFonts w:asciiTheme="majorHAnsi" w:eastAsiaTheme="majorEastAsia" w:hAnsiTheme="majorHAnsi" w:cstheme="majorBidi"/>
              </w:rPr>
              <w:t>-0.4</w:t>
            </w:r>
          </w:p>
        </w:tc>
        <w:tc>
          <w:tcPr>
            <w:tcW w:w="1560" w:type="dxa"/>
            <w:shd w:val="clear" w:color="auto" w:fill="D9D9D9" w:themeFill="background1" w:themeFillShade="D9"/>
            <w:vAlign w:val="center"/>
          </w:tcPr>
          <w:p w14:paraId="056619FC" w14:textId="2F05E863" w:rsidR="47E9DD93" w:rsidRDefault="47E9DD93" w:rsidP="05FD1449">
            <w:pPr>
              <w:jc w:val="center"/>
              <w:rPr>
                <w:rFonts w:asciiTheme="majorHAnsi" w:eastAsiaTheme="majorEastAsia" w:hAnsiTheme="majorHAnsi" w:cstheme="majorBidi"/>
              </w:rPr>
            </w:pPr>
            <w:r w:rsidRPr="05FD1449">
              <w:rPr>
                <w:rFonts w:asciiTheme="majorHAnsi" w:eastAsiaTheme="majorEastAsia" w:hAnsiTheme="majorHAnsi" w:cstheme="majorBidi"/>
              </w:rPr>
              <w:t>-0.5</w:t>
            </w:r>
          </w:p>
        </w:tc>
        <w:tc>
          <w:tcPr>
            <w:tcW w:w="1560" w:type="dxa"/>
            <w:shd w:val="clear" w:color="auto" w:fill="D9D9D9" w:themeFill="background1" w:themeFillShade="D9"/>
            <w:vAlign w:val="center"/>
          </w:tcPr>
          <w:p w14:paraId="58A98891" w14:textId="52B6B7E1" w:rsidR="47E9DD93" w:rsidRDefault="47E9DD93" w:rsidP="05FD1449">
            <w:pPr>
              <w:jc w:val="center"/>
              <w:rPr>
                <w:rFonts w:asciiTheme="majorHAnsi" w:eastAsiaTheme="majorEastAsia" w:hAnsiTheme="majorHAnsi" w:cstheme="majorBidi"/>
              </w:rPr>
            </w:pPr>
            <w:r w:rsidRPr="05FD1449">
              <w:rPr>
                <w:rFonts w:asciiTheme="majorHAnsi" w:eastAsiaTheme="majorEastAsia" w:hAnsiTheme="majorHAnsi" w:cstheme="majorBidi"/>
              </w:rPr>
              <w:t>0.1</w:t>
            </w:r>
          </w:p>
        </w:tc>
        <w:tc>
          <w:tcPr>
            <w:tcW w:w="1620" w:type="dxa"/>
            <w:shd w:val="clear" w:color="auto" w:fill="D9D9D9" w:themeFill="background1" w:themeFillShade="D9"/>
            <w:vAlign w:val="center"/>
          </w:tcPr>
          <w:p w14:paraId="4AD3CB2E" w14:textId="11BD1A7F" w:rsidR="47E9DD93" w:rsidRDefault="47E9DD93" w:rsidP="05FD1449">
            <w:pPr>
              <w:jc w:val="center"/>
              <w:rPr>
                <w:rFonts w:asciiTheme="majorHAnsi" w:eastAsiaTheme="majorEastAsia" w:hAnsiTheme="majorHAnsi" w:cstheme="majorBidi"/>
              </w:rPr>
            </w:pPr>
            <w:r w:rsidRPr="05FD1449">
              <w:rPr>
                <w:rFonts w:asciiTheme="majorHAnsi" w:eastAsiaTheme="majorEastAsia" w:hAnsiTheme="majorHAnsi" w:cstheme="majorBidi"/>
              </w:rPr>
              <w:t>0.5</w:t>
            </w:r>
          </w:p>
        </w:tc>
        <w:tc>
          <w:tcPr>
            <w:tcW w:w="1500" w:type="dxa"/>
            <w:shd w:val="clear" w:color="auto" w:fill="D9D9D9" w:themeFill="background1" w:themeFillShade="D9"/>
            <w:vAlign w:val="center"/>
          </w:tcPr>
          <w:p w14:paraId="4CD3AEBD" w14:textId="2CA308A2" w:rsidR="47E9DD93" w:rsidRDefault="47E9DD93" w:rsidP="05FD1449">
            <w:pPr>
              <w:jc w:val="center"/>
              <w:rPr>
                <w:rFonts w:asciiTheme="majorHAnsi" w:eastAsiaTheme="majorEastAsia" w:hAnsiTheme="majorHAnsi" w:cstheme="majorBidi"/>
              </w:rPr>
            </w:pPr>
            <w:r w:rsidRPr="05FD1449">
              <w:rPr>
                <w:rFonts w:asciiTheme="majorHAnsi" w:eastAsiaTheme="majorEastAsia" w:hAnsiTheme="majorHAnsi" w:cstheme="majorBidi"/>
              </w:rPr>
              <w:t>100%</w:t>
            </w:r>
          </w:p>
        </w:tc>
      </w:tr>
    </w:tbl>
    <w:p w14:paraId="195CCFB4" w14:textId="69B7D669" w:rsidR="05FD1449" w:rsidRDefault="05FD1449" w:rsidP="05FD1449"/>
    <w:p w14:paraId="688D384E" w14:textId="51014E87" w:rsidR="768B9256" w:rsidRDefault="768B9256"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Key Takeaways: </w:t>
      </w:r>
    </w:p>
    <w:p w14:paraId="2640CE53" w14:textId="68FB2FF4" w:rsidR="768B9256" w:rsidRDefault="768B9256" w:rsidP="008240EA">
      <w:pPr>
        <w:pStyle w:val="ListParagraph"/>
        <w:numPr>
          <w:ilvl w:val="0"/>
          <w:numId w:val="20"/>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In 2020, six ACO quality measures demonstrated substantial drops in performance from 2019 to 2020 (likely due to COVID) and were deemed priority measures for monitoring through 2022 </w:t>
      </w:r>
    </w:p>
    <w:p w14:paraId="7BBEEFCB" w14:textId="027BE75A" w:rsidR="768B9256" w:rsidRDefault="768B9256" w:rsidP="008240EA">
      <w:pPr>
        <w:pStyle w:val="ListParagraph"/>
        <w:numPr>
          <w:ilvl w:val="0"/>
          <w:numId w:val="20"/>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The table below demonstrates the percentage of initial performance drops in 2020 and the recovery % by the end of 2022. </w:t>
      </w:r>
      <w:r w:rsidRPr="05FD1449">
        <w:rPr>
          <w:rFonts w:asciiTheme="majorHAnsi" w:eastAsiaTheme="majorEastAsia" w:hAnsiTheme="majorHAnsi" w:cstheme="majorBidi"/>
          <w:b/>
          <w:bCs/>
          <w:sz w:val="24"/>
          <w:szCs w:val="24"/>
        </w:rPr>
        <w:t>In 2022, five measures demonstrated partial recovery from their initial 2019-2020 declines, and one measure demonstrated full recovery.</w:t>
      </w:r>
      <w:r w:rsidRPr="05FD1449">
        <w:rPr>
          <w:rFonts w:asciiTheme="majorHAnsi" w:eastAsiaTheme="majorEastAsia" w:hAnsiTheme="majorHAnsi" w:cstheme="majorBidi"/>
          <w:sz w:val="24"/>
          <w:szCs w:val="24"/>
        </w:rPr>
        <w:t xml:space="preserve"> However, three of those </w:t>
      </w:r>
      <w:proofErr w:type="gramStart"/>
      <w:r w:rsidRPr="05FD1449">
        <w:rPr>
          <w:rFonts w:asciiTheme="majorHAnsi" w:eastAsiaTheme="majorEastAsia" w:hAnsiTheme="majorHAnsi" w:cstheme="majorBidi"/>
          <w:sz w:val="24"/>
          <w:szCs w:val="24"/>
        </w:rPr>
        <w:t>measures (#</w:t>
      </w:r>
      <w:proofErr w:type="gramEnd"/>
      <w:r w:rsidRPr="05FD1449">
        <w:rPr>
          <w:rFonts w:asciiTheme="majorHAnsi" w:eastAsiaTheme="majorEastAsia" w:hAnsiTheme="majorHAnsi" w:cstheme="majorBidi"/>
          <w:sz w:val="24"/>
          <w:szCs w:val="24"/>
        </w:rPr>
        <w:t>s 1, 2, 4) had partially recovered in 2021 and remained stable in 2022.</w:t>
      </w:r>
    </w:p>
    <w:p w14:paraId="00B8A2E9" w14:textId="4A33521D" w:rsidR="05FD1449" w:rsidRDefault="05FD1449" w:rsidP="05FD1449">
      <w:pPr>
        <w:pStyle w:val="ListParagraph"/>
        <w:spacing w:after="0"/>
        <w:rPr>
          <w:rFonts w:asciiTheme="majorHAnsi" w:eastAsiaTheme="majorEastAsia" w:hAnsiTheme="majorHAnsi" w:cstheme="majorBidi"/>
        </w:rPr>
      </w:pPr>
    </w:p>
    <w:p w14:paraId="634AE4B8" w14:textId="7B15E414" w:rsidR="20C078A0" w:rsidRDefault="20C078A0" w:rsidP="05FD1449">
      <w:pPr>
        <w:pStyle w:val="Heading4"/>
      </w:pPr>
      <w:r>
        <w:t>Slide 46: CP Clinical Quality: BH CP-level Comparison, 2019-2022</w:t>
      </w:r>
    </w:p>
    <w:p w14:paraId="1B9EB3D5" w14:textId="21D655D9" w:rsidR="3235CB12" w:rsidRDefault="3235CB12" w:rsidP="05FD1449">
      <w:r>
        <w:t>Table 8</w:t>
      </w:r>
      <w:r w:rsidR="30E07300">
        <w:t xml:space="preserve">: </w:t>
      </w:r>
    </w:p>
    <w:tbl>
      <w:tblPr>
        <w:tblStyle w:val="TableGrid"/>
        <w:tblW w:w="0" w:type="auto"/>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6A0" w:firstRow="1" w:lastRow="0" w:firstColumn="1" w:lastColumn="0" w:noHBand="1" w:noVBand="1"/>
      </w:tblPr>
      <w:tblGrid>
        <w:gridCol w:w="2737"/>
        <w:gridCol w:w="1091"/>
        <w:gridCol w:w="1445"/>
        <w:gridCol w:w="1349"/>
        <w:gridCol w:w="1369"/>
        <w:gridCol w:w="1369"/>
      </w:tblGrid>
      <w:tr w:rsidR="05FD1449" w14:paraId="19E0708D" w14:textId="77777777" w:rsidTr="05FD1449">
        <w:trPr>
          <w:trHeight w:val="1680"/>
        </w:trPr>
        <w:tc>
          <w:tcPr>
            <w:tcW w:w="2737" w:type="dxa"/>
            <w:shd w:val="clear" w:color="auto" w:fill="D9E2F3" w:themeFill="accent1" w:themeFillTint="33"/>
            <w:tcMar>
              <w:top w:w="0" w:type="dxa"/>
              <w:left w:w="0" w:type="dxa"/>
              <w:right w:w="0" w:type="dxa"/>
            </w:tcMar>
            <w:vAlign w:val="center"/>
          </w:tcPr>
          <w:p w14:paraId="61FECE9B" w14:textId="15C8AB1F" w:rsidR="05FD1449" w:rsidRDefault="05FD1449" w:rsidP="05FD1449">
            <w:pPr>
              <w:spacing w:line="14" w:lineRule="auto"/>
              <w:jc w:val="center"/>
              <w:rPr>
                <w:rFonts w:ascii="Arial" w:eastAsia="Arial" w:hAnsi="Arial" w:cs="Arial"/>
                <w:color w:val="000000" w:themeColor="text1"/>
                <w:sz w:val="12"/>
                <w:szCs w:val="12"/>
              </w:rPr>
            </w:pPr>
          </w:p>
        </w:tc>
        <w:tc>
          <w:tcPr>
            <w:tcW w:w="1091" w:type="dxa"/>
            <w:shd w:val="clear" w:color="auto" w:fill="D9E2F3" w:themeFill="accent1" w:themeFillTint="33"/>
            <w:tcMar>
              <w:top w:w="42" w:type="dxa"/>
              <w:left w:w="85" w:type="dxa"/>
              <w:bottom w:w="42" w:type="dxa"/>
              <w:right w:w="85" w:type="dxa"/>
            </w:tcMar>
          </w:tcPr>
          <w:p w14:paraId="6935CECB" w14:textId="46230685"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2019 Official </w:t>
            </w:r>
          </w:p>
          <w:p w14:paraId="1D8BC952" w14:textId="458D2380"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Quality </w:t>
            </w:r>
          </w:p>
          <w:p w14:paraId="184DE67F" w14:textId="4AB7F37E"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Score </w:t>
            </w:r>
          </w:p>
          <w:p w14:paraId="7D54ED30" w14:textId="0463420C"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w:t>
            </w:r>
            <w:proofErr w:type="gramStart"/>
            <w:r w:rsidRPr="05FD1449">
              <w:rPr>
                <w:rFonts w:asciiTheme="majorHAnsi" w:eastAsiaTheme="majorEastAsia" w:hAnsiTheme="majorHAnsi" w:cstheme="majorBidi"/>
                <w:b/>
                <w:bCs/>
                <w:color w:val="000000" w:themeColor="text1"/>
              </w:rPr>
              <w:t>based</w:t>
            </w:r>
            <w:proofErr w:type="gramEnd"/>
            <w:r w:rsidRPr="05FD1449">
              <w:rPr>
                <w:rFonts w:asciiTheme="majorHAnsi" w:eastAsiaTheme="majorEastAsia" w:hAnsiTheme="majorHAnsi" w:cstheme="majorBidi"/>
                <w:b/>
                <w:bCs/>
                <w:color w:val="000000" w:themeColor="text1"/>
              </w:rPr>
              <w:t xml:space="preserve"> on actual 2019 </w:t>
            </w:r>
          </w:p>
          <w:p w14:paraId="71E71C17" w14:textId="7CF3E9D2"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data)</w:t>
            </w:r>
          </w:p>
        </w:tc>
        <w:tc>
          <w:tcPr>
            <w:tcW w:w="1445" w:type="dxa"/>
            <w:shd w:val="clear" w:color="auto" w:fill="D9E2F3" w:themeFill="accent1" w:themeFillTint="33"/>
            <w:tcMar>
              <w:top w:w="42" w:type="dxa"/>
              <w:left w:w="85" w:type="dxa"/>
              <w:bottom w:w="42" w:type="dxa"/>
              <w:right w:w="85" w:type="dxa"/>
            </w:tcMar>
          </w:tcPr>
          <w:p w14:paraId="052DE32F" w14:textId="2C7F853F"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2020 Official </w:t>
            </w:r>
          </w:p>
          <w:p w14:paraId="057AAC82" w14:textId="366D9956"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Quality Score (based on 2019 data + COVID </w:t>
            </w:r>
          </w:p>
          <w:p w14:paraId="17313164" w14:textId="034EAFD9"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allowances)</w:t>
            </w:r>
            <w:r w:rsidRPr="05FD1449">
              <w:rPr>
                <w:rStyle w:val="FootnoteReference"/>
                <w:rFonts w:asciiTheme="majorHAnsi" w:eastAsiaTheme="majorEastAsia" w:hAnsiTheme="majorHAnsi" w:cstheme="majorBidi"/>
                <w:b/>
                <w:bCs/>
                <w:color w:val="000000" w:themeColor="text1"/>
              </w:rPr>
              <w:footnoteReference w:id="27"/>
            </w:r>
            <w:r w:rsidRPr="05FD1449">
              <w:rPr>
                <w:rFonts w:asciiTheme="majorHAnsi" w:eastAsiaTheme="majorEastAsia" w:hAnsiTheme="majorHAnsi" w:cstheme="majorBidi"/>
                <w:b/>
                <w:bCs/>
                <w:color w:val="000000" w:themeColor="text1"/>
              </w:rPr>
              <w:t xml:space="preserve"> </w:t>
            </w:r>
          </w:p>
        </w:tc>
        <w:tc>
          <w:tcPr>
            <w:tcW w:w="1349" w:type="dxa"/>
            <w:shd w:val="clear" w:color="auto" w:fill="D9E2F3" w:themeFill="accent1" w:themeFillTint="33"/>
            <w:tcMar>
              <w:top w:w="42" w:type="dxa"/>
              <w:left w:w="85" w:type="dxa"/>
              <w:bottom w:w="42" w:type="dxa"/>
              <w:right w:w="85" w:type="dxa"/>
            </w:tcMar>
          </w:tcPr>
          <w:p w14:paraId="07D7702E" w14:textId="6EAE7B0A"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2020 Actual </w:t>
            </w:r>
          </w:p>
          <w:p w14:paraId="4BB6E6DC" w14:textId="6C741A45"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Quality Score (based on actual 2020 data)</w:t>
            </w:r>
          </w:p>
        </w:tc>
        <w:tc>
          <w:tcPr>
            <w:tcW w:w="1369" w:type="dxa"/>
            <w:shd w:val="clear" w:color="auto" w:fill="D9E2F3" w:themeFill="accent1" w:themeFillTint="33"/>
            <w:tcMar>
              <w:top w:w="42" w:type="dxa"/>
              <w:left w:w="85" w:type="dxa"/>
              <w:bottom w:w="42" w:type="dxa"/>
              <w:right w:w="85" w:type="dxa"/>
            </w:tcMar>
          </w:tcPr>
          <w:p w14:paraId="2A486DF9" w14:textId="33902342"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2021 Official Quality </w:t>
            </w:r>
          </w:p>
          <w:p w14:paraId="56FF4CCF" w14:textId="7FE7BF14"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Score</w:t>
            </w:r>
          </w:p>
          <w:p w14:paraId="3B2AB754" w14:textId="6598409D"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(based on actual 2021 data) </w:t>
            </w:r>
          </w:p>
        </w:tc>
        <w:tc>
          <w:tcPr>
            <w:tcW w:w="1369" w:type="dxa"/>
            <w:shd w:val="clear" w:color="auto" w:fill="D9E2F3" w:themeFill="accent1" w:themeFillTint="33"/>
            <w:tcMar>
              <w:top w:w="42" w:type="dxa"/>
              <w:left w:w="85" w:type="dxa"/>
              <w:bottom w:w="42" w:type="dxa"/>
              <w:right w:w="85" w:type="dxa"/>
            </w:tcMar>
          </w:tcPr>
          <w:p w14:paraId="61331D04" w14:textId="532596E6"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2022 Official </w:t>
            </w:r>
          </w:p>
          <w:p w14:paraId="3D95CD89" w14:textId="74095491"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Quality </w:t>
            </w:r>
          </w:p>
          <w:p w14:paraId="788531E3" w14:textId="678D7724"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Score</w:t>
            </w:r>
          </w:p>
          <w:p w14:paraId="53E6BB3F" w14:textId="67D46440"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w:t>
            </w:r>
            <w:proofErr w:type="gramStart"/>
            <w:r w:rsidRPr="05FD1449">
              <w:rPr>
                <w:rFonts w:asciiTheme="majorHAnsi" w:eastAsiaTheme="majorEastAsia" w:hAnsiTheme="majorHAnsi" w:cstheme="majorBidi"/>
                <w:b/>
                <w:bCs/>
                <w:color w:val="000000" w:themeColor="text1"/>
              </w:rPr>
              <w:t>based</w:t>
            </w:r>
            <w:proofErr w:type="gramEnd"/>
            <w:r w:rsidRPr="05FD1449">
              <w:rPr>
                <w:rFonts w:asciiTheme="majorHAnsi" w:eastAsiaTheme="majorEastAsia" w:hAnsiTheme="majorHAnsi" w:cstheme="majorBidi"/>
                <w:b/>
                <w:bCs/>
                <w:color w:val="000000" w:themeColor="text1"/>
              </w:rPr>
              <w:t xml:space="preserve"> on </w:t>
            </w:r>
          </w:p>
          <w:p w14:paraId="30011369" w14:textId="2BD91A1D"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actual 2022 data) </w:t>
            </w:r>
          </w:p>
        </w:tc>
      </w:tr>
      <w:tr w:rsidR="05FD1449" w14:paraId="1406A46B" w14:textId="77777777" w:rsidTr="05FD1449">
        <w:trPr>
          <w:trHeight w:val="285"/>
        </w:trPr>
        <w:tc>
          <w:tcPr>
            <w:tcW w:w="2737" w:type="dxa"/>
            <w:tcMar>
              <w:top w:w="0" w:type="dxa"/>
              <w:left w:w="0" w:type="dxa"/>
              <w:right w:w="0" w:type="dxa"/>
            </w:tcMar>
            <w:vAlign w:val="center"/>
          </w:tcPr>
          <w:p w14:paraId="5DD7E248" w14:textId="6055DAAC"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Boston Coordinated Care Hub</w:t>
            </w:r>
          </w:p>
        </w:tc>
        <w:tc>
          <w:tcPr>
            <w:tcW w:w="1091" w:type="dxa"/>
            <w:tcMar>
              <w:top w:w="0" w:type="dxa"/>
              <w:left w:w="0" w:type="dxa"/>
              <w:right w:w="0" w:type="dxa"/>
            </w:tcMar>
            <w:vAlign w:val="center"/>
          </w:tcPr>
          <w:p w14:paraId="6DD5810D" w14:textId="6A22605A"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62.88</w:t>
            </w:r>
          </w:p>
        </w:tc>
        <w:tc>
          <w:tcPr>
            <w:tcW w:w="1445" w:type="dxa"/>
            <w:tcMar>
              <w:top w:w="0" w:type="dxa"/>
              <w:left w:w="0" w:type="dxa"/>
              <w:right w:w="0" w:type="dxa"/>
            </w:tcMar>
            <w:vAlign w:val="center"/>
          </w:tcPr>
          <w:p w14:paraId="11CAF10D" w14:textId="54C507C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71.35</w:t>
            </w:r>
          </w:p>
        </w:tc>
        <w:tc>
          <w:tcPr>
            <w:tcW w:w="1349" w:type="dxa"/>
            <w:tcMar>
              <w:top w:w="0" w:type="dxa"/>
              <w:left w:w="0" w:type="dxa"/>
              <w:right w:w="0" w:type="dxa"/>
            </w:tcMar>
            <w:vAlign w:val="center"/>
          </w:tcPr>
          <w:p w14:paraId="3A65EFE4" w14:textId="2BED445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43.68</w:t>
            </w:r>
          </w:p>
        </w:tc>
        <w:tc>
          <w:tcPr>
            <w:tcW w:w="1369" w:type="dxa"/>
            <w:tcMar>
              <w:top w:w="0" w:type="dxa"/>
              <w:left w:w="0" w:type="dxa"/>
              <w:right w:w="0" w:type="dxa"/>
            </w:tcMar>
            <w:vAlign w:val="center"/>
          </w:tcPr>
          <w:p w14:paraId="6F948279" w14:textId="1546A562"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32.92</w:t>
            </w:r>
          </w:p>
        </w:tc>
        <w:tc>
          <w:tcPr>
            <w:tcW w:w="1369" w:type="dxa"/>
            <w:tcMar>
              <w:top w:w="0" w:type="dxa"/>
              <w:left w:w="0" w:type="dxa"/>
              <w:right w:w="0" w:type="dxa"/>
            </w:tcMar>
            <w:vAlign w:val="center"/>
          </w:tcPr>
          <w:p w14:paraId="1083557E" w14:textId="49E50C7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39.42</w:t>
            </w:r>
          </w:p>
        </w:tc>
      </w:tr>
      <w:tr w:rsidR="05FD1449" w14:paraId="763E56F7" w14:textId="77777777" w:rsidTr="05FD1449">
        <w:trPr>
          <w:trHeight w:val="435"/>
        </w:trPr>
        <w:tc>
          <w:tcPr>
            <w:tcW w:w="2737" w:type="dxa"/>
            <w:shd w:val="clear" w:color="auto" w:fill="D9D9D9" w:themeFill="background1" w:themeFillShade="D9"/>
            <w:tcMar>
              <w:top w:w="0" w:type="dxa"/>
              <w:left w:w="0" w:type="dxa"/>
              <w:right w:w="0" w:type="dxa"/>
            </w:tcMar>
            <w:vAlign w:val="center"/>
          </w:tcPr>
          <w:p w14:paraId="00112CB2" w14:textId="7570D505"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South Shore Community Partnership</w:t>
            </w:r>
          </w:p>
        </w:tc>
        <w:tc>
          <w:tcPr>
            <w:tcW w:w="1091" w:type="dxa"/>
            <w:shd w:val="clear" w:color="auto" w:fill="D9D9D9" w:themeFill="background1" w:themeFillShade="D9"/>
            <w:tcMar>
              <w:top w:w="0" w:type="dxa"/>
              <w:left w:w="0" w:type="dxa"/>
              <w:right w:w="0" w:type="dxa"/>
            </w:tcMar>
            <w:vAlign w:val="center"/>
          </w:tcPr>
          <w:p w14:paraId="53F7D69D" w14:textId="1BF2AD0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30.03</w:t>
            </w:r>
          </w:p>
        </w:tc>
        <w:tc>
          <w:tcPr>
            <w:tcW w:w="1445" w:type="dxa"/>
            <w:shd w:val="clear" w:color="auto" w:fill="D9D9D9" w:themeFill="background1" w:themeFillShade="D9"/>
            <w:tcMar>
              <w:top w:w="0" w:type="dxa"/>
              <w:left w:w="0" w:type="dxa"/>
              <w:right w:w="0" w:type="dxa"/>
            </w:tcMar>
            <w:vAlign w:val="center"/>
          </w:tcPr>
          <w:p w14:paraId="570F5995" w14:textId="3AB6932E"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48.59</w:t>
            </w:r>
          </w:p>
        </w:tc>
        <w:tc>
          <w:tcPr>
            <w:tcW w:w="1349" w:type="dxa"/>
            <w:shd w:val="clear" w:color="auto" w:fill="D9D9D9" w:themeFill="background1" w:themeFillShade="D9"/>
            <w:tcMar>
              <w:top w:w="0" w:type="dxa"/>
              <w:left w:w="0" w:type="dxa"/>
              <w:right w:w="0" w:type="dxa"/>
            </w:tcMar>
            <w:vAlign w:val="center"/>
          </w:tcPr>
          <w:p w14:paraId="1161A213" w14:textId="05D70D3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40.37</w:t>
            </w:r>
          </w:p>
        </w:tc>
        <w:tc>
          <w:tcPr>
            <w:tcW w:w="1369" w:type="dxa"/>
            <w:shd w:val="clear" w:color="auto" w:fill="D9D9D9" w:themeFill="background1" w:themeFillShade="D9"/>
            <w:tcMar>
              <w:top w:w="0" w:type="dxa"/>
              <w:left w:w="0" w:type="dxa"/>
              <w:right w:w="0" w:type="dxa"/>
            </w:tcMar>
            <w:vAlign w:val="center"/>
          </w:tcPr>
          <w:p w14:paraId="7788B34C" w14:textId="32C789B2"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83.80</w:t>
            </w:r>
          </w:p>
        </w:tc>
        <w:tc>
          <w:tcPr>
            <w:tcW w:w="1369" w:type="dxa"/>
            <w:shd w:val="clear" w:color="auto" w:fill="D9D9D9" w:themeFill="background1" w:themeFillShade="D9"/>
            <w:tcMar>
              <w:top w:w="0" w:type="dxa"/>
              <w:left w:w="0" w:type="dxa"/>
              <w:right w:w="0" w:type="dxa"/>
            </w:tcMar>
            <w:vAlign w:val="center"/>
          </w:tcPr>
          <w:p w14:paraId="4B2CCECA" w14:textId="08972F16"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71.61</w:t>
            </w:r>
          </w:p>
        </w:tc>
      </w:tr>
      <w:tr w:rsidR="05FD1449" w14:paraId="5A624371" w14:textId="77777777" w:rsidTr="05FD1449">
        <w:trPr>
          <w:trHeight w:val="435"/>
        </w:trPr>
        <w:tc>
          <w:tcPr>
            <w:tcW w:w="2737" w:type="dxa"/>
            <w:tcMar>
              <w:top w:w="0" w:type="dxa"/>
              <w:left w:w="0" w:type="dxa"/>
              <w:right w:w="0" w:type="dxa"/>
            </w:tcMar>
            <w:vAlign w:val="center"/>
          </w:tcPr>
          <w:p w14:paraId="0632BC42" w14:textId="54AF40F7"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Brien Center Community Partner Program</w:t>
            </w:r>
          </w:p>
        </w:tc>
        <w:tc>
          <w:tcPr>
            <w:tcW w:w="1091" w:type="dxa"/>
            <w:tcMar>
              <w:top w:w="0" w:type="dxa"/>
              <w:left w:w="0" w:type="dxa"/>
              <w:right w:w="0" w:type="dxa"/>
            </w:tcMar>
            <w:vAlign w:val="center"/>
          </w:tcPr>
          <w:p w14:paraId="65C1AE86" w14:textId="29A4D08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16.70</w:t>
            </w:r>
          </w:p>
        </w:tc>
        <w:tc>
          <w:tcPr>
            <w:tcW w:w="1445" w:type="dxa"/>
            <w:tcMar>
              <w:top w:w="0" w:type="dxa"/>
              <w:left w:w="0" w:type="dxa"/>
              <w:right w:w="0" w:type="dxa"/>
            </w:tcMar>
            <w:vAlign w:val="center"/>
          </w:tcPr>
          <w:p w14:paraId="49C0EF8C" w14:textId="4AD6EA16"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52.14</w:t>
            </w:r>
          </w:p>
        </w:tc>
        <w:tc>
          <w:tcPr>
            <w:tcW w:w="1349" w:type="dxa"/>
            <w:tcMar>
              <w:top w:w="0" w:type="dxa"/>
              <w:left w:w="0" w:type="dxa"/>
              <w:right w:w="0" w:type="dxa"/>
            </w:tcMar>
            <w:vAlign w:val="center"/>
          </w:tcPr>
          <w:p w14:paraId="0585907B" w14:textId="130CD20A"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27.82</w:t>
            </w:r>
          </w:p>
        </w:tc>
        <w:tc>
          <w:tcPr>
            <w:tcW w:w="1369" w:type="dxa"/>
            <w:tcMar>
              <w:top w:w="0" w:type="dxa"/>
              <w:left w:w="0" w:type="dxa"/>
              <w:right w:w="0" w:type="dxa"/>
            </w:tcMar>
            <w:vAlign w:val="center"/>
          </w:tcPr>
          <w:p w14:paraId="35B27F37" w14:textId="4B4B64B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56.53</w:t>
            </w:r>
          </w:p>
        </w:tc>
        <w:tc>
          <w:tcPr>
            <w:tcW w:w="1369" w:type="dxa"/>
            <w:tcMar>
              <w:top w:w="0" w:type="dxa"/>
              <w:left w:w="0" w:type="dxa"/>
              <w:right w:w="0" w:type="dxa"/>
            </w:tcMar>
            <w:vAlign w:val="center"/>
          </w:tcPr>
          <w:p w14:paraId="0C6C3DD5" w14:textId="38B7E1CF"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41.03</w:t>
            </w:r>
          </w:p>
        </w:tc>
      </w:tr>
      <w:tr w:rsidR="05FD1449" w14:paraId="306A18DC" w14:textId="77777777" w:rsidTr="05FD1449">
        <w:trPr>
          <w:trHeight w:val="285"/>
        </w:trPr>
        <w:tc>
          <w:tcPr>
            <w:tcW w:w="2737" w:type="dxa"/>
            <w:shd w:val="clear" w:color="auto" w:fill="D9D9D9" w:themeFill="background1" w:themeFillShade="D9"/>
            <w:tcMar>
              <w:top w:w="0" w:type="dxa"/>
              <w:left w:w="0" w:type="dxa"/>
              <w:right w:w="0" w:type="dxa"/>
            </w:tcMar>
            <w:vAlign w:val="center"/>
          </w:tcPr>
          <w:p w14:paraId="68DE2E4E" w14:textId="58980F3A"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Eliot Community Human Services </w:t>
            </w:r>
          </w:p>
        </w:tc>
        <w:tc>
          <w:tcPr>
            <w:tcW w:w="1091" w:type="dxa"/>
            <w:shd w:val="clear" w:color="auto" w:fill="D9D9D9" w:themeFill="background1" w:themeFillShade="D9"/>
            <w:tcMar>
              <w:top w:w="0" w:type="dxa"/>
              <w:left w:w="0" w:type="dxa"/>
              <w:right w:w="0" w:type="dxa"/>
            </w:tcMar>
            <w:vAlign w:val="center"/>
          </w:tcPr>
          <w:p w14:paraId="03AD9E1D" w14:textId="29B26A02"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60.78</w:t>
            </w:r>
          </w:p>
        </w:tc>
        <w:tc>
          <w:tcPr>
            <w:tcW w:w="1445" w:type="dxa"/>
            <w:shd w:val="clear" w:color="auto" w:fill="D9D9D9" w:themeFill="background1" w:themeFillShade="D9"/>
            <w:tcMar>
              <w:top w:w="0" w:type="dxa"/>
              <w:left w:w="0" w:type="dxa"/>
              <w:right w:w="0" w:type="dxa"/>
            </w:tcMar>
            <w:vAlign w:val="center"/>
          </w:tcPr>
          <w:p w14:paraId="4829FCBF" w14:textId="130793BF"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73.52</w:t>
            </w:r>
          </w:p>
        </w:tc>
        <w:tc>
          <w:tcPr>
            <w:tcW w:w="1349" w:type="dxa"/>
            <w:shd w:val="clear" w:color="auto" w:fill="D9D9D9" w:themeFill="background1" w:themeFillShade="D9"/>
            <w:tcMar>
              <w:top w:w="0" w:type="dxa"/>
              <w:left w:w="0" w:type="dxa"/>
              <w:right w:w="0" w:type="dxa"/>
            </w:tcMar>
            <w:vAlign w:val="center"/>
          </w:tcPr>
          <w:p w14:paraId="6D002C3A" w14:textId="5E1BB80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44.04</w:t>
            </w:r>
          </w:p>
        </w:tc>
        <w:tc>
          <w:tcPr>
            <w:tcW w:w="1369" w:type="dxa"/>
            <w:shd w:val="clear" w:color="auto" w:fill="D9D9D9" w:themeFill="background1" w:themeFillShade="D9"/>
            <w:tcMar>
              <w:top w:w="0" w:type="dxa"/>
              <w:left w:w="0" w:type="dxa"/>
              <w:right w:w="0" w:type="dxa"/>
            </w:tcMar>
            <w:vAlign w:val="center"/>
          </w:tcPr>
          <w:p w14:paraId="6C74033B" w14:textId="684F32BF"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88.09</w:t>
            </w:r>
          </w:p>
        </w:tc>
        <w:tc>
          <w:tcPr>
            <w:tcW w:w="1369" w:type="dxa"/>
            <w:shd w:val="clear" w:color="auto" w:fill="D9D9D9" w:themeFill="background1" w:themeFillShade="D9"/>
            <w:tcMar>
              <w:top w:w="0" w:type="dxa"/>
              <w:left w:w="0" w:type="dxa"/>
              <w:right w:w="0" w:type="dxa"/>
            </w:tcMar>
            <w:vAlign w:val="center"/>
          </w:tcPr>
          <w:p w14:paraId="5A42761B" w14:textId="0EB1B72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60.11</w:t>
            </w:r>
          </w:p>
        </w:tc>
      </w:tr>
      <w:tr w:rsidR="05FD1449" w14:paraId="75FE8E17" w14:textId="77777777" w:rsidTr="05FD1449">
        <w:trPr>
          <w:trHeight w:val="285"/>
        </w:trPr>
        <w:tc>
          <w:tcPr>
            <w:tcW w:w="2737" w:type="dxa"/>
            <w:tcMar>
              <w:top w:w="0" w:type="dxa"/>
              <w:left w:w="0" w:type="dxa"/>
              <w:right w:w="0" w:type="dxa"/>
            </w:tcMar>
            <w:vAlign w:val="center"/>
          </w:tcPr>
          <w:p w14:paraId="130915BB" w14:textId="418D0CB4"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Behavioral Health Network, Inc.</w:t>
            </w:r>
          </w:p>
        </w:tc>
        <w:tc>
          <w:tcPr>
            <w:tcW w:w="1091" w:type="dxa"/>
            <w:tcMar>
              <w:top w:w="0" w:type="dxa"/>
              <w:left w:w="0" w:type="dxa"/>
              <w:right w:w="0" w:type="dxa"/>
            </w:tcMar>
            <w:vAlign w:val="center"/>
          </w:tcPr>
          <w:p w14:paraId="06BCB78E" w14:textId="2AE5820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64.45</w:t>
            </w:r>
          </w:p>
        </w:tc>
        <w:tc>
          <w:tcPr>
            <w:tcW w:w="1445" w:type="dxa"/>
            <w:tcMar>
              <w:top w:w="0" w:type="dxa"/>
              <w:left w:w="0" w:type="dxa"/>
              <w:right w:w="0" w:type="dxa"/>
            </w:tcMar>
            <w:vAlign w:val="center"/>
          </w:tcPr>
          <w:p w14:paraId="3BF612C4" w14:textId="22830E3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74.79</w:t>
            </w:r>
          </w:p>
        </w:tc>
        <w:tc>
          <w:tcPr>
            <w:tcW w:w="1349" w:type="dxa"/>
            <w:tcMar>
              <w:top w:w="0" w:type="dxa"/>
              <w:left w:w="0" w:type="dxa"/>
              <w:right w:w="0" w:type="dxa"/>
            </w:tcMar>
            <w:vAlign w:val="center"/>
          </w:tcPr>
          <w:p w14:paraId="2AE9799A" w14:textId="297C9785"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27.20</w:t>
            </w:r>
          </w:p>
        </w:tc>
        <w:tc>
          <w:tcPr>
            <w:tcW w:w="1369" w:type="dxa"/>
            <w:tcMar>
              <w:top w:w="0" w:type="dxa"/>
              <w:left w:w="0" w:type="dxa"/>
              <w:right w:w="0" w:type="dxa"/>
            </w:tcMar>
            <w:vAlign w:val="center"/>
          </w:tcPr>
          <w:p w14:paraId="03951CB6" w14:textId="1A14B635"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61.05</w:t>
            </w:r>
          </w:p>
        </w:tc>
        <w:tc>
          <w:tcPr>
            <w:tcW w:w="1369" w:type="dxa"/>
            <w:tcMar>
              <w:top w:w="0" w:type="dxa"/>
              <w:left w:w="0" w:type="dxa"/>
              <w:right w:w="0" w:type="dxa"/>
            </w:tcMar>
            <w:vAlign w:val="center"/>
          </w:tcPr>
          <w:p w14:paraId="4C5CFCEA" w14:textId="14526425"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64.82</w:t>
            </w:r>
          </w:p>
        </w:tc>
      </w:tr>
      <w:tr w:rsidR="05FD1449" w14:paraId="60334A4B" w14:textId="77777777" w:rsidTr="05FD1449">
        <w:trPr>
          <w:trHeight w:val="285"/>
        </w:trPr>
        <w:tc>
          <w:tcPr>
            <w:tcW w:w="2737" w:type="dxa"/>
            <w:shd w:val="clear" w:color="auto" w:fill="D9D9D9" w:themeFill="background1" w:themeFillShade="D9"/>
            <w:tcMar>
              <w:top w:w="0" w:type="dxa"/>
              <w:left w:w="0" w:type="dxa"/>
              <w:right w:w="0" w:type="dxa"/>
            </w:tcMar>
            <w:vAlign w:val="center"/>
          </w:tcPr>
          <w:p w14:paraId="531B0BFC" w14:textId="3587E48E"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Clinical and Support Options, Inc.</w:t>
            </w:r>
          </w:p>
        </w:tc>
        <w:tc>
          <w:tcPr>
            <w:tcW w:w="1091" w:type="dxa"/>
            <w:shd w:val="clear" w:color="auto" w:fill="D9D9D9" w:themeFill="background1" w:themeFillShade="D9"/>
            <w:tcMar>
              <w:top w:w="0" w:type="dxa"/>
              <w:left w:w="0" w:type="dxa"/>
              <w:right w:w="0" w:type="dxa"/>
            </w:tcMar>
            <w:vAlign w:val="center"/>
          </w:tcPr>
          <w:p w14:paraId="75C04CAA" w14:textId="04E407D5"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34.20</w:t>
            </w:r>
          </w:p>
        </w:tc>
        <w:tc>
          <w:tcPr>
            <w:tcW w:w="1445" w:type="dxa"/>
            <w:shd w:val="clear" w:color="auto" w:fill="D9D9D9" w:themeFill="background1" w:themeFillShade="D9"/>
            <w:tcMar>
              <w:top w:w="0" w:type="dxa"/>
              <w:left w:w="0" w:type="dxa"/>
              <w:right w:w="0" w:type="dxa"/>
            </w:tcMar>
            <w:vAlign w:val="center"/>
          </w:tcPr>
          <w:p w14:paraId="65D85654" w14:textId="505E71AF"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62.63</w:t>
            </w:r>
          </w:p>
        </w:tc>
        <w:tc>
          <w:tcPr>
            <w:tcW w:w="1349" w:type="dxa"/>
            <w:shd w:val="clear" w:color="auto" w:fill="D9D9D9" w:themeFill="background1" w:themeFillShade="D9"/>
            <w:tcMar>
              <w:top w:w="0" w:type="dxa"/>
              <w:left w:w="0" w:type="dxa"/>
              <w:right w:w="0" w:type="dxa"/>
            </w:tcMar>
            <w:vAlign w:val="center"/>
          </w:tcPr>
          <w:p w14:paraId="276B2D41" w14:textId="4BC8F9F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27.64</w:t>
            </w:r>
          </w:p>
        </w:tc>
        <w:tc>
          <w:tcPr>
            <w:tcW w:w="1369" w:type="dxa"/>
            <w:shd w:val="clear" w:color="auto" w:fill="D9D9D9" w:themeFill="background1" w:themeFillShade="D9"/>
            <w:tcMar>
              <w:top w:w="0" w:type="dxa"/>
              <w:left w:w="0" w:type="dxa"/>
              <w:right w:w="0" w:type="dxa"/>
            </w:tcMar>
            <w:vAlign w:val="center"/>
          </w:tcPr>
          <w:p w14:paraId="464FAEE9" w14:textId="764AF21A"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70.64</w:t>
            </w:r>
          </w:p>
        </w:tc>
        <w:tc>
          <w:tcPr>
            <w:tcW w:w="1369" w:type="dxa"/>
            <w:shd w:val="clear" w:color="auto" w:fill="D9D9D9" w:themeFill="background1" w:themeFillShade="D9"/>
            <w:tcMar>
              <w:top w:w="0" w:type="dxa"/>
              <w:left w:w="0" w:type="dxa"/>
              <w:right w:w="0" w:type="dxa"/>
            </w:tcMar>
            <w:vAlign w:val="center"/>
          </w:tcPr>
          <w:p w14:paraId="02F48A14" w14:textId="7E1DA77F"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44.34</w:t>
            </w:r>
          </w:p>
        </w:tc>
      </w:tr>
      <w:tr w:rsidR="05FD1449" w14:paraId="71C194C8" w14:textId="77777777" w:rsidTr="05FD1449">
        <w:trPr>
          <w:trHeight w:val="285"/>
        </w:trPr>
        <w:tc>
          <w:tcPr>
            <w:tcW w:w="2737" w:type="dxa"/>
            <w:tcMar>
              <w:top w:w="0" w:type="dxa"/>
              <w:left w:w="0" w:type="dxa"/>
              <w:right w:w="0" w:type="dxa"/>
            </w:tcMar>
            <w:vAlign w:val="center"/>
          </w:tcPr>
          <w:p w14:paraId="03D0058D" w14:textId="66396C4C"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Lahey Health Behavioral Services </w:t>
            </w:r>
          </w:p>
        </w:tc>
        <w:tc>
          <w:tcPr>
            <w:tcW w:w="1091" w:type="dxa"/>
            <w:tcMar>
              <w:top w:w="0" w:type="dxa"/>
              <w:left w:w="0" w:type="dxa"/>
              <w:right w:w="0" w:type="dxa"/>
            </w:tcMar>
            <w:vAlign w:val="center"/>
          </w:tcPr>
          <w:p w14:paraId="4DDD6BD3" w14:textId="0409AB8B"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16.78</w:t>
            </w:r>
          </w:p>
        </w:tc>
        <w:tc>
          <w:tcPr>
            <w:tcW w:w="1445" w:type="dxa"/>
            <w:tcMar>
              <w:top w:w="0" w:type="dxa"/>
              <w:left w:w="0" w:type="dxa"/>
              <w:right w:w="0" w:type="dxa"/>
            </w:tcMar>
            <w:vAlign w:val="center"/>
          </w:tcPr>
          <w:p w14:paraId="19AE0AAF" w14:textId="431E9FA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32.19</w:t>
            </w:r>
          </w:p>
        </w:tc>
        <w:tc>
          <w:tcPr>
            <w:tcW w:w="1349" w:type="dxa"/>
            <w:tcMar>
              <w:top w:w="0" w:type="dxa"/>
              <w:left w:w="0" w:type="dxa"/>
              <w:right w:w="0" w:type="dxa"/>
            </w:tcMar>
            <w:vAlign w:val="center"/>
          </w:tcPr>
          <w:p w14:paraId="2EB351C7" w14:textId="1306E4C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14.90</w:t>
            </w:r>
          </w:p>
        </w:tc>
        <w:tc>
          <w:tcPr>
            <w:tcW w:w="1369" w:type="dxa"/>
            <w:tcMar>
              <w:top w:w="0" w:type="dxa"/>
              <w:left w:w="0" w:type="dxa"/>
              <w:right w:w="0" w:type="dxa"/>
            </w:tcMar>
            <w:vAlign w:val="center"/>
          </w:tcPr>
          <w:p w14:paraId="096F2714" w14:textId="13EA8716"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45.76</w:t>
            </w:r>
          </w:p>
        </w:tc>
        <w:tc>
          <w:tcPr>
            <w:tcW w:w="1369" w:type="dxa"/>
            <w:tcMar>
              <w:top w:w="0" w:type="dxa"/>
              <w:left w:w="0" w:type="dxa"/>
              <w:right w:w="0" w:type="dxa"/>
            </w:tcMar>
            <w:vAlign w:val="center"/>
          </w:tcPr>
          <w:p w14:paraId="3E0CFDD7" w14:textId="6049C45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84.37</w:t>
            </w:r>
          </w:p>
        </w:tc>
      </w:tr>
      <w:tr w:rsidR="05FD1449" w14:paraId="3ADA1956" w14:textId="77777777" w:rsidTr="05FD1449">
        <w:trPr>
          <w:trHeight w:val="285"/>
        </w:trPr>
        <w:tc>
          <w:tcPr>
            <w:tcW w:w="2737" w:type="dxa"/>
            <w:shd w:val="clear" w:color="auto" w:fill="D9D9D9" w:themeFill="background1" w:themeFillShade="D9"/>
            <w:tcMar>
              <w:top w:w="0" w:type="dxa"/>
              <w:left w:w="0" w:type="dxa"/>
              <w:right w:w="0" w:type="dxa"/>
            </w:tcMar>
            <w:vAlign w:val="center"/>
          </w:tcPr>
          <w:p w14:paraId="202360AB" w14:textId="0CE038FC"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Community </w:t>
            </w:r>
            <w:proofErr w:type="spellStart"/>
            <w:r w:rsidRPr="05FD1449">
              <w:rPr>
                <w:rFonts w:asciiTheme="majorHAnsi" w:eastAsiaTheme="majorEastAsia" w:hAnsiTheme="majorHAnsi" w:cstheme="majorBidi"/>
                <w:color w:val="000000" w:themeColor="text1"/>
              </w:rPr>
              <w:t>Healthlink</w:t>
            </w:r>
            <w:proofErr w:type="spellEnd"/>
            <w:r w:rsidRPr="05FD1449">
              <w:rPr>
                <w:rFonts w:asciiTheme="majorHAnsi" w:eastAsiaTheme="majorEastAsia" w:hAnsiTheme="majorHAnsi" w:cstheme="majorBidi"/>
                <w:color w:val="000000" w:themeColor="text1"/>
              </w:rPr>
              <w:t>, Inc.</w:t>
            </w:r>
          </w:p>
        </w:tc>
        <w:tc>
          <w:tcPr>
            <w:tcW w:w="1091" w:type="dxa"/>
            <w:shd w:val="clear" w:color="auto" w:fill="D9D9D9" w:themeFill="background1" w:themeFillShade="D9"/>
            <w:tcMar>
              <w:top w:w="0" w:type="dxa"/>
              <w:left w:w="0" w:type="dxa"/>
              <w:right w:w="0" w:type="dxa"/>
            </w:tcMar>
            <w:vAlign w:val="center"/>
          </w:tcPr>
          <w:p w14:paraId="1F747A89" w14:textId="6764070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25.70</w:t>
            </w:r>
          </w:p>
        </w:tc>
        <w:tc>
          <w:tcPr>
            <w:tcW w:w="1445" w:type="dxa"/>
            <w:shd w:val="clear" w:color="auto" w:fill="D9D9D9" w:themeFill="background1" w:themeFillShade="D9"/>
            <w:tcMar>
              <w:top w:w="0" w:type="dxa"/>
              <w:left w:w="0" w:type="dxa"/>
              <w:right w:w="0" w:type="dxa"/>
            </w:tcMar>
            <w:vAlign w:val="center"/>
          </w:tcPr>
          <w:p w14:paraId="3887111A" w14:textId="178FB152"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48.84</w:t>
            </w:r>
          </w:p>
        </w:tc>
        <w:tc>
          <w:tcPr>
            <w:tcW w:w="1349" w:type="dxa"/>
            <w:shd w:val="clear" w:color="auto" w:fill="D9D9D9" w:themeFill="background1" w:themeFillShade="D9"/>
            <w:tcMar>
              <w:top w:w="0" w:type="dxa"/>
              <w:left w:w="0" w:type="dxa"/>
              <w:right w:w="0" w:type="dxa"/>
            </w:tcMar>
            <w:vAlign w:val="center"/>
          </w:tcPr>
          <w:p w14:paraId="6FE16254" w14:textId="382D0E91"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26.38</w:t>
            </w:r>
          </w:p>
        </w:tc>
        <w:tc>
          <w:tcPr>
            <w:tcW w:w="1369" w:type="dxa"/>
            <w:shd w:val="clear" w:color="auto" w:fill="D9D9D9" w:themeFill="background1" w:themeFillShade="D9"/>
            <w:tcMar>
              <w:top w:w="0" w:type="dxa"/>
              <w:left w:w="0" w:type="dxa"/>
              <w:right w:w="0" w:type="dxa"/>
            </w:tcMar>
            <w:vAlign w:val="center"/>
          </w:tcPr>
          <w:p w14:paraId="1E2EC926" w14:textId="7433845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43.92</w:t>
            </w:r>
          </w:p>
        </w:tc>
        <w:tc>
          <w:tcPr>
            <w:tcW w:w="1369" w:type="dxa"/>
            <w:shd w:val="clear" w:color="auto" w:fill="D9D9D9" w:themeFill="background1" w:themeFillShade="D9"/>
            <w:tcMar>
              <w:top w:w="0" w:type="dxa"/>
              <w:left w:w="0" w:type="dxa"/>
              <w:right w:w="0" w:type="dxa"/>
            </w:tcMar>
            <w:vAlign w:val="center"/>
          </w:tcPr>
          <w:p w14:paraId="16D02751" w14:textId="4B2C9F8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43.83</w:t>
            </w:r>
          </w:p>
        </w:tc>
      </w:tr>
      <w:tr w:rsidR="05FD1449" w14:paraId="58E9F928" w14:textId="77777777" w:rsidTr="05FD1449">
        <w:trPr>
          <w:trHeight w:val="435"/>
        </w:trPr>
        <w:tc>
          <w:tcPr>
            <w:tcW w:w="2737" w:type="dxa"/>
            <w:tcMar>
              <w:top w:w="0" w:type="dxa"/>
              <w:left w:w="0" w:type="dxa"/>
              <w:right w:w="0" w:type="dxa"/>
            </w:tcMar>
            <w:vAlign w:val="center"/>
          </w:tcPr>
          <w:p w14:paraId="6058B137" w14:textId="544DFBE3"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Lowell Community Health Center, Inc,</w:t>
            </w:r>
          </w:p>
        </w:tc>
        <w:tc>
          <w:tcPr>
            <w:tcW w:w="1091" w:type="dxa"/>
            <w:tcMar>
              <w:top w:w="0" w:type="dxa"/>
              <w:left w:w="0" w:type="dxa"/>
              <w:right w:w="0" w:type="dxa"/>
            </w:tcMar>
            <w:vAlign w:val="center"/>
          </w:tcPr>
          <w:p w14:paraId="4A0C1B22" w14:textId="61FC67DB"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23.25</w:t>
            </w:r>
          </w:p>
        </w:tc>
        <w:tc>
          <w:tcPr>
            <w:tcW w:w="1445" w:type="dxa"/>
            <w:tcMar>
              <w:top w:w="0" w:type="dxa"/>
              <w:left w:w="0" w:type="dxa"/>
              <w:right w:w="0" w:type="dxa"/>
            </w:tcMar>
            <w:vAlign w:val="center"/>
          </w:tcPr>
          <w:p w14:paraId="13A845F9" w14:textId="3D04E656"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49.01</w:t>
            </w:r>
          </w:p>
        </w:tc>
        <w:tc>
          <w:tcPr>
            <w:tcW w:w="1349" w:type="dxa"/>
            <w:tcMar>
              <w:top w:w="0" w:type="dxa"/>
              <w:left w:w="0" w:type="dxa"/>
              <w:right w:w="0" w:type="dxa"/>
            </w:tcMar>
            <w:vAlign w:val="center"/>
          </w:tcPr>
          <w:p w14:paraId="291BDFF5" w14:textId="7468328B"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58.16</w:t>
            </w:r>
          </w:p>
        </w:tc>
        <w:tc>
          <w:tcPr>
            <w:tcW w:w="1369" w:type="dxa"/>
            <w:tcMar>
              <w:top w:w="0" w:type="dxa"/>
              <w:left w:w="0" w:type="dxa"/>
              <w:right w:w="0" w:type="dxa"/>
            </w:tcMar>
            <w:vAlign w:val="center"/>
          </w:tcPr>
          <w:p w14:paraId="4B74FD69" w14:textId="3FB72B0A"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92.06</w:t>
            </w:r>
          </w:p>
        </w:tc>
        <w:tc>
          <w:tcPr>
            <w:tcW w:w="1369" w:type="dxa"/>
            <w:tcMar>
              <w:top w:w="0" w:type="dxa"/>
              <w:left w:w="0" w:type="dxa"/>
              <w:right w:w="0" w:type="dxa"/>
            </w:tcMar>
            <w:vAlign w:val="center"/>
          </w:tcPr>
          <w:p w14:paraId="3167F1CF" w14:textId="3BABD1C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64.40</w:t>
            </w:r>
          </w:p>
        </w:tc>
      </w:tr>
      <w:tr w:rsidR="05FD1449" w14:paraId="06E88FCA" w14:textId="77777777" w:rsidTr="05FD1449">
        <w:trPr>
          <w:trHeight w:val="435"/>
        </w:trPr>
        <w:tc>
          <w:tcPr>
            <w:tcW w:w="2737" w:type="dxa"/>
            <w:shd w:val="clear" w:color="auto" w:fill="D9D9D9" w:themeFill="background1" w:themeFillShade="D9"/>
            <w:tcMar>
              <w:top w:w="0" w:type="dxa"/>
              <w:left w:w="0" w:type="dxa"/>
              <w:right w:w="0" w:type="dxa"/>
            </w:tcMar>
            <w:vAlign w:val="center"/>
          </w:tcPr>
          <w:p w14:paraId="229D1672" w14:textId="531D8F48" w:rsidR="05FD1449" w:rsidRDefault="05FD1449" w:rsidP="05FD1449">
            <w:pPr>
              <w:rPr>
                <w:rFonts w:asciiTheme="majorHAnsi" w:eastAsiaTheme="majorEastAsia" w:hAnsiTheme="majorHAnsi" w:cstheme="majorBidi"/>
                <w:color w:val="000000" w:themeColor="text1"/>
              </w:rPr>
            </w:pPr>
            <w:proofErr w:type="spellStart"/>
            <w:r w:rsidRPr="05FD1449">
              <w:rPr>
                <w:rFonts w:asciiTheme="majorHAnsi" w:eastAsiaTheme="majorEastAsia" w:hAnsiTheme="majorHAnsi" w:cstheme="majorBidi"/>
                <w:color w:val="000000" w:themeColor="text1"/>
              </w:rPr>
              <w:t>Sstar</w:t>
            </w:r>
            <w:proofErr w:type="spellEnd"/>
            <w:r w:rsidRPr="05FD1449">
              <w:rPr>
                <w:rFonts w:asciiTheme="majorHAnsi" w:eastAsiaTheme="majorEastAsia" w:hAnsiTheme="majorHAnsi" w:cstheme="majorBidi"/>
                <w:color w:val="000000" w:themeColor="text1"/>
              </w:rPr>
              <w:t xml:space="preserve"> Care Community Health Center, Inc.</w:t>
            </w:r>
          </w:p>
        </w:tc>
        <w:tc>
          <w:tcPr>
            <w:tcW w:w="1091" w:type="dxa"/>
            <w:shd w:val="clear" w:color="auto" w:fill="D9D9D9" w:themeFill="background1" w:themeFillShade="D9"/>
            <w:tcMar>
              <w:top w:w="0" w:type="dxa"/>
              <w:left w:w="0" w:type="dxa"/>
              <w:right w:w="0" w:type="dxa"/>
            </w:tcMar>
            <w:vAlign w:val="center"/>
          </w:tcPr>
          <w:p w14:paraId="15228F7F" w14:textId="1D58454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41.45</w:t>
            </w:r>
          </w:p>
        </w:tc>
        <w:tc>
          <w:tcPr>
            <w:tcW w:w="1445" w:type="dxa"/>
            <w:shd w:val="clear" w:color="auto" w:fill="D9D9D9" w:themeFill="background1" w:themeFillShade="D9"/>
            <w:tcMar>
              <w:top w:w="0" w:type="dxa"/>
              <w:left w:w="0" w:type="dxa"/>
              <w:right w:w="0" w:type="dxa"/>
            </w:tcMar>
            <w:vAlign w:val="center"/>
          </w:tcPr>
          <w:p w14:paraId="67204ABA" w14:textId="5F6CB750"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53.68</w:t>
            </w:r>
          </w:p>
        </w:tc>
        <w:tc>
          <w:tcPr>
            <w:tcW w:w="1349" w:type="dxa"/>
            <w:shd w:val="clear" w:color="auto" w:fill="D9D9D9" w:themeFill="background1" w:themeFillShade="D9"/>
            <w:tcMar>
              <w:top w:w="0" w:type="dxa"/>
              <w:left w:w="0" w:type="dxa"/>
              <w:right w:w="0" w:type="dxa"/>
            </w:tcMar>
            <w:vAlign w:val="center"/>
          </w:tcPr>
          <w:p w14:paraId="292C8BBE" w14:textId="5172EB4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64.57</w:t>
            </w:r>
          </w:p>
        </w:tc>
        <w:tc>
          <w:tcPr>
            <w:tcW w:w="1369" w:type="dxa"/>
            <w:shd w:val="clear" w:color="auto" w:fill="D9D9D9" w:themeFill="background1" w:themeFillShade="D9"/>
            <w:tcMar>
              <w:top w:w="0" w:type="dxa"/>
              <w:left w:w="0" w:type="dxa"/>
              <w:right w:w="0" w:type="dxa"/>
            </w:tcMar>
            <w:vAlign w:val="center"/>
          </w:tcPr>
          <w:p w14:paraId="646701D8" w14:textId="59716AF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56.18</w:t>
            </w:r>
          </w:p>
        </w:tc>
        <w:tc>
          <w:tcPr>
            <w:tcW w:w="1369" w:type="dxa"/>
            <w:shd w:val="clear" w:color="auto" w:fill="D9D9D9" w:themeFill="background1" w:themeFillShade="D9"/>
            <w:tcMar>
              <w:top w:w="0" w:type="dxa"/>
              <w:left w:w="0" w:type="dxa"/>
              <w:right w:w="0" w:type="dxa"/>
            </w:tcMar>
            <w:vAlign w:val="center"/>
          </w:tcPr>
          <w:p w14:paraId="74AFFB35" w14:textId="4600BBD1"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55.93</w:t>
            </w:r>
          </w:p>
        </w:tc>
      </w:tr>
      <w:tr w:rsidR="05FD1449" w14:paraId="7B2E1C4A" w14:textId="77777777" w:rsidTr="05FD1449">
        <w:trPr>
          <w:trHeight w:val="510"/>
        </w:trPr>
        <w:tc>
          <w:tcPr>
            <w:tcW w:w="2737" w:type="dxa"/>
            <w:tcMar>
              <w:top w:w="0" w:type="dxa"/>
              <w:left w:w="0" w:type="dxa"/>
              <w:right w:w="0" w:type="dxa"/>
            </w:tcMar>
            <w:vAlign w:val="center"/>
          </w:tcPr>
          <w:p w14:paraId="2FECD48E" w14:textId="06E0B6D1"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Community Counseling of Bristol County, Inc.</w:t>
            </w:r>
          </w:p>
        </w:tc>
        <w:tc>
          <w:tcPr>
            <w:tcW w:w="1091" w:type="dxa"/>
            <w:tcMar>
              <w:top w:w="0" w:type="dxa"/>
              <w:left w:w="0" w:type="dxa"/>
              <w:right w:w="0" w:type="dxa"/>
            </w:tcMar>
            <w:vAlign w:val="center"/>
          </w:tcPr>
          <w:p w14:paraId="1ED7EA7B" w14:textId="303BAD4F"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75.05</w:t>
            </w:r>
          </w:p>
        </w:tc>
        <w:tc>
          <w:tcPr>
            <w:tcW w:w="1445" w:type="dxa"/>
            <w:tcMar>
              <w:top w:w="0" w:type="dxa"/>
              <w:left w:w="0" w:type="dxa"/>
              <w:right w:w="0" w:type="dxa"/>
            </w:tcMar>
            <w:vAlign w:val="center"/>
          </w:tcPr>
          <w:p w14:paraId="090264FB" w14:textId="1E25634F"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79.33</w:t>
            </w:r>
          </w:p>
        </w:tc>
        <w:tc>
          <w:tcPr>
            <w:tcW w:w="1349" w:type="dxa"/>
            <w:tcMar>
              <w:top w:w="0" w:type="dxa"/>
              <w:left w:w="0" w:type="dxa"/>
              <w:right w:w="0" w:type="dxa"/>
            </w:tcMar>
            <w:vAlign w:val="center"/>
          </w:tcPr>
          <w:p w14:paraId="110E9F1E" w14:textId="145360E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57.62</w:t>
            </w:r>
          </w:p>
        </w:tc>
        <w:tc>
          <w:tcPr>
            <w:tcW w:w="1369" w:type="dxa"/>
            <w:tcMar>
              <w:top w:w="0" w:type="dxa"/>
              <w:left w:w="0" w:type="dxa"/>
              <w:right w:w="0" w:type="dxa"/>
            </w:tcMar>
            <w:vAlign w:val="center"/>
          </w:tcPr>
          <w:p w14:paraId="704C93DE" w14:textId="19847D2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81.68</w:t>
            </w:r>
          </w:p>
        </w:tc>
        <w:tc>
          <w:tcPr>
            <w:tcW w:w="1369" w:type="dxa"/>
            <w:tcMar>
              <w:top w:w="0" w:type="dxa"/>
              <w:left w:w="0" w:type="dxa"/>
              <w:right w:w="0" w:type="dxa"/>
            </w:tcMar>
            <w:vAlign w:val="center"/>
          </w:tcPr>
          <w:p w14:paraId="1D46E32B" w14:textId="77FFAF46"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88.73</w:t>
            </w:r>
          </w:p>
        </w:tc>
      </w:tr>
      <w:tr w:rsidR="05FD1449" w14:paraId="419D8A79" w14:textId="77777777" w:rsidTr="05FD1449">
        <w:trPr>
          <w:trHeight w:val="285"/>
        </w:trPr>
        <w:tc>
          <w:tcPr>
            <w:tcW w:w="2737" w:type="dxa"/>
            <w:shd w:val="clear" w:color="auto" w:fill="D9D9D9" w:themeFill="background1" w:themeFillShade="D9"/>
            <w:tcMar>
              <w:top w:w="0" w:type="dxa"/>
              <w:left w:w="0" w:type="dxa"/>
              <w:right w:w="0" w:type="dxa"/>
            </w:tcMar>
            <w:vAlign w:val="center"/>
          </w:tcPr>
          <w:p w14:paraId="3563D880" w14:textId="6CBA8A19"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Riverside Community Care</w:t>
            </w:r>
          </w:p>
        </w:tc>
        <w:tc>
          <w:tcPr>
            <w:tcW w:w="1091" w:type="dxa"/>
            <w:shd w:val="clear" w:color="auto" w:fill="D9D9D9" w:themeFill="background1" w:themeFillShade="D9"/>
            <w:tcMar>
              <w:top w:w="0" w:type="dxa"/>
              <w:left w:w="0" w:type="dxa"/>
              <w:right w:w="0" w:type="dxa"/>
            </w:tcMar>
            <w:vAlign w:val="center"/>
          </w:tcPr>
          <w:p w14:paraId="77E4A6B5" w14:textId="5AE1E526"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21.85</w:t>
            </w:r>
          </w:p>
        </w:tc>
        <w:tc>
          <w:tcPr>
            <w:tcW w:w="1445" w:type="dxa"/>
            <w:shd w:val="clear" w:color="auto" w:fill="D9D9D9" w:themeFill="background1" w:themeFillShade="D9"/>
            <w:tcMar>
              <w:top w:w="0" w:type="dxa"/>
              <w:left w:w="0" w:type="dxa"/>
              <w:right w:w="0" w:type="dxa"/>
            </w:tcMar>
            <w:vAlign w:val="center"/>
          </w:tcPr>
          <w:p w14:paraId="70B80302" w14:textId="4AE6DDF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51.51</w:t>
            </w:r>
          </w:p>
        </w:tc>
        <w:tc>
          <w:tcPr>
            <w:tcW w:w="1349" w:type="dxa"/>
            <w:shd w:val="clear" w:color="auto" w:fill="D9D9D9" w:themeFill="background1" w:themeFillShade="D9"/>
            <w:tcMar>
              <w:top w:w="0" w:type="dxa"/>
              <w:left w:w="0" w:type="dxa"/>
              <w:right w:w="0" w:type="dxa"/>
            </w:tcMar>
            <w:vAlign w:val="center"/>
          </w:tcPr>
          <w:p w14:paraId="73E6A7E5" w14:textId="0B6EA14F"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21.67</w:t>
            </w:r>
          </w:p>
        </w:tc>
        <w:tc>
          <w:tcPr>
            <w:tcW w:w="1369" w:type="dxa"/>
            <w:shd w:val="clear" w:color="auto" w:fill="D9D9D9" w:themeFill="background1" w:themeFillShade="D9"/>
            <w:tcMar>
              <w:top w:w="0" w:type="dxa"/>
              <w:left w:w="0" w:type="dxa"/>
              <w:right w:w="0" w:type="dxa"/>
            </w:tcMar>
            <w:vAlign w:val="center"/>
          </w:tcPr>
          <w:p w14:paraId="5875AEEC" w14:textId="3E09180A"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93.88</w:t>
            </w:r>
          </w:p>
        </w:tc>
        <w:tc>
          <w:tcPr>
            <w:tcW w:w="1369" w:type="dxa"/>
            <w:shd w:val="clear" w:color="auto" w:fill="D9D9D9" w:themeFill="background1" w:themeFillShade="D9"/>
            <w:tcMar>
              <w:top w:w="0" w:type="dxa"/>
              <w:left w:w="0" w:type="dxa"/>
              <w:right w:w="0" w:type="dxa"/>
            </w:tcMar>
            <w:vAlign w:val="center"/>
          </w:tcPr>
          <w:p w14:paraId="4A567309" w14:textId="30D2F2B3"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73.23</w:t>
            </w:r>
          </w:p>
        </w:tc>
      </w:tr>
      <w:tr w:rsidR="05FD1449" w14:paraId="18322645" w14:textId="77777777" w:rsidTr="05FD1449">
        <w:trPr>
          <w:trHeight w:val="285"/>
        </w:trPr>
        <w:tc>
          <w:tcPr>
            <w:tcW w:w="2737" w:type="dxa"/>
            <w:tcMar>
              <w:top w:w="0" w:type="dxa"/>
              <w:left w:w="0" w:type="dxa"/>
              <w:right w:w="0" w:type="dxa"/>
            </w:tcMar>
            <w:vAlign w:val="center"/>
          </w:tcPr>
          <w:p w14:paraId="6564DDC8" w14:textId="6EABE878"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Coordinated Care Network</w:t>
            </w:r>
          </w:p>
        </w:tc>
        <w:tc>
          <w:tcPr>
            <w:tcW w:w="1091" w:type="dxa"/>
            <w:tcMar>
              <w:top w:w="0" w:type="dxa"/>
              <w:left w:w="0" w:type="dxa"/>
              <w:right w:w="0" w:type="dxa"/>
            </w:tcMar>
            <w:vAlign w:val="center"/>
          </w:tcPr>
          <w:p w14:paraId="6B7C4D21" w14:textId="14EC86A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67.95</w:t>
            </w:r>
          </w:p>
        </w:tc>
        <w:tc>
          <w:tcPr>
            <w:tcW w:w="1445" w:type="dxa"/>
            <w:tcMar>
              <w:top w:w="0" w:type="dxa"/>
              <w:left w:w="0" w:type="dxa"/>
              <w:right w:w="0" w:type="dxa"/>
            </w:tcMar>
            <w:vAlign w:val="center"/>
          </w:tcPr>
          <w:p w14:paraId="5D9F271B" w14:textId="16B86E25"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67.95</w:t>
            </w:r>
          </w:p>
        </w:tc>
        <w:tc>
          <w:tcPr>
            <w:tcW w:w="1349" w:type="dxa"/>
            <w:tcMar>
              <w:top w:w="0" w:type="dxa"/>
              <w:left w:w="0" w:type="dxa"/>
              <w:right w:w="0" w:type="dxa"/>
            </w:tcMar>
            <w:vAlign w:val="center"/>
          </w:tcPr>
          <w:p w14:paraId="7EC530A9" w14:textId="789DFC3E"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36.92</w:t>
            </w:r>
          </w:p>
        </w:tc>
        <w:tc>
          <w:tcPr>
            <w:tcW w:w="1369" w:type="dxa"/>
            <w:tcMar>
              <w:top w:w="0" w:type="dxa"/>
              <w:left w:w="0" w:type="dxa"/>
              <w:right w:w="0" w:type="dxa"/>
            </w:tcMar>
            <w:vAlign w:val="center"/>
          </w:tcPr>
          <w:p w14:paraId="668CF441" w14:textId="4DA2DF8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89.08</w:t>
            </w:r>
          </w:p>
        </w:tc>
        <w:tc>
          <w:tcPr>
            <w:tcW w:w="1369" w:type="dxa"/>
            <w:tcMar>
              <w:top w:w="0" w:type="dxa"/>
              <w:left w:w="0" w:type="dxa"/>
              <w:right w:w="0" w:type="dxa"/>
            </w:tcMar>
            <w:vAlign w:val="center"/>
          </w:tcPr>
          <w:p w14:paraId="012A614A" w14:textId="0E56203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70.61</w:t>
            </w:r>
          </w:p>
        </w:tc>
      </w:tr>
      <w:tr w:rsidR="05FD1449" w14:paraId="58BB3502" w14:textId="77777777" w:rsidTr="05FD1449">
        <w:trPr>
          <w:trHeight w:val="435"/>
        </w:trPr>
        <w:tc>
          <w:tcPr>
            <w:tcW w:w="2737" w:type="dxa"/>
            <w:shd w:val="clear" w:color="auto" w:fill="D9D9D9" w:themeFill="background1" w:themeFillShade="D9"/>
            <w:tcMar>
              <w:top w:w="0" w:type="dxa"/>
              <w:left w:w="0" w:type="dxa"/>
              <w:right w:w="0" w:type="dxa"/>
            </w:tcMar>
            <w:vAlign w:val="center"/>
          </w:tcPr>
          <w:p w14:paraId="6FDE561E" w14:textId="3E01E2D3"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Central Community Health Partnership</w:t>
            </w:r>
          </w:p>
        </w:tc>
        <w:tc>
          <w:tcPr>
            <w:tcW w:w="1091" w:type="dxa"/>
            <w:shd w:val="clear" w:color="auto" w:fill="D9D9D9" w:themeFill="background1" w:themeFillShade="D9"/>
            <w:tcMar>
              <w:top w:w="0" w:type="dxa"/>
              <w:left w:w="0" w:type="dxa"/>
              <w:right w:w="0" w:type="dxa"/>
            </w:tcMar>
            <w:vAlign w:val="center"/>
          </w:tcPr>
          <w:p w14:paraId="4C447C69" w14:textId="219BB195"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23.40</w:t>
            </w:r>
          </w:p>
        </w:tc>
        <w:tc>
          <w:tcPr>
            <w:tcW w:w="1445" w:type="dxa"/>
            <w:shd w:val="clear" w:color="auto" w:fill="D9D9D9" w:themeFill="background1" w:themeFillShade="D9"/>
            <w:tcMar>
              <w:top w:w="0" w:type="dxa"/>
              <w:left w:w="0" w:type="dxa"/>
              <w:right w:w="0" w:type="dxa"/>
            </w:tcMar>
            <w:vAlign w:val="center"/>
          </w:tcPr>
          <w:p w14:paraId="5B064A79" w14:textId="3FAFC8D0"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50.70</w:t>
            </w:r>
          </w:p>
        </w:tc>
        <w:tc>
          <w:tcPr>
            <w:tcW w:w="1349" w:type="dxa"/>
            <w:shd w:val="clear" w:color="auto" w:fill="D9D9D9" w:themeFill="background1" w:themeFillShade="D9"/>
            <w:tcMar>
              <w:top w:w="0" w:type="dxa"/>
              <w:left w:w="0" w:type="dxa"/>
              <w:right w:w="0" w:type="dxa"/>
            </w:tcMar>
            <w:vAlign w:val="center"/>
          </w:tcPr>
          <w:p w14:paraId="4B5D45B1" w14:textId="3088D81A"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19.16</w:t>
            </w:r>
          </w:p>
        </w:tc>
        <w:tc>
          <w:tcPr>
            <w:tcW w:w="1369" w:type="dxa"/>
            <w:shd w:val="clear" w:color="auto" w:fill="D9D9D9" w:themeFill="background1" w:themeFillShade="D9"/>
            <w:tcMar>
              <w:top w:w="0" w:type="dxa"/>
              <w:left w:w="0" w:type="dxa"/>
              <w:right w:w="0" w:type="dxa"/>
            </w:tcMar>
            <w:vAlign w:val="center"/>
          </w:tcPr>
          <w:p w14:paraId="611AB7CE" w14:textId="093EAF7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94.14</w:t>
            </w:r>
          </w:p>
        </w:tc>
        <w:tc>
          <w:tcPr>
            <w:tcW w:w="1369" w:type="dxa"/>
            <w:shd w:val="clear" w:color="auto" w:fill="D9D9D9" w:themeFill="background1" w:themeFillShade="D9"/>
            <w:tcMar>
              <w:top w:w="0" w:type="dxa"/>
              <w:left w:w="0" w:type="dxa"/>
              <w:right w:w="0" w:type="dxa"/>
            </w:tcMar>
            <w:vAlign w:val="center"/>
          </w:tcPr>
          <w:p w14:paraId="68F9706E" w14:textId="08ADE44F"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43.79</w:t>
            </w:r>
          </w:p>
        </w:tc>
      </w:tr>
      <w:tr w:rsidR="05FD1449" w14:paraId="41C72803" w14:textId="77777777" w:rsidTr="05FD1449">
        <w:trPr>
          <w:trHeight w:val="285"/>
        </w:trPr>
        <w:tc>
          <w:tcPr>
            <w:tcW w:w="2737" w:type="dxa"/>
            <w:tcMar>
              <w:top w:w="0" w:type="dxa"/>
              <w:left w:w="0" w:type="dxa"/>
              <w:right w:w="0" w:type="dxa"/>
            </w:tcMar>
            <w:vAlign w:val="center"/>
          </w:tcPr>
          <w:p w14:paraId="0E26A032" w14:textId="2291798E"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Innovative Care Partners, LLC</w:t>
            </w:r>
          </w:p>
        </w:tc>
        <w:tc>
          <w:tcPr>
            <w:tcW w:w="1091" w:type="dxa"/>
            <w:tcMar>
              <w:top w:w="0" w:type="dxa"/>
              <w:left w:w="0" w:type="dxa"/>
              <w:right w:w="0" w:type="dxa"/>
            </w:tcMar>
            <w:vAlign w:val="center"/>
          </w:tcPr>
          <w:p w14:paraId="031A2D98" w14:textId="199ABDF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26.33</w:t>
            </w:r>
          </w:p>
        </w:tc>
        <w:tc>
          <w:tcPr>
            <w:tcW w:w="1445" w:type="dxa"/>
            <w:tcMar>
              <w:top w:w="0" w:type="dxa"/>
              <w:left w:w="0" w:type="dxa"/>
              <w:right w:w="0" w:type="dxa"/>
            </w:tcMar>
            <w:vAlign w:val="center"/>
          </w:tcPr>
          <w:p w14:paraId="243F9331" w14:textId="2C84AFD3"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49.57</w:t>
            </w:r>
          </w:p>
        </w:tc>
        <w:tc>
          <w:tcPr>
            <w:tcW w:w="1349" w:type="dxa"/>
            <w:tcMar>
              <w:top w:w="0" w:type="dxa"/>
              <w:left w:w="0" w:type="dxa"/>
              <w:right w:w="0" w:type="dxa"/>
            </w:tcMar>
            <w:vAlign w:val="center"/>
          </w:tcPr>
          <w:p w14:paraId="4041BEF5" w14:textId="4ECA734A"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83.16</w:t>
            </w:r>
          </w:p>
        </w:tc>
        <w:tc>
          <w:tcPr>
            <w:tcW w:w="1369" w:type="dxa"/>
            <w:tcMar>
              <w:top w:w="0" w:type="dxa"/>
              <w:left w:w="0" w:type="dxa"/>
              <w:right w:w="0" w:type="dxa"/>
            </w:tcMar>
            <w:vAlign w:val="center"/>
          </w:tcPr>
          <w:p w14:paraId="5AC22C09" w14:textId="06565E2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100.00</w:t>
            </w:r>
          </w:p>
        </w:tc>
        <w:tc>
          <w:tcPr>
            <w:tcW w:w="1369" w:type="dxa"/>
            <w:tcMar>
              <w:top w:w="0" w:type="dxa"/>
              <w:left w:w="0" w:type="dxa"/>
              <w:right w:w="0" w:type="dxa"/>
            </w:tcMar>
            <w:vAlign w:val="center"/>
          </w:tcPr>
          <w:p w14:paraId="07844220" w14:textId="6BA81572"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65.73</w:t>
            </w:r>
          </w:p>
        </w:tc>
      </w:tr>
      <w:tr w:rsidR="05FD1449" w14:paraId="6B1311E5" w14:textId="77777777" w:rsidTr="05FD1449">
        <w:trPr>
          <w:trHeight w:val="285"/>
        </w:trPr>
        <w:tc>
          <w:tcPr>
            <w:tcW w:w="2737" w:type="dxa"/>
            <w:shd w:val="clear" w:color="auto" w:fill="D9D9D9" w:themeFill="background1" w:themeFillShade="D9"/>
            <w:tcMar>
              <w:top w:w="0" w:type="dxa"/>
              <w:left w:w="0" w:type="dxa"/>
              <w:right w:w="0" w:type="dxa"/>
            </w:tcMar>
            <w:vAlign w:val="center"/>
          </w:tcPr>
          <w:p w14:paraId="4A6DA774" w14:textId="2E6EB6B9"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Community Care Partners, LLC</w:t>
            </w:r>
          </w:p>
        </w:tc>
        <w:tc>
          <w:tcPr>
            <w:tcW w:w="1091" w:type="dxa"/>
            <w:shd w:val="clear" w:color="auto" w:fill="D9D9D9" w:themeFill="background1" w:themeFillShade="D9"/>
            <w:tcMar>
              <w:top w:w="0" w:type="dxa"/>
              <w:left w:w="0" w:type="dxa"/>
              <w:right w:w="0" w:type="dxa"/>
            </w:tcMar>
            <w:vAlign w:val="center"/>
          </w:tcPr>
          <w:p w14:paraId="03F73535" w14:textId="0150ABE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45.38</w:t>
            </w:r>
          </w:p>
        </w:tc>
        <w:tc>
          <w:tcPr>
            <w:tcW w:w="1445" w:type="dxa"/>
            <w:shd w:val="clear" w:color="auto" w:fill="D9D9D9" w:themeFill="background1" w:themeFillShade="D9"/>
            <w:tcMar>
              <w:top w:w="0" w:type="dxa"/>
              <w:left w:w="0" w:type="dxa"/>
              <w:right w:w="0" w:type="dxa"/>
            </w:tcMar>
            <w:vAlign w:val="center"/>
          </w:tcPr>
          <w:p w14:paraId="17F77E8F" w14:textId="3084E45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54.41</w:t>
            </w:r>
          </w:p>
        </w:tc>
        <w:tc>
          <w:tcPr>
            <w:tcW w:w="1349" w:type="dxa"/>
            <w:shd w:val="clear" w:color="auto" w:fill="D9D9D9" w:themeFill="background1" w:themeFillShade="D9"/>
            <w:tcMar>
              <w:top w:w="0" w:type="dxa"/>
              <w:left w:w="0" w:type="dxa"/>
              <w:right w:w="0" w:type="dxa"/>
            </w:tcMar>
            <w:vAlign w:val="center"/>
          </w:tcPr>
          <w:p w14:paraId="482C0E2D" w14:textId="5F32F70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35.22</w:t>
            </w:r>
          </w:p>
        </w:tc>
        <w:tc>
          <w:tcPr>
            <w:tcW w:w="1369" w:type="dxa"/>
            <w:shd w:val="clear" w:color="auto" w:fill="D9D9D9" w:themeFill="background1" w:themeFillShade="D9"/>
            <w:tcMar>
              <w:top w:w="0" w:type="dxa"/>
              <w:left w:w="0" w:type="dxa"/>
              <w:right w:w="0" w:type="dxa"/>
            </w:tcMar>
            <w:vAlign w:val="center"/>
          </w:tcPr>
          <w:p w14:paraId="584C5A80" w14:textId="0458239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63.88</w:t>
            </w:r>
          </w:p>
        </w:tc>
        <w:tc>
          <w:tcPr>
            <w:tcW w:w="1369" w:type="dxa"/>
            <w:shd w:val="clear" w:color="auto" w:fill="D9D9D9" w:themeFill="background1" w:themeFillShade="D9"/>
            <w:tcMar>
              <w:top w:w="0" w:type="dxa"/>
              <w:left w:w="0" w:type="dxa"/>
              <w:right w:w="0" w:type="dxa"/>
            </w:tcMar>
            <w:vAlign w:val="center"/>
          </w:tcPr>
          <w:p w14:paraId="054858F3" w14:textId="18C450F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56.27</w:t>
            </w:r>
          </w:p>
        </w:tc>
      </w:tr>
      <w:tr w:rsidR="05FD1449" w14:paraId="034F3054" w14:textId="77777777" w:rsidTr="05FD1449">
        <w:trPr>
          <w:trHeight w:val="450"/>
        </w:trPr>
        <w:tc>
          <w:tcPr>
            <w:tcW w:w="2737" w:type="dxa"/>
            <w:tcMar>
              <w:top w:w="0" w:type="dxa"/>
              <w:left w:w="0" w:type="dxa"/>
              <w:right w:w="0" w:type="dxa"/>
            </w:tcMar>
            <w:vAlign w:val="center"/>
          </w:tcPr>
          <w:p w14:paraId="61056E24" w14:textId="0F0EA2D2"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Behavioral Health Partners of MetroWest, LLC</w:t>
            </w:r>
          </w:p>
        </w:tc>
        <w:tc>
          <w:tcPr>
            <w:tcW w:w="1091" w:type="dxa"/>
            <w:tcMar>
              <w:top w:w="0" w:type="dxa"/>
              <w:left w:w="0" w:type="dxa"/>
              <w:right w:w="0" w:type="dxa"/>
            </w:tcMar>
            <w:vAlign w:val="center"/>
          </w:tcPr>
          <w:p w14:paraId="3A9446F9" w14:textId="377108D3"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32.55</w:t>
            </w:r>
          </w:p>
        </w:tc>
        <w:tc>
          <w:tcPr>
            <w:tcW w:w="1445" w:type="dxa"/>
            <w:tcMar>
              <w:top w:w="0" w:type="dxa"/>
              <w:left w:w="0" w:type="dxa"/>
              <w:right w:w="0" w:type="dxa"/>
            </w:tcMar>
            <w:vAlign w:val="center"/>
          </w:tcPr>
          <w:p w14:paraId="6BDD7C1F" w14:textId="71A6835A"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47.29</w:t>
            </w:r>
          </w:p>
        </w:tc>
        <w:tc>
          <w:tcPr>
            <w:tcW w:w="1349" w:type="dxa"/>
            <w:tcMar>
              <w:top w:w="0" w:type="dxa"/>
              <w:left w:w="0" w:type="dxa"/>
              <w:right w:w="0" w:type="dxa"/>
            </w:tcMar>
            <w:vAlign w:val="center"/>
          </w:tcPr>
          <w:p w14:paraId="60F6389E" w14:textId="32673D5E"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43.89</w:t>
            </w:r>
          </w:p>
        </w:tc>
        <w:tc>
          <w:tcPr>
            <w:tcW w:w="1369" w:type="dxa"/>
            <w:tcMar>
              <w:top w:w="0" w:type="dxa"/>
              <w:left w:w="0" w:type="dxa"/>
              <w:right w:w="0" w:type="dxa"/>
            </w:tcMar>
            <w:vAlign w:val="center"/>
          </w:tcPr>
          <w:p w14:paraId="34DAEDDB" w14:textId="1EC6DFE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100.00</w:t>
            </w:r>
          </w:p>
        </w:tc>
        <w:tc>
          <w:tcPr>
            <w:tcW w:w="1369" w:type="dxa"/>
            <w:tcMar>
              <w:top w:w="0" w:type="dxa"/>
              <w:left w:w="0" w:type="dxa"/>
              <w:right w:w="0" w:type="dxa"/>
            </w:tcMar>
            <w:vAlign w:val="center"/>
          </w:tcPr>
          <w:p w14:paraId="10072C82" w14:textId="65C2B420"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63.93</w:t>
            </w:r>
          </w:p>
        </w:tc>
      </w:tr>
      <w:tr w:rsidR="05FD1449" w14:paraId="53AEFA4A" w14:textId="77777777" w:rsidTr="05FD1449">
        <w:trPr>
          <w:trHeight w:val="405"/>
        </w:trPr>
        <w:tc>
          <w:tcPr>
            <w:tcW w:w="2737" w:type="dxa"/>
            <w:shd w:val="clear" w:color="auto" w:fill="D9D9D9" w:themeFill="background1" w:themeFillShade="D9"/>
            <w:tcMar>
              <w:top w:w="0" w:type="dxa"/>
              <w:left w:w="0" w:type="dxa"/>
              <w:right w:w="0" w:type="dxa"/>
            </w:tcMar>
            <w:vAlign w:val="center"/>
          </w:tcPr>
          <w:p w14:paraId="58EB056B" w14:textId="039F7CBB" w:rsidR="70429321" w:rsidRDefault="70429321"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Southeast Community Partnership, LLC</w:t>
            </w:r>
          </w:p>
        </w:tc>
        <w:tc>
          <w:tcPr>
            <w:tcW w:w="1091" w:type="dxa"/>
            <w:shd w:val="clear" w:color="auto" w:fill="D9D9D9" w:themeFill="background1" w:themeFillShade="D9"/>
            <w:tcMar>
              <w:top w:w="0" w:type="dxa"/>
              <w:left w:w="0" w:type="dxa"/>
              <w:right w:w="0" w:type="dxa"/>
            </w:tcMar>
            <w:vAlign w:val="center"/>
          </w:tcPr>
          <w:p w14:paraId="2C1936AF" w14:textId="65F99B04" w:rsidR="70429321" w:rsidRDefault="70429321"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44.73</w:t>
            </w:r>
          </w:p>
        </w:tc>
        <w:tc>
          <w:tcPr>
            <w:tcW w:w="1445" w:type="dxa"/>
            <w:shd w:val="clear" w:color="auto" w:fill="D9D9D9" w:themeFill="background1" w:themeFillShade="D9"/>
            <w:tcMar>
              <w:top w:w="0" w:type="dxa"/>
              <w:left w:w="0" w:type="dxa"/>
              <w:right w:w="0" w:type="dxa"/>
            </w:tcMar>
            <w:vAlign w:val="center"/>
          </w:tcPr>
          <w:p w14:paraId="4B675012" w14:textId="6C4E3703" w:rsidR="70429321" w:rsidRDefault="70429321"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55.37</w:t>
            </w:r>
          </w:p>
        </w:tc>
        <w:tc>
          <w:tcPr>
            <w:tcW w:w="1349" w:type="dxa"/>
            <w:shd w:val="clear" w:color="auto" w:fill="D9D9D9" w:themeFill="background1" w:themeFillShade="D9"/>
            <w:tcMar>
              <w:top w:w="0" w:type="dxa"/>
              <w:left w:w="0" w:type="dxa"/>
              <w:right w:w="0" w:type="dxa"/>
            </w:tcMar>
            <w:vAlign w:val="center"/>
          </w:tcPr>
          <w:p w14:paraId="456EBED1" w14:textId="4ED6D5B9" w:rsidR="70429321" w:rsidRDefault="70429321"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31.01</w:t>
            </w:r>
          </w:p>
        </w:tc>
        <w:tc>
          <w:tcPr>
            <w:tcW w:w="1369" w:type="dxa"/>
            <w:shd w:val="clear" w:color="auto" w:fill="D9D9D9" w:themeFill="background1" w:themeFillShade="D9"/>
            <w:tcMar>
              <w:top w:w="0" w:type="dxa"/>
              <w:left w:w="0" w:type="dxa"/>
              <w:right w:w="0" w:type="dxa"/>
            </w:tcMar>
            <w:vAlign w:val="center"/>
          </w:tcPr>
          <w:p w14:paraId="6F8CC197" w14:textId="2A60E99B" w:rsidR="70429321" w:rsidRDefault="70429321"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45.20</w:t>
            </w:r>
          </w:p>
        </w:tc>
        <w:tc>
          <w:tcPr>
            <w:tcW w:w="1369" w:type="dxa"/>
            <w:shd w:val="clear" w:color="auto" w:fill="D9D9D9" w:themeFill="background1" w:themeFillShade="D9"/>
            <w:tcMar>
              <w:top w:w="0" w:type="dxa"/>
              <w:left w:w="0" w:type="dxa"/>
              <w:right w:w="0" w:type="dxa"/>
            </w:tcMar>
            <w:vAlign w:val="center"/>
          </w:tcPr>
          <w:p w14:paraId="6DF56968" w14:textId="32EB9948" w:rsidR="70429321" w:rsidRDefault="70429321"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60.40</w:t>
            </w:r>
          </w:p>
        </w:tc>
      </w:tr>
    </w:tbl>
    <w:p w14:paraId="5967D5CB" w14:textId="58FEF8D6" w:rsidR="05FD1449" w:rsidRDefault="05FD1449" w:rsidP="05FD1449"/>
    <w:p w14:paraId="3BDCA3CF" w14:textId="2009BB27" w:rsidR="3695A8A9" w:rsidRDefault="3695A8A9"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Key Takeaway: </w:t>
      </w:r>
    </w:p>
    <w:p w14:paraId="3260E27D" w14:textId="19C62AFC" w:rsidR="05FD1449" w:rsidRPr="004A0681" w:rsidRDefault="3695A8A9" w:rsidP="05FD1449">
      <w:pPr>
        <w:pStyle w:val="ListParagraph"/>
        <w:numPr>
          <w:ilvl w:val="0"/>
          <w:numId w:val="19"/>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In 2022, clinical quality performance declined among most BH CPs relative to 2021, but sustained improvements overall compared to 2020 and 2019.</w:t>
      </w:r>
      <w:r w:rsidRPr="05FD1449">
        <w:rPr>
          <w:rStyle w:val="FootnoteReference"/>
          <w:rFonts w:asciiTheme="majorHAnsi" w:eastAsiaTheme="majorEastAsia" w:hAnsiTheme="majorHAnsi" w:cstheme="majorBidi"/>
          <w:sz w:val="24"/>
          <w:szCs w:val="24"/>
        </w:rPr>
        <w:footnoteReference w:id="28"/>
      </w:r>
    </w:p>
    <w:p w14:paraId="3112078A" w14:textId="7C0FCC19" w:rsidR="229DDF07" w:rsidRDefault="229DDF07" w:rsidP="05FD1449">
      <w:pPr>
        <w:pStyle w:val="Heading4"/>
      </w:pPr>
      <w:r>
        <w:t>Slide 47: CP Clinical Quality</w:t>
      </w:r>
      <w:r w:rsidR="6999E16E">
        <w:t>: LTSS CP-level Comparison, 2019-2022</w:t>
      </w:r>
    </w:p>
    <w:p w14:paraId="54BAB67D" w14:textId="6848E807" w:rsidR="7CB411FA" w:rsidRDefault="7CB411FA" w:rsidP="05FD1449">
      <w:r>
        <w:t>Table 9</w:t>
      </w:r>
      <w:r w:rsidR="6999E16E">
        <w:t>:</w:t>
      </w:r>
    </w:p>
    <w:tbl>
      <w:tblPr>
        <w:tblStyle w:val="TableGrid"/>
        <w:tblW w:w="0" w:type="auto"/>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6A0" w:firstRow="1" w:lastRow="0" w:firstColumn="1" w:lastColumn="0" w:noHBand="1" w:noVBand="1"/>
      </w:tblPr>
      <w:tblGrid>
        <w:gridCol w:w="2128"/>
        <w:gridCol w:w="1332"/>
        <w:gridCol w:w="1636"/>
        <w:gridCol w:w="1383"/>
        <w:gridCol w:w="1402"/>
        <w:gridCol w:w="1480"/>
      </w:tblGrid>
      <w:tr w:rsidR="05FD1449" w14:paraId="624E1023" w14:textId="77777777" w:rsidTr="05FD1449">
        <w:trPr>
          <w:trHeight w:val="1680"/>
        </w:trPr>
        <w:tc>
          <w:tcPr>
            <w:tcW w:w="2128" w:type="dxa"/>
            <w:shd w:val="clear" w:color="auto" w:fill="D9E2F3" w:themeFill="accent1" w:themeFillTint="33"/>
            <w:tcMar>
              <w:top w:w="0" w:type="dxa"/>
              <w:left w:w="0" w:type="dxa"/>
              <w:right w:w="0" w:type="dxa"/>
            </w:tcMar>
            <w:vAlign w:val="center"/>
          </w:tcPr>
          <w:p w14:paraId="7FA13149" w14:textId="6D81064F"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LTSS CP</w:t>
            </w:r>
          </w:p>
        </w:tc>
        <w:tc>
          <w:tcPr>
            <w:tcW w:w="1332" w:type="dxa"/>
            <w:shd w:val="clear" w:color="auto" w:fill="D9E2F3" w:themeFill="accent1" w:themeFillTint="33"/>
            <w:tcMar>
              <w:top w:w="42" w:type="dxa"/>
              <w:left w:w="85" w:type="dxa"/>
              <w:bottom w:w="42" w:type="dxa"/>
              <w:right w:w="85" w:type="dxa"/>
            </w:tcMar>
            <w:vAlign w:val="center"/>
          </w:tcPr>
          <w:p w14:paraId="2A85CC73" w14:textId="6857375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2019 Official Quality Score (based on actual 2019 data)</w:t>
            </w:r>
          </w:p>
        </w:tc>
        <w:tc>
          <w:tcPr>
            <w:tcW w:w="1636" w:type="dxa"/>
            <w:shd w:val="clear" w:color="auto" w:fill="D9E2F3" w:themeFill="accent1" w:themeFillTint="33"/>
            <w:tcMar>
              <w:top w:w="42" w:type="dxa"/>
              <w:left w:w="85" w:type="dxa"/>
              <w:bottom w:w="42" w:type="dxa"/>
              <w:right w:w="85" w:type="dxa"/>
            </w:tcMar>
            <w:vAlign w:val="center"/>
          </w:tcPr>
          <w:p w14:paraId="68797E31" w14:textId="55C12BB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2020 Official</w:t>
            </w:r>
          </w:p>
          <w:p w14:paraId="67966544" w14:textId="1C48F3E3"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Quality Score </w:t>
            </w:r>
            <w:r>
              <w:br/>
            </w:r>
            <w:r w:rsidRPr="05FD1449">
              <w:rPr>
                <w:rFonts w:asciiTheme="majorHAnsi" w:eastAsiaTheme="majorEastAsia" w:hAnsiTheme="majorHAnsi" w:cstheme="majorBidi"/>
                <w:b/>
                <w:bCs/>
                <w:color w:val="000000" w:themeColor="text1"/>
              </w:rPr>
              <w:t xml:space="preserve">(based on 2019 data + COVID </w:t>
            </w:r>
          </w:p>
          <w:p w14:paraId="3EE91373" w14:textId="6324C073"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allowances)</w:t>
            </w:r>
            <w:r w:rsidRPr="05FD1449">
              <w:rPr>
                <w:rStyle w:val="FootnoteReference"/>
                <w:rFonts w:asciiTheme="majorHAnsi" w:eastAsiaTheme="majorEastAsia" w:hAnsiTheme="majorHAnsi" w:cstheme="majorBidi"/>
                <w:b/>
                <w:bCs/>
                <w:color w:val="000000" w:themeColor="text1"/>
              </w:rPr>
              <w:footnoteReference w:id="29"/>
            </w:r>
            <w:r w:rsidRPr="05FD1449">
              <w:rPr>
                <w:rFonts w:asciiTheme="majorHAnsi" w:eastAsiaTheme="majorEastAsia" w:hAnsiTheme="majorHAnsi" w:cstheme="majorBidi"/>
                <w:b/>
                <w:bCs/>
                <w:color w:val="000000" w:themeColor="text1"/>
              </w:rPr>
              <w:t xml:space="preserve"> </w:t>
            </w:r>
          </w:p>
        </w:tc>
        <w:tc>
          <w:tcPr>
            <w:tcW w:w="1383" w:type="dxa"/>
            <w:shd w:val="clear" w:color="auto" w:fill="D9E2F3" w:themeFill="accent1" w:themeFillTint="33"/>
            <w:tcMar>
              <w:top w:w="42" w:type="dxa"/>
              <w:left w:w="85" w:type="dxa"/>
              <w:bottom w:w="42" w:type="dxa"/>
              <w:right w:w="85" w:type="dxa"/>
            </w:tcMar>
            <w:vAlign w:val="center"/>
          </w:tcPr>
          <w:p w14:paraId="2D427BB2" w14:textId="44508FAA"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2020 Actual Quality Score (based on actual 2020 data)</w:t>
            </w:r>
          </w:p>
        </w:tc>
        <w:tc>
          <w:tcPr>
            <w:tcW w:w="1402" w:type="dxa"/>
            <w:shd w:val="clear" w:color="auto" w:fill="D9E2F3" w:themeFill="accent1" w:themeFillTint="33"/>
            <w:tcMar>
              <w:top w:w="42" w:type="dxa"/>
              <w:left w:w="85" w:type="dxa"/>
              <w:bottom w:w="42" w:type="dxa"/>
              <w:right w:w="85" w:type="dxa"/>
            </w:tcMar>
            <w:vAlign w:val="center"/>
          </w:tcPr>
          <w:p w14:paraId="7B151C1E" w14:textId="7D6834B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2021 Actual Quality Score (based on </w:t>
            </w:r>
          </w:p>
          <w:p w14:paraId="5074DFE4" w14:textId="5AD10EE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actual 2021 </w:t>
            </w:r>
          </w:p>
          <w:p w14:paraId="3A18A619" w14:textId="5DCFA24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data)</w:t>
            </w:r>
          </w:p>
        </w:tc>
        <w:tc>
          <w:tcPr>
            <w:tcW w:w="1480" w:type="dxa"/>
            <w:shd w:val="clear" w:color="auto" w:fill="D9E2F3" w:themeFill="accent1" w:themeFillTint="33"/>
            <w:tcMar>
              <w:top w:w="42" w:type="dxa"/>
              <w:left w:w="85" w:type="dxa"/>
              <w:bottom w:w="42" w:type="dxa"/>
              <w:right w:w="85" w:type="dxa"/>
            </w:tcMar>
            <w:vAlign w:val="center"/>
          </w:tcPr>
          <w:p w14:paraId="57A8F918" w14:textId="032F804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2022 Actual Quality Score </w:t>
            </w:r>
          </w:p>
          <w:p w14:paraId="4FCC77E2" w14:textId="1EF052B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w:t>
            </w:r>
            <w:proofErr w:type="gramStart"/>
            <w:r w:rsidRPr="05FD1449">
              <w:rPr>
                <w:rFonts w:asciiTheme="majorHAnsi" w:eastAsiaTheme="majorEastAsia" w:hAnsiTheme="majorHAnsi" w:cstheme="majorBidi"/>
                <w:b/>
                <w:bCs/>
                <w:color w:val="000000" w:themeColor="text1"/>
              </w:rPr>
              <w:t>based</w:t>
            </w:r>
            <w:proofErr w:type="gramEnd"/>
            <w:r w:rsidRPr="05FD1449">
              <w:rPr>
                <w:rFonts w:asciiTheme="majorHAnsi" w:eastAsiaTheme="majorEastAsia" w:hAnsiTheme="majorHAnsi" w:cstheme="majorBidi"/>
                <w:b/>
                <w:bCs/>
                <w:color w:val="000000" w:themeColor="text1"/>
              </w:rPr>
              <w:t xml:space="preserve"> on actual 2022 </w:t>
            </w:r>
          </w:p>
          <w:p w14:paraId="077EFA98" w14:textId="0F1E9523"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data)</w:t>
            </w:r>
          </w:p>
        </w:tc>
      </w:tr>
      <w:tr w:rsidR="05FD1449" w14:paraId="508045CC" w14:textId="77777777" w:rsidTr="05FD1449">
        <w:trPr>
          <w:trHeight w:val="585"/>
        </w:trPr>
        <w:tc>
          <w:tcPr>
            <w:tcW w:w="2128" w:type="dxa"/>
            <w:tcMar>
              <w:top w:w="0" w:type="dxa"/>
              <w:left w:w="0" w:type="dxa"/>
              <w:right w:w="0" w:type="dxa"/>
            </w:tcMar>
            <w:vAlign w:val="center"/>
          </w:tcPr>
          <w:p w14:paraId="78BBC0E1" w14:textId="4BD89236"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Care Alliance of Western Mass</w:t>
            </w:r>
          </w:p>
        </w:tc>
        <w:tc>
          <w:tcPr>
            <w:tcW w:w="1332" w:type="dxa"/>
            <w:tcMar>
              <w:top w:w="0" w:type="dxa"/>
              <w:left w:w="0" w:type="dxa"/>
              <w:right w:w="0" w:type="dxa"/>
            </w:tcMar>
            <w:vAlign w:val="center"/>
          </w:tcPr>
          <w:p w14:paraId="6D245A92" w14:textId="264A503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27.48</w:t>
            </w:r>
          </w:p>
        </w:tc>
        <w:tc>
          <w:tcPr>
            <w:tcW w:w="1636" w:type="dxa"/>
            <w:tcMar>
              <w:top w:w="0" w:type="dxa"/>
              <w:left w:w="0" w:type="dxa"/>
              <w:right w:w="0" w:type="dxa"/>
            </w:tcMar>
            <w:vAlign w:val="center"/>
          </w:tcPr>
          <w:p w14:paraId="7723E046" w14:textId="156ED7E3"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55.32</w:t>
            </w:r>
          </w:p>
        </w:tc>
        <w:tc>
          <w:tcPr>
            <w:tcW w:w="1383" w:type="dxa"/>
            <w:tcMar>
              <w:top w:w="0" w:type="dxa"/>
              <w:left w:w="0" w:type="dxa"/>
              <w:right w:w="0" w:type="dxa"/>
            </w:tcMar>
            <w:vAlign w:val="center"/>
          </w:tcPr>
          <w:p w14:paraId="7F904209" w14:textId="28E97BF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29.59</w:t>
            </w:r>
          </w:p>
        </w:tc>
        <w:tc>
          <w:tcPr>
            <w:tcW w:w="1402" w:type="dxa"/>
            <w:tcMar>
              <w:top w:w="0" w:type="dxa"/>
              <w:left w:w="0" w:type="dxa"/>
              <w:right w:w="0" w:type="dxa"/>
            </w:tcMar>
            <w:vAlign w:val="center"/>
          </w:tcPr>
          <w:p w14:paraId="13FE61E5" w14:textId="3EC246B1"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60.94</w:t>
            </w:r>
          </w:p>
        </w:tc>
        <w:tc>
          <w:tcPr>
            <w:tcW w:w="1480" w:type="dxa"/>
            <w:tcMar>
              <w:top w:w="0" w:type="dxa"/>
              <w:left w:w="0" w:type="dxa"/>
              <w:right w:w="0" w:type="dxa"/>
            </w:tcMar>
            <w:vAlign w:val="center"/>
          </w:tcPr>
          <w:p w14:paraId="050EDC24" w14:textId="38CE276E"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69.43</w:t>
            </w:r>
          </w:p>
        </w:tc>
      </w:tr>
      <w:tr w:rsidR="05FD1449" w14:paraId="3F96CD1B" w14:textId="77777777" w:rsidTr="05FD1449">
        <w:trPr>
          <w:trHeight w:val="585"/>
        </w:trPr>
        <w:tc>
          <w:tcPr>
            <w:tcW w:w="2128" w:type="dxa"/>
            <w:shd w:val="clear" w:color="auto" w:fill="D9D9D9" w:themeFill="background1" w:themeFillShade="D9"/>
            <w:tcMar>
              <w:top w:w="0" w:type="dxa"/>
              <w:left w:w="0" w:type="dxa"/>
              <w:right w:w="0" w:type="dxa"/>
            </w:tcMar>
            <w:vAlign w:val="center"/>
          </w:tcPr>
          <w:p w14:paraId="541CF9CC" w14:textId="262F9C9C"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Merrimack Valley Community Partner</w:t>
            </w:r>
          </w:p>
        </w:tc>
        <w:tc>
          <w:tcPr>
            <w:tcW w:w="1332" w:type="dxa"/>
            <w:shd w:val="clear" w:color="auto" w:fill="D9D9D9" w:themeFill="background1" w:themeFillShade="D9"/>
            <w:tcMar>
              <w:top w:w="0" w:type="dxa"/>
              <w:left w:w="0" w:type="dxa"/>
              <w:right w:w="0" w:type="dxa"/>
            </w:tcMar>
            <w:vAlign w:val="center"/>
          </w:tcPr>
          <w:p w14:paraId="0A0553AA" w14:textId="4B4CC6BE"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90.44</w:t>
            </w:r>
          </w:p>
        </w:tc>
        <w:tc>
          <w:tcPr>
            <w:tcW w:w="1636" w:type="dxa"/>
            <w:shd w:val="clear" w:color="auto" w:fill="D9D9D9" w:themeFill="background1" w:themeFillShade="D9"/>
            <w:tcMar>
              <w:top w:w="0" w:type="dxa"/>
              <w:left w:w="0" w:type="dxa"/>
              <w:right w:w="0" w:type="dxa"/>
            </w:tcMar>
            <w:vAlign w:val="center"/>
          </w:tcPr>
          <w:p w14:paraId="1D3AE1F1" w14:textId="52405A9A"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90.44</w:t>
            </w:r>
          </w:p>
        </w:tc>
        <w:tc>
          <w:tcPr>
            <w:tcW w:w="1383" w:type="dxa"/>
            <w:shd w:val="clear" w:color="auto" w:fill="D9D9D9" w:themeFill="background1" w:themeFillShade="D9"/>
            <w:tcMar>
              <w:top w:w="0" w:type="dxa"/>
              <w:left w:w="0" w:type="dxa"/>
              <w:right w:w="0" w:type="dxa"/>
            </w:tcMar>
            <w:vAlign w:val="center"/>
          </w:tcPr>
          <w:p w14:paraId="6C2FCDB4" w14:textId="705816F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49.48</w:t>
            </w:r>
          </w:p>
        </w:tc>
        <w:tc>
          <w:tcPr>
            <w:tcW w:w="1402" w:type="dxa"/>
            <w:shd w:val="clear" w:color="auto" w:fill="D9D9D9" w:themeFill="background1" w:themeFillShade="D9"/>
            <w:tcMar>
              <w:top w:w="0" w:type="dxa"/>
              <w:left w:w="0" w:type="dxa"/>
              <w:right w:w="0" w:type="dxa"/>
            </w:tcMar>
            <w:vAlign w:val="center"/>
          </w:tcPr>
          <w:p w14:paraId="250DD004" w14:textId="434C2486"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62.10</w:t>
            </w:r>
          </w:p>
        </w:tc>
        <w:tc>
          <w:tcPr>
            <w:tcW w:w="1480" w:type="dxa"/>
            <w:shd w:val="clear" w:color="auto" w:fill="D9D9D9" w:themeFill="background1" w:themeFillShade="D9"/>
            <w:tcMar>
              <w:top w:w="0" w:type="dxa"/>
              <w:left w:w="0" w:type="dxa"/>
              <w:right w:w="0" w:type="dxa"/>
            </w:tcMar>
            <w:vAlign w:val="center"/>
          </w:tcPr>
          <w:p w14:paraId="1785E22B" w14:textId="1AA4711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80.28</w:t>
            </w:r>
          </w:p>
        </w:tc>
      </w:tr>
      <w:tr w:rsidR="05FD1449" w14:paraId="0CB6E0C8" w14:textId="77777777" w:rsidTr="05FD1449">
        <w:trPr>
          <w:trHeight w:val="585"/>
        </w:trPr>
        <w:tc>
          <w:tcPr>
            <w:tcW w:w="2128" w:type="dxa"/>
            <w:tcMar>
              <w:top w:w="0" w:type="dxa"/>
              <w:left w:w="0" w:type="dxa"/>
              <w:right w:w="0" w:type="dxa"/>
            </w:tcMar>
            <w:vAlign w:val="center"/>
          </w:tcPr>
          <w:p w14:paraId="4B120B6E" w14:textId="5D9E0E2C"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North Region LTSS Partnership</w:t>
            </w:r>
          </w:p>
        </w:tc>
        <w:tc>
          <w:tcPr>
            <w:tcW w:w="1332" w:type="dxa"/>
            <w:tcMar>
              <w:top w:w="0" w:type="dxa"/>
              <w:left w:w="0" w:type="dxa"/>
              <w:right w:w="0" w:type="dxa"/>
            </w:tcMar>
            <w:vAlign w:val="center"/>
          </w:tcPr>
          <w:p w14:paraId="08797696" w14:textId="704C83BE"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43.52</w:t>
            </w:r>
          </w:p>
        </w:tc>
        <w:tc>
          <w:tcPr>
            <w:tcW w:w="1636" w:type="dxa"/>
            <w:tcMar>
              <w:top w:w="0" w:type="dxa"/>
              <w:left w:w="0" w:type="dxa"/>
              <w:right w:w="0" w:type="dxa"/>
            </w:tcMar>
            <w:vAlign w:val="center"/>
          </w:tcPr>
          <w:p w14:paraId="125A1481" w14:textId="79847CC1"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48.98</w:t>
            </w:r>
          </w:p>
        </w:tc>
        <w:tc>
          <w:tcPr>
            <w:tcW w:w="1383" w:type="dxa"/>
            <w:tcMar>
              <w:top w:w="0" w:type="dxa"/>
              <w:left w:w="0" w:type="dxa"/>
              <w:right w:w="0" w:type="dxa"/>
            </w:tcMar>
            <w:vAlign w:val="center"/>
          </w:tcPr>
          <w:p w14:paraId="70F68F77" w14:textId="62C56B1B"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48.79</w:t>
            </w:r>
          </w:p>
        </w:tc>
        <w:tc>
          <w:tcPr>
            <w:tcW w:w="1402" w:type="dxa"/>
            <w:tcMar>
              <w:top w:w="0" w:type="dxa"/>
              <w:left w:w="0" w:type="dxa"/>
              <w:right w:w="0" w:type="dxa"/>
            </w:tcMar>
            <w:vAlign w:val="center"/>
          </w:tcPr>
          <w:p w14:paraId="0197D955" w14:textId="3803836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100.00</w:t>
            </w:r>
          </w:p>
        </w:tc>
        <w:tc>
          <w:tcPr>
            <w:tcW w:w="1480" w:type="dxa"/>
            <w:tcMar>
              <w:top w:w="0" w:type="dxa"/>
              <w:left w:w="0" w:type="dxa"/>
              <w:right w:w="0" w:type="dxa"/>
            </w:tcMar>
            <w:vAlign w:val="center"/>
          </w:tcPr>
          <w:p w14:paraId="65682C60" w14:textId="6B2F887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98.00</w:t>
            </w:r>
          </w:p>
        </w:tc>
      </w:tr>
      <w:tr w:rsidR="05FD1449" w14:paraId="4919A5F4" w14:textId="77777777" w:rsidTr="05FD1449">
        <w:trPr>
          <w:trHeight w:val="585"/>
        </w:trPr>
        <w:tc>
          <w:tcPr>
            <w:tcW w:w="2128" w:type="dxa"/>
            <w:shd w:val="clear" w:color="auto" w:fill="D9D9D9" w:themeFill="background1" w:themeFillShade="D9"/>
            <w:tcMar>
              <w:top w:w="0" w:type="dxa"/>
              <w:left w:w="0" w:type="dxa"/>
              <w:right w:w="0" w:type="dxa"/>
            </w:tcMar>
            <w:vAlign w:val="center"/>
          </w:tcPr>
          <w:p w14:paraId="2FEE8686" w14:textId="0DC146DD"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Central Community Health Partnership</w:t>
            </w:r>
          </w:p>
        </w:tc>
        <w:tc>
          <w:tcPr>
            <w:tcW w:w="1332" w:type="dxa"/>
            <w:shd w:val="clear" w:color="auto" w:fill="D9D9D9" w:themeFill="background1" w:themeFillShade="D9"/>
            <w:tcMar>
              <w:top w:w="0" w:type="dxa"/>
              <w:left w:w="0" w:type="dxa"/>
              <w:right w:w="0" w:type="dxa"/>
            </w:tcMar>
            <w:vAlign w:val="center"/>
          </w:tcPr>
          <w:p w14:paraId="5D15F5A5" w14:textId="3298E270"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42.96</w:t>
            </w:r>
          </w:p>
        </w:tc>
        <w:tc>
          <w:tcPr>
            <w:tcW w:w="1636" w:type="dxa"/>
            <w:shd w:val="clear" w:color="auto" w:fill="D9D9D9" w:themeFill="background1" w:themeFillShade="D9"/>
            <w:tcMar>
              <w:top w:w="0" w:type="dxa"/>
              <w:left w:w="0" w:type="dxa"/>
              <w:right w:w="0" w:type="dxa"/>
            </w:tcMar>
            <w:vAlign w:val="center"/>
          </w:tcPr>
          <w:p w14:paraId="31B592EB" w14:textId="3F53084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49.50</w:t>
            </w:r>
          </w:p>
        </w:tc>
        <w:tc>
          <w:tcPr>
            <w:tcW w:w="1383" w:type="dxa"/>
            <w:shd w:val="clear" w:color="auto" w:fill="D9D9D9" w:themeFill="background1" w:themeFillShade="D9"/>
            <w:tcMar>
              <w:top w:w="0" w:type="dxa"/>
              <w:left w:w="0" w:type="dxa"/>
              <w:right w:w="0" w:type="dxa"/>
            </w:tcMar>
            <w:vAlign w:val="center"/>
          </w:tcPr>
          <w:p w14:paraId="40DEA0ED" w14:textId="0EDD2B8F"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50.21</w:t>
            </w:r>
          </w:p>
        </w:tc>
        <w:tc>
          <w:tcPr>
            <w:tcW w:w="1402" w:type="dxa"/>
            <w:shd w:val="clear" w:color="auto" w:fill="D9D9D9" w:themeFill="background1" w:themeFillShade="D9"/>
            <w:tcMar>
              <w:top w:w="0" w:type="dxa"/>
              <w:left w:w="0" w:type="dxa"/>
              <w:right w:w="0" w:type="dxa"/>
            </w:tcMar>
            <w:vAlign w:val="center"/>
          </w:tcPr>
          <w:p w14:paraId="60DA8A5D" w14:textId="5A192985"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77.46</w:t>
            </w:r>
          </w:p>
        </w:tc>
        <w:tc>
          <w:tcPr>
            <w:tcW w:w="1480" w:type="dxa"/>
            <w:shd w:val="clear" w:color="auto" w:fill="D9D9D9" w:themeFill="background1" w:themeFillShade="D9"/>
            <w:tcMar>
              <w:top w:w="0" w:type="dxa"/>
              <w:left w:w="0" w:type="dxa"/>
              <w:right w:w="0" w:type="dxa"/>
            </w:tcMar>
            <w:vAlign w:val="center"/>
          </w:tcPr>
          <w:p w14:paraId="13BD4247" w14:textId="12BCF02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96.85</w:t>
            </w:r>
          </w:p>
        </w:tc>
      </w:tr>
      <w:tr w:rsidR="05FD1449" w14:paraId="2D4A00D2" w14:textId="77777777" w:rsidTr="05FD1449">
        <w:trPr>
          <w:trHeight w:val="585"/>
        </w:trPr>
        <w:tc>
          <w:tcPr>
            <w:tcW w:w="2128" w:type="dxa"/>
            <w:tcMar>
              <w:top w:w="0" w:type="dxa"/>
              <w:left w:w="0" w:type="dxa"/>
              <w:right w:w="0" w:type="dxa"/>
            </w:tcMar>
            <w:vAlign w:val="center"/>
          </w:tcPr>
          <w:p w14:paraId="4FAF66B3" w14:textId="426A5051"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Family Service Association</w:t>
            </w:r>
          </w:p>
        </w:tc>
        <w:tc>
          <w:tcPr>
            <w:tcW w:w="1332" w:type="dxa"/>
            <w:tcMar>
              <w:top w:w="0" w:type="dxa"/>
              <w:left w:w="0" w:type="dxa"/>
              <w:right w:w="0" w:type="dxa"/>
            </w:tcMar>
            <w:vAlign w:val="center"/>
          </w:tcPr>
          <w:p w14:paraId="48522B4F" w14:textId="3CB9AB3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69.12</w:t>
            </w:r>
          </w:p>
        </w:tc>
        <w:tc>
          <w:tcPr>
            <w:tcW w:w="1636" w:type="dxa"/>
            <w:tcMar>
              <w:top w:w="0" w:type="dxa"/>
              <w:left w:w="0" w:type="dxa"/>
              <w:right w:w="0" w:type="dxa"/>
            </w:tcMar>
            <w:vAlign w:val="center"/>
          </w:tcPr>
          <w:p w14:paraId="075C1E48" w14:textId="0F3D03A3"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75.36</w:t>
            </w:r>
          </w:p>
        </w:tc>
        <w:tc>
          <w:tcPr>
            <w:tcW w:w="1383" w:type="dxa"/>
            <w:tcMar>
              <w:top w:w="0" w:type="dxa"/>
              <w:left w:w="0" w:type="dxa"/>
              <w:right w:w="0" w:type="dxa"/>
            </w:tcMar>
            <w:vAlign w:val="center"/>
          </w:tcPr>
          <w:p w14:paraId="5D125CDE" w14:textId="12E09F20"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22.92</w:t>
            </w:r>
          </w:p>
        </w:tc>
        <w:tc>
          <w:tcPr>
            <w:tcW w:w="1402" w:type="dxa"/>
            <w:tcMar>
              <w:top w:w="0" w:type="dxa"/>
              <w:left w:w="0" w:type="dxa"/>
              <w:right w:w="0" w:type="dxa"/>
            </w:tcMar>
            <w:vAlign w:val="center"/>
          </w:tcPr>
          <w:p w14:paraId="65D5018A" w14:textId="795A5256"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63.52</w:t>
            </w:r>
          </w:p>
        </w:tc>
        <w:tc>
          <w:tcPr>
            <w:tcW w:w="1480" w:type="dxa"/>
            <w:tcMar>
              <w:top w:w="0" w:type="dxa"/>
              <w:left w:w="0" w:type="dxa"/>
              <w:right w:w="0" w:type="dxa"/>
            </w:tcMar>
            <w:vAlign w:val="center"/>
          </w:tcPr>
          <w:p w14:paraId="286F5C6A" w14:textId="241B5DA3"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76.42</w:t>
            </w:r>
          </w:p>
        </w:tc>
      </w:tr>
      <w:tr w:rsidR="05FD1449" w14:paraId="401E6049" w14:textId="77777777" w:rsidTr="05FD1449">
        <w:trPr>
          <w:trHeight w:val="585"/>
        </w:trPr>
        <w:tc>
          <w:tcPr>
            <w:tcW w:w="2128" w:type="dxa"/>
            <w:shd w:val="clear" w:color="auto" w:fill="D9D9D9" w:themeFill="background1" w:themeFillShade="D9"/>
            <w:tcMar>
              <w:top w:w="0" w:type="dxa"/>
              <w:left w:w="0" w:type="dxa"/>
              <w:right w:w="0" w:type="dxa"/>
            </w:tcMar>
            <w:vAlign w:val="center"/>
          </w:tcPr>
          <w:p w14:paraId="7FA1414F" w14:textId="6EE67271"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Massachusetts Care Coordination Network</w:t>
            </w:r>
          </w:p>
        </w:tc>
        <w:tc>
          <w:tcPr>
            <w:tcW w:w="1332" w:type="dxa"/>
            <w:shd w:val="clear" w:color="auto" w:fill="D9D9D9" w:themeFill="background1" w:themeFillShade="D9"/>
            <w:tcMar>
              <w:top w:w="0" w:type="dxa"/>
              <w:left w:w="0" w:type="dxa"/>
              <w:right w:w="0" w:type="dxa"/>
            </w:tcMar>
            <w:vAlign w:val="center"/>
          </w:tcPr>
          <w:p w14:paraId="575A87EC" w14:textId="21B1DBD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34.96</w:t>
            </w:r>
          </w:p>
        </w:tc>
        <w:tc>
          <w:tcPr>
            <w:tcW w:w="1636" w:type="dxa"/>
            <w:shd w:val="clear" w:color="auto" w:fill="D9D9D9" w:themeFill="background1" w:themeFillShade="D9"/>
            <w:tcMar>
              <w:top w:w="0" w:type="dxa"/>
              <w:left w:w="0" w:type="dxa"/>
              <w:right w:w="0" w:type="dxa"/>
            </w:tcMar>
            <w:vAlign w:val="center"/>
          </w:tcPr>
          <w:p w14:paraId="0FFCA33F" w14:textId="61721BFB"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57.58</w:t>
            </w:r>
          </w:p>
        </w:tc>
        <w:tc>
          <w:tcPr>
            <w:tcW w:w="1383" w:type="dxa"/>
            <w:shd w:val="clear" w:color="auto" w:fill="D9D9D9" w:themeFill="background1" w:themeFillShade="D9"/>
            <w:tcMar>
              <w:top w:w="0" w:type="dxa"/>
              <w:left w:w="0" w:type="dxa"/>
              <w:right w:w="0" w:type="dxa"/>
            </w:tcMar>
            <w:vAlign w:val="center"/>
          </w:tcPr>
          <w:p w14:paraId="62BF2B04" w14:textId="5E9DCDF5"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39.79</w:t>
            </w:r>
          </w:p>
        </w:tc>
        <w:tc>
          <w:tcPr>
            <w:tcW w:w="1402" w:type="dxa"/>
            <w:shd w:val="clear" w:color="auto" w:fill="D9D9D9" w:themeFill="background1" w:themeFillShade="D9"/>
            <w:tcMar>
              <w:top w:w="0" w:type="dxa"/>
              <w:left w:w="0" w:type="dxa"/>
              <w:right w:w="0" w:type="dxa"/>
            </w:tcMar>
            <w:vAlign w:val="center"/>
          </w:tcPr>
          <w:p w14:paraId="7034F778" w14:textId="131E91E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85.31</w:t>
            </w:r>
          </w:p>
        </w:tc>
        <w:tc>
          <w:tcPr>
            <w:tcW w:w="1480" w:type="dxa"/>
            <w:shd w:val="clear" w:color="auto" w:fill="D9D9D9" w:themeFill="background1" w:themeFillShade="D9"/>
            <w:tcMar>
              <w:top w:w="0" w:type="dxa"/>
              <w:left w:w="0" w:type="dxa"/>
              <w:right w:w="0" w:type="dxa"/>
            </w:tcMar>
            <w:vAlign w:val="center"/>
          </w:tcPr>
          <w:p w14:paraId="1549E4A5" w14:textId="0F94A40E"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83.11</w:t>
            </w:r>
          </w:p>
        </w:tc>
      </w:tr>
      <w:tr w:rsidR="05FD1449" w14:paraId="238DE29E" w14:textId="77777777" w:rsidTr="05FD1449">
        <w:trPr>
          <w:trHeight w:val="585"/>
        </w:trPr>
        <w:tc>
          <w:tcPr>
            <w:tcW w:w="2128" w:type="dxa"/>
            <w:tcMar>
              <w:top w:w="0" w:type="dxa"/>
              <w:left w:w="0" w:type="dxa"/>
              <w:right w:w="0" w:type="dxa"/>
            </w:tcMar>
            <w:vAlign w:val="center"/>
          </w:tcPr>
          <w:p w14:paraId="17E00DB7" w14:textId="62278096"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Boston Allied Partners</w:t>
            </w:r>
          </w:p>
        </w:tc>
        <w:tc>
          <w:tcPr>
            <w:tcW w:w="1332" w:type="dxa"/>
            <w:tcMar>
              <w:top w:w="0" w:type="dxa"/>
              <w:left w:w="0" w:type="dxa"/>
              <w:right w:w="0" w:type="dxa"/>
            </w:tcMar>
            <w:vAlign w:val="center"/>
          </w:tcPr>
          <w:p w14:paraId="609DBEFB" w14:textId="5616D961"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13.80</w:t>
            </w:r>
          </w:p>
        </w:tc>
        <w:tc>
          <w:tcPr>
            <w:tcW w:w="1636" w:type="dxa"/>
            <w:tcMar>
              <w:top w:w="0" w:type="dxa"/>
              <w:left w:w="0" w:type="dxa"/>
              <w:right w:w="0" w:type="dxa"/>
            </w:tcMar>
            <w:vAlign w:val="center"/>
          </w:tcPr>
          <w:p w14:paraId="37FF1BA9" w14:textId="247D5F4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55.92</w:t>
            </w:r>
          </w:p>
        </w:tc>
        <w:tc>
          <w:tcPr>
            <w:tcW w:w="1383" w:type="dxa"/>
            <w:tcMar>
              <w:top w:w="0" w:type="dxa"/>
              <w:left w:w="0" w:type="dxa"/>
              <w:right w:w="0" w:type="dxa"/>
            </w:tcMar>
            <w:vAlign w:val="center"/>
          </w:tcPr>
          <w:p w14:paraId="0A33524C" w14:textId="328BE0F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18.79</w:t>
            </w:r>
          </w:p>
        </w:tc>
        <w:tc>
          <w:tcPr>
            <w:tcW w:w="1402" w:type="dxa"/>
            <w:tcMar>
              <w:top w:w="0" w:type="dxa"/>
              <w:left w:w="0" w:type="dxa"/>
              <w:right w:w="0" w:type="dxa"/>
            </w:tcMar>
            <w:vAlign w:val="center"/>
          </w:tcPr>
          <w:p w14:paraId="1696E3FF" w14:textId="7A9EA681"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43.70</w:t>
            </w:r>
          </w:p>
        </w:tc>
        <w:tc>
          <w:tcPr>
            <w:tcW w:w="1480" w:type="dxa"/>
            <w:tcMar>
              <w:top w:w="0" w:type="dxa"/>
              <w:left w:w="0" w:type="dxa"/>
              <w:right w:w="0" w:type="dxa"/>
            </w:tcMar>
            <w:vAlign w:val="center"/>
          </w:tcPr>
          <w:p w14:paraId="77468FF3" w14:textId="393357A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16.20</w:t>
            </w:r>
          </w:p>
        </w:tc>
      </w:tr>
      <w:tr w:rsidR="05FD1449" w14:paraId="3AB5E9B2" w14:textId="77777777" w:rsidTr="05FD1449">
        <w:trPr>
          <w:trHeight w:val="585"/>
        </w:trPr>
        <w:tc>
          <w:tcPr>
            <w:tcW w:w="2128" w:type="dxa"/>
            <w:shd w:val="clear" w:color="auto" w:fill="D9D9D9" w:themeFill="background1" w:themeFillShade="D9"/>
            <w:tcMar>
              <w:top w:w="0" w:type="dxa"/>
              <w:left w:w="0" w:type="dxa"/>
              <w:right w:w="0" w:type="dxa"/>
            </w:tcMar>
            <w:vAlign w:val="center"/>
          </w:tcPr>
          <w:p w14:paraId="610F1D9F" w14:textId="68897F14"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Innovative Care Partners, LLC</w:t>
            </w:r>
          </w:p>
        </w:tc>
        <w:tc>
          <w:tcPr>
            <w:tcW w:w="1332" w:type="dxa"/>
            <w:shd w:val="clear" w:color="auto" w:fill="D9D9D9" w:themeFill="background1" w:themeFillShade="D9"/>
            <w:tcMar>
              <w:top w:w="0" w:type="dxa"/>
              <w:left w:w="0" w:type="dxa"/>
              <w:right w:w="0" w:type="dxa"/>
            </w:tcMar>
            <w:vAlign w:val="center"/>
          </w:tcPr>
          <w:p w14:paraId="7606A050" w14:textId="76DEB52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49.08</w:t>
            </w:r>
          </w:p>
        </w:tc>
        <w:tc>
          <w:tcPr>
            <w:tcW w:w="1636" w:type="dxa"/>
            <w:shd w:val="clear" w:color="auto" w:fill="D9D9D9" w:themeFill="background1" w:themeFillShade="D9"/>
            <w:tcMar>
              <w:top w:w="0" w:type="dxa"/>
              <w:left w:w="0" w:type="dxa"/>
              <w:right w:w="0" w:type="dxa"/>
            </w:tcMar>
            <w:vAlign w:val="center"/>
          </w:tcPr>
          <w:p w14:paraId="0EB9AB0D" w14:textId="0907C6EA"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76.92</w:t>
            </w:r>
          </w:p>
        </w:tc>
        <w:tc>
          <w:tcPr>
            <w:tcW w:w="1383" w:type="dxa"/>
            <w:shd w:val="clear" w:color="auto" w:fill="D9D9D9" w:themeFill="background1" w:themeFillShade="D9"/>
            <w:tcMar>
              <w:top w:w="0" w:type="dxa"/>
              <w:left w:w="0" w:type="dxa"/>
              <w:right w:w="0" w:type="dxa"/>
            </w:tcMar>
            <w:vAlign w:val="center"/>
          </w:tcPr>
          <w:p w14:paraId="6064671A" w14:textId="44F52FB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62.51</w:t>
            </w:r>
          </w:p>
        </w:tc>
        <w:tc>
          <w:tcPr>
            <w:tcW w:w="1402" w:type="dxa"/>
            <w:shd w:val="clear" w:color="auto" w:fill="D9D9D9" w:themeFill="background1" w:themeFillShade="D9"/>
            <w:tcMar>
              <w:top w:w="0" w:type="dxa"/>
              <w:left w:w="0" w:type="dxa"/>
              <w:right w:w="0" w:type="dxa"/>
            </w:tcMar>
            <w:vAlign w:val="center"/>
          </w:tcPr>
          <w:p w14:paraId="72A0997C" w14:textId="3D371FD5"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100.00</w:t>
            </w:r>
          </w:p>
        </w:tc>
        <w:tc>
          <w:tcPr>
            <w:tcW w:w="1480" w:type="dxa"/>
            <w:shd w:val="clear" w:color="auto" w:fill="D9D9D9" w:themeFill="background1" w:themeFillShade="D9"/>
            <w:tcMar>
              <w:top w:w="0" w:type="dxa"/>
              <w:left w:w="0" w:type="dxa"/>
              <w:right w:w="0" w:type="dxa"/>
            </w:tcMar>
            <w:vAlign w:val="center"/>
          </w:tcPr>
          <w:p w14:paraId="75F07576" w14:textId="10698F5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60.31</w:t>
            </w:r>
          </w:p>
        </w:tc>
      </w:tr>
      <w:tr w:rsidR="05FD1449" w14:paraId="064ABB90" w14:textId="77777777" w:rsidTr="05FD1449">
        <w:trPr>
          <w:trHeight w:val="585"/>
        </w:trPr>
        <w:tc>
          <w:tcPr>
            <w:tcW w:w="2128" w:type="dxa"/>
            <w:tcMar>
              <w:top w:w="0" w:type="dxa"/>
              <w:left w:w="0" w:type="dxa"/>
              <w:right w:w="0" w:type="dxa"/>
            </w:tcMar>
            <w:vAlign w:val="center"/>
          </w:tcPr>
          <w:p w14:paraId="0ABD2F4E" w14:textId="3D03CF1F" w:rsidR="0351752D" w:rsidRDefault="0351752D"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LTSS Ca</w:t>
            </w:r>
            <w:r w:rsidR="104D39B3" w:rsidRPr="05FD1449">
              <w:rPr>
                <w:rFonts w:asciiTheme="majorHAnsi" w:eastAsiaTheme="majorEastAsia" w:hAnsiTheme="majorHAnsi" w:cstheme="majorBidi"/>
                <w:color w:val="000000" w:themeColor="text1"/>
              </w:rPr>
              <w:t>re Partners, LLC</w:t>
            </w:r>
          </w:p>
        </w:tc>
        <w:tc>
          <w:tcPr>
            <w:tcW w:w="1332" w:type="dxa"/>
            <w:tcMar>
              <w:top w:w="0" w:type="dxa"/>
              <w:left w:w="0" w:type="dxa"/>
              <w:right w:w="0" w:type="dxa"/>
            </w:tcMar>
            <w:vAlign w:val="center"/>
          </w:tcPr>
          <w:p w14:paraId="2C67F3EE" w14:textId="6358471E" w:rsidR="104D39B3" w:rsidRDefault="104D39B3"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27.92</w:t>
            </w:r>
          </w:p>
        </w:tc>
        <w:tc>
          <w:tcPr>
            <w:tcW w:w="1636" w:type="dxa"/>
            <w:tcMar>
              <w:top w:w="0" w:type="dxa"/>
              <w:left w:w="0" w:type="dxa"/>
              <w:right w:w="0" w:type="dxa"/>
            </w:tcMar>
            <w:vAlign w:val="center"/>
          </w:tcPr>
          <w:p w14:paraId="4742E257" w14:textId="327950AC" w:rsidR="104D39B3" w:rsidRDefault="104D39B3"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65.54</w:t>
            </w:r>
          </w:p>
        </w:tc>
        <w:tc>
          <w:tcPr>
            <w:tcW w:w="1383" w:type="dxa"/>
            <w:tcMar>
              <w:top w:w="0" w:type="dxa"/>
              <w:left w:w="0" w:type="dxa"/>
              <w:right w:w="0" w:type="dxa"/>
            </w:tcMar>
            <w:vAlign w:val="center"/>
          </w:tcPr>
          <w:p w14:paraId="50189E9C" w14:textId="486D613B" w:rsidR="104D39B3" w:rsidRDefault="104D39B3"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10.41</w:t>
            </w:r>
          </w:p>
        </w:tc>
        <w:tc>
          <w:tcPr>
            <w:tcW w:w="1402" w:type="dxa"/>
            <w:tcMar>
              <w:top w:w="0" w:type="dxa"/>
              <w:left w:w="0" w:type="dxa"/>
              <w:right w:w="0" w:type="dxa"/>
            </w:tcMar>
            <w:vAlign w:val="center"/>
          </w:tcPr>
          <w:p w14:paraId="75E6AF9A" w14:textId="17D2EBFC" w:rsidR="104D39B3" w:rsidRDefault="104D39B3"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51.61</w:t>
            </w:r>
          </w:p>
        </w:tc>
        <w:tc>
          <w:tcPr>
            <w:tcW w:w="1480" w:type="dxa"/>
            <w:tcMar>
              <w:top w:w="0" w:type="dxa"/>
              <w:left w:w="0" w:type="dxa"/>
              <w:right w:w="0" w:type="dxa"/>
            </w:tcMar>
            <w:vAlign w:val="center"/>
          </w:tcPr>
          <w:p w14:paraId="2CF3A378" w14:textId="7BFD93BB" w:rsidR="104D39B3" w:rsidRDefault="104D39B3"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48.99</w:t>
            </w:r>
          </w:p>
        </w:tc>
      </w:tr>
    </w:tbl>
    <w:p w14:paraId="3C89E2A3" w14:textId="3A2114FA" w:rsidR="05FD1449" w:rsidRDefault="05FD1449" w:rsidP="05FD1449"/>
    <w:p w14:paraId="0B44CBC2" w14:textId="7295177F" w:rsidR="38E186E3" w:rsidRDefault="38E186E3"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Key Takeaway: </w:t>
      </w:r>
    </w:p>
    <w:p w14:paraId="3AFF4194" w14:textId="4C5C8839" w:rsidR="38E186E3" w:rsidRDefault="38E186E3" w:rsidP="008240EA">
      <w:pPr>
        <w:pStyle w:val="ListParagraph"/>
        <w:numPr>
          <w:ilvl w:val="0"/>
          <w:numId w:val="18"/>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In 2022, clinical quality performance declined among most LTSS CPs relative to 2021, but sustained improvements overall compared to 2020 and 2019.</w:t>
      </w:r>
      <w:r w:rsidRPr="05FD1449">
        <w:rPr>
          <w:rStyle w:val="FootnoteReference"/>
          <w:rFonts w:asciiTheme="majorHAnsi" w:eastAsiaTheme="majorEastAsia" w:hAnsiTheme="majorHAnsi" w:cstheme="majorBidi"/>
          <w:sz w:val="24"/>
          <w:szCs w:val="24"/>
        </w:rPr>
        <w:footnoteReference w:id="30"/>
      </w:r>
      <w:r w:rsidRPr="05FD1449">
        <w:rPr>
          <w:rFonts w:asciiTheme="majorHAnsi" w:eastAsiaTheme="majorEastAsia" w:hAnsiTheme="majorHAnsi" w:cstheme="majorBidi"/>
          <w:sz w:val="24"/>
          <w:szCs w:val="24"/>
        </w:rPr>
        <w:t xml:space="preserve"> </w:t>
      </w:r>
    </w:p>
    <w:p w14:paraId="42EAC7FA" w14:textId="716B1492" w:rsidR="05FD1449" w:rsidRDefault="05FD1449" w:rsidP="05FD1449">
      <w:pPr>
        <w:spacing w:after="0"/>
        <w:rPr>
          <w:rFonts w:asciiTheme="majorHAnsi" w:eastAsiaTheme="majorEastAsia" w:hAnsiTheme="majorHAnsi" w:cstheme="majorBidi"/>
        </w:rPr>
      </w:pPr>
    </w:p>
    <w:p w14:paraId="30EC20EC" w14:textId="50AA9AED" w:rsidR="62431DCA" w:rsidRDefault="62431DCA" w:rsidP="05FD1449">
      <w:pPr>
        <w:pStyle w:val="Heading4"/>
      </w:pPr>
      <w:r>
        <w:lastRenderedPageBreak/>
        <w:t>Slide 48: CP Clinical Quality: 2020 Measures with Substantial Performance Drop</w:t>
      </w:r>
    </w:p>
    <w:p w14:paraId="3380648E" w14:textId="77B5CC5A" w:rsidR="55C62C8E" w:rsidRDefault="55C62C8E" w:rsidP="05FD1449">
      <w:r>
        <w:t>Table 10</w:t>
      </w:r>
      <w:r w:rsidR="62431DCA">
        <w:t>:</w:t>
      </w:r>
    </w:p>
    <w:tbl>
      <w:tblPr>
        <w:tblStyle w:val="TableGrid"/>
        <w:tblW w:w="0" w:type="auto"/>
        <w:tblLayout w:type="fixed"/>
        <w:tblLook w:val="06A0" w:firstRow="1" w:lastRow="0" w:firstColumn="1" w:lastColumn="0" w:noHBand="1" w:noVBand="1"/>
      </w:tblPr>
      <w:tblGrid>
        <w:gridCol w:w="1337"/>
        <w:gridCol w:w="1337"/>
        <w:gridCol w:w="1337"/>
        <w:gridCol w:w="1337"/>
        <w:gridCol w:w="1337"/>
        <w:gridCol w:w="1389"/>
        <w:gridCol w:w="1286"/>
      </w:tblGrid>
      <w:tr w:rsidR="05FD1449" w14:paraId="48B2CEC9" w14:textId="77777777" w:rsidTr="05FD1449">
        <w:trPr>
          <w:trHeight w:val="300"/>
        </w:trPr>
        <w:tc>
          <w:tcPr>
            <w:tcW w:w="1337" w:type="dxa"/>
            <w:shd w:val="clear" w:color="auto" w:fill="D9E2F3" w:themeFill="accent1" w:themeFillTint="33"/>
          </w:tcPr>
          <w:p w14:paraId="1C213BD3" w14:textId="08EB07DA" w:rsidR="05FD1449" w:rsidRDefault="05FD1449" w:rsidP="05FD1449">
            <w:pPr>
              <w:rPr>
                <w:rFonts w:asciiTheme="majorHAnsi" w:eastAsiaTheme="majorEastAsia" w:hAnsiTheme="majorHAnsi" w:cstheme="majorBidi"/>
              </w:rPr>
            </w:pPr>
            <w:r w:rsidRPr="05FD1449">
              <w:rPr>
                <w:rFonts w:asciiTheme="majorHAnsi" w:eastAsiaTheme="majorEastAsia" w:hAnsiTheme="majorHAnsi" w:cstheme="majorBidi"/>
              </w:rPr>
              <w:t>Measure</w:t>
            </w:r>
          </w:p>
        </w:tc>
        <w:tc>
          <w:tcPr>
            <w:tcW w:w="1337" w:type="dxa"/>
            <w:shd w:val="clear" w:color="auto" w:fill="D9E2F3" w:themeFill="accent1" w:themeFillTint="33"/>
          </w:tcPr>
          <w:p w14:paraId="4300EB68" w14:textId="6C097263" w:rsidR="4C76F2F6" w:rsidRDefault="4C76F2F6" w:rsidP="05FD1449">
            <w:pPr>
              <w:rPr>
                <w:rFonts w:asciiTheme="majorHAnsi" w:eastAsiaTheme="majorEastAsia" w:hAnsiTheme="majorHAnsi" w:cstheme="majorBidi"/>
              </w:rPr>
            </w:pPr>
            <w:r w:rsidRPr="05FD1449">
              <w:rPr>
                <w:rFonts w:asciiTheme="majorHAnsi" w:eastAsiaTheme="majorEastAsia" w:hAnsiTheme="majorHAnsi" w:cstheme="majorBidi"/>
              </w:rPr>
              <w:t xml:space="preserve">CP Type </w:t>
            </w:r>
          </w:p>
        </w:tc>
        <w:tc>
          <w:tcPr>
            <w:tcW w:w="1337" w:type="dxa"/>
            <w:shd w:val="clear" w:color="auto" w:fill="D9E2F3" w:themeFill="accent1" w:themeFillTint="33"/>
          </w:tcPr>
          <w:p w14:paraId="6CDCC107" w14:textId="62FDC1A8" w:rsidR="05FD1449" w:rsidRDefault="05FD1449" w:rsidP="05FD1449">
            <w:pPr>
              <w:rPr>
                <w:rFonts w:asciiTheme="majorHAnsi" w:eastAsiaTheme="majorEastAsia" w:hAnsiTheme="majorHAnsi" w:cstheme="majorBidi"/>
              </w:rPr>
            </w:pPr>
            <w:r w:rsidRPr="05FD1449">
              <w:rPr>
                <w:rFonts w:asciiTheme="majorHAnsi" w:eastAsiaTheme="majorEastAsia" w:hAnsiTheme="majorHAnsi" w:cstheme="majorBidi"/>
              </w:rPr>
              <w:t xml:space="preserve">Performance Monitoring </w:t>
            </w:r>
          </w:p>
        </w:tc>
        <w:tc>
          <w:tcPr>
            <w:tcW w:w="1337" w:type="dxa"/>
            <w:shd w:val="clear" w:color="auto" w:fill="D9E2F3" w:themeFill="accent1" w:themeFillTint="33"/>
          </w:tcPr>
          <w:p w14:paraId="625B98F6" w14:textId="4335A756" w:rsidR="05FD1449" w:rsidRDefault="05FD1449" w:rsidP="05FD1449">
            <w:pPr>
              <w:rPr>
                <w:rFonts w:asciiTheme="majorHAnsi" w:eastAsiaTheme="majorEastAsia" w:hAnsiTheme="majorHAnsi" w:cstheme="majorBidi"/>
              </w:rPr>
            </w:pPr>
            <w:r w:rsidRPr="05FD1449">
              <w:rPr>
                <w:rFonts w:asciiTheme="majorHAnsi" w:eastAsiaTheme="majorEastAsia" w:hAnsiTheme="majorHAnsi" w:cstheme="majorBidi"/>
              </w:rPr>
              <w:t xml:space="preserve">Performance Monitoring </w:t>
            </w:r>
          </w:p>
        </w:tc>
        <w:tc>
          <w:tcPr>
            <w:tcW w:w="1337" w:type="dxa"/>
            <w:shd w:val="clear" w:color="auto" w:fill="D9E2F3" w:themeFill="accent1" w:themeFillTint="33"/>
          </w:tcPr>
          <w:p w14:paraId="08CB96C0" w14:textId="75AAE827" w:rsidR="05FD1449" w:rsidRDefault="05FD1449" w:rsidP="05FD1449">
            <w:pPr>
              <w:rPr>
                <w:rFonts w:asciiTheme="majorHAnsi" w:eastAsiaTheme="majorEastAsia" w:hAnsiTheme="majorHAnsi" w:cstheme="majorBidi"/>
              </w:rPr>
            </w:pPr>
            <w:r w:rsidRPr="05FD1449">
              <w:rPr>
                <w:rFonts w:asciiTheme="majorHAnsi" w:eastAsiaTheme="majorEastAsia" w:hAnsiTheme="majorHAnsi" w:cstheme="majorBidi"/>
              </w:rPr>
              <w:t xml:space="preserve">Performance Monitoring </w:t>
            </w:r>
          </w:p>
        </w:tc>
        <w:tc>
          <w:tcPr>
            <w:tcW w:w="1389" w:type="dxa"/>
            <w:shd w:val="clear" w:color="auto" w:fill="D9E2F3" w:themeFill="accent1" w:themeFillTint="33"/>
          </w:tcPr>
          <w:p w14:paraId="1FD52265" w14:textId="55414444" w:rsidR="05FD1449" w:rsidRDefault="05FD1449" w:rsidP="05FD1449">
            <w:pPr>
              <w:rPr>
                <w:rFonts w:asciiTheme="majorHAnsi" w:eastAsiaTheme="majorEastAsia" w:hAnsiTheme="majorHAnsi" w:cstheme="majorBidi"/>
              </w:rPr>
            </w:pPr>
            <w:r w:rsidRPr="05FD1449">
              <w:rPr>
                <w:rFonts w:asciiTheme="majorHAnsi" w:eastAsiaTheme="majorEastAsia" w:hAnsiTheme="majorHAnsi" w:cstheme="majorBidi"/>
              </w:rPr>
              <w:t>Performance</w:t>
            </w:r>
          </w:p>
          <w:p w14:paraId="209C23F1" w14:textId="51540E1A" w:rsidR="05FD1449" w:rsidRDefault="05FD1449" w:rsidP="05FD1449">
            <w:pPr>
              <w:rPr>
                <w:rFonts w:asciiTheme="majorHAnsi" w:eastAsiaTheme="majorEastAsia" w:hAnsiTheme="majorHAnsi" w:cstheme="majorBidi"/>
              </w:rPr>
            </w:pPr>
            <w:r w:rsidRPr="05FD1449">
              <w:rPr>
                <w:rFonts w:asciiTheme="majorHAnsi" w:eastAsiaTheme="majorEastAsia" w:hAnsiTheme="majorHAnsi" w:cstheme="majorBidi"/>
              </w:rPr>
              <w:t>Monitoring</w:t>
            </w:r>
          </w:p>
        </w:tc>
        <w:tc>
          <w:tcPr>
            <w:tcW w:w="1286" w:type="dxa"/>
            <w:shd w:val="clear" w:color="auto" w:fill="D9E2F3" w:themeFill="accent1" w:themeFillTint="33"/>
          </w:tcPr>
          <w:p w14:paraId="44E6837D" w14:textId="19218EA7" w:rsidR="05FD1449" w:rsidRDefault="05FD1449" w:rsidP="05FD1449">
            <w:pPr>
              <w:rPr>
                <w:rFonts w:asciiTheme="majorHAnsi" w:eastAsiaTheme="majorEastAsia" w:hAnsiTheme="majorHAnsi" w:cstheme="majorBidi"/>
              </w:rPr>
            </w:pPr>
            <w:r w:rsidRPr="05FD1449">
              <w:rPr>
                <w:rFonts w:asciiTheme="majorHAnsi" w:eastAsiaTheme="majorEastAsia" w:hAnsiTheme="majorHAnsi" w:cstheme="majorBidi"/>
              </w:rPr>
              <w:t xml:space="preserve">Performance Monitoring </w:t>
            </w:r>
          </w:p>
        </w:tc>
      </w:tr>
      <w:tr w:rsidR="05FD1449" w14:paraId="721E8972" w14:textId="77777777" w:rsidTr="05FD1449">
        <w:trPr>
          <w:trHeight w:val="300"/>
        </w:trPr>
        <w:tc>
          <w:tcPr>
            <w:tcW w:w="1337" w:type="dxa"/>
            <w:shd w:val="clear" w:color="auto" w:fill="D9E2F3" w:themeFill="accent1" w:themeFillTint="33"/>
          </w:tcPr>
          <w:p w14:paraId="52011622" w14:textId="18664264" w:rsidR="05FD1449" w:rsidRDefault="05FD1449" w:rsidP="05FD1449">
            <w:pPr>
              <w:rPr>
                <w:rFonts w:asciiTheme="majorHAnsi" w:eastAsiaTheme="majorEastAsia" w:hAnsiTheme="majorHAnsi" w:cstheme="majorBidi"/>
              </w:rPr>
            </w:pPr>
          </w:p>
        </w:tc>
        <w:tc>
          <w:tcPr>
            <w:tcW w:w="1337" w:type="dxa"/>
            <w:shd w:val="clear" w:color="auto" w:fill="D9E2F3" w:themeFill="accent1" w:themeFillTint="33"/>
          </w:tcPr>
          <w:p w14:paraId="1CB74EF0" w14:textId="7976415A" w:rsidR="05FD1449" w:rsidRDefault="05FD1449" w:rsidP="05FD1449">
            <w:pPr>
              <w:rPr>
                <w:rFonts w:asciiTheme="majorHAnsi" w:eastAsiaTheme="majorEastAsia" w:hAnsiTheme="majorHAnsi" w:cstheme="majorBidi"/>
              </w:rPr>
            </w:pPr>
          </w:p>
        </w:tc>
        <w:tc>
          <w:tcPr>
            <w:tcW w:w="1337" w:type="dxa"/>
            <w:shd w:val="clear" w:color="auto" w:fill="D9E2F3" w:themeFill="accent1" w:themeFillTint="33"/>
            <w:vAlign w:val="center"/>
          </w:tcPr>
          <w:p w14:paraId="1008CE51" w14:textId="35199FCA" w:rsidR="05FD1449" w:rsidRDefault="05FD1449" w:rsidP="05FD1449">
            <w:pPr>
              <w:jc w:val="center"/>
              <w:rPr>
                <w:rFonts w:asciiTheme="majorHAnsi" w:eastAsiaTheme="majorEastAsia" w:hAnsiTheme="majorHAnsi" w:cstheme="majorBidi"/>
              </w:rPr>
            </w:pPr>
            <w:r w:rsidRPr="05FD1449">
              <w:rPr>
                <w:rFonts w:asciiTheme="majorHAnsi" w:eastAsiaTheme="majorEastAsia" w:hAnsiTheme="majorHAnsi" w:cstheme="majorBidi"/>
              </w:rPr>
              <w:t>2019-2020 Perf. Drop</w:t>
            </w:r>
          </w:p>
        </w:tc>
        <w:tc>
          <w:tcPr>
            <w:tcW w:w="1337" w:type="dxa"/>
            <w:shd w:val="clear" w:color="auto" w:fill="D9E2F3" w:themeFill="accent1" w:themeFillTint="33"/>
            <w:vAlign w:val="center"/>
          </w:tcPr>
          <w:p w14:paraId="3FECD05D" w14:textId="10BDCBC9" w:rsidR="05FD1449" w:rsidRDefault="05FD1449" w:rsidP="05FD1449">
            <w:pPr>
              <w:jc w:val="center"/>
              <w:rPr>
                <w:rFonts w:asciiTheme="majorHAnsi" w:eastAsiaTheme="majorEastAsia" w:hAnsiTheme="majorHAnsi" w:cstheme="majorBidi"/>
              </w:rPr>
            </w:pPr>
            <w:r w:rsidRPr="05FD1449">
              <w:rPr>
                <w:rFonts w:asciiTheme="majorHAnsi" w:eastAsiaTheme="majorEastAsia" w:hAnsiTheme="majorHAnsi" w:cstheme="majorBidi"/>
              </w:rPr>
              <w:t>2019-2021 Perf. Drop</w:t>
            </w:r>
          </w:p>
        </w:tc>
        <w:tc>
          <w:tcPr>
            <w:tcW w:w="1337" w:type="dxa"/>
            <w:shd w:val="clear" w:color="auto" w:fill="D9E2F3" w:themeFill="accent1" w:themeFillTint="33"/>
            <w:vAlign w:val="center"/>
          </w:tcPr>
          <w:p w14:paraId="3687364D" w14:textId="7672D0E4" w:rsidR="05FD1449" w:rsidRDefault="05FD1449" w:rsidP="05FD1449">
            <w:pPr>
              <w:jc w:val="center"/>
              <w:rPr>
                <w:rFonts w:asciiTheme="majorHAnsi" w:eastAsiaTheme="majorEastAsia" w:hAnsiTheme="majorHAnsi" w:cstheme="majorBidi"/>
              </w:rPr>
            </w:pPr>
            <w:r w:rsidRPr="05FD1449">
              <w:rPr>
                <w:rFonts w:asciiTheme="majorHAnsi" w:eastAsiaTheme="majorEastAsia" w:hAnsiTheme="majorHAnsi" w:cstheme="majorBidi"/>
              </w:rPr>
              <w:t>2019-2022 Perf. Drop</w:t>
            </w:r>
          </w:p>
        </w:tc>
        <w:tc>
          <w:tcPr>
            <w:tcW w:w="1389" w:type="dxa"/>
            <w:shd w:val="clear" w:color="auto" w:fill="D9E2F3" w:themeFill="accent1" w:themeFillTint="33"/>
            <w:vAlign w:val="center"/>
          </w:tcPr>
          <w:p w14:paraId="2BDAC700" w14:textId="2CC26681" w:rsidR="05FD1449" w:rsidRDefault="05FD1449" w:rsidP="05FD1449">
            <w:pPr>
              <w:jc w:val="center"/>
              <w:rPr>
                <w:rFonts w:asciiTheme="majorHAnsi" w:eastAsiaTheme="majorEastAsia" w:hAnsiTheme="majorHAnsi" w:cstheme="majorBidi"/>
              </w:rPr>
            </w:pPr>
            <w:r w:rsidRPr="05FD1449">
              <w:rPr>
                <w:rFonts w:asciiTheme="majorHAnsi" w:eastAsiaTheme="majorEastAsia" w:hAnsiTheme="majorHAnsi" w:cstheme="majorBidi"/>
              </w:rPr>
              <w:t xml:space="preserve">Recovery </w:t>
            </w:r>
          </w:p>
        </w:tc>
        <w:tc>
          <w:tcPr>
            <w:tcW w:w="1286" w:type="dxa"/>
            <w:shd w:val="clear" w:color="auto" w:fill="D9E2F3" w:themeFill="accent1" w:themeFillTint="33"/>
            <w:vAlign w:val="center"/>
          </w:tcPr>
          <w:p w14:paraId="7E8BD5D7" w14:textId="4C8CA7B4" w:rsidR="05FD1449" w:rsidRDefault="05FD1449" w:rsidP="05FD1449">
            <w:pPr>
              <w:jc w:val="center"/>
              <w:rPr>
                <w:rFonts w:asciiTheme="majorHAnsi" w:eastAsiaTheme="majorEastAsia" w:hAnsiTheme="majorHAnsi" w:cstheme="majorBidi"/>
              </w:rPr>
            </w:pPr>
            <w:r w:rsidRPr="05FD1449">
              <w:rPr>
                <w:rFonts w:asciiTheme="majorHAnsi" w:eastAsiaTheme="majorEastAsia" w:hAnsiTheme="majorHAnsi" w:cstheme="majorBidi"/>
              </w:rPr>
              <w:t>Recovery %</w:t>
            </w:r>
          </w:p>
        </w:tc>
      </w:tr>
      <w:tr w:rsidR="05FD1449" w14:paraId="78786999" w14:textId="77777777" w:rsidTr="05FD1449">
        <w:trPr>
          <w:trHeight w:val="300"/>
        </w:trPr>
        <w:tc>
          <w:tcPr>
            <w:tcW w:w="1337" w:type="dxa"/>
          </w:tcPr>
          <w:p w14:paraId="4ADC6584" w14:textId="7632CC00" w:rsidR="7E994EEF" w:rsidRDefault="7E994EEF" w:rsidP="05FD1449">
            <w:pPr>
              <w:rPr>
                <w:rFonts w:asciiTheme="majorHAnsi" w:eastAsiaTheme="majorEastAsia" w:hAnsiTheme="majorHAnsi" w:cstheme="majorBidi"/>
              </w:rPr>
            </w:pPr>
            <w:r w:rsidRPr="05FD1449">
              <w:rPr>
                <w:rFonts w:asciiTheme="majorHAnsi" w:eastAsiaTheme="majorEastAsia" w:hAnsiTheme="majorHAnsi" w:cstheme="majorBidi"/>
              </w:rPr>
              <w:t>Annual Treatment Plan</w:t>
            </w:r>
          </w:p>
        </w:tc>
        <w:tc>
          <w:tcPr>
            <w:tcW w:w="1337" w:type="dxa"/>
          </w:tcPr>
          <w:p w14:paraId="75E95B07" w14:textId="65FEDDDA" w:rsidR="7E994EEF" w:rsidRDefault="7E994EEF" w:rsidP="05FD1449">
            <w:pPr>
              <w:rPr>
                <w:rFonts w:asciiTheme="majorHAnsi" w:eastAsiaTheme="majorEastAsia" w:hAnsiTheme="majorHAnsi" w:cstheme="majorBidi"/>
              </w:rPr>
            </w:pPr>
            <w:r w:rsidRPr="05FD1449">
              <w:rPr>
                <w:rFonts w:asciiTheme="majorHAnsi" w:eastAsiaTheme="majorEastAsia" w:hAnsiTheme="majorHAnsi" w:cstheme="majorBidi"/>
              </w:rPr>
              <w:t>BH CP</w:t>
            </w:r>
          </w:p>
        </w:tc>
        <w:tc>
          <w:tcPr>
            <w:tcW w:w="1337" w:type="dxa"/>
            <w:vAlign w:val="center"/>
          </w:tcPr>
          <w:p w14:paraId="5DEA1B14" w14:textId="11918A99" w:rsidR="05FD1449" w:rsidRDefault="05FD1449" w:rsidP="05FD1449">
            <w:pPr>
              <w:jc w:val="center"/>
              <w:rPr>
                <w:rFonts w:asciiTheme="majorHAnsi" w:eastAsiaTheme="majorEastAsia" w:hAnsiTheme="majorHAnsi" w:cstheme="majorBidi"/>
              </w:rPr>
            </w:pPr>
            <w:r w:rsidRPr="05FD1449">
              <w:rPr>
                <w:rFonts w:asciiTheme="majorHAnsi" w:eastAsiaTheme="majorEastAsia" w:hAnsiTheme="majorHAnsi" w:cstheme="majorBidi"/>
              </w:rPr>
              <w:t>-7.</w:t>
            </w:r>
            <w:r w:rsidR="64007936" w:rsidRPr="05FD1449">
              <w:rPr>
                <w:rFonts w:asciiTheme="majorHAnsi" w:eastAsiaTheme="majorEastAsia" w:hAnsiTheme="majorHAnsi" w:cstheme="majorBidi"/>
              </w:rPr>
              <w:t>36</w:t>
            </w:r>
          </w:p>
        </w:tc>
        <w:tc>
          <w:tcPr>
            <w:tcW w:w="1337" w:type="dxa"/>
            <w:vAlign w:val="center"/>
          </w:tcPr>
          <w:p w14:paraId="2E4A71A4" w14:textId="7274B32B" w:rsidR="05FD1449" w:rsidRDefault="05FD1449" w:rsidP="05FD1449">
            <w:pPr>
              <w:jc w:val="center"/>
              <w:rPr>
                <w:rFonts w:asciiTheme="majorHAnsi" w:eastAsiaTheme="majorEastAsia" w:hAnsiTheme="majorHAnsi" w:cstheme="majorBidi"/>
              </w:rPr>
            </w:pPr>
            <w:r w:rsidRPr="05FD1449">
              <w:rPr>
                <w:rFonts w:asciiTheme="majorHAnsi" w:eastAsiaTheme="majorEastAsia" w:hAnsiTheme="majorHAnsi" w:cstheme="majorBidi"/>
              </w:rPr>
              <w:t>-</w:t>
            </w:r>
            <w:r w:rsidR="0FC57488" w:rsidRPr="05FD1449">
              <w:rPr>
                <w:rFonts w:asciiTheme="majorHAnsi" w:eastAsiaTheme="majorEastAsia" w:hAnsiTheme="majorHAnsi" w:cstheme="majorBidi"/>
              </w:rPr>
              <w:t>0.92</w:t>
            </w:r>
          </w:p>
        </w:tc>
        <w:tc>
          <w:tcPr>
            <w:tcW w:w="1337" w:type="dxa"/>
            <w:vAlign w:val="center"/>
          </w:tcPr>
          <w:p w14:paraId="306B242A" w14:textId="4039BE75" w:rsidR="05FD1449" w:rsidRDefault="05FD1449" w:rsidP="05FD1449">
            <w:pPr>
              <w:jc w:val="center"/>
              <w:rPr>
                <w:rFonts w:asciiTheme="majorHAnsi" w:eastAsiaTheme="majorEastAsia" w:hAnsiTheme="majorHAnsi" w:cstheme="majorBidi"/>
              </w:rPr>
            </w:pPr>
            <w:r w:rsidRPr="05FD1449">
              <w:rPr>
                <w:rFonts w:asciiTheme="majorHAnsi" w:eastAsiaTheme="majorEastAsia" w:hAnsiTheme="majorHAnsi" w:cstheme="majorBidi"/>
              </w:rPr>
              <w:t>-</w:t>
            </w:r>
            <w:r w:rsidR="5E32840E" w:rsidRPr="05FD1449">
              <w:rPr>
                <w:rFonts w:asciiTheme="majorHAnsi" w:eastAsiaTheme="majorEastAsia" w:hAnsiTheme="majorHAnsi" w:cstheme="majorBidi"/>
              </w:rPr>
              <w:t>0.01</w:t>
            </w:r>
          </w:p>
        </w:tc>
        <w:tc>
          <w:tcPr>
            <w:tcW w:w="1389" w:type="dxa"/>
            <w:vAlign w:val="center"/>
          </w:tcPr>
          <w:p w14:paraId="6A43895D" w14:textId="60EB6425" w:rsidR="05FD1449" w:rsidRDefault="05FD1449" w:rsidP="05FD1449">
            <w:pPr>
              <w:jc w:val="center"/>
              <w:rPr>
                <w:rFonts w:asciiTheme="majorHAnsi" w:eastAsiaTheme="majorEastAsia" w:hAnsiTheme="majorHAnsi" w:cstheme="majorBidi"/>
              </w:rPr>
            </w:pPr>
            <w:r w:rsidRPr="05FD1449">
              <w:rPr>
                <w:rFonts w:asciiTheme="majorHAnsi" w:eastAsiaTheme="majorEastAsia" w:hAnsiTheme="majorHAnsi" w:cstheme="majorBidi"/>
              </w:rPr>
              <w:t>+</w:t>
            </w:r>
            <w:r w:rsidR="6CBCDCFC" w:rsidRPr="05FD1449">
              <w:rPr>
                <w:rFonts w:asciiTheme="majorHAnsi" w:eastAsiaTheme="majorEastAsia" w:hAnsiTheme="majorHAnsi" w:cstheme="majorBidi"/>
              </w:rPr>
              <w:t>7.35</w:t>
            </w:r>
          </w:p>
        </w:tc>
        <w:tc>
          <w:tcPr>
            <w:tcW w:w="1286" w:type="dxa"/>
            <w:vAlign w:val="center"/>
          </w:tcPr>
          <w:p w14:paraId="64D7AC37" w14:textId="340F59D3" w:rsidR="6CBCDCFC" w:rsidRDefault="6CBCDCFC" w:rsidP="05FD1449">
            <w:pPr>
              <w:jc w:val="center"/>
              <w:rPr>
                <w:rFonts w:asciiTheme="majorHAnsi" w:eastAsiaTheme="majorEastAsia" w:hAnsiTheme="majorHAnsi" w:cstheme="majorBidi"/>
              </w:rPr>
            </w:pPr>
            <w:r w:rsidRPr="05FD1449">
              <w:rPr>
                <w:rFonts w:asciiTheme="majorHAnsi" w:eastAsiaTheme="majorEastAsia" w:hAnsiTheme="majorHAnsi" w:cstheme="majorBidi"/>
              </w:rPr>
              <w:t>100</w:t>
            </w:r>
            <w:r w:rsidR="05FD1449" w:rsidRPr="05FD1449">
              <w:rPr>
                <w:rFonts w:asciiTheme="majorHAnsi" w:eastAsiaTheme="majorEastAsia" w:hAnsiTheme="majorHAnsi" w:cstheme="majorBidi"/>
              </w:rPr>
              <w:t>%</w:t>
            </w:r>
          </w:p>
        </w:tc>
      </w:tr>
      <w:tr w:rsidR="05FD1449" w14:paraId="49525200" w14:textId="77777777" w:rsidTr="05FD1449">
        <w:trPr>
          <w:trHeight w:val="300"/>
        </w:trPr>
        <w:tc>
          <w:tcPr>
            <w:tcW w:w="1337" w:type="dxa"/>
            <w:shd w:val="clear" w:color="auto" w:fill="D9D9D9" w:themeFill="background1" w:themeFillShade="D9"/>
          </w:tcPr>
          <w:p w14:paraId="38C1E74F" w14:textId="5525D0C6" w:rsidR="05FD1449" w:rsidRDefault="05FD1449" w:rsidP="05FD1449">
            <w:pPr>
              <w:rPr>
                <w:rFonts w:asciiTheme="majorHAnsi" w:eastAsiaTheme="majorEastAsia" w:hAnsiTheme="majorHAnsi" w:cstheme="majorBidi"/>
              </w:rPr>
            </w:pPr>
            <w:r w:rsidRPr="05FD1449">
              <w:rPr>
                <w:rFonts w:asciiTheme="majorHAnsi" w:eastAsiaTheme="majorEastAsia" w:hAnsiTheme="majorHAnsi" w:cstheme="majorBidi"/>
              </w:rPr>
              <w:t>Diabetes</w:t>
            </w:r>
            <w:r w:rsidR="2A6DC278" w:rsidRPr="05FD1449">
              <w:rPr>
                <w:rFonts w:asciiTheme="majorHAnsi" w:eastAsiaTheme="majorEastAsia" w:hAnsiTheme="majorHAnsi" w:cstheme="majorBidi"/>
              </w:rPr>
              <w:t xml:space="preserve"> Screening for Individuals </w:t>
            </w:r>
            <w:r w:rsidR="1B18FD77" w:rsidRPr="05FD1449">
              <w:rPr>
                <w:rFonts w:asciiTheme="majorHAnsi" w:eastAsiaTheme="majorEastAsia" w:hAnsiTheme="majorHAnsi" w:cstheme="majorBidi"/>
              </w:rPr>
              <w:t xml:space="preserve">with </w:t>
            </w:r>
            <w:r w:rsidR="2A6DC278" w:rsidRPr="05FD1449">
              <w:rPr>
                <w:rFonts w:asciiTheme="majorHAnsi" w:eastAsiaTheme="majorEastAsia" w:hAnsiTheme="majorHAnsi" w:cstheme="majorBidi"/>
              </w:rPr>
              <w:t>Bipolar Disorder</w:t>
            </w:r>
            <w:r w:rsidRPr="05FD1449">
              <w:rPr>
                <w:rFonts w:asciiTheme="majorHAnsi" w:eastAsiaTheme="majorEastAsia" w:hAnsiTheme="majorHAnsi" w:cstheme="majorBidi"/>
              </w:rPr>
              <w:t xml:space="preserve"> </w:t>
            </w:r>
          </w:p>
        </w:tc>
        <w:tc>
          <w:tcPr>
            <w:tcW w:w="1337" w:type="dxa"/>
            <w:shd w:val="clear" w:color="auto" w:fill="D9D9D9" w:themeFill="background1" w:themeFillShade="D9"/>
          </w:tcPr>
          <w:p w14:paraId="4DC97C94" w14:textId="2EB3D35F" w:rsidR="10D01F06" w:rsidRDefault="10D01F06" w:rsidP="05FD1449">
            <w:pPr>
              <w:rPr>
                <w:rFonts w:asciiTheme="majorHAnsi" w:eastAsiaTheme="majorEastAsia" w:hAnsiTheme="majorHAnsi" w:cstheme="majorBidi"/>
              </w:rPr>
            </w:pPr>
            <w:r w:rsidRPr="05FD1449">
              <w:rPr>
                <w:rFonts w:asciiTheme="majorHAnsi" w:eastAsiaTheme="majorEastAsia" w:hAnsiTheme="majorHAnsi" w:cstheme="majorBidi"/>
              </w:rPr>
              <w:t>BH CP</w:t>
            </w:r>
          </w:p>
        </w:tc>
        <w:tc>
          <w:tcPr>
            <w:tcW w:w="1337" w:type="dxa"/>
            <w:shd w:val="clear" w:color="auto" w:fill="D9D9D9" w:themeFill="background1" w:themeFillShade="D9"/>
            <w:vAlign w:val="center"/>
          </w:tcPr>
          <w:p w14:paraId="3242ADE4" w14:textId="7C501B26" w:rsidR="05FD1449" w:rsidRDefault="05FD1449" w:rsidP="05FD1449">
            <w:pPr>
              <w:jc w:val="center"/>
              <w:rPr>
                <w:rFonts w:asciiTheme="majorHAnsi" w:eastAsiaTheme="majorEastAsia" w:hAnsiTheme="majorHAnsi" w:cstheme="majorBidi"/>
              </w:rPr>
            </w:pPr>
            <w:r w:rsidRPr="05FD1449">
              <w:rPr>
                <w:rFonts w:asciiTheme="majorHAnsi" w:eastAsiaTheme="majorEastAsia" w:hAnsiTheme="majorHAnsi" w:cstheme="majorBidi"/>
              </w:rPr>
              <w:t>-</w:t>
            </w:r>
            <w:r w:rsidR="44632AB5" w:rsidRPr="05FD1449">
              <w:rPr>
                <w:rFonts w:asciiTheme="majorHAnsi" w:eastAsiaTheme="majorEastAsia" w:hAnsiTheme="majorHAnsi" w:cstheme="majorBidi"/>
              </w:rPr>
              <w:t>5.37</w:t>
            </w:r>
          </w:p>
        </w:tc>
        <w:tc>
          <w:tcPr>
            <w:tcW w:w="1337" w:type="dxa"/>
            <w:shd w:val="clear" w:color="auto" w:fill="D9D9D9" w:themeFill="background1" w:themeFillShade="D9"/>
            <w:vAlign w:val="center"/>
          </w:tcPr>
          <w:p w14:paraId="30435918" w14:textId="503E102F" w:rsidR="05FD1449" w:rsidRDefault="05FD1449" w:rsidP="05FD1449">
            <w:pPr>
              <w:jc w:val="center"/>
              <w:rPr>
                <w:rFonts w:asciiTheme="majorHAnsi" w:eastAsiaTheme="majorEastAsia" w:hAnsiTheme="majorHAnsi" w:cstheme="majorBidi"/>
              </w:rPr>
            </w:pPr>
            <w:r w:rsidRPr="05FD1449">
              <w:rPr>
                <w:rFonts w:asciiTheme="majorHAnsi" w:eastAsiaTheme="majorEastAsia" w:hAnsiTheme="majorHAnsi" w:cstheme="majorBidi"/>
              </w:rPr>
              <w:t>-</w:t>
            </w:r>
            <w:r w:rsidR="06456290" w:rsidRPr="05FD1449">
              <w:rPr>
                <w:rFonts w:asciiTheme="majorHAnsi" w:eastAsiaTheme="majorEastAsia" w:hAnsiTheme="majorHAnsi" w:cstheme="majorBidi"/>
              </w:rPr>
              <w:t>4.33</w:t>
            </w:r>
          </w:p>
        </w:tc>
        <w:tc>
          <w:tcPr>
            <w:tcW w:w="1337" w:type="dxa"/>
            <w:shd w:val="clear" w:color="auto" w:fill="D9D9D9" w:themeFill="background1" w:themeFillShade="D9"/>
            <w:vAlign w:val="center"/>
          </w:tcPr>
          <w:p w14:paraId="59ED20CB" w14:textId="77C33FE8" w:rsidR="05FD1449" w:rsidRDefault="05FD1449" w:rsidP="05FD1449">
            <w:pPr>
              <w:jc w:val="center"/>
              <w:rPr>
                <w:rFonts w:asciiTheme="majorHAnsi" w:eastAsiaTheme="majorEastAsia" w:hAnsiTheme="majorHAnsi" w:cstheme="majorBidi"/>
              </w:rPr>
            </w:pPr>
            <w:r w:rsidRPr="05FD1449">
              <w:rPr>
                <w:rFonts w:asciiTheme="majorHAnsi" w:eastAsiaTheme="majorEastAsia" w:hAnsiTheme="majorHAnsi" w:cstheme="majorBidi"/>
              </w:rPr>
              <w:t>-</w:t>
            </w:r>
            <w:r w:rsidR="0AD73241" w:rsidRPr="05FD1449">
              <w:rPr>
                <w:rFonts w:asciiTheme="majorHAnsi" w:eastAsiaTheme="majorEastAsia" w:hAnsiTheme="majorHAnsi" w:cstheme="majorBidi"/>
              </w:rPr>
              <w:t>4.71</w:t>
            </w:r>
          </w:p>
        </w:tc>
        <w:tc>
          <w:tcPr>
            <w:tcW w:w="1389" w:type="dxa"/>
            <w:shd w:val="clear" w:color="auto" w:fill="D9D9D9" w:themeFill="background1" w:themeFillShade="D9"/>
            <w:vAlign w:val="center"/>
          </w:tcPr>
          <w:p w14:paraId="28ED024B" w14:textId="3130C1BA" w:rsidR="05FD1449" w:rsidRDefault="05FD1449" w:rsidP="05FD1449">
            <w:pPr>
              <w:jc w:val="center"/>
              <w:rPr>
                <w:rFonts w:asciiTheme="majorHAnsi" w:eastAsiaTheme="majorEastAsia" w:hAnsiTheme="majorHAnsi" w:cstheme="majorBidi"/>
              </w:rPr>
            </w:pPr>
            <w:r w:rsidRPr="05FD1449">
              <w:rPr>
                <w:rFonts w:asciiTheme="majorHAnsi" w:eastAsiaTheme="majorEastAsia" w:hAnsiTheme="majorHAnsi" w:cstheme="majorBidi"/>
              </w:rPr>
              <w:t>+</w:t>
            </w:r>
            <w:r w:rsidR="1E18B2D4" w:rsidRPr="05FD1449">
              <w:rPr>
                <w:rFonts w:asciiTheme="majorHAnsi" w:eastAsiaTheme="majorEastAsia" w:hAnsiTheme="majorHAnsi" w:cstheme="majorBidi"/>
              </w:rPr>
              <w:t>0.66</w:t>
            </w:r>
          </w:p>
        </w:tc>
        <w:tc>
          <w:tcPr>
            <w:tcW w:w="1286" w:type="dxa"/>
            <w:shd w:val="clear" w:color="auto" w:fill="D9D9D9" w:themeFill="background1" w:themeFillShade="D9"/>
            <w:vAlign w:val="center"/>
          </w:tcPr>
          <w:p w14:paraId="09287562" w14:textId="3FB0684E" w:rsidR="1E18B2D4" w:rsidRDefault="1E18B2D4" w:rsidP="05FD1449">
            <w:pPr>
              <w:jc w:val="center"/>
              <w:rPr>
                <w:rFonts w:asciiTheme="majorHAnsi" w:eastAsiaTheme="majorEastAsia" w:hAnsiTheme="majorHAnsi" w:cstheme="majorBidi"/>
              </w:rPr>
            </w:pPr>
            <w:r w:rsidRPr="05FD1449">
              <w:rPr>
                <w:rFonts w:asciiTheme="majorHAnsi" w:eastAsiaTheme="majorEastAsia" w:hAnsiTheme="majorHAnsi" w:cstheme="majorBidi"/>
              </w:rPr>
              <w:t>12.29</w:t>
            </w:r>
            <w:r w:rsidR="05FD1449" w:rsidRPr="05FD1449">
              <w:rPr>
                <w:rFonts w:asciiTheme="majorHAnsi" w:eastAsiaTheme="majorEastAsia" w:hAnsiTheme="majorHAnsi" w:cstheme="majorBidi"/>
              </w:rPr>
              <w:t>%</w:t>
            </w:r>
          </w:p>
        </w:tc>
      </w:tr>
      <w:tr w:rsidR="05FD1449" w14:paraId="46C31797" w14:textId="77777777" w:rsidTr="05FD1449">
        <w:trPr>
          <w:trHeight w:val="300"/>
        </w:trPr>
        <w:tc>
          <w:tcPr>
            <w:tcW w:w="1337" w:type="dxa"/>
          </w:tcPr>
          <w:p w14:paraId="315BA4C4" w14:textId="09562EF1" w:rsidR="1E18B2D4" w:rsidRDefault="1E18B2D4" w:rsidP="05FD1449">
            <w:pPr>
              <w:rPr>
                <w:rFonts w:asciiTheme="majorHAnsi" w:eastAsiaTheme="majorEastAsia" w:hAnsiTheme="majorHAnsi" w:cstheme="majorBidi"/>
              </w:rPr>
            </w:pPr>
            <w:r w:rsidRPr="05FD1449">
              <w:rPr>
                <w:rFonts w:asciiTheme="majorHAnsi" w:eastAsiaTheme="majorEastAsia" w:hAnsiTheme="majorHAnsi" w:cstheme="majorBidi"/>
              </w:rPr>
              <w:t>Oral Health Evaluation</w:t>
            </w:r>
          </w:p>
        </w:tc>
        <w:tc>
          <w:tcPr>
            <w:tcW w:w="1337" w:type="dxa"/>
          </w:tcPr>
          <w:p w14:paraId="6120F4EC" w14:textId="791C09C3" w:rsidR="1E18B2D4" w:rsidRDefault="1E18B2D4" w:rsidP="05FD1449">
            <w:pPr>
              <w:rPr>
                <w:rFonts w:asciiTheme="majorHAnsi" w:eastAsiaTheme="majorEastAsia" w:hAnsiTheme="majorHAnsi" w:cstheme="majorBidi"/>
              </w:rPr>
            </w:pPr>
            <w:r w:rsidRPr="05FD1449">
              <w:rPr>
                <w:rFonts w:asciiTheme="majorHAnsi" w:eastAsiaTheme="majorEastAsia" w:hAnsiTheme="majorHAnsi" w:cstheme="majorBidi"/>
              </w:rPr>
              <w:t>LTSS CP</w:t>
            </w:r>
          </w:p>
        </w:tc>
        <w:tc>
          <w:tcPr>
            <w:tcW w:w="1337" w:type="dxa"/>
            <w:vAlign w:val="center"/>
          </w:tcPr>
          <w:p w14:paraId="0870E1F5" w14:textId="0E37A7E3" w:rsidR="05FD1449" w:rsidRDefault="05FD1449" w:rsidP="05FD1449">
            <w:pPr>
              <w:jc w:val="center"/>
              <w:rPr>
                <w:rFonts w:asciiTheme="majorHAnsi" w:eastAsiaTheme="majorEastAsia" w:hAnsiTheme="majorHAnsi" w:cstheme="majorBidi"/>
              </w:rPr>
            </w:pPr>
            <w:r w:rsidRPr="05FD1449">
              <w:rPr>
                <w:rFonts w:asciiTheme="majorHAnsi" w:eastAsiaTheme="majorEastAsia" w:hAnsiTheme="majorHAnsi" w:cstheme="majorBidi"/>
              </w:rPr>
              <w:t>-</w:t>
            </w:r>
            <w:r w:rsidR="5283913B" w:rsidRPr="05FD1449">
              <w:rPr>
                <w:rFonts w:asciiTheme="majorHAnsi" w:eastAsiaTheme="majorEastAsia" w:hAnsiTheme="majorHAnsi" w:cstheme="majorBidi"/>
              </w:rPr>
              <w:t>15.43</w:t>
            </w:r>
          </w:p>
        </w:tc>
        <w:tc>
          <w:tcPr>
            <w:tcW w:w="1337" w:type="dxa"/>
            <w:vAlign w:val="center"/>
          </w:tcPr>
          <w:p w14:paraId="3D7EAF57" w14:textId="68BB916C" w:rsidR="05FD1449" w:rsidRDefault="05FD1449" w:rsidP="05FD1449">
            <w:pPr>
              <w:jc w:val="center"/>
              <w:rPr>
                <w:rFonts w:asciiTheme="majorHAnsi" w:eastAsiaTheme="majorEastAsia" w:hAnsiTheme="majorHAnsi" w:cstheme="majorBidi"/>
              </w:rPr>
            </w:pPr>
            <w:r w:rsidRPr="05FD1449">
              <w:rPr>
                <w:rFonts w:asciiTheme="majorHAnsi" w:eastAsiaTheme="majorEastAsia" w:hAnsiTheme="majorHAnsi" w:cstheme="majorBidi"/>
              </w:rPr>
              <w:t>-</w:t>
            </w:r>
            <w:r w:rsidR="003634B0" w:rsidRPr="05FD1449">
              <w:rPr>
                <w:rFonts w:asciiTheme="majorHAnsi" w:eastAsiaTheme="majorEastAsia" w:hAnsiTheme="majorHAnsi" w:cstheme="majorBidi"/>
              </w:rPr>
              <w:t>1.37</w:t>
            </w:r>
          </w:p>
        </w:tc>
        <w:tc>
          <w:tcPr>
            <w:tcW w:w="1337" w:type="dxa"/>
            <w:vAlign w:val="center"/>
          </w:tcPr>
          <w:p w14:paraId="7ECFA519" w14:textId="299FAA3B" w:rsidR="003634B0" w:rsidRDefault="003634B0" w:rsidP="05FD1449">
            <w:pPr>
              <w:jc w:val="center"/>
              <w:rPr>
                <w:rFonts w:asciiTheme="majorHAnsi" w:eastAsiaTheme="majorEastAsia" w:hAnsiTheme="majorHAnsi" w:cstheme="majorBidi"/>
              </w:rPr>
            </w:pPr>
            <w:r w:rsidRPr="05FD1449">
              <w:rPr>
                <w:rFonts w:asciiTheme="majorHAnsi" w:eastAsiaTheme="majorEastAsia" w:hAnsiTheme="majorHAnsi" w:cstheme="majorBidi"/>
              </w:rPr>
              <w:t>0.00</w:t>
            </w:r>
          </w:p>
        </w:tc>
        <w:tc>
          <w:tcPr>
            <w:tcW w:w="1389" w:type="dxa"/>
            <w:vAlign w:val="center"/>
          </w:tcPr>
          <w:p w14:paraId="08EB1E21" w14:textId="2C0E3A82" w:rsidR="05FD1449" w:rsidRDefault="05FD1449" w:rsidP="05FD1449">
            <w:pPr>
              <w:jc w:val="center"/>
              <w:rPr>
                <w:rFonts w:asciiTheme="majorHAnsi" w:eastAsiaTheme="majorEastAsia" w:hAnsiTheme="majorHAnsi" w:cstheme="majorBidi"/>
              </w:rPr>
            </w:pPr>
            <w:r w:rsidRPr="05FD1449">
              <w:rPr>
                <w:rFonts w:asciiTheme="majorHAnsi" w:eastAsiaTheme="majorEastAsia" w:hAnsiTheme="majorHAnsi" w:cstheme="majorBidi"/>
              </w:rPr>
              <w:t>+</w:t>
            </w:r>
            <w:r w:rsidR="14D754D7" w:rsidRPr="05FD1449">
              <w:rPr>
                <w:rFonts w:asciiTheme="majorHAnsi" w:eastAsiaTheme="majorEastAsia" w:hAnsiTheme="majorHAnsi" w:cstheme="majorBidi"/>
              </w:rPr>
              <w:t>15.43</w:t>
            </w:r>
          </w:p>
        </w:tc>
        <w:tc>
          <w:tcPr>
            <w:tcW w:w="1286" w:type="dxa"/>
            <w:vAlign w:val="center"/>
          </w:tcPr>
          <w:p w14:paraId="1E470BB7" w14:textId="59345983" w:rsidR="14D754D7" w:rsidRDefault="14D754D7" w:rsidP="05FD1449">
            <w:pPr>
              <w:jc w:val="center"/>
              <w:rPr>
                <w:rFonts w:asciiTheme="majorHAnsi" w:eastAsiaTheme="majorEastAsia" w:hAnsiTheme="majorHAnsi" w:cstheme="majorBidi"/>
              </w:rPr>
            </w:pPr>
            <w:r w:rsidRPr="05FD1449">
              <w:rPr>
                <w:rFonts w:asciiTheme="majorHAnsi" w:eastAsiaTheme="majorEastAsia" w:hAnsiTheme="majorHAnsi" w:cstheme="majorBidi"/>
              </w:rPr>
              <w:t>100</w:t>
            </w:r>
            <w:r w:rsidR="05FD1449" w:rsidRPr="05FD1449">
              <w:rPr>
                <w:rFonts w:asciiTheme="majorHAnsi" w:eastAsiaTheme="majorEastAsia" w:hAnsiTheme="majorHAnsi" w:cstheme="majorBidi"/>
              </w:rPr>
              <w:t>%</w:t>
            </w:r>
          </w:p>
        </w:tc>
      </w:tr>
      <w:tr w:rsidR="05FD1449" w14:paraId="0BF6C14D" w14:textId="77777777" w:rsidTr="05FD1449">
        <w:trPr>
          <w:trHeight w:val="300"/>
        </w:trPr>
        <w:tc>
          <w:tcPr>
            <w:tcW w:w="1337" w:type="dxa"/>
            <w:shd w:val="clear" w:color="auto" w:fill="D9D9D9" w:themeFill="background1" w:themeFillShade="D9"/>
          </w:tcPr>
          <w:p w14:paraId="7F63B394" w14:textId="3EE7DE10" w:rsidR="14D754D7" w:rsidRDefault="14D754D7" w:rsidP="05FD1449">
            <w:pPr>
              <w:rPr>
                <w:rFonts w:asciiTheme="majorHAnsi" w:eastAsiaTheme="majorEastAsia" w:hAnsiTheme="majorHAnsi" w:cstheme="majorBidi"/>
              </w:rPr>
            </w:pPr>
            <w:r w:rsidRPr="05FD1449">
              <w:rPr>
                <w:rFonts w:asciiTheme="majorHAnsi" w:eastAsiaTheme="majorEastAsia" w:hAnsiTheme="majorHAnsi" w:cstheme="majorBidi"/>
              </w:rPr>
              <w:t>Hospital Readmissions (observed/ expected ratio)</w:t>
            </w:r>
            <w:r w:rsidR="05FD1449" w:rsidRPr="05FD1449">
              <w:rPr>
                <w:rFonts w:asciiTheme="majorHAnsi" w:eastAsiaTheme="majorEastAsia" w:hAnsiTheme="majorHAnsi" w:cstheme="majorBidi"/>
              </w:rPr>
              <w:t xml:space="preserve"> </w:t>
            </w:r>
          </w:p>
        </w:tc>
        <w:tc>
          <w:tcPr>
            <w:tcW w:w="1337" w:type="dxa"/>
            <w:shd w:val="clear" w:color="auto" w:fill="D9D9D9" w:themeFill="background1" w:themeFillShade="D9"/>
          </w:tcPr>
          <w:p w14:paraId="02CA08FB" w14:textId="2715E3C5" w:rsidR="14D754D7" w:rsidRDefault="14D754D7" w:rsidP="05FD1449">
            <w:pPr>
              <w:rPr>
                <w:rFonts w:asciiTheme="majorHAnsi" w:eastAsiaTheme="majorEastAsia" w:hAnsiTheme="majorHAnsi" w:cstheme="majorBidi"/>
              </w:rPr>
            </w:pPr>
            <w:r w:rsidRPr="05FD1449">
              <w:rPr>
                <w:rFonts w:asciiTheme="majorHAnsi" w:eastAsiaTheme="majorEastAsia" w:hAnsiTheme="majorHAnsi" w:cstheme="majorBidi"/>
              </w:rPr>
              <w:t>LTSS CP</w:t>
            </w:r>
          </w:p>
        </w:tc>
        <w:tc>
          <w:tcPr>
            <w:tcW w:w="1337" w:type="dxa"/>
            <w:shd w:val="clear" w:color="auto" w:fill="D9D9D9" w:themeFill="background1" w:themeFillShade="D9"/>
            <w:vAlign w:val="center"/>
          </w:tcPr>
          <w:p w14:paraId="29F71EA2" w14:textId="5B7938A6" w:rsidR="05FD1449" w:rsidRDefault="05FD1449" w:rsidP="05FD1449">
            <w:pPr>
              <w:jc w:val="center"/>
              <w:rPr>
                <w:rFonts w:asciiTheme="majorHAnsi" w:eastAsiaTheme="majorEastAsia" w:hAnsiTheme="majorHAnsi" w:cstheme="majorBidi"/>
              </w:rPr>
            </w:pPr>
            <w:r w:rsidRPr="05FD1449">
              <w:rPr>
                <w:rFonts w:asciiTheme="majorHAnsi" w:eastAsiaTheme="majorEastAsia" w:hAnsiTheme="majorHAnsi" w:cstheme="majorBidi"/>
              </w:rPr>
              <w:t>-</w:t>
            </w:r>
            <w:r w:rsidR="37085A9D" w:rsidRPr="05FD1449">
              <w:rPr>
                <w:rFonts w:asciiTheme="majorHAnsi" w:eastAsiaTheme="majorEastAsia" w:hAnsiTheme="majorHAnsi" w:cstheme="majorBidi"/>
              </w:rPr>
              <w:t>0.36</w:t>
            </w:r>
          </w:p>
        </w:tc>
        <w:tc>
          <w:tcPr>
            <w:tcW w:w="1337" w:type="dxa"/>
            <w:shd w:val="clear" w:color="auto" w:fill="D9D9D9" w:themeFill="background1" w:themeFillShade="D9"/>
            <w:vAlign w:val="center"/>
          </w:tcPr>
          <w:p w14:paraId="111E8BF3" w14:textId="57642691" w:rsidR="05FD1449" w:rsidRDefault="05FD1449" w:rsidP="05FD1449">
            <w:pPr>
              <w:jc w:val="center"/>
              <w:rPr>
                <w:rFonts w:asciiTheme="majorHAnsi" w:eastAsiaTheme="majorEastAsia" w:hAnsiTheme="majorHAnsi" w:cstheme="majorBidi"/>
              </w:rPr>
            </w:pPr>
            <w:r w:rsidRPr="05FD1449">
              <w:rPr>
                <w:rFonts w:asciiTheme="majorHAnsi" w:eastAsiaTheme="majorEastAsia" w:hAnsiTheme="majorHAnsi" w:cstheme="majorBidi"/>
              </w:rPr>
              <w:t>-</w:t>
            </w:r>
            <w:r w:rsidR="503403D9" w:rsidRPr="05FD1449">
              <w:rPr>
                <w:rFonts w:asciiTheme="majorHAnsi" w:eastAsiaTheme="majorEastAsia" w:hAnsiTheme="majorHAnsi" w:cstheme="majorBidi"/>
              </w:rPr>
              <w:t>0.39</w:t>
            </w:r>
          </w:p>
        </w:tc>
        <w:tc>
          <w:tcPr>
            <w:tcW w:w="1337" w:type="dxa"/>
            <w:shd w:val="clear" w:color="auto" w:fill="D9D9D9" w:themeFill="background1" w:themeFillShade="D9"/>
            <w:vAlign w:val="center"/>
          </w:tcPr>
          <w:p w14:paraId="731530F5" w14:textId="04CB1F21" w:rsidR="05FD1449" w:rsidRDefault="05FD1449" w:rsidP="05FD1449">
            <w:pPr>
              <w:jc w:val="center"/>
              <w:rPr>
                <w:rFonts w:asciiTheme="majorHAnsi" w:eastAsiaTheme="majorEastAsia" w:hAnsiTheme="majorHAnsi" w:cstheme="majorBidi"/>
              </w:rPr>
            </w:pPr>
            <w:r w:rsidRPr="05FD1449">
              <w:rPr>
                <w:rFonts w:asciiTheme="majorHAnsi" w:eastAsiaTheme="majorEastAsia" w:hAnsiTheme="majorHAnsi" w:cstheme="majorBidi"/>
              </w:rPr>
              <w:t>-</w:t>
            </w:r>
            <w:r w:rsidR="0C9E68FD" w:rsidRPr="05FD1449">
              <w:rPr>
                <w:rFonts w:asciiTheme="majorHAnsi" w:eastAsiaTheme="majorEastAsia" w:hAnsiTheme="majorHAnsi" w:cstheme="majorBidi"/>
              </w:rPr>
              <w:t>0.08</w:t>
            </w:r>
          </w:p>
        </w:tc>
        <w:tc>
          <w:tcPr>
            <w:tcW w:w="1389" w:type="dxa"/>
            <w:shd w:val="clear" w:color="auto" w:fill="D9D9D9" w:themeFill="background1" w:themeFillShade="D9"/>
            <w:vAlign w:val="center"/>
          </w:tcPr>
          <w:p w14:paraId="38FBD75D" w14:textId="25C5378B" w:rsidR="05FD1449" w:rsidRDefault="05FD1449" w:rsidP="05FD1449">
            <w:pPr>
              <w:jc w:val="center"/>
              <w:rPr>
                <w:rFonts w:asciiTheme="majorHAnsi" w:eastAsiaTheme="majorEastAsia" w:hAnsiTheme="majorHAnsi" w:cstheme="majorBidi"/>
              </w:rPr>
            </w:pPr>
            <w:r w:rsidRPr="05FD1449">
              <w:rPr>
                <w:rFonts w:asciiTheme="majorHAnsi" w:eastAsiaTheme="majorEastAsia" w:hAnsiTheme="majorHAnsi" w:cstheme="majorBidi"/>
              </w:rPr>
              <w:t>+</w:t>
            </w:r>
            <w:r w:rsidR="17CAD3AF" w:rsidRPr="05FD1449">
              <w:rPr>
                <w:rFonts w:asciiTheme="majorHAnsi" w:eastAsiaTheme="majorEastAsia" w:hAnsiTheme="majorHAnsi" w:cstheme="majorBidi"/>
              </w:rPr>
              <w:t>0.28</w:t>
            </w:r>
          </w:p>
        </w:tc>
        <w:tc>
          <w:tcPr>
            <w:tcW w:w="1286" w:type="dxa"/>
            <w:shd w:val="clear" w:color="auto" w:fill="D9D9D9" w:themeFill="background1" w:themeFillShade="D9"/>
            <w:vAlign w:val="center"/>
          </w:tcPr>
          <w:p w14:paraId="1DE290D1" w14:textId="7C49F7ED" w:rsidR="17CAD3AF" w:rsidRDefault="17CAD3AF" w:rsidP="05FD1449">
            <w:pPr>
              <w:jc w:val="center"/>
              <w:rPr>
                <w:rFonts w:asciiTheme="majorHAnsi" w:eastAsiaTheme="majorEastAsia" w:hAnsiTheme="majorHAnsi" w:cstheme="majorBidi"/>
              </w:rPr>
            </w:pPr>
            <w:r w:rsidRPr="05FD1449">
              <w:rPr>
                <w:rFonts w:asciiTheme="majorHAnsi" w:eastAsiaTheme="majorEastAsia" w:hAnsiTheme="majorHAnsi" w:cstheme="majorBidi"/>
              </w:rPr>
              <w:t>77.77</w:t>
            </w:r>
            <w:r w:rsidR="05FD1449" w:rsidRPr="05FD1449">
              <w:rPr>
                <w:rFonts w:asciiTheme="majorHAnsi" w:eastAsiaTheme="majorEastAsia" w:hAnsiTheme="majorHAnsi" w:cstheme="majorBidi"/>
              </w:rPr>
              <w:t>%</w:t>
            </w:r>
          </w:p>
        </w:tc>
      </w:tr>
    </w:tbl>
    <w:p w14:paraId="488000A8" w14:textId="2AFE5880" w:rsidR="05FD1449" w:rsidRDefault="05FD1449" w:rsidP="05FD1449"/>
    <w:p w14:paraId="5BF48223" w14:textId="5B01F38E" w:rsidR="17CAD3AF" w:rsidRDefault="17CAD3AF"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Key Takeaways: </w:t>
      </w:r>
    </w:p>
    <w:p w14:paraId="61232B5B" w14:textId="3E6FA847" w:rsidR="44BD07E4" w:rsidRDefault="44BD07E4" w:rsidP="008240EA">
      <w:pPr>
        <w:pStyle w:val="ListParagraph"/>
        <w:numPr>
          <w:ilvl w:val="0"/>
          <w:numId w:val="17"/>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In 2020, four of the 13 measures demonstrated substantial drops in performance from 2019 to 2020 (likely due to COVID) and were deemed priority measures for monitoring through 2022 </w:t>
      </w:r>
    </w:p>
    <w:p w14:paraId="6026CD74" w14:textId="7CC27A87" w:rsidR="44BD07E4" w:rsidRDefault="44BD07E4" w:rsidP="008240EA">
      <w:pPr>
        <w:pStyle w:val="ListParagraph"/>
        <w:numPr>
          <w:ilvl w:val="0"/>
          <w:numId w:val="17"/>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The table below demonstrates the percentage of initial performance drops in 2020 and the recovery % by the end of 2022. </w:t>
      </w:r>
      <w:r w:rsidRPr="05FD1449">
        <w:rPr>
          <w:rFonts w:asciiTheme="majorHAnsi" w:eastAsiaTheme="majorEastAsia" w:hAnsiTheme="majorHAnsi" w:cstheme="majorBidi"/>
          <w:b/>
          <w:bCs/>
          <w:sz w:val="24"/>
          <w:szCs w:val="24"/>
        </w:rPr>
        <w:t xml:space="preserve">In 2022, two measures demonstrated partial recovery from their initial 2019-2020 declines, and two </w:t>
      </w:r>
      <w:proofErr w:type="gramStart"/>
      <w:r w:rsidRPr="05FD1449">
        <w:rPr>
          <w:rFonts w:asciiTheme="majorHAnsi" w:eastAsiaTheme="majorEastAsia" w:hAnsiTheme="majorHAnsi" w:cstheme="majorBidi"/>
          <w:b/>
          <w:bCs/>
          <w:sz w:val="24"/>
          <w:szCs w:val="24"/>
        </w:rPr>
        <w:t>measure</w:t>
      </w:r>
      <w:proofErr w:type="gramEnd"/>
      <w:r w:rsidRPr="05FD1449">
        <w:rPr>
          <w:rFonts w:asciiTheme="majorHAnsi" w:eastAsiaTheme="majorEastAsia" w:hAnsiTheme="majorHAnsi" w:cstheme="majorBidi"/>
          <w:b/>
          <w:bCs/>
          <w:sz w:val="24"/>
          <w:szCs w:val="24"/>
        </w:rPr>
        <w:t xml:space="preserve"> demonstrated full recovery. </w:t>
      </w:r>
      <w:r w:rsidRPr="05FD1449">
        <w:rPr>
          <w:rFonts w:asciiTheme="majorHAnsi" w:eastAsiaTheme="majorEastAsia" w:hAnsiTheme="majorHAnsi" w:cstheme="majorBidi"/>
          <w:sz w:val="24"/>
          <w:szCs w:val="24"/>
        </w:rPr>
        <w:t>However, three measures had partially recovered by 2021.</w:t>
      </w:r>
    </w:p>
    <w:p w14:paraId="2BE72853" w14:textId="4CD7B983" w:rsidR="05FD1449" w:rsidRDefault="05FD1449" w:rsidP="05FD1449">
      <w:pPr>
        <w:spacing w:after="0"/>
        <w:rPr>
          <w:rFonts w:asciiTheme="majorHAnsi" w:eastAsiaTheme="majorEastAsia" w:hAnsiTheme="majorHAnsi" w:cstheme="majorBidi"/>
        </w:rPr>
      </w:pPr>
    </w:p>
    <w:p w14:paraId="2CFA19BD" w14:textId="0FBF2393" w:rsidR="28DDA04B" w:rsidRDefault="28DDA04B" w:rsidP="05FD1449">
      <w:pPr>
        <w:pStyle w:val="Heading3"/>
      </w:pPr>
      <w:r>
        <w:t xml:space="preserve">Member Experience </w:t>
      </w:r>
    </w:p>
    <w:p w14:paraId="65BDF915" w14:textId="554CE858" w:rsidR="28DDA04B" w:rsidRDefault="28DDA04B" w:rsidP="05FD1449">
      <w:pPr>
        <w:pStyle w:val="Heading4"/>
      </w:pPr>
      <w:r>
        <w:t xml:space="preserve">Slide 50: Member Experience: Summary of 2019-2022 Results </w:t>
      </w:r>
    </w:p>
    <w:p w14:paraId="6D1E00DD" w14:textId="5A6D6CE8" w:rsidR="0761298D" w:rsidRDefault="0761298D" w:rsidP="05FD1449">
      <w:r>
        <w:t>Table 11:</w:t>
      </w:r>
    </w:p>
    <w:tbl>
      <w:tblPr>
        <w:tblStyle w:val="TableGrid"/>
        <w:tblW w:w="0" w:type="auto"/>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6A0" w:firstRow="1" w:lastRow="0" w:firstColumn="1" w:lastColumn="0" w:noHBand="1" w:noVBand="1"/>
      </w:tblPr>
      <w:tblGrid>
        <w:gridCol w:w="1792"/>
        <w:gridCol w:w="1246"/>
        <w:gridCol w:w="1478"/>
        <w:gridCol w:w="1456"/>
        <w:gridCol w:w="1290"/>
        <w:gridCol w:w="1181"/>
        <w:gridCol w:w="916"/>
      </w:tblGrid>
      <w:tr w:rsidR="05FD1449" w14:paraId="1D8C8F4C" w14:textId="77777777" w:rsidTr="05FD1449">
        <w:trPr>
          <w:trHeight w:val="1560"/>
        </w:trPr>
        <w:tc>
          <w:tcPr>
            <w:tcW w:w="1792" w:type="dxa"/>
            <w:shd w:val="clear" w:color="auto" w:fill="D9E2F3" w:themeFill="accent1" w:themeFillTint="33"/>
            <w:tcMar>
              <w:top w:w="42" w:type="dxa"/>
              <w:left w:w="85" w:type="dxa"/>
              <w:bottom w:w="42" w:type="dxa"/>
              <w:right w:w="85" w:type="dxa"/>
            </w:tcMar>
            <w:vAlign w:val="center"/>
          </w:tcPr>
          <w:p w14:paraId="07FC6611" w14:textId="1130D48A"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 xml:space="preserve">Performance </w:t>
            </w:r>
          </w:p>
          <w:p w14:paraId="7698C3BF" w14:textId="53DCF24C"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Measure</w:t>
            </w:r>
          </w:p>
        </w:tc>
        <w:tc>
          <w:tcPr>
            <w:tcW w:w="1246" w:type="dxa"/>
            <w:shd w:val="clear" w:color="auto" w:fill="D9E2F3" w:themeFill="accent1" w:themeFillTint="33"/>
            <w:tcMar>
              <w:top w:w="42" w:type="dxa"/>
              <w:left w:w="85" w:type="dxa"/>
              <w:bottom w:w="42" w:type="dxa"/>
              <w:right w:w="85" w:type="dxa"/>
            </w:tcMar>
            <w:vAlign w:val="center"/>
          </w:tcPr>
          <w:p w14:paraId="1935AB80" w14:textId="482F9050"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 xml:space="preserve">2019 </w:t>
            </w:r>
          </w:p>
          <w:p w14:paraId="03E6F77E" w14:textId="0754FC9F"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 xml:space="preserve">Aggregate </w:t>
            </w:r>
          </w:p>
          <w:p w14:paraId="6CD60ACD" w14:textId="7085420D"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 xml:space="preserve">Statewide </w:t>
            </w:r>
          </w:p>
          <w:p w14:paraId="70FF2115" w14:textId="1A2E2784"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Score</w:t>
            </w:r>
          </w:p>
        </w:tc>
        <w:tc>
          <w:tcPr>
            <w:tcW w:w="1478" w:type="dxa"/>
            <w:shd w:val="clear" w:color="auto" w:fill="D9E2F3" w:themeFill="accent1" w:themeFillTint="33"/>
            <w:tcMar>
              <w:top w:w="42" w:type="dxa"/>
              <w:left w:w="85" w:type="dxa"/>
              <w:bottom w:w="42" w:type="dxa"/>
              <w:right w:w="85" w:type="dxa"/>
            </w:tcMar>
            <w:vAlign w:val="center"/>
          </w:tcPr>
          <w:p w14:paraId="3C7C3393" w14:textId="05D3F99A"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 xml:space="preserve">2020 Aggregate </w:t>
            </w:r>
          </w:p>
          <w:p w14:paraId="3C328FF1" w14:textId="6642F6D8"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 xml:space="preserve">Statewide </w:t>
            </w:r>
          </w:p>
          <w:p w14:paraId="2FBD51E2" w14:textId="36648191"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Score</w:t>
            </w:r>
          </w:p>
        </w:tc>
        <w:tc>
          <w:tcPr>
            <w:tcW w:w="1456" w:type="dxa"/>
            <w:shd w:val="clear" w:color="auto" w:fill="D9E2F3" w:themeFill="accent1" w:themeFillTint="33"/>
            <w:tcMar>
              <w:top w:w="42" w:type="dxa"/>
              <w:left w:w="85" w:type="dxa"/>
              <w:bottom w:w="42" w:type="dxa"/>
              <w:right w:w="85" w:type="dxa"/>
            </w:tcMar>
            <w:vAlign w:val="center"/>
          </w:tcPr>
          <w:p w14:paraId="08E09477" w14:textId="55D1ABA5"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 xml:space="preserve">2021 </w:t>
            </w:r>
          </w:p>
          <w:p w14:paraId="2DEB0383" w14:textId="219D9D84"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 xml:space="preserve">Aggregate </w:t>
            </w:r>
          </w:p>
          <w:p w14:paraId="1729E61C" w14:textId="4637237E"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 xml:space="preserve">Statewide </w:t>
            </w:r>
          </w:p>
          <w:p w14:paraId="7F12C86E" w14:textId="1141D087"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Score</w:t>
            </w:r>
          </w:p>
        </w:tc>
        <w:tc>
          <w:tcPr>
            <w:tcW w:w="1290" w:type="dxa"/>
            <w:shd w:val="clear" w:color="auto" w:fill="D9E2F3" w:themeFill="accent1" w:themeFillTint="33"/>
            <w:tcMar>
              <w:top w:w="42" w:type="dxa"/>
              <w:left w:w="85" w:type="dxa"/>
              <w:bottom w:w="42" w:type="dxa"/>
              <w:right w:w="85" w:type="dxa"/>
            </w:tcMar>
            <w:vAlign w:val="center"/>
          </w:tcPr>
          <w:p w14:paraId="10090D36" w14:textId="1FEB1306"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 xml:space="preserve">2022 </w:t>
            </w:r>
          </w:p>
          <w:p w14:paraId="74EBB8B1" w14:textId="004AE5E1"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 xml:space="preserve">Aggregate </w:t>
            </w:r>
          </w:p>
          <w:p w14:paraId="2DDCF401" w14:textId="04CCB4B2"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 xml:space="preserve">Statewide </w:t>
            </w:r>
          </w:p>
          <w:p w14:paraId="008F1336" w14:textId="78CA7092"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Score</w:t>
            </w:r>
          </w:p>
        </w:tc>
        <w:tc>
          <w:tcPr>
            <w:tcW w:w="1181" w:type="dxa"/>
            <w:shd w:val="clear" w:color="auto" w:fill="D9E2F3" w:themeFill="accent1" w:themeFillTint="33"/>
            <w:tcMar>
              <w:top w:w="42" w:type="dxa"/>
              <w:left w:w="85" w:type="dxa"/>
              <w:bottom w:w="42" w:type="dxa"/>
              <w:right w:w="85" w:type="dxa"/>
            </w:tcMar>
            <w:vAlign w:val="center"/>
          </w:tcPr>
          <w:p w14:paraId="596261B8" w14:textId="2480DA19"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Threshold</w:t>
            </w:r>
          </w:p>
        </w:tc>
        <w:tc>
          <w:tcPr>
            <w:tcW w:w="916" w:type="dxa"/>
            <w:shd w:val="clear" w:color="auto" w:fill="D9E2F3" w:themeFill="accent1" w:themeFillTint="33"/>
            <w:tcMar>
              <w:top w:w="42" w:type="dxa"/>
              <w:left w:w="85" w:type="dxa"/>
              <w:bottom w:w="42" w:type="dxa"/>
              <w:right w:w="85" w:type="dxa"/>
            </w:tcMar>
            <w:vAlign w:val="center"/>
          </w:tcPr>
          <w:p w14:paraId="4E5C7A3A" w14:textId="227D1314"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Goal</w:t>
            </w:r>
          </w:p>
        </w:tc>
      </w:tr>
      <w:tr w:rsidR="05FD1449" w14:paraId="76BB2991" w14:textId="77777777" w:rsidTr="05FD1449">
        <w:trPr>
          <w:trHeight w:val="810"/>
        </w:trPr>
        <w:tc>
          <w:tcPr>
            <w:tcW w:w="1792" w:type="dxa"/>
            <w:shd w:val="clear" w:color="auto" w:fill="D9D9D9" w:themeFill="background1" w:themeFillShade="D9"/>
            <w:tcMar>
              <w:top w:w="42" w:type="dxa"/>
              <w:left w:w="85" w:type="dxa"/>
              <w:bottom w:w="42" w:type="dxa"/>
              <w:right w:w="85" w:type="dxa"/>
            </w:tcMar>
            <w:vAlign w:val="center"/>
          </w:tcPr>
          <w:p w14:paraId="1D1C7921" w14:textId="24361925"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lastRenderedPageBreak/>
              <w:t>Overall Care Delivery</w:t>
            </w:r>
          </w:p>
        </w:tc>
        <w:tc>
          <w:tcPr>
            <w:tcW w:w="1246" w:type="dxa"/>
            <w:shd w:val="clear" w:color="auto" w:fill="D9D9D9" w:themeFill="background1" w:themeFillShade="D9"/>
            <w:tcMar>
              <w:top w:w="42" w:type="dxa"/>
              <w:left w:w="85" w:type="dxa"/>
              <w:bottom w:w="42" w:type="dxa"/>
              <w:right w:w="85" w:type="dxa"/>
            </w:tcMar>
            <w:vAlign w:val="center"/>
          </w:tcPr>
          <w:p w14:paraId="32BE2460" w14:textId="7501C37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89.9</w:t>
            </w:r>
          </w:p>
        </w:tc>
        <w:tc>
          <w:tcPr>
            <w:tcW w:w="1478" w:type="dxa"/>
            <w:shd w:val="clear" w:color="auto" w:fill="D9D9D9" w:themeFill="background1" w:themeFillShade="D9"/>
            <w:tcMar>
              <w:top w:w="42" w:type="dxa"/>
              <w:left w:w="85" w:type="dxa"/>
              <w:bottom w:w="42" w:type="dxa"/>
              <w:right w:w="85" w:type="dxa"/>
            </w:tcMar>
            <w:vAlign w:val="center"/>
          </w:tcPr>
          <w:p w14:paraId="2CFC75A7" w14:textId="5F3BFC2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88.6</w:t>
            </w:r>
          </w:p>
        </w:tc>
        <w:tc>
          <w:tcPr>
            <w:tcW w:w="1456" w:type="dxa"/>
            <w:shd w:val="clear" w:color="auto" w:fill="D9D9D9" w:themeFill="background1" w:themeFillShade="D9"/>
            <w:tcMar>
              <w:top w:w="42" w:type="dxa"/>
              <w:left w:w="85" w:type="dxa"/>
              <w:bottom w:w="42" w:type="dxa"/>
              <w:right w:w="85" w:type="dxa"/>
            </w:tcMar>
            <w:vAlign w:val="center"/>
          </w:tcPr>
          <w:p w14:paraId="2736EDC4" w14:textId="2B37265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88.9</w:t>
            </w:r>
          </w:p>
        </w:tc>
        <w:tc>
          <w:tcPr>
            <w:tcW w:w="1290" w:type="dxa"/>
            <w:shd w:val="clear" w:color="auto" w:fill="D9D9D9" w:themeFill="background1" w:themeFillShade="D9"/>
            <w:tcMar>
              <w:top w:w="42" w:type="dxa"/>
              <w:left w:w="85" w:type="dxa"/>
              <w:bottom w:w="42" w:type="dxa"/>
              <w:right w:w="85" w:type="dxa"/>
            </w:tcMar>
            <w:vAlign w:val="center"/>
          </w:tcPr>
          <w:p w14:paraId="0154A8FC" w14:textId="2DCED861"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87.8</w:t>
            </w:r>
          </w:p>
        </w:tc>
        <w:tc>
          <w:tcPr>
            <w:tcW w:w="1181" w:type="dxa"/>
            <w:shd w:val="clear" w:color="auto" w:fill="D9D9D9" w:themeFill="background1" w:themeFillShade="D9"/>
            <w:tcMar>
              <w:top w:w="42" w:type="dxa"/>
              <w:left w:w="85" w:type="dxa"/>
              <w:bottom w:w="42" w:type="dxa"/>
              <w:right w:w="85" w:type="dxa"/>
            </w:tcMar>
            <w:vAlign w:val="center"/>
          </w:tcPr>
          <w:p w14:paraId="45CD5AD9" w14:textId="02DFA0B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75.0</w:t>
            </w:r>
          </w:p>
        </w:tc>
        <w:tc>
          <w:tcPr>
            <w:tcW w:w="916" w:type="dxa"/>
            <w:shd w:val="clear" w:color="auto" w:fill="D9D9D9" w:themeFill="background1" w:themeFillShade="D9"/>
            <w:tcMar>
              <w:top w:w="42" w:type="dxa"/>
              <w:left w:w="85" w:type="dxa"/>
              <w:bottom w:w="42" w:type="dxa"/>
              <w:right w:w="85" w:type="dxa"/>
            </w:tcMar>
            <w:vAlign w:val="center"/>
          </w:tcPr>
          <w:p w14:paraId="33D4F5F9" w14:textId="005B0C50"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92.0</w:t>
            </w:r>
          </w:p>
        </w:tc>
      </w:tr>
      <w:tr w:rsidR="05FD1449" w14:paraId="52F1AE73" w14:textId="77777777" w:rsidTr="05FD1449">
        <w:trPr>
          <w:trHeight w:val="810"/>
        </w:trPr>
        <w:tc>
          <w:tcPr>
            <w:tcW w:w="1792" w:type="dxa"/>
            <w:tcMar>
              <w:top w:w="42" w:type="dxa"/>
              <w:left w:w="85" w:type="dxa"/>
              <w:bottom w:w="42" w:type="dxa"/>
              <w:right w:w="85" w:type="dxa"/>
            </w:tcMar>
            <w:vAlign w:val="center"/>
          </w:tcPr>
          <w:p w14:paraId="65D77A69" w14:textId="7727E83B" w:rsidR="05FD1449" w:rsidRDefault="05FD1449" w:rsidP="05FD1449">
            <w:pP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Integration/ Coordination of Care</w:t>
            </w:r>
          </w:p>
        </w:tc>
        <w:tc>
          <w:tcPr>
            <w:tcW w:w="1246" w:type="dxa"/>
            <w:tcMar>
              <w:top w:w="42" w:type="dxa"/>
              <w:left w:w="85" w:type="dxa"/>
              <w:bottom w:w="42" w:type="dxa"/>
              <w:right w:w="85" w:type="dxa"/>
            </w:tcMar>
            <w:vAlign w:val="center"/>
          </w:tcPr>
          <w:p w14:paraId="5BC7A7DD" w14:textId="3CD6816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83.2</w:t>
            </w:r>
          </w:p>
        </w:tc>
        <w:tc>
          <w:tcPr>
            <w:tcW w:w="1478" w:type="dxa"/>
            <w:tcMar>
              <w:top w:w="42" w:type="dxa"/>
              <w:left w:w="85" w:type="dxa"/>
              <w:bottom w:w="42" w:type="dxa"/>
              <w:right w:w="85" w:type="dxa"/>
            </w:tcMar>
            <w:vAlign w:val="center"/>
          </w:tcPr>
          <w:p w14:paraId="7B20BA27" w14:textId="292BCB5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81.8</w:t>
            </w:r>
          </w:p>
        </w:tc>
        <w:tc>
          <w:tcPr>
            <w:tcW w:w="1456" w:type="dxa"/>
            <w:tcMar>
              <w:top w:w="42" w:type="dxa"/>
              <w:left w:w="85" w:type="dxa"/>
              <w:bottom w:w="42" w:type="dxa"/>
              <w:right w:w="85" w:type="dxa"/>
            </w:tcMar>
            <w:vAlign w:val="center"/>
          </w:tcPr>
          <w:p w14:paraId="78C46540" w14:textId="645AA19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80.8</w:t>
            </w:r>
          </w:p>
        </w:tc>
        <w:tc>
          <w:tcPr>
            <w:tcW w:w="1290" w:type="dxa"/>
            <w:tcMar>
              <w:top w:w="42" w:type="dxa"/>
              <w:left w:w="85" w:type="dxa"/>
              <w:bottom w:w="42" w:type="dxa"/>
              <w:right w:w="85" w:type="dxa"/>
            </w:tcMar>
            <w:vAlign w:val="center"/>
          </w:tcPr>
          <w:p w14:paraId="1DA89754" w14:textId="073C066E"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81.1</w:t>
            </w:r>
          </w:p>
        </w:tc>
        <w:tc>
          <w:tcPr>
            <w:tcW w:w="1181" w:type="dxa"/>
            <w:tcMar>
              <w:top w:w="42" w:type="dxa"/>
              <w:left w:w="85" w:type="dxa"/>
              <w:bottom w:w="42" w:type="dxa"/>
              <w:right w:w="85" w:type="dxa"/>
            </w:tcMar>
            <w:vAlign w:val="center"/>
          </w:tcPr>
          <w:p w14:paraId="0D46265B" w14:textId="5742622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71.25</w:t>
            </w:r>
          </w:p>
        </w:tc>
        <w:tc>
          <w:tcPr>
            <w:tcW w:w="916" w:type="dxa"/>
            <w:tcMar>
              <w:top w:w="42" w:type="dxa"/>
              <w:left w:w="85" w:type="dxa"/>
              <w:bottom w:w="42" w:type="dxa"/>
              <w:right w:w="85" w:type="dxa"/>
            </w:tcMar>
            <w:vAlign w:val="center"/>
          </w:tcPr>
          <w:p w14:paraId="06610C46" w14:textId="348BE9D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86.25</w:t>
            </w:r>
          </w:p>
        </w:tc>
      </w:tr>
    </w:tbl>
    <w:p w14:paraId="4199C542" w14:textId="0E2C7A7F" w:rsidR="05FD1449" w:rsidRDefault="05FD1449" w:rsidP="05FD1449"/>
    <w:p w14:paraId="1ADC6230" w14:textId="34E8798B" w:rsidR="55580CB0" w:rsidRDefault="55580CB0"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Key Takeaways: </w:t>
      </w:r>
    </w:p>
    <w:p w14:paraId="247D31E2" w14:textId="24E9917A" w:rsidR="55580CB0" w:rsidRDefault="55580CB0" w:rsidP="008240EA">
      <w:pPr>
        <w:pStyle w:val="ListParagraph"/>
        <w:numPr>
          <w:ilvl w:val="0"/>
          <w:numId w:val="16"/>
        </w:numPr>
        <w:spacing w:after="0"/>
        <w:rPr>
          <w:rFonts w:asciiTheme="majorHAnsi" w:eastAsiaTheme="majorEastAsia" w:hAnsiTheme="majorHAnsi" w:cstheme="majorBidi"/>
        </w:rPr>
      </w:pPr>
      <w:r w:rsidRPr="05FD1449">
        <w:rPr>
          <w:rFonts w:asciiTheme="majorHAnsi" w:eastAsiaTheme="majorEastAsia" w:hAnsiTheme="majorHAnsi" w:cstheme="majorBidi"/>
          <w:sz w:val="24"/>
          <w:szCs w:val="24"/>
        </w:rPr>
        <w:t xml:space="preserve">ACOs are accountable for performance on </w:t>
      </w:r>
      <w:proofErr w:type="gramStart"/>
      <w:r w:rsidRPr="05FD1449">
        <w:rPr>
          <w:rFonts w:asciiTheme="majorHAnsi" w:eastAsiaTheme="majorEastAsia" w:hAnsiTheme="majorHAnsi" w:cstheme="majorBidi"/>
          <w:sz w:val="24"/>
          <w:szCs w:val="24"/>
        </w:rPr>
        <w:t>two member</w:t>
      </w:r>
      <w:proofErr w:type="gramEnd"/>
      <w:r w:rsidRPr="05FD1449">
        <w:rPr>
          <w:rFonts w:asciiTheme="majorHAnsi" w:eastAsiaTheme="majorEastAsia" w:hAnsiTheme="majorHAnsi" w:cstheme="majorBidi"/>
          <w:sz w:val="24"/>
          <w:szCs w:val="24"/>
        </w:rPr>
        <w:t xml:space="preserve"> experience measures:  </w:t>
      </w:r>
      <w:r>
        <w:br/>
      </w:r>
      <w:r w:rsidRPr="05FD1449">
        <w:rPr>
          <w:rFonts w:asciiTheme="majorHAnsi" w:eastAsiaTheme="majorEastAsia" w:hAnsiTheme="majorHAnsi" w:cstheme="majorBidi"/>
          <w:sz w:val="24"/>
          <w:szCs w:val="24"/>
        </w:rPr>
        <w:t xml:space="preserve">1) Overall care delivery; and 2) Integration/ coordination of care </w:t>
      </w:r>
    </w:p>
    <w:p w14:paraId="34AD739D" w14:textId="49D1FE38" w:rsidR="55580CB0" w:rsidRDefault="55580CB0" w:rsidP="008240EA">
      <w:pPr>
        <w:pStyle w:val="ListParagraph"/>
        <w:numPr>
          <w:ilvl w:val="1"/>
          <w:numId w:val="16"/>
        </w:numPr>
        <w:spacing w:after="0"/>
        <w:rPr>
          <w:rFonts w:asciiTheme="majorHAnsi" w:eastAsiaTheme="majorEastAsia" w:hAnsiTheme="majorHAnsi" w:cstheme="majorBidi"/>
        </w:rPr>
      </w:pPr>
      <w:r w:rsidRPr="05FD1449">
        <w:rPr>
          <w:rFonts w:asciiTheme="majorHAnsi" w:eastAsiaTheme="majorEastAsia" w:hAnsiTheme="majorHAnsi" w:cstheme="majorBidi"/>
          <w:sz w:val="24"/>
          <w:szCs w:val="24"/>
        </w:rPr>
        <w:t xml:space="preserve">These measures are based on results from a subset of questions in the primary care survey, based on a nationally validated tool </w:t>
      </w:r>
    </w:p>
    <w:p w14:paraId="5A82F547" w14:textId="668F32AB" w:rsidR="55580CB0" w:rsidRDefault="55580CB0" w:rsidP="008240EA">
      <w:pPr>
        <w:pStyle w:val="ListParagraph"/>
        <w:numPr>
          <w:ilvl w:val="0"/>
          <w:numId w:val="16"/>
        </w:numPr>
        <w:spacing w:after="0"/>
        <w:rPr>
          <w:rFonts w:asciiTheme="majorHAnsi" w:eastAsiaTheme="majorEastAsia" w:hAnsiTheme="majorHAnsi" w:cstheme="majorBidi"/>
        </w:rPr>
      </w:pPr>
      <w:r w:rsidRPr="05FD1449">
        <w:rPr>
          <w:rFonts w:asciiTheme="majorHAnsi" w:eastAsiaTheme="majorEastAsia" w:hAnsiTheme="majorHAnsi" w:cstheme="majorBidi"/>
          <w:sz w:val="24"/>
          <w:szCs w:val="24"/>
        </w:rPr>
        <w:t xml:space="preserve">As in 2021, members in 2022 expressed strong levels of satisfaction with their providers, and the need for increased coordination managing BH and other specialists and services </w:t>
      </w:r>
    </w:p>
    <w:p w14:paraId="0034231C" w14:textId="441599C6" w:rsidR="00C1655A" w:rsidRPr="00702EC1" w:rsidRDefault="55580CB0" w:rsidP="00C1655A">
      <w:pPr>
        <w:pStyle w:val="ListParagraph"/>
        <w:numPr>
          <w:ilvl w:val="0"/>
          <w:numId w:val="16"/>
        </w:numPr>
        <w:spacing w:after="0"/>
        <w:rPr>
          <w:rFonts w:asciiTheme="majorHAnsi" w:eastAsiaTheme="majorEastAsia" w:hAnsiTheme="majorHAnsi" w:cstheme="majorBidi"/>
        </w:rPr>
      </w:pPr>
      <w:r w:rsidRPr="05FD1449">
        <w:rPr>
          <w:rFonts w:asciiTheme="majorHAnsi" w:eastAsiaTheme="majorEastAsia" w:hAnsiTheme="majorHAnsi" w:cstheme="majorBidi"/>
          <w:sz w:val="24"/>
          <w:szCs w:val="24"/>
        </w:rPr>
        <w:t>As with 2019-2021 results, 2022 continues to identify opportunities for progress, especially in the integration and coordination of BH care, and in the experience for the LTSS population</w:t>
      </w:r>
    </w:p>
    <w:p w14:paraId="0247D0BE" w14:textId="6A2A4310" w:rsidR="05FD1449" w:rsidRDefault="05FD1449" w:rsidP="05FD1449">
      <w:pPr>
        <w:spacing w:after="0"/>
        <w:rPr>
          <w:rFonts w:asciiTheme="majorHAnsi" w:eastAsiaTheme="majorEastAsia" w:hAnsiTheme="majorHAnsi" w:cstheme="majorBidi"/>
        </w:rPr>
      </w:pPr>
    </w:p>
    <w:p w14:paraId="27B5B7B3" w14:textId="15342BDE" w:rsidR="1BD42330" w:rsidRDefault="1BD42330" w:rsidP="05FD1449">
      <w:pPr>
        <w:pStyle w:val="Heading4"/>
      </w:pPr>
      <w:r>
        <w:t xml:space="preserve">Slide 51: ACO Patient Safety </w:t>
      </w:r>
    </w:p>
    <w:p w14:paraId="7075F51D" w14:textId="36B24D53" w:rsidR="07EEEE51" w:rsidRDefault="07EEEE51" w:rsidP="008240EA">
      <w:pPr>
        <w:pStyle w:val="ListParagraph"/>
        <w:numPr>
          <w:ilvl w:val="0"/>
          <w:numId w:val="15"/>
        </w:num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ACPPs and MCOs report two types of patient safety-related events on an annual basis:</w:t>
      </w:r>
    </w:p>
    <w:p w14:paraId="74CEA4A7" w14:textId="64781AAD" w:rsidR="07EEEE51" w:rsidRDefault="07EEEE51" w:rsidP="008240EA">
      <w:pPr>
        <w:pStyle w:val="ListParagraph"/>
        <w:numPr>
          <w:ilvl w:val="1"/>
          <w:numId w:val="15"/>
        </w:numPr>
        <w:rPr>
          <w:rFonts w:asciiTheme="majorHAnsi" w:eastAsiaTheme="majorEastAsia" w:hAnsiTheme="majorHAnsi" w:cstheme="majorBidi"/>
          <w:b/>
          <w:bCs/>
          <w:sz w:val="24"/>
          <w:szCs w:val="24"/>
        </w:rPr>
      </w:pPr>
      <w:r w:rsidRPr="05FD1449">
        <w:rPr>
          <w:rFonts w:asciiTheme="majorHAnsi" w:eastAsiaTheme="majorEastAsia" w:hAnsiTheme="majorHAnsi" w:cstheme="majorBidi"/>
          <w:b/>
          <w:bCs/>
          <w:sz w:val="24"/>
          <w:szCs w:val="24"/>
        </w:rPr>
        <w:t>Serious Reportable Events (SREs)</w:t>
      </w:r>
    </w:p>
    <w:p w14:paraId="5369D9C9" w14:textId="25182703" w:rsidR="07EEEE51" w:rsidRDefault="07EEEE51" w:rsidP="008240EA">
      <w:pPr>
        <w:pStyle w:val="ListParagraph"/>
        <w:numPr>
          <w:ilvl w:val="2"/>
          <w:numId w:val="15"/>
        </w:num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Events that occur in hospital or hospital-licensed ambulatory surgical center (ASC) facilities that result in an adverse patient outcome that has been identified as usually or reasonably preventable, and of a nature such that the risk of occurrence is significantly influenced by the policies and procedures of the hospital or ASC</w:t>
      </w:r>
    </w:p>
    <w:p w14:paraId="79C0649A" w14:textId="2DE9E346" w:rsidR="07EEEE51" w:rsidRDefault="07EEEE51" w:rsidP="008240EA">
      <w:pPr>
        <w:pStyle w:val="ListParagraph"/>
        <w:numPr>
          <w:ilvl w:val="1"/>
          <w:numId w:val="15"/>
        </w:numPr>
        <w:rPr>
          <w:rFonts w:asciiTheme="majorHAnsi" w:eastAsiaTheme="majorEastAsia" w:hAnsiTheme="majorHAnsi" w:cstheme="majorBidi"/>
          <w:b/>
          <w:bCs/>
          <w:sz w:val="24"/>
          <w:szCs w:val="24"/>
        </w:rPr>
      </w:pPr>
      <w:r w:rsidRPr="05FD1449">
        <w:rPr>
          <w:rFonts w:asciiTheme="majorHAnsi" w:eastAsiaTheme="majorEastAsia" w:hAnsiTheme="majorHAnsi" w:cstheme="majorBidi"/>
          <w:b/>
          <w:bCs/>
          <w:sz w:val="24"/>
          <w:szCs w:val="24"/>
        </w:rPr>
        <w:t>Provider Preventable Conditions (PPCs)</w:t>
      </w:r>
    </w:p>
    <w:p w14:paraId="747DBA02" w14:textId="36D3581A" w:rsidR="07EEEE51" w:rsidRDefault="07EEEE51" w:rsidP="008240EA">
      <w:pPr>
        <w:pStyle w:val="ListParagraph"/>
        <w:numPr>
          <w:ilvl w:val="2"/>
          <w:numId w:val="15"/>
        </w:num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PPCs are a Health Care Acquired Condition or an Other Provider Preventable Condition as defined by CMS regulations and MassHealth policy.</w:t>
      </w:r>
    </w:p>
    <w:p w14:paraId="17315974" w14:textId="55714CED" w:rsidR="3A3C22B6" w:rsidRDefault="3A3C22B6" w:rsidP="05FD1449">
      <w:p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Table</w:t>
      </w:r>
      <w:r w:rsidR="3169F27E" w:rsidRPr="05FD1449">
        <w:rPr>
          <w:rFonts w:asciiTheme="majorHAnsi" w:eastAsiaTheme="majorEastAsia" w:hAnsiTheme="majorHAnsi" w:cstheme="majorBidi"/>
          <w:sz w:val="24"/>
          <w:szCs w:val="24"/>
        </w:rPr>
        <w:t xml:space="preserve"> 12: </w:t>
      </w:r>
    </w:p>
    <w:tbl>
      <w:tblPr>
        <w:tblStyle w:val="TableGrid"/>
        <w:tblW w:w="0" w:type="auto"/>
        <w:tblLayout w:type="fixed"/>
        <w:tblLook w:val="06A0" w:firstRow="1" w:lastRow="0" w:firstColumn="1" w:lastColumn="0" w:noHBand="1" w:noVBand="1"/>
      </w:tblPr>
      <w:tblGrid>
        <w:gridCol w:w="1040"/>
        <w:gridCol w:w="1170"/>
        <w:gridCol w:w="1215"/>
        <w:gridCol w:w="990"/>
        <w:gridCol w:w="990"/>
        <w:gridCol w:w="980"/>
        <w:gridCol w:w="995"/>
        <w:gridCol w:w="980"/>
        <w:gridCol w:w="1000"/>
      </w:tblGrid>
      <w:tr w:rsidR="05FD1449" w14:paraId="47DB795C" w14:textId="77777777" w:rsidTr="05FD1449">
        <w:trPr>
          <w:trHeight w:val="300"/>
        </w:trPr>
        <w:tc>
          <w:tcPr>
            <w:tcW w:w="1040" w:type="dxa"/>
            <w:shd w:val="clear" w:color="auto" w:fill="D9E2F3" w:themeFill="accent1" w:themeFillTint="33"/>
          </w:tcPr>
          <w:p w14:paraId="77C566A6" w14:textId="27496F23" w:rsidR="3169F27E" w:rsidRDefault="3169F27E" w:rsidP="05FD1449">
            <w:p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Event </w:t>
            </w:r>
          </w:p>
        </w:tc>
        <w:tc>
          <w:tcPr>
            <w:tcW w:w="1170" w:type="dxa"/>
            <w:shd w:val="clear" w:color="auto" w:fill="D9E2F3" w:themeFill="accent1" w:themeFillTint="33"/>
          </w:tcPr>
          <w:p w14:paraId="507EF9F7" w14:textId="47D79F12" w:rsidR="3169F27E" w:rsidRDefault="3169F27E" w:rsidP="05FD1449">
            <w:p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Metric </w:t>
            </w:r>
          </w:p>
        </w:tc>
        <w:tc>
          <w:tcPr>
            <w:tcW w:w="1215" w:type="dxa"/>
            <w:shd w:val="clear" w:color="auto" w:fill="D9E2F3" w:themeFill="accent1" w:themeFillTint="33"/>
          </w:tcPr>
          <w:p w14:paraId="5A95D209" w14:textId="23A212F8" w:rsidR="3169F27E" w:rsidRDefault="3169F27E" w:rsidP="05FD1449">
            <w:p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Plan Type </w:t>
            </w:r>
          </w:p>
        </w:tc>
        <w:tc>
          <w:tcPr>
            <w:tcW w:w="990" w:type="dxa"/>
            <w:shd w:val="clear" w:color="auto" w:fill="D9E2F3" w:themeFill="accent1" w:themeFillTint="33"/>
          </w:tcPr>
          <w:p w14:paraId="60179BE8" w14:textId="069B63E3" w:rsidR="3B15B906" w:rsidRDefault="3B15B906" w:rsidP="05FD1449">
            <w:p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Year 5 (2022)</w:t>
            </w:r>
          </w:p>
        </w:tc>
        <w:tc>
          <w:tcPr>
            <w:tcW w:w="990" w:type="dxa"/>
            <w:shd w:val="clear" w:color="auto" w:fill="D9E2F3" w:themeFill="accent1" w:themeFillTint="33"/>
          </w:tcPr>
          <w:p w14:paraId="3770AF0E" w14:textId="48CB62DE" w:rsidR="3B15B906" w:rsidRDefault="3B15B906" w:rsidP="05FD1449">
            <w:p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Year 4 (2021)</w:t>
            </w:r>
          </w:p>
        </w:tc>
        <w:tc>
          <w:tcPr>
            <w:tcW w:w="980" w:type="dxa"/>
            <w:shd w:val="clear" w:color="auto" w:fill="D9E2F3" w:themeFill="accent1" w:themeFillTint="33"/>
          </w:tcPr>
          <w:p w14:paraId="0CCAECB8" w14:textId="18DF09AA" w:rsidR="3B15B906" w:rsidRDefault="3B15B906" w:rsidP="05FD1449">
            <w:p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Year 3 (2020)</w:t>
            </w:r>
          </w:p>
        </w:tc>
        <w:tc>
          <w:tcPr>
            <w:tcW w:w="995" w:type="dxa"/>
            <w:shd w:val="clear" w:color="auto" w:fill="D9E2F3" w:themeFill="accent1" w:themeFillTint="33"/>
          </w:tcPr>
          <w:p w14:paraId="5CC5A6CF" w14:textId="435E7C70" w:rsidR="3B15B906" w:rsidRDefault="3B15B906" w:rsidP="05FD1449">
            <w:p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Year 2 (2019)</w:t>
            </w:r>
          </w:p>
        </w:tc>
        <w:tc>
          <w:tcPr>
            <w:tcW w:w="980" w:type="dxa"/>
            <w:shd w:val="clear" w:color="auto" w:fill="D9E2F3" w:themeFill="accent1" w:themeFillTint="33"/>
          </w:tcPr>
          <w:p w14:paraId="0FE007C0" w14:textId="34B1D80A" w:rsidR="3B15B906" w:rsidRDefault="3B15B906" w:rsidP="05FD1449">
            <w:p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Year 1 (Mar-Dec</w:t>
            </w:r>
            <w:r w:rsidR="2E61E024" w:rsidRPr="05FD1449">
              <w:rPr>
                <w:rFonts w:asciiTheme="majorHAnsi" w:eastAsiaTheme="majorEastAsia" w:hAnsiTheme="majorHAnsi" w:cstheme="majorBidi"/>
                <w:sz w:val="24"/>
                <w:szCs w:val="24"/>
              </w:rPr>
              <w:t>. 2018)</w:t>
            </w:r>
          </w:p>
        </w:tc>
        <w:tc>
          <w:tcPr>
            <w:tcW w:w="1000" w:type="dxa"/>
            <w:shd w:val="clear" w:color="auto" w:fill="D9E2F3" w:themeFill="accent1" w:themeFillTint="33"/>
          </w:tcPr>
          <w:p w14:paraId="652E6D6C" w14:textId="65842FA8" w:rsidR="3B15B906" w:rsidRDefault="3B15B906" w:rsidP="05FD1449">
            <w:p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Prior MCO</w:t>
            </w:r>
          </w:p>
        </w:tc>
      </w:tr>
      <w:tr w:rsidR="05FD1449" w14:paraId="29FF71EB" w14:textId="77777777" w:rsidTr="05FD1449">
        <w:trPr>
          <w:trHeight w:val="300"/>
        </w:trPr>
        <w:tc>
          <w:tcPr>
            <w:tcW w:w="1040" w:type="dxa"/>
            <w:shd w:val="clear" w:color="auto" w:fill="D9E2F3" w:themeFill="accent1" w:themeFillTint="33"/>
            <w:vAlign w:val="center"/>
          </w:tcPr>
          <w:p w14:paraId="72083931" w14:textId="2CE13CD4" w:rsidR="34408897" w:rsidRDefault="34408897"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SREs</w:t>
            </w:r>
          </w:p>
        </w:tc>
        <w:tc>
          <w:tcPr>
            <w:tcW w:w="1170" w:type="dxa"/>
            <w:vAlign w:val="center"/>
          </w:tcPr>
          <w:p w14:paraId="23EC4F6A" w14:textId="71325629" w:rsidR="34408897" w:rsidRDefault="34408897"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Range per plan</w:t>
            </w:r>
          </w:p>
        </w:tc>
        <w:tc>
          <w:tcPr>
            <w:tcW w:w="1215" w:type="dxa"/>
            <w:vAlign w:val="center"/>
          </w:tcPr>
          <w:p w14:paraId="3C4F29DB" w14:textId="4DD9106F" w:rsidR="34408897" w:rsidRDefault="34408897"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ACPP</w:t>
            </w:r>
          </w:p>
        </w:tc>
        <w:tc>
          <w:tcPr>
            <w:tcW w:w="990" w:type="dxa"/>
            <w:vAlign w:val="center"/>
          </w:tcPr>
          <w:p w14:paraId="598EF08C" w14:textId="7AEB1B38" w:rsidR="34408897" w:rsidRDefault="34408897"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0 to 12</w:t>
            </w:r>
          </w:p>
        </w:tc>
        <w:tc>
          <w:tcPr>
            <w:tcW w:w="990" w:type="dxa"/>
            <w:vAlign w:val="center"/>
          </w:tcPr>
          <w:p w14:paraId="426DD34F" w14:textId="6767EC0C" w:rsidR="34408897" w:rsidRDefault="34408897"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0 to 13</w:t>
            </w:r>
          </w:p>
        </w:tc>
        <w:tc>
          <w:tcPr>
            <w:tcW w:w="980" w:type="dxa"/>
            <w:vAlign w:val="center"/>
          </w:tcPr>
          <w:p w14:paraId="788B7DC6" w14:textId="1621C714" w:rsidR="34408897" w:rsidRDefault="34408897"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0 to 13</w:t>
            </w:r>
          </w:p>
        </w:tc>
        <w:tc>
          <w:tcPr>
            <w:tcW w:w="995" w:type="dxa"/>
            <w:vAlign w:val="center"/>
          </w:tcPr>
          <w:p w14:paraId="0F830E6B" w14:textId="752B8D1B" w:rsidR="34408897" w:rsidRDefault="34408897"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0 to 14</w:t>
            </w:r>
          </w:p>
        </w:tc>
        <w:tc>
          <w:tcPr>
            <w:tcW w:w="980" w:type="dxa"/>
            <w:vAlign w:val="center"/>
          </w:tcPr>
          <w:p w14:paraId="4AD9AD7C" w14:textId="507D93E6" w:rsidR="34408897" w:rsidRDefault="34408897"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0 to 9</w:t>
            </w:r>
          </w:p>
        </w:tc>
        <w:tc>
          <w:tcPr>
            <w:tcW w:w="1000" w:type="dxa"/>
            <w:vAlign w:val="center"/>
          </w:tcPr>
          <w:p w14:paraId="794C2778" w14:textId="15D1C297" w:rsidR="05FD1449" w:rsidRDefault="05FD1449" w:rsidP="05FD1449">
            <w:pPr>
              <w:jc w:val="center"/>
              <w:rPr>
                <w:rFonts w:asciiTheme="majorHAnsi" w:eastAsiaTheme="majorEastAsia" w:hAnsiTheme="majorHAnsi" w:cstheme="majorBidi"/>
                <w:sz w:val="24"/>
                <w:szCs w:val="24"/>
              </w:rPr>
            </w:pPr>
          </w:p>
        </w:tc>
      </w:tr>
      <w:tr w:rsidR="05FD1449" w14:paraId="410F315E" w14:textId="77777777" w:rsidTr="05FD1449">
        <w:trPr>
          <w:trHeight w:val="300"/>
        </w:trPr>
        <w:tc>
          <w:tcPr>
            <w:tcW w:w="1040" w:type="dxa"/>
            <w:shd w:val="clear" w:color="auto" w:fill="D9E2F3" w:themeFill="accent1" w:themeFillTint="33"/>
            <w:vAlign w:val="center"/>
          </w:tcPr>
          <w:p w14:paraId="0E76017C" w14:textId="371C9470" w:rsidR="34408897" w:rsidRDefault="34408897"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SREs</w:t>
            </w:r>
          </w:p>
        </w:tc>
        <w:tc>
          <w:tcPr>
            <w:tcW w:w="1170" w:type="dxa"/>
            <w:vAlign w:val="center"/>
          </w:tcPr>
          <w:p w14:paraId="3C2E2E96" w14:textId="3B55570D" w:rsidR="34408897" w:rsidRDefault="34408897"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Range per plan</w:t>
            </w:r>
          </w:p>
        </w:tc>
        <w:tc>
          <w:tcPr>
            <w:tcW w:w="1215" w:type="dxa"/>
            <w:vAlign w:val="center"/>
          </w:tcPr>
          <w:p w14:paraId="30718104" w14:textId="1E01EA7E" w:rsidR="34408897" w:rsidRDefault="34408897"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MCO</w:t>
            </w:r>
          </w:p>
        </w:tc>
        <w:tc>
          <w:tcPr>
            <w:tcW w:w="990" w:type="dxa"/>
            <w:vAlign w:val="center"/>
          </w:tcPr>
          <w:p w14:paraId="124BB13D" w14:textId="749535D0" w:rsidR="34408897" w:rsidRDefault="34408897"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2 to 13</w:t>
            </w:r>
          </w:p>
        </w:tc>
        <w:tc>
          <w:tcPr>
            <w:tcW w:w="990" w:type="dxa"/>
            <w:vAlign w:val="center"/>
          </w:tcPr>
          <w:p w14:paraId="3DBBD03F" w14:textId="54AC70BE" w:rsidR="34408897" w:rsidRDefault="34408897"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3 to 35</w:t>
            </w:r>
          </w:p>
        </w:tc>
        <w:tc>
          <w:tcPr>
            <w:tcW w:w="980" w:type="dxa"/>
            <w:vAlign w:val="center"/>
          </w:tcPr>
          <w:p w14:paraId="10447880" w14:textId="1C5998EB" w:rsidR="34408897" w:rsidRDefault="34408897"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7 to 19</w:t>
            </w:r>
          </w:p>
        </w:tc>
        <w:tc>
          <w:tcPr>
            <w:tcW w:w="995" w:type="dxa"/>
            <w:vAlign w:val="center"/>
          </w:tcPr>
          <w:p w14:paraId="499A20C9" w14:textId="47BF9019" w:rsidR="34408897" w:rsidRDefault="34408897"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4 to 21</w:t>
            </w:r>
          </w:p>
        </w:tc>
        <w:tc>
          <w:tcPr>
            <w:tcW w:w="980" w:type="dxa"/>
            <w:vAlign w:val="center"/>
          </w:tcPr>
          <w:p w14:paraId="53E0F214" w14:textId="6244695D" w:rsidR="34408897" w:rsidRDefault="34408897"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3 to 36</w:t>
            </w:r>
          </w:p>
        </w:tc>
        <w:tc>
          <w:tcPr>
            <w:tcW w:w="1000" w:type="dxa"/>
            <w:vAlign w:val="center"/>
          </w:tcPr>
          <w:p w14:paraId="736524D2" w14:textId="7BD90990" w:rsidR="34408897" w:rsidRDefault="34408897"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0 to 17</w:t>
            </w:r>
          </w:p>
        </w:tc>
      </w:tr>
      <w:tr w:rsidR="05FD1449" w14:paraId="53900877" w14:textId="77777777" w:rsidTr="05FD1449">
        <w:trPr>
          <w:trHeight w:val="300"/>
        </w:trPr>
        <w:tc>
          <w:tcPr>
            <w:tcW w:w="1040" w:type="dxa"/>
            <w:shd w:val="clear" w:color="auto" w:fill="D9E2F3" w:themeFill="accent1" w:themeFillTint="33"/>
            <w:vAlign w:val="center"/>
          </w:tcPr>
          <w:p w14:paraId="124BF966" w14:textId="35193FA8" w:rsidR="34408897" w:rsidRDefault="34408897"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lastRenderedPageBreak/>
              <w:t>SREs</w:t>
            </w:r>
          </w:p>
        </w:tc>
        <w:tc>
          <w:tcPr>
            <w:tcW w:w="1170" w:type="dxa"/>
            <w:vAlign w:val="center"/>
          </w:tcPr>
          <w:p w14:paraId="00D53FC4" w14:textId="32218F83" w:rsidR="34408897" w:rsidRDefault="34408897"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Rate per 1000 members</w:t>
            </w:r>
          </w:p>
        </w:tc>
        <w:tc>
          <w:tcPr>
            <w:tcW w:w="1215" w:type="dxa"/>
            <w:vAlign w:val="center"/>
          </w:tcPr>
          <w:p w14:paraId="303B5F45" w14:textId="3C0EBB2B" w:rsidR="78D734D3" w:rsidRDefault="78D734D3"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Combined</w:t>
            </w:r>
          </w:p>
        </w:tc>
        <w:tc>
          <w:tcPr>
            <w:tcW w:w="990" w:type="dxa"/>
            <w:vAlign w:val="center"/>
          </w:tcPr>
          <w:p w14:paraId="2E596E3E" w14:textId="1D3D60EB" w:rsidR="78D734D3" w:rsidRDefault="78D734D3"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0.06</w:t>
            </w:r>
          </w:p>
        </w:tc>
        <w:tc>
          <w:tcPr>
            <w:tcW w:w="990" w:type="dxa"/>
            <w:vAlign w:val="center"/>
          </w:tcPr>
          <w:p w14:paraId="3F250543" w14:textId="3E5EB76D" w:rsidR="78D734D3" w:rsidRDefault="78D734D3"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0.08</w:t>
            </w:r>
          </w:p>
        </w:tc>
        <w:tc>
          <w:tcPr>
            <w:tcW w:w="980" w:type="dxa"/>
            <w:vAlign w:val="center"/>
          </w:tcPr>
          <w:p w14:paraId="01265D21" w14:textId="28F141B3" w:rsidR="78D734D3" w:rsidRDefault="78D734D3"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0.11</w:t>
            </w:r>
          </w:p>
        </w:tc>
        <w:tc>
          <w:tcPr>
            <w:tcW w:w="995" w:type="dxa"/>
            <w:vAlign w:val="center"/>
          </w:tcPr>
          <w:p w14:paraId="50A2F1DD" w14:textId="311BCA70" w:rsidR="78D734D3" w:rsidRDefault="78D734D3"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0.12</w:t>
            </w:r>
          </w:p>
        </w:tc>
        <w:tc>
          <w:tcPr>
            <w:tcW w:w="980" w:type="dxa"/>
            <w:vAlign w:val="center"/>
          </w:tcPr>
          <w:p w14:paraId="0236B8A8" w14:textId="3FE735EB" w:rsidR="78D734D3" w:rsidRDefault="78D734D3"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0.09</w:t>
            </w:r>
          </w:p>
        </w:tc>
        <w:tc>
          <w:tcPr>
            <w:tcW w:w="1000" w:type="dxa"/>
            <w:vAlign w:val="center"/>
          </w:tcPr>
          <w:p w14:paraId="4ACE7131" w14:textId="15D1C297" w:rsidR="05FD1449" w:rsidRDefault="05FD1449" w:rsidP="05FD1449">
            <w:pPr>
              <w:jc w:val="center"/>
              <w:rPr>
                <w:rFonts w:asciiTheme="majorHAnsi" w:eastAsiaTheme="majorEastAsia" w:hAnsiTheme="majorHAnsi" w:cstheme="majorBidi"/>
                <w:sz w:val="24"/>
                <w:szCs w:val="24"/>
              </w:rPr>
            </w:pPr>
          </w:p>
        </w:tc>
      </w:tr>
      <w:tr w:rsidR="05FD1449" w14:paraId="7C229FDD" w14:textId="77777777" w:rsidTr="05FD1449">
        <w:trPr>
          <w:trHeight w:val="300"/>
        </w:trPr>
        <w:tc>
          <w:tcPr>
            <w:tcW w:w="1040" w:type="dxa"/>
            <w:shd w:val="clear" w:color="auto" w:fill="D9E2F3" w:themeFill="accent1" w:themeFillTint="33"/>
            <w:vAlign w:val="center"/>
          </w:tcPr>
          <w:p w14:paraId="43B5F017" w14:textId="6B237F3B" w:rsidR="34408897" w:rsidRDefault="34408897"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PPCs</w:t>
            </w:r>
          </w:p>
        </w:tc>
        <w:tc>
          <w:tcPr>
            <w:tcW w:w="1170" w:type="dxa"/>
            <w:vAlign w:val="center"/>
          </w:tcPr>
          <w:p w14:paraId="5A7635A6" w14:textId="7E68967F" w:rsidR="34408897" w:rsidRDefault="34408897"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Range per plan</w:t>
            </w:r>
          </w:p>
        </w:tc>
        <w:tc>
          <w:tcPr>
            <w:tcW w:w="1215" w:type="dxa"/>
            <w:vAlign w:val="center"/>
          </w:tcPr>
          <w:p w14:paraId="7E1A13CF" w14:textId="667F019A"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ACPP</w:t>
            </w:r>
          </w:p>
        </w:tc>
        <w:tc>
          <w:tcPr>
            <w:tcW w:w="990" w:type="dxa"/>
            <w:vAlign w:val="center"/>
          </w:tcPr>
          <w:p w14:paraId="6CAB8C91" w14:textId="24B757AA"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0 to 20</w:t>
            </w:r>
          </w:p>
        </w:tc>
        <w:tc>
          <w:tcPr>
            <w:tcW w:w="990" w:type="dxa"/>
            <w:vAlign w:val="center"/>
          </w:tcPr>
          <w:p w14:paraId="421AA2A1" w14:textId="0EC501CB"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0 to 25</w:t>
            </w:r>
          </w:p>
        </w:tc>
        <w:tc>
          <w:tcPr>
            <w:tcW w:w="980" w:type="dxa"/>
            <w:vAlign w:val="center"/>
          </w:tcPr>
          <w:p w14:paraId="163C7F71" w14:textId="245D63BE"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0 to 29</w:t>
            </w:r>
          </w:p>
        </w:tc>
        <w:tc>
          <w:tcPr>
            <w:tcW w:w="995" w:type="dxa"/>
            <w:vAlign w:val="center"/>
          </w:tcPr>
          <w:p w14:paraId="4DC11B34" w14:textId="5D43769B"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0 to 17</w:t>
            </w:r>
          </w:p>
        </w:tc>
        <w:tc>
          <w:tcPr>
            <w:tcW w:w="980" w:type="dxa"/>
            <w:vAlign w:val="center"/>
          </w:tcPr>
          <w:p w14:paraId="212EEBF6" w14:textId="54E14B36"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0 to 10</w:t>
            </w:r>
          </w:p>
        </w:tc>
        <w:tc>
          <w:tcPr>
            <w:tcW w:w="1000" w:type="dxa"/>
            <w:vAlign w:val="center"/>
          </w:tcPr>
          <w:p w14:paraId="60B25B18" w14:textId="15D1C297" w:rsidR="05FD1449" w:rsidRDefault="05FD1449" w:rsidP="05FD1449">
            <w:pPr>
              <w:jc w:val="center"/>
              <w:rPr>
                <w:rFonts w:asciiTheme="majorHAnsi" w:eastAsiaTheme="majorEastAsia" w:hAnsiTheme="majorHAnsi" w:cstheme="majorBidi"/>
                <w:sz w:val="24"/>
                <w:szCs w:val="24"/>
              </w:rPr>
            </w:pPr>
          </w:p>
        </w:tc>
      </w:tr>
      <w:tr w:rsidR="05FD1449" w14:paraId="58B4FBEE" w14:textId="77777777" w:rsidTr="05FD1449">
        <w:trPr>
          <w:trHeight w:val="300"/>
        </w:trPr>
        <w:tc>
          <w:tcPr>
            <w:tcW w:w="1040" w:type="dxa"/>
            <w:shd w:val="clear" w:color="auto" w:fill="D9E2F3" w:themeFill="accent1" w:themeFillTint="33"/>
            <w:vAlign w:val="center"/>
          </w:tcPr>
          <w:p w14:paraId="7F5B2A7D" w14:textId="7F32A09E"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PPCs</w:t>
            </w:r>
          </w:p>
        </w:tc>
        <w:tc>
          <w:tcPr>
            <w:tcW w:w="1170" w:type="dxa"/>
            <w:vAlign w:val="center"/>
          </w:tcPr>
          <w:p w14:paraId="47615FB1" w14:textId="75E5EF96"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Range per plan</w:t>
            </w:r>
          </w:p>
        </w:tc>
        <w:tc>
          <w:tcPr>
            <w:tcW w:w="1215" w:type="dxa"/>
            <w:vAlign w:val="center"/>
          </w:tcPr>
          <w:p w14:paraId="11BF8953" w14:textId="0DF40A44"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MCO</w:t>
            </w:r>
          </w:p>
        </w:tc>
        <w:tc>
          <w:tcPr>
            <w:tcW w:w="990" w:type="dxa"/>
            <w:vAlign w:val="center"/>
          </w:tcPr>
          <w:p w14:paraId="70254F4E" w14:textId="22247F96"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2 to 40</w:t>
            </w:r>
          </w:p>
        </w:tc>
        <w:tc>
          <w:tcPr>
            <w:tcW w:w="990" w:type="dxa"/>
            <w:vAlign w:val="center"/>
          </w:tcPr>
          <w:p w14:paraId="28921E92" w14:textId="18DC792A"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3 to 40</w:t>
            </w:r>
          </w:p>
        </w:tc>
        <w:tc>
          <w:tcPr>
            <w:tcW w:w="980" w:type="dxa"/>
            <w:vAlign w:val="center"/>
          </w:tcPr>
          <w:p w14:paraId="7587E75A" w14:textId="36959324"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7 to 51</w:t>
            </w:r>
          </w:p>
        </w:tc>
        <w:tc>
          <w:tcPr>
            <w:tcW w:w="995" w:type="dxa"/>
            <w:vAlign w:val="center"/>
          </w:tcPr>
          <w:p w14:paraId="3CD9AEC4" w14:textId="3124A54A"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1 to 19</w:t>
            </w:r>
          </w:p>
        </w:tc>
        <w:tc>
          <w:tcPr>
            <w:tcW w:w="980" w:type="dxa"/>
            <w:vAlign w:val="center"/>
          </w:tcPr>
          <w:p w14:paraId="228295D8" w14:textId="2FF28E1A"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3 to 62</w:t>
            </w:r>
          </w:p>
        </w:tc>
        <w:tc>
          <w:tcPr>
            <w:tcW w:w="1000" w:type="dxa"/>
            <w:vAlign w:val="center"/>
          </w:tcPr>
          <w:p w14:paraId="41CBCBBF" w14:textId="2AC35E31"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0 to 23</w:t>
            </w:r>
          </w:p>
        </w:tc>
      </w:tr>
      <w:tr w:rsidR="05FD1449" w14:paraId="507D4DD3" w14:textId="77777777" w:rsidTr="05FD1449">
        <w:trPr>
          <w:trHeight w:val="300"/>
        </w:trPr>
        <w:tc>
          <w:tcPr>
            <w:tcW w:w="1040" w:type="dxa"/>
            <w:shd w:val="clear" w:color="auto" w:fill="D9E2F3" w:themeFill="accent1" w:themeFillTint="33"/>
            <w:vAlign w:val="center"/>
          </w:tcPr>
          <w:p w14:paraId="7B9CFE1C" w14:textId="0FFF3B0C"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PPCs</w:t>
            </w:r>
          </w:p>
        </w:tc>
        <w:tc>
          <w:tcPr>
            <w:tcW w:w="1170" w:type="dxa"/>
            <w:vAlign w:val="center"/>
          </w:tcPr>
          <w:p w14:paraId="63B05338" w14:textId="1C8DCFCF"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Rate per 1000 members</w:t>
            </w:r>
          </w:p>
        </w:tc>
        <w:tc>
          <w:tcPr>
            <w:tcW w:w="1215" w:type="dxa"/>
            <w:vAlign w:val="center"/>
          </w:tcPr>
          <w:p w14:paraId="670246E0" w14:textId="4840B37A"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Combined</w:t>
            </w:r>
          </w:p>
        </w:tc>
        <w:tc>
          <w:tcPr>
            <w:tcW w:w="990" w:type="dxa"/>
            <w:vAlign w:val="center"/>
          </w:tcPr>
          <w:p w14:paraId="362E427A" w14:textId="26C842C6"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0.08</w:t>
            </w:r>
          </w:p>
        </w:tc>
        <w:tc>
          <w:tcPr>
            <w:tcW w:w="990" w:type="dxa"/>
            <w:vAlign w:val="center"/>
          </w:tcPr>
          <w:p w14:paraId="23CD4AD0" w14:textId="2B43C0FA"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0.10</w:t>
            </w:r>
          </w:p>
        </w:tc>
        <w:tc>
          <w:tcPr>
            <w:tcW w:w="980" w:type="dxa"/>
            <w:vAlign w:val="center"/>
          </w:tcPr>
          <w:p w14:paraId="27EF3747" w14:textId="72ED880F"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0.21</w:t>
            </w:r>
          </w:p>
        </w:tc>
        <w:tc>
          <w:tcPr>
            <w:tcW w:w="995" w:type="dxa"/>
            <w:vAlign w:val="center"/>
          </w:tcPr>
          <w:p w14:paraId="1ABDC2EC" w14:textId="11739DED"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0.09</w:t>
            </w:r>
          </w:p>
        </w:tc>
        <w:tc>
          <w:tcPr>
            <w:tcW w:w="980" w:type="dxa"/>
            <w:vAlign w:val="center"/>
          </w:tcPr>
          <w:p w14:paraId="627F164E" w14:textId="4BB7AAAB" w:rsidR="178C41FB" w:rsidRDefault="178C41FB" w:rsidP="05FD1449">
            <w:pPr>
              <w:jc w:val="cente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0.13</w:t>
            </w:r>
          </w:p>
        </w:tc>
        <w:tc>
          <w:tcPr>
            <w:tcW w:w="1000" w:type="dxa"/>
            <w:vAlign w:val="center"/>
          </w:tcPr>
          <w:p w14:paraId="6A56F3E9" w14:textId="7602E011" w:rsidR="05FD1449" w:rsidRDefault="05FD1449" w:rsidP="05FD1449">
            <w:pPr>
              <w:jc w:val="center"/>
              <w:rPr>
                <w:rFonts w:asciiTheme="majorHAnsi" w:eastAsiaTheme="majorEastAsia" w:hAnsiTheme="majorHAnsi" w:cstheme="majorBidi"/>
                <w:sz w:val="24"/>
                <w:szCs w:val="24"/>
              </w:rPr>
            </w:pPr>
          </w:p>
        </w:tc>
      </w:tr>
    </w:tbl>
    <w:p w14:paraId="729D203A" w14:textId="1B55E5A3" w:rsidR="05FD1449" w:rsidRDefault="05FD1449" w:rsidP="05FD1449">
      <w:pPr>
        <w:spacing w:after="0"/>
        <w:rPr>
          <w:rFonts w:asciiTheme="majorHAnsi" w:eastAsiaTheme="majorEastAsia" w:hAnsiTheme="majorHAnsi" w:cstheme="majorBidi"/>
          <w:sz w:val="24"/>
          <w:szCs w:val="24"/>
        </w:rPr>
      </w:pPr>
    </w:p>
    <w:p w14:paraId="27AAFF9C" w14:textId="794B5FDC" w:rsidR="1A6544E9" w:rsidRDefault="1A6544E9"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Key Takeaways:</w:t>
      </w:r>
    </w:p>
    <w:p w14:paraId="3774ABDD" w14:textId="1C4767D6" w:rsidR="1A6544E9" w:rsidRDefault="1A6544E9" w:rsidP="008240EA">
      <w:pPr>
        <w:pStyle w:val="ListParagraph"/>
        <w:numPr>
          <w:ilvl w:val="0"/>
          <w:numId w:val="14"/>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Both </w:t>
      </w:r>
      <w:r w:rsidRPr="05FD1449">
        <w:rPr>
          <w:rFonts w:asciiTheme="majorHAnsi" w:eastAsiaTheme="majorEastAsia" w:hAnsiTheme="majorHAnsi" w:cstheme="majorBidi"/>
          <w:b/>
          <w:bCs/>
          <w:sz w:val="24"/>
          <w:szCs w:val="24"/>
        </w:rPr>
        <w:t>SRE events and rate per 1,000 members decreased</w:t>
      </w:r>
      <w:r w:rsidRPr="05FD1449">
        <w:rPr>
          <w:rFonts w:asciiTheme="majorHAnsi" w:eastAsiaTheme="majorEastAsia" w:hAnsiTheme="majorHAnsi" w:cstheme="majorBidi"/>
          <w:sz w:val="24"/>
          <w:szCs w:val="24"/>
        </w:rPr>
        <w:t xml:space="preserve"> in </w:t>
      </w:r>
      <w:proofErr w:type="gramStart"/>
      <w:r w:rsidRPr="05FD1449">
        <w:rPr>
          <w:rFonts w:asciiTheme="majorHAnsi" w:eastAsiaTheme="majorEastAsia" w:hAnsiTheme="majorHAnsi" w:cstheme="majorBidi"/>
          <w:sz w:val="24"/>
          <w:szCs w:val="24"/>
        </w:rPr>
        <w:t>2022 .</w:t>
      </w:r>
      <w:proofErr w:type="gramEnd"/>
      <w:r w:rsidRPr="05FD1449">
        <w:rPr>
          <w:rFonts w:asciiTheme="majorHAnsi" w:eastAsiaTheme="majorEastAsia" w:hAnsiTheme="majorHAnsi" w:cstheme="majorBidi"/>
          <w:sz w:val="24"/>
          <w:szCs w:val="24"/>
        </w:rPr>
        <w:t xml:space="preserve"> </w:t>
      </w:r>
    </w:p>
    <w:p w14:paraId="58C0591E" w14:textId="76F890CD" w:rsidR="1A6544E9" w:rsidRDefault="1A6544E9" w:rsidP="008240EA">
      <w:pPr>
        <w:pStyle w:val="ListParagraph"/>
        <w:numPr>
          <w:ilvl w:val="0"/>
          <w:numId w:val="14"/>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Both </w:t>
      </w:r>
      <w:r w:rsidRPr="05FD1449">
        <w:rPr>
          <w:rFonts w:asciiTheme="majorHAnsi" w:eastAsiaTheme="majorEastAsia" w:hAnsiTheme="majorHAnsi" w:cstheme="majorBidi"/>
          <w:b/>
          <w:bCs/>
          <w:sz w:val="24"/>
          <w:szCs w:val="24"/>
        </w:rPr>
        <w:t>PPC events and rate per 1,000 members decreased</w:t>
      </w:r>
      <w:r w:rsidRPr="05FD1449">
        <w:rPr>
          <w:rFonts w:asciiTheme="majorHAnsi" w:eastAsiaTheme="majorEastAsia" w:hAnsiTheme="majorHAnsi" w:cstheme="majorBidi"/>
          <w:sz w:val="24"/>
          <w:szCs w:val="24"/>
        </w:rPr>
        <w:t xml:space="preserve"> in 2022. </w:t>
      </w:r>
    </w:p>
    <w:p w14:paraId="25C6E02B" w14:textId="57701DA7" w:rsidR="1A6544E9" w:rsidRDefault="1A6544E9" w:rsidP="008240EA">
      <w:pPr>
        <w:pStyle w:val="ListParagraph"/>
        <w:numPr>
          <w:ilvl w:val="0"/>
          <w:numId w:val="14"/>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Overall, the </w:t>
      </w:r>
      <w:r w:rsidRPr="05FD1449">
        <w:rPr>
          <w:rFonts w:asciiTheme="majorHAnsi" w:eastAsiaTheme="majorEastAsia" w:hAnsiTheme="majorHAnsi" w:cstheme="majorBidi"/>
          <w:b/>
          <w:bCs/>
          <w:sz w:val="24"/>
          <w:szCs w:val="24"/>
        </w:rPr>
        <w:t xml:space="preserve">occurrence of these events is relatively </w:t>
      </w:r>
      <w:proofErr w:type="gramStart"/>
      <w:r w:rsidRPr="05FD1449">
        <w:rPr>
          <w:rFonts w:asciiTheme="majorHAnsi" w:eastAsiaTheme="majorEastAsia" w:hAnsiTheme="majorHAnsi" w:cstheme="majorBidi"/>
          <w:b/>
          <w:bCs/>
          <w:sz w:val="24"/>
          <w:szCs w:val="24"/>
        </w:rPr>
        <w:t>rare</w:t>
      </w:r>
      <w:proofErr w:type="gramEnd"/>
      <w:r w:rsidR="34816907" w:rsidRPr="05FD1449">
        <w:rPr>
          <w:rFonts w:asciiTheme="majorHAnsi" w:eastAsiaTheme="majorEastAsia" w:hAnsiTheme="majorHAnsi" w:cstheme="majorBidi"/>
          <w:b/>
          <w:bCs/>
          <w:sz w:val="24"/>
          <w:szCs w:val="24"/>
        </w:rPr>
        <w:t xml:space="preserve"> </w:t>
      </w:r>
      <w:r w:rsidRPr="05FD1449">
        <w:rPr>
          <w:rFonts w:asciiTheme="majorHAnsi" w:eastAsiaTheme="majorEastAsia" w:hAnsiTheme="majorHAnsi" w:cstheme="majorBidi"/>
          <w:sz w:val="24"/>
          <w:szCs w:val="24"/>
        </w:rPr>
        <w:t>and the numbers are small (e.g., &lt;10 per ACO/MCO).</w:t>
      </w:r>
    </w:p>
    <w:p w14:paraId="16057FCC" w14:textId="5777E8CF" w:rsidR="2B2D41E2" w:rsidRDefault="2B2D41E2" w:rsidP="05FD1449">
      <w:pPr>
        <w:pStyle w:val="Heading2"/>
        <w:rPr>
          <w:sz w:val="22"/>
          <w:szCs w:val="22"/>
        </w:rPr>
      </w:pPr>
      <w:r>
        <w:t>Cost Data: Update and Trends</w:t>
      </w:r>
    </w:p>
    <w:p w14:paraId="0BEDBD15" w14:textId="46709061" w:rsidR="2B2D41E2" w:rsidRDefault="2B2D41E2" w:rsidP="05FD1449">
      <w:pPr>
        <w:pStyle w:val="Heading4"/>
      </w:pPr>
      <w:r>
        <w:t xml:space="preserve">Slide 53: Overview of 2022 Cost Data and ACO Financial Performance </w:t>
      </w:r>
    </w:p>
    <w:p w14:paraId="36CFE1DF" w14:textId="2A1425C5" w:rsidR="62248A68" w:rsidRDefault="62248A68" w:rsidP="05FD1449">
      <w:pPr>
        <w:spacing w:after="0"/>
        <w:rPr>
          <w:rFonts w:asciiTheme="majorHAnsi" w:eastAsiaTheme="majorEastAsia" w:hAnsiTheme="majorHAnsi" w:cstheme="majorBidi"/>
          <w:b/>
          <w:bCs/>
          <w:sz w:val="24"/>
          <w:szCs w:val="24"/>
          <w:u w:val="single"/>
        </w:rPr>
      </w:pPr>
      <w:r w:rsidRPr="05FD1449">
        <w:rPr>
          <w:rFonts w:asciiTheme="majorHAnsi" w:eastAsiaTheme="majorEastAsia" w:hAnsiTheme="majorHAnsi" w:cstheme="majorBidi"/>
          <w:b/>
          <w:bCs/>
          <w:sz w:val="24"/>
          <w:szCs w:val="24"/>
          <w:u w:val="single"/>
        </w:rPr>
        <w:t xml:space="preserve">Overall spend </w:t>
      </w:r>
    </w:p>
    <w:p w14:paraId="1B8D49EA" w14:textId="6F044684" w:rsidR="62248A68" w:rsidRDefault="62248A68" w:rsidP="008240EA">
      <w:pPr>
        <w:pStyle w:val="ListParagraph"/>
        <w:numPr>
          <w:ilvl w:val="0"/>
          <w:numId w:val="13"/>
        </w:numPr>
        <w:spacing w:after="0"/>
        <w:rPr>
          <w:rFonts w:asciiTheme="majorHAnsi" w:eastAsiaTheme="majorEastAsia" w:hAnsiTheme="majorHAnsi" w:cstheme="majorBidi"/>
        </w:rPr>
      </w:pPr>
      <w:r w:rsidRPr="05FD1449">
        <w:rPr>
          <w:rFonts w:asciiTheme="majorHAnsi" w:eastAsiaTheme="majorEastAsia" w:hAnsiTheme="majorHAnsi" w:cstheme="majorBidi"/>
          <w:sz w:val="24"/>
          <w:szCs w:val="24"/>
        </w:rPr>
        <w:t>In 2022, the ACO program accounted for $6.9B</w:t>
      </w:r>
      <w:r w:rsidRPr="05FD1449">
        <w:rPr>
          <w:rStyle w:val="FootnoteReference"/>
          <w:rFonts w:asciiTheme="majorHAnsi" w:eastAsiaTheme="majorEastAsia" w:hAnsiTheme="majorHAnsi" w:cstheme="majorBidi"/>
          <w:sz w:val="24"/>
          <w:szCs w:val="24"/>
        </w:rPr>
        <w:footnoteReference w:id="31"/>
      </w:r>
      <w:r w:rsidRPr="05FD1449">
        <w:rPr>
          <w:rFonts w:asciiTheme="majorHAnsi" w:eastAsiaTheme="majorEastAsia" w:hAnsiTheme="majorHAnsi" w:cstheme="majorBidi"/>
          <w:sz w:val="24"/>
          <w:szCs w:val="24"/>
        </w:rPr>
        <w:t xml:space="preserve"> of MassHealth spending, with an average annual total cost of medical services per member of ~$5,800; when including Q1 2023, through the end of the ACO contract, an additional ~$1.8B was spent for a total five-quarter period expense of </w:t>
      </w:r>
      <w:r w:rsidRPr="05FD1449">
        <w:rPr>
          <w:rFonts w:asciiTheme="majorHAnsi" w:eastAsiaTheme="majorEastAsia" w:hAnsiTheme="majorHAnsi" w:cstheme="majorBidi"/>
          <w:b/>
          <w:bCs/>
          <w:sz w:val="24"/>
          <w:szCs w:val="24"/>
        </w:rPr>
        <w:t xml:space="preserve">$8.7B. </w:t>
      </w:r>
    </w:p>
    <w:p w14:paraId="55E6024B" w14:textId="51895BBE" w:rsidR="62248A68" w:rsidRDefault="62248A68" w:rsidP="008240EA">
      <w:pPr>
        <w:pStyle w:val="ListParagraph"/>
        <w:numPr>
          <w:ilvl w:val="0"/>
          <w:numId w:val="13"/>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ACO </w:t>
      </w:r>
      <w:proofErr w:type="gramStart"/>
      <w:r w:rsidRPr="05FD1449">
        <w:rPr>
          <w:rFonts w:asciiTheme="majorHAnsi" w:eastAsiaTheme="majorEastAsia" w:hAnsiTheme="majorHAnsi" w:cstheme="majorBidi"/>
          <w:sz w:val="24"/>
          <w:szCs w:val="24"/>
        </w:rPr>
        <w:t>medical</w:t>
      </w:r>
      <w:proofErr w:type="gramEnd"/>
      <w:r w:rsidRPr="05FD1449">
        <w:rPr>
          <w:rFonts w:asciiTheme="majorHAnsi" w:eastAsiaTheme="majorEastAsia" w:hAnsiTheme="majorHAnsi" w:cstheme="majorBidi"/>
          <w:sz w:val="24"/>
          <w:szCs w:val="24"/>
        </w:rPr>
        <w:t xml:space="preserve"> spend per member increased on average by approximately 2% from 2021 to 2022: </w:t>
      </w:r>
    </w:p>
    <w:p w14:paraId="2647BB0D" w14:textId="55042229" w:rsidR="62248A68" w:rsidRDefault="62248A68" w:rsidP="008240EA">
      <w:pPr>
        <w:pStyle w:val="ListParagraph"/>
        <w:numPr>
          <w:ilvl w:val="1"/>
          <w:numId w:val="13"/>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Increase concentrated in child population; adult member per year </w:t>
      </w:r>
      <w:proofErr w:type="gramStart"/>
      <w:r w:rsidRPr="05FD1449">
        <w:rPr>
          <w:rFonts w:asciiTheme="majorHAnsi" w:eastAsiaTheme="majorEastAsia" w:hAnsiTheme="majorHAnsi" w:cstheme="majorBidi"/>
          <w:sz w:val="24"/>
          <w:szCs w:val="24"/>
        </w:rPr>
        <w:t>spend</w:t>
      </w:r>
      <w:proofErr w:type="gramEnd"/>
      <w:r w:rsidRPr="05FD1449">
        <w:rPr>
          <w:rFonts w:asciiTheme="majorHAnsi" w:eastAsiaTheme="majorEastAsia" w:hAnsiTheme="majorHAnsi" w:cstheme="majorBidi"/>
          <w:sz w:val="24"/>
          <w:szCs w:val="24"/>
        </w:rPr>
        <w:t xml:space="preserve"> was slightly higher </w:t>
      </w:r>
    </w:p>
    <w:p w14:paraId="74B16E07" w14:textId="67D5EB8E" w:rsidR="62248A68" w:rsidRDefault="62248A68" w:rsidP="008240EA">
      <w:pPr>
        <w:pStyle w:val="ListParagraph"/>
        <w:numPr>
          <w:ilvl w:val="1"/>
          <w:numId w:val="13"/>
        </w:numPr>
        <w:spacing w:after="0"/>
        <w:rPr>
          <w:rFonts w:asciiTheme="majorHAnsi" w:eastAsiaTheme="majorEastAsia" w:hAnsiTheme="majorHAnsi" w:cstheme="majorBidi"/>
        </w:rPr>
      </w:pPr>
      <w:r w:rsidRPr="05FD1449">
        <w:rPr>
          <w:rFonts w:asciiTheme="majorHAnsi" w:eastAsiaTheme="majorEastAsia" w:hAnsiTheme="majorHAnsi" w:cstheme="majorBidi"/>
          <w:sz w:val="24"/>
          <w:szCs w:val="24"/>
        </w:rPr>
        <w:t xml:space="preserve">Decreases in </w:t>
      </w:r>
      <w:proofErr w:type="gramStart"/>
      <w:r w:rsidRPr="05FD1449">
        <w:rPr>
          <w:rFonts w:asciiTheme="majorHAnsi" w:eastAsiaTheme="majorEastAsia" w:hAnsiTheme="majorHAnsi" w:cstheme="majorBidi"/>
          <w:sz w:val="24"/>
          <w:szCs w:val="24"/>
        </w:rPr>
        <w:t>inpatient</w:t>
      </w:r>
      <w:proofErr w:type="gramEnd"/>
      <w:r w:rsidRPr="05FD1449">
        <w:rPr>
          <w:rFonts w:asciiTheme="majorHAnsi" w:eastAsiaTheme="majorEastAsia" w:hAnsiTheme="majorHAnsi" w:cstheme="majorBidi"/>
          <w:sz w:val="24"/>
          <w:szCs w:val="24"/>
        </w:rPr>
        <w:t xml:space="preserve"> were offset by increases in pharmacy, outpatient, and other routine care </w:t>
      </w:r>
    </w:p>
    <w:p w14:paraId="34A956E4" w14:textId="413E6C18" w:rsidR="62248A68" w:rsidRDefault="62248A68" w:rsidP="05FD1449">
      <w:pPr>
        <w:spacing w:after="0"/>
      </w:pPr>
      <w:r w:rsidRPr="05FD1449">
        <w:rPr>
          <w:rFonts w:asciiTheme="majorHAnsi" w:eastAsiaTheme="majorEastAsia" w:hAnsiTheme="majorHAnsi" w:cstheme="majorBidi"/>
          <w:sz w:val="24"/>
          <w:szCs w:val="24"/>
        </w:rPr>
        <w:t xml:space="preserve"> </w:t>
      </w:r>
    </w:p>
    <w:p w14:paraId="3D2C1C0A" w14:textId="6BF21F37" w:rsidR="62248A68" w:rsidRDefault="62248A68" w:rsidP="05FD1449">
      <w:pPr>
        <w:spacing w:after="0"/>
        <w:rPr>
          <w:rFonts w:asciiTheme="majorHAnsi" w:eastAsiaTheme="majorEastAsia" w:hAnsiTheme="majorHAnsi" w:cstheme="majorBidi"/>
          <w:b/>
          <w:bCs/>
          <w:sz w:val="24"/>
          <w:szCs w:val="24"/>
          <w:u w:val="single"/>
        </w:rPr>
      </w:pPr>
      <w:r w:rsidRPr="05FD1449">
        <w:rPr>
          <w:rFonts w:asciiTheme="majorHAnsi" w:eastAsiaTheme="majorEastAsia" w:hAnsiTheme="majorHAnsi" w:cstheme="majorBidi"/>
          <w:b/>
          <w:bCs/>
          <w:sz w:val="24"/>
          <w:szCs w:val="24"/>
          <w:u w:val="single"/>
        </w:rPr>
        <w:t xml:space="preserve">Financial Performance </w:t>
      </w:r>
    </w:p>
    <w:p w14:paraId="1C1C0594" w14:textId="22B9CA25" w:rsidR="62248A68" w:rsidRDefault="62248A68" w:rsidP="008240EA">
      <w:pPr>
        <w:pStyle w:val="ListParagraph"/>
        <w:numPr>
          <w:ilvl w:val="0"/>
          <w:numId w:val="12"/>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Most ACOs experienced financial gains in 2022  </w:t>
      </w:r>
    </w:p>
    <w:p w14:paraId="2115968F" w14:textId="48728C80" w:rsidR="62248A68" w:rsidRDefault="62248A68" w:rsidP="008240EA">
      <w:pPr>
        <w:pStyle w:val="ListParagraph"/>
        <w:numPr>
          <w:ilvl w:val="0"/>
          <w:numId w:val="12"/>
        </w:numPr>
        <w:spacing w:after="0"/>
        <w:rPr>
          <w:rFonts w:asciiTheme="majorHAnsi" w:eastAsiaTheme="majorEastAsia" w:hAnsiTheme="majorHAnsi" w:cstheme="majorBidi"/>
        </w:rPr>
      </w:pPr>
      <w:r w:rsidRPr="05FD1449">
        <w:rPr>
          <w:rFonts w:asciiTheme="majorHAnsi" w:eastAsiaTheme="majorEastAsia" w:hAnsiTheme="majorHAnsi" w:cstheme="majorBidi"/>
          <w:sz w:val="24"/>
          <w:szCs w:val="24"/>
        </w:rPr>
        <w:t>ACPP/PCACOs were in 1.5%</w:t>
      </w:r>
      <w:r w:rsidRPr="05FD1449">
        <w:rPr>
          <w:rStyle w:val="FootnoteReference"/>
          <w:rFonts w:asciiTheme="majorHAnsi" w:eastAsiaTheme="majorEastAsia" w:hAnsiTheme="majorHAnsi" w:cstheme="majorBidi"/>
          <w:sz w:val="24"/>
          <w:szCs w:val="24"/>
        </w:rPr>
        <w:footnoteReference w:id="32"/>
      </w:r>
      <w:r w:rsidRPr="05FD1449">
        <w:rPr>
          <w:rFonts w:asciiTheme="majorHAnsi" w:eastAsiaTheme="majorEastAsia" w:hAnsiTheme="majorHAnsi" w:cstheme="majorBidi"/>
          <w:sz w:val="24"/>
          <w:szCs w:val="24"/>
        </w:rPr>
        <w:t xml:space="preserve"> profits (following market adjustment) </w:t>
      </w:r>
    </w:p>
    <w:p w14:paraId="4B385CF1" w14:textId="7C8C9119" w:rsidR="62248A68" w:rsidRDefault="62248A68" w:rsidP="05FD1449">
      <w:pPr>
        <w:spacing w:after="0"/>
      </w:pPr>
      <w:r w:rsidRPr="05FD1449">
        <w:rPr>
          <w:rFonts w:asciiTheme="majorHAnsi" w:eastAsiaTheme="majorEastAsia" w:hAnsiTheme="majorHAnsi" w:cstheme="majorBidi"/>
          <w:sz w:val="24"/>
          <w:szCs w:val="24"/>
        </w:rPr>
        <w:t xml:space="preserve"> </w:t>
      </w:r>
    </w:p>
    <w:p w14:paraId="2B45D415" w14:textId="10EE4E93" w:rsidR="62248A68" w:rsidRDefault="62248A68" w:rsidP="05FD1449">
      <w:pPr>
        <w:spacing w:before="40" w:after="0"/>
        <w:rPr>
          <w:rFonts w:asciiTheme="majorHAnsi" w:eastAsiaTheme="majorEastAsia" w:hAnsiTheme="majorHAnsi" w:cstheme="majorBidi"/>
          <w:b/>
          <w:bCs/>
          <w:i/>
          <w:iCs/>
          <w:color w:val="2F5496" w:themeColor="accent1" w:themeShade="BF"/>
          <w:sz w:val="24"/>
          <w:szCs w:val="24"/>
          <w:u w:val="single"/>
        </w:rPr>
      </w:pPr>
      <w:r w:rsidRPr="05FD1449">
        <w:rPr>
          <w:rFonts w:asciiTheme="majorHAnsi" w:eastAsiaTheme="majorEastAsia" w:hAnsiTheme="majorHAnsi" w:cstheme="majorBidi"/>
          <w:b/>
          <w:bCs/>
          <w:sz w:val="24"/>
          <w:szCs w:val="24"/>
          <w:u w:val="single"/>
        </w:rPr>
        <w:t xml:space="preserve">Variation in </w:t>
      </w:r>
      <w:proofErr w:type="gramStart"/>
      <w:r w:rsidRPr="05FD1449">
        <w:rPr>
          <w:rFonts w:asciiTheme="majorHAnsi" w:eastAsiaTheme="majorEastAsia" w:hAnsiTheme="majorHAnsi" w:cstheme="majorBidi"/>
          <w:b/>
          <w:bCs/>
          <w:sz w:val="24"/>
          <w:szCs w:val="24"/>
          <w:u w:val="single"/>
        </w:rPr>
        <w:t>spend</w:t>
      </w:r>
      <w:proofErr w:type="gramEnd"/>
      <w:r w:rsidRPr="05FD1449">
        <w:rPr>
          <w:rFonts w:asciiTheme="majorHAnsi" w:eastAsiaTheme="majorEastAsia" w:hAnsiTheme="majorHAnsi" w:cstheme="majorBidi"/>
          <w:b/>
          <w:bCs/>
          <w:sz w:val="24"/>
          <w:szCs w:val="24"/>
          <w:u w:val="single"/>
        </w:rPr>
        <w:t xml:space="preserve"> </w:t>
      </w:r>
    </w:p>
    <w:p w14:paraId="23D5FFF5" w14:textId="5952E69D" w:rsidR="62248A68" w:rsidRDefault="62248A68" w:rsidP="008240EA">
      <w:pPr>
        <w:pStyle w:val="ListParagraph"/>
        <w:numPr>
          <w:ilvl w:val="0"/>
          <w:numId w:val="11"/>
        </w:numPr>
        <w:spacing w:after="0"/>
        <w:rPr>
          <w:rFonts w:asciiTheme="majorHAnsi" w:eastAsiaTheme="majorEastAsia" w:hAnsiTheme="majorHAnsi" w:cstheme="majorBidi"/>
        </w:rPr>
      </w:pPr>
      <w:r w:rsidRPr="05FD1449">
        <w:rPr>
          <w:rFonts w:asciiTheme="majorHAnsi" w:eastAsiaTheme="majorEastAsia" w:hAnsiTheme="majorHAnsi" w:cstheme="majorBidi"/>
          <w:sz w:val="24"/>
          <w:szCs w:val="24"/>
        </w:rPr>
        <w:lastRenderedPageBreak/>
        <w:t xml:space="preserve">Among 13 ACPPs, profit/loss performance varied by up to ~14 percentage points across ACPPs after applying adjustments </w:t>
      </w:r>
    </w:p>
    <w:p w14:paraId="3B6A5E8A" w14:textId="48DC1F8D" w:rsidR="62248A68" w:rsidRDefault="62248A68" w:rsidP="008240EA">
      <w:pPr>
        <w:pStyle w:val="ListParagraph"/>
        <w:numPr>
          <w:ilvl w:val="0"/>
          <w:numId w:val="11"/>
        </w:numPr>
        <w:spacing w:after="0"/>
        <w:rPr>
          <w:rFonts w:asciiTheme="majorHAnsi" w:eastAsiaTheme="majorEastAsia" w:hAnsiTheme="majorHAnsi" w:cstheme="majorBidi"/>
        </w:rPr>
      </w:pPr>
      <w:r w:rsidRPr="05FD1449">
        <w:rPr>
          <w:rFonts w:asciiTheme="majorHAnsi" w:eastAsiaTheme="majorEastAsia" w:hAnsiTheme="majorHAnsi" w:cstheme="majorBidi"/>
          <w:sz w:val="24"/>
          <w:szCs w:val="24"/>
        </w:rPr>
        <w:t xml:space="preserve">Among 3 PCACOs, performance varied by up to ~2 percentage points across PCACOs after applying adjustments </w:t>
      </w:r>
      <w:r>
        <w:br/>
      </w:r>
      <w:r w:rsidRPr="05FD1449">
        <w:rPr>
          <w:rFonts w:asciiTheme="majorHAnsi" w:eastAsiaTheme="majorEastAsia" w:hAnsiTheme="majorHAnsi" w:cstheme="majorBidi"/>
          <w:sz w:val="24"/>
          <w:szCs w:val="24"/>
        </w:rPr>
        <w:t xml:space="preserve"> </w:t>
      </w:r>
    </w:p>
    <w:p w14:paraId="1185C952" w14:textId="577C8BFD" w:rsidR="62248A68" w:rsidRDefault="62248A68" w:rsidP="05FD1449">
      <w:pPr>
        <w:spacing w:after="0"/>
        <w:rPr>
          <w:rFonts w:asciiTheme="majorHAnsi" w:eastAsiaTheme="majorEastAsia" w:hAnsiTheme="majorHAnsi" w:cstheme="majorBidi"/>
          <w:b/>
          <w:bCs/>
          <w:sz w:val="24"/>
          <w:szCs w:val="24"/>
          <w:u w:val="single"/>
        </w:rPr>
      </w:pPr>
      <w:r w:rsidRPr="05FD1449">
        <w:rPr>
          <w:rFonts w:asciiTheme="majorHAnsi" w:eastAsiaTheme="majorEastAsia" w:hAnsiTheme="majorHAnsi" w:cstheme="majorBidi"/>
          <w:b/>
          <w:bCs/>
          <w:sz w:val="24"/>
          <w:szCs w:val="24"/>
          <w:u w:val="single"/>
        </w:rPr>
        <w:t xml:space="preserve">Continuation of New Pricing Policies: Market Adjustment </w:t>
      </w:r>
    </w:p>
    <w:p w14:paraId="6BE22245" w14:textId="787D8383" w:rsidR="62248A68" w:rsidRDefault="62248A68" w:rsidP="008240EA">
      <w:pPr>
        <w:pStyle w:val="ListParagraph"/>
        <w:numPr>
          <w:ilvl w:val="0"/>
          <w:numId w:val="10"/>
        </w:numPr>
        <w:spacing w:after="0"/>
        <w:rPr>
          <w:rFonts w:asciiTheme="majorHAnsi" w:eastAsiaTheme="majorEastAsia" w:hAnsiTheme="majorHAnsi" w:cstheme="majorBidi"/>
        </w:rPr>
      </w:pPr>
      <w:r w:rsidRPr="05FD1449">
        <w:rPr>
          <w:rFonts w:asciiTheme="majorHAnsi" w:eastAsiaTheme="majorEastAsia" w:hAnsiTheme="majorHAnsi" w:cstheme="majorBidi"/>
          <w:sz w:val="24"/>
          <w:szCs w:val="24"/>
        </w:rPr>
        <w:t xml:space="preserve">In 2021, MassHealth implemented new pricing policies to adjust for changes that impacted the </w:t>
      </w:r>
      <w:proofErr w:type="gramStart"/>
      <w:r w:rsidRPr="05FD1449">
        <w:rPr>
          <w:rFonts w:asciiTheme="majorHAnsi" w:eastAsiaTheme="majorEastAsia" w:hAnsiTheme="majorHAnsi" w:cstheme="majorBidi"/>
          <w:sz w:val="24"/>
          <w:szCs w:val="24"/>
        </w:rPr>
        <w:t>market as a whole</w:t>
      </w:r>
      <w:proofErr w:type="gramEnd"/>
      <w:r w:rsidRPr="05FD1449">
        <w:rPr>
          <w:rFonts w:asciiTheme="majorHAnsi" w:eastAsiaTheme="majorEastAsia" w:hAnsiTheme="majorHAnsi" w:cstheme="majorBidi"/>
          <w:sz w:val="24"/>
          <w:szCs w:val="24"/>
        </w:rPr>
        <w:t xml:space="preserve">. Through these changes, MassHealth ensures that actual funding (i.e., the rate / benchmark) is adjusted to meet actual costs for the ACO/MCO program overall while continuing to incentivize individual ACOs to perform better than the market. The main changes included: </w:t>
      </w:r>
    </w:p>
    <w:p w14:paraId="7F408D70" w14:textId="102F0003" w:rsidR="62248A68" w:rsidRDefault="62248A68" w:rsidP="008240EA">
      <w:pPr>
        <w:pStyle w:val="ListParagraph"/>
        <w:numPr>
          <w:ilvl w:val="1"/>
          <w:numId w:val="10"/>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Concurrent risk score adjustments which adjust for member acuity throughout the year </w:t>
      </w:r>
    </w:p>
    <w:p w14:paraId="6224E7A9" w14:textId="6E39D82D" w:rsidR="62248A68" w:rsidRDefault="62248A68" w:rsidP="008240EA">
      <w:pPr>
        <w:pStyle w:val="ListParagraph"/>
        <w:numPr>
          <w:ilvl w:val="1"/>
          <w:numId w:val="10"/>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Market corridor which applies a market-wide adjustment in instances of significant profits or losses across all plans  </w:t>
      </w:r>
    </w:p>
    <w:p w14:paraId="2A544AB6" w14:textId="489BB834" w:rsidR="05FD1449" w:rsidRDefault="05FD1449" w:rsidP="05FD1449">
      <w:pPr>
        <w:spacing w:after="0"/>
        <w:rPr>
          <w:rFonts w:asciiTheme="majorHAnsi" w:eastAsiaTheme="majorEastAsia" w:hAnsiTheme="majorHAnsi" w:cstheme="majorBidi"/>
        </w:rPr>
      </w:pPr>
    </w:p>
    <w:p w14:paraId="31C8632A" w14:textId="6B82D160" w:rsidR="243B53B2" w:rsidRDefault="243B53B2" w:rsidP="05FD1449">
      <w:pPr>
        <w:pStyle w:val="Heading4"/>
      </w:pPr>
      <w:r>
        <w:t xml:space="preserve">Slide 54: Total Cost of Care: Comparison </w:t>
      </w:r>
      <w:r w:rsidR="5FC1F6F7">
        <w:t>A</w:t>
      </w:r>
      <w:r>
        <w:t>cross 2021 &amp; 2022</w:t>
      </w:r>
    </w:p>
    <w:p w14:paraId="4A32FEFA" w14:textId="7B58CE4D" w:rsidR="6D357DF7" w:rsidRDefault="6D357DF7" w:rsidP="05FD1449">
      <w:pPr>
        <w:spacing w:after="0"/>
      </w:pPr>
      <w:r>
        <w:t>Table 13 and 14:</w:t>
      </w:r>
    </w:p>
    <w:p w14:paraId="110B5187" w14:textId="17DCA227" w:rsidR="6D357DF7" w:rsidRDefault="6D357DF7" w:rsidP="05FD1449">
      <w:pPr>
        <w:spacing w:after="0"/>
      </w:pPr>
      <w:r>
        <w:t>Overall Trend</w:t>
      </w:r>
      <w:r w:rsidRPr="05FD1449">
        <w:rPr>
          <w:rStyle w:val="FootnoteReference"/>
        </w:rPr>
        <w:footnoteReference w:id="33"/>
      </w:r>
    </w:p>
    <w:tbl>
      <w:tblPr>
        <w:tblStyle w:val="TableGrid"/>
        <w:tblW w:w="0" w:type="auto"/>
        <w:tblLayout w:type="fixed"/>
        <w:tblLook w:val="06A0" w:firstRow="1" w:lastRow="0" w:firstColumn="1" w:lastColumn="0" w:noHBand="1" w:noVBand="1"/>
      </w:tblPr>
      <w:tblGrid>
        <w:gridCol w:w="1890"/>
        <w:gridCol w:w="1815"/>
        <w:gridCol w:w="5655"/>
      </w:tblGrid>
      <w:tr w:rsidR="05FD1449" w14:paraId="29966D8F" w14:textId="77777777" w:rsidTr="05FD1449">
        <w:trPr>
          <w:trHeight w:val="300"/>
        </w:trPr>
        <w:tc>
          <w:tcPr>
            <w:tcW w:w="1890" w:type="dxa"/>
            <w:shd w:val="clear" w:color="auto" w:fill="D9E2F3" w:themeFill="accent1" w:themeFillTint="33"/>
          </w:tcPr>
          <w:p w14:paraId="4AE67A08" w14:textId="3ECFC175" w:rsidR="0260E471" w:rsidRDefault="0260E471" w:rsidP="05FD1449">
            <w:p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2021</w:t>
            </w:r>
          </w:p>
        </w:tc>
        <w:tc>
          <w:tcPr>
            <w:tcW w:w="1815" w:type="dxa"/>
            <w:shd w:val="clear" w:color="auto" w:fill="D9E2F3" w:themeFill="accent1" w:themeFillTint="33"/>
          </w:tcPr>
          <w:p w14:paraId="504210AE" w14:textId="22352F24" w:rsidR="0260E471" w:rsidRDefault="0260E471" w:rsidP="05FD1449">
            <w:p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2022</w:t>
            </w:r>
          </w:p>
        </w:tc>
        <w:tc>
          <w:tcPr>
            <w:tcW w:w="5655" w:type="dxa"/>
            <w:shd w:val="clear" w:color="auto" w:fill="D9E2F3" w:themeFill="accent1" w:themeFillTint="33"/>
          </w:tcPr>
          <w:p w14:paraId="6EA83F27" w14:textId="7636D741" w:rsidR="05FD1449" w:rsidRDefault="05FD1449" w:rsidP="05FD1449">
            <w:pPr>
              <w:rPr>
                <w:rFonts w:asciiTheme="majorHAnsi" w:eastAsiaTheme="majorEastAsia" w:hAnsiTheme="majorHAnsi" w:cstheme="majorBidi"/>
                <w:sz w:val="24"/>
                <w:szCs w:val="24"/>
              </w:rPr>
            </w:pPr>
          </w:p>
        </w:tc>
      </w:tr>
      <w:tr w:rsidR="05FD1449" w14:paraId="74F4D93F" w14:textId="77777777" w:rsidTr="05FD1449">
        <w:trPr>
          <w:trHeight w:val="300"/>
        </w:trPr>
        <w:tc>
          <w:tcPr>
            <w:tcW w:w="1890" w:type="dxa"/>
          </w:tcPr>
          <w:p w14:paraId="70EC442A" w14:textId="3823C70D" w:rsidR="0260E471" w:rsidRDefault="0260E471" w:rsidP="05FD1449">
            <w:p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~$6.3B</w:t>
            </w:r>
          </w:p>
        </w:tc>
        <w:tc>
          <w:tcPr>
            <w:tcW w:w="1815" w:type="dxa"/>
          </w:tcPr>
          <w:p w14:paraId="2D46CF66" w14:textId="3BAC537F" w:rsidR="0260E471" w:rsidRDefault="0260E471" w:rsidP="05FD1449">
            <w:p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~$6.9B</w:t>
            </w:r>
          </w:p>
        </w:tc>
        <w:tc>
          <w:tcPr>
            <w:tcW w:w="5655" w:type="dxa"/>
          </w:tcPr>
          <w:p w14:paraId="55FEC010" w14:textId="247B8941" w:rsidR="0260E471" w:rsidRDefault="0260E471" w:rsidP="05FD1449">
            <w:p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Total spent on covered services for ACO members</w:t>
            </w:r>
          </w:p>
        </w:tc>
      </w:tr>
      <w:tr w:rsidR="05FD1449" w14:paraId="3DE42FC1" w14:textId="77777777" w:rsidTr="05FD1449">
        <w:trPr>
          <w:trHeight w:val="300"/>
        </w:trPr>
        <w:tc>
          <w:tcPr>
            <w:tcW w:w="1890" w:type="dxa"/>
          </w:tcPr>
          <w:p w14:paraId="74B81A18" w14:textId="18778F6D" w:rsidR="0260E471" w:rsidRDefault="0260E471" w:rsidP="05FD1449">
            <w:p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~$5,700</w:t>
            </w:r>
          </w:p>
        </w:tc>
        <w:tc>
          <w:tcPr>
            <w:tcW w:w="1815" w:type="dxa"/>
          </w:tcPr>
          <w:p w14:paraId="556FC8E8" w14:textId="21B6A669" w:rsidR="0260E471" w:rsidRDefault="0260E471" w:rsidP="05FD1449">
            <w:p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~5,800</w:t>
            </w:r>
          </w:p>
        </w:tc>
        <w:tc>
          <w:tcPr>
            <w:tcW w:w="5655" w:type="dxa"/>
          </w:tcPr>
          <w:p w14:paraId="498FD3D1" w14:textId="3194BD07" w:rsidR="0260E471" w:rsidRDefault="0260E471" w:rsidP="05FD1449">
            <w:p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Average per member per year (PMPY) spending</w:t>
            </w:r>
          </w:p>
        </w:tc>
      </w:tr>
    </w:tbl>
    <w:p w14:paraId="6861DD95" w14:textId="5D47408A" w:rsidR="038A866A" w:rsidRDefault="038A866A"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b/>
          <w:bCs/>
          <w:sz w:val="24"/>
          <w:szCs w:val="24"/>
          <w:u w:val="single"/>
        </w:rPr>
        <w:t xml:space="preserve">Note for table 13: </w:t>
      </w:r>
      <w:r w:rsidRPr="05FD1449">
        <w:rPr>
          <w:rFonts w:asciiTheme="majorHAnsi" w:eastAsiaTheme="majorEastAsia" w:hAnsiTheme="majorHAnsi" w:cstheme="majorBidi"/>
          <w:sz w:val="24"/>
          <w:szCs w:val="24"/>
        </w:rPr>
        <w:t xml:space="preserve">Total spend and PMPY figures are not directly comparable to estimates in previous annual reports </w:t>
      </w:r>
    </w:p>
    <w:p w14:paraId="018EB0FB" w14:textId="04D31AA4" w:rsidR="05FD1449" w:rsidRDefault="05FD1449" w:rsidP="05FD1449">
      <w:pPr>
        <w:spacing w:after="0"/>
        <w:rPr>
          <w:rFonts w:asciiTheme="majorHAnsi" w:eastAsiaTheme="majorEastAsia" w:hAnsiTheme="majorHAnsi" w:cstheme="majorBidi"/>
          <w:sz w:val="24"/>
          <w:szCs w:val="24"/>
        </w:rPr>
      </w:pPr>
    </w:p>
    <w:p w14:paraId="2D6B4685" w14:textId="65877C5D" w:rsidR="78BE9828" w:rsidRDefault="78BE9828"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Trend by Population Type</w:t>
      </w:r>
      <w:r w:rsidRPr="05FD1449">
        <w:rPr>
          <w:rStyle w:val="FootnoteReference"/>
          <w:rFonts w:asciiTheme="majorHAnsi" w:eastAsiaTheme="majorEastAsia" w:hAnsiTheme="majorHAnsi" w:cstheme="majorBidi"/>
          <w:sz w:val="24"/>
          <w:szCs w:val="24"/>
        </w:rPr>
        <w:footnoteReference w:id="34"/>
      </w:r>
    </w:p>
    <w:tbl>
      <w:tblPr>
        <w:tblStyle w:val="TableGrid"/>
        <w:tblW w:w="0" w:type="auto"/>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6A0" w:firstRow="1" w:lastRow="0" w:firstColumn="1" w:lastColumn="0" w:noHBand="1" w:noVBand="1"/>
      </w:tblPr>
      <w:tblGrid>
        <w:gridCol w:w="1638"/>
        <w:gridCol w:w="1287"/>
        <w:gridCol w:w="1287"/>
        <w:gridCol w:w="1287"/>
        <w:gridCol w:w="1287"/>
        <w:gridCol w:w="1287"/>
        <w:gridCol w:w="1287"/>
      </w:tblGrid>
      <w:tr w:rsidR="05FD1449" w14:paraId="4844D68D" w14:textId="77777777" w:rsidTr="05FD1449">
        <w:trPr>
          <w:trHeight w:val="690"/>
        </w:trPr>
        <w:tc>
          <w:tcPr>
            <w:tcW w:w="1638" w:type="dxa"/>
            <w:shd w:val="clear" w:color="auto" w:fill="D9E2F3" w:themeFill="accent1" w:themeFillTint="33"/>
            <w:vAlign w:val="center"/>
          </w:tcPr>
          <w:p w14:paraId="74C6F67E" w14:textId="4EBB05E4" w:rsidR="05FD1449" w:rsidRDefault="05FD1449" w:rsidP="05FD1449">
            <w:pPr>
              <w:jc w:val="center"/>
              <w:rPr>
                <w:rFonts w:asciiTheme="majorHAnsi" w:eastAsiaTheme="majorEastAsia" w:hAnsiTheme="majorHAnsi" w:cstheme="majorBidi"/>
                <w:color w:val="000000" w:themeColor="text1"/>
              </w:rPr>
            </w:pPr>
          </w:p>
        </w:tc>
        <w:tc>
          <w:tcPr>
            <w:tcW w:w="1287" w:type="dxa"/>
            <w:shd w:val="clear" w:color="auto" w:fill="D9E2F3" w:themeFill="accent1" w:themeFillTint="33"/>
            <w:vAlign w:val="center"/>
          </w:tcPr>
          <w:p w14:paraId="31C59C25" w14:textId="14D21865" w:rsidR="4D82054C" w:rsidRDefault="4D82054C"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2021</w:t>
            </w:r>
          </w:p>
        </w:tc>
        <w:tc>
          <w:tcPr>
            <w:tcW w:w="1287" w:type="dxa"/>
            <w:shd w:val="clear" w:color="auto" w:fill="D9E2F3" w:themeFill="accent1" w:themeFillTint="33"/>
            <w:vAlign w:val="center"/>
          </w:tcPr>
          <w:p w14:paraId="3E38653F" w14:textId="30EDB19A" w:rsidR="4D82054C" w:rsidRDefault="4D82054C"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2021</w:t>
            </w:r>
          </w:p>
        </w:tc>
        <w:tc>
          <w:tcPr>
            <w:tcW w:w="1287" w:type="dxa"/>
            <w:shd w:val="clear" w:color="auto" w:fill="D9E2F3" w:themeFill="accent1" w:themeFillTint="33"/>
            <w:vAlign w:val="center"/>
          </w:tcPr>
          <w:p w14:paraId="3DABA955" w14:textId="432B989D" w:rsidR="4D82054C" w:rsidRDefault="4D82054C"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2022</w:t>
            </w:r>
          </w:p>
        </w:tc>
        <w:tc>
          <w:tcPr>
            <w:tcW w:w="1287" w:type="dxa"/>
            <w:shd w:val="clear" w:color="auto" w:fill="D9E2F3" w:themeFill="accent1" w:themeFillTint="33"/>
            <w:vAlign w:val="center"/>
          </w:tcPr>
          <w:p w14:paraId="7F7BEB4E" w14:textId="4F7F920D" w:rsidR="4D82054C" w:rsidRDefault="4D82054C"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2022</w:t>
            </w:r>
          </w:p>
        </w:tc>
        <w:tc>
          <w:tcPr>
            <w:tcW w:w="1287" w:type="dxa"/>
            <w:shd w:val="clear" w:color="auto" w:fill="D9E2F3" w:themeFill="accent1" w:themeFillTint="33"/>
            <w:vAlign w:val="center"/>
          </w:tcPr>
          <w:p w14:paraId="60CD78FC" w14:textId="2E839EBA" w:rsidR="4D82054C" w:rsidRDefault="4D82054C"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2022 vs 2021 % Change</w:t>
            </w:r>
          </w:p>
        </w:tc>
        <w:tc>
          <w:tcPr>
            <w:tcW w:w="1287" w:type="dxa"/>
            <w:shd w:val="clear" w:color="auto" w:fill="D9E2F3" w:themeFill="accent1" w:themeFillTint="33"/>
            <w:vAlign w:val="center"/>
          </w:tcPr>
          <w:p w14:paraId="5361F271" w14:textId="0B8D7DAB" w:rsidR="4D82054C" w:rsidRDefault="4D82054C"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2022 vs 2021 % Change </w:t>
            </w:r>
          </w:p>
        </w:tc>
      </w:tr>
      <w:tr w:rsidR="05FD1449" w14:paraId="30473E97" w14:textId="77777777" w:rsidTr="05FD1449">
        <w:trPr>
          <w:trHeight w:val="690"/>
        </w:trPr>
        <w:tc>
          <w:tcPr>
            <w:tcW w:w="1638" w:type="dxa"/>
            <w:shd w:val="clear" w:color="auto" w:fill="D9E2F3" w:themeFill="accent1" w:themeFillTint="33"/>
            <w:vAlign w:val="center"/>
          </w:tcPr>
          <w:p w14:paraId="0A034FC8" w14:textId="47D8427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Average PMPY</w:t>
            </w:r>
          </w:p>
        </w:tc>
        <w:tc>
          <w:tcPr>
            <w:tcW w:w="1287" w:type="dxa"/>
            <w:shd w:val="clear" w:color="auto" w:fill="D9E2F3" w:themeFill="accent1" w:themeFillTint="33"/>
            <w:vAlign w:val="center"/>
          </w:tcPr>
          <w:p w14:paraId="1CD41902" w14:textId="36F96C25"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With </w:t>
            </w:r>
          </w:p>
          <w:p w14:paraId="04211F53" w14:textId="38410A82"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disabilities</w:t>
            </w:r>
          </w:p>
        </w:tc>
        <w:tc>
          <w:tcPr>
            <w:tcW w:w="1287" w:type="dxa"/>
            <w:shd w:val="clear" w:color="auto" w:fill="D9E2F3" w:themeFill="accent1" w:themeFillTint="33"/>
            <w:vAlign w:val="center"/>
          </w:tcPr>
          <w:p w14:paraId="2C0E8675" w14:textId="1E7319E1"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Without </w:t>
            </w:r>
          </w:p>
          <w:p w14:paraId="01F6DDBC" w14:textId="42147FD1"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disabilities</w:t>
            </w:r>
          </w:p>
        </w:tc>
        <w:tc>
          <w:tcPr>
            <w:tcW w:w="1287" w:type="dxa"/>
            <w:shd w:val="clear" w:color="auto" w:fill="D9E2F3" w:themeFill="accent1" w:themeFillTint="33"/>
            <w:vAlign w:val="center"/>
          </w:tcPr>
          <w:p w14:paraId="085846BB" w14:textId="5A4774CB"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With </w:t>
            </w:r>
          </w:p>
          <w:p w14:paraId="0BD51AAA" w14:textId="37D43833"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disabilities</w:t>
            </w:r>
          </w:p>
        </w:tc>
        <w:tc>
          <w:tcPr>
            <w:tcW w:w="1287" w:type="dxa"/>
            <w:shd w:val="clear" w:color="auto" w:fill="D9E2F3" w:themeFill="accent1" w:themeFillTint="33"/>
            <w:vAlign w:val="center"/>
          </w:tcPr>
          <w:p w14:paraId="0BA43019" w14:textId="19F78040"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Without </w:t>
            </w:r>
          </w:p>
          <w:p w14:paraId="78281234" w14:textId="0DAC8E22"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disabilities</w:t>
            </w:r>
          </w:p>
        </w:tc>
        <w:tc>
          <w:tcPr>
            <w:tcW w:w="1287" w:type="dxa"/>
            <w:shd w:val="clear" w:color="auto" w:fill="D9E2F3" w:themeFill="accent1" w:themeFillTint="33"/>
            <w:vAlign w:val="center"/>
          </w:tcPr>
          <w:p w14:paraId="69E698D9" w14:textId="565607C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With </w:t>
            </w:r>
          </w:p>
          <w:p w14:paraId="26A5771F" w14:textId="599E99F3"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disabilities</w:t>
            </w:r>
          </w:p>
        </w:tc>
        <w:tc>
          <w:tcPr>
            <w:tcW w:w="1287" w:type="dxa"/>
            <w:shd w:val="clear" w:color="auto" w:fill="D9E2F3" w:themeFill="accent1" w:themeFillTint="33"/>
            <w:vAlign w:val="center"/>
          </w:tcPr>
          <w:p w14:paraId="55799D60" w14:textId="3EDF65A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Without </w:t>
            </w:r>
          </w:p>
          <w:p w14:paraId="018841D7" w14:textId="3F3C548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disabilities</w:t>
            </w:r>
          </w:p>
        </w:tc>
      </w:tr>
      <w:tr w:rsidR="05FD1449" w14:paraId="0E6A5F41" w14:textId="77777777" w:rsidTr="05FD1449">
        <w:trPr>
          <w:trHeight w:val="885"/>
        </w:trPr>
        <w:tc>
          <w:tcPr>
            <w:tcW w:w="1638" w:type="dxa"/>
            <w:shd w:val="clear" w:color="auto" w:fill="D9E2F3" w:themeFill="accent1" w:themeFillTint="33"/>
            <w:vAlign w:val="center"/>
          </w:tcPr>
          <w:p w14:paraId="4F203421" w14:textId="4344C66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Adults</w:t>
            </w:r>
          </w:p>
        </w:tc>
        <w:tc>
          <w:tcPr>
            <w:tcW w:w="1287" w:type="dxa"/>
            <w:vAlign w:val="center"/>
          </w:tcPr>
          <w:p w14:paraId="0F682249" w14:textId="59AAC4FF"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~$21,100</w:t>
            </w:r>
          </w:p>
        </w:tc>
        <w:tc>
          <w:tcPr>
            <w:tcW w:w="1287" w:type="dxa"/>
            <w:vAlign w:val="center"/>
          </w:tcPr>
          <w:p w14:paraId="4C2A3AD5" w14:textId="4AF3EF7B"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~$6,700</w:t>
            </w:r>
          </w:p>
        </w:tc>
        <w:tc>
          <w:tcPr>
            <w:tcW w:w="1287" w:type="dxa"/>
            <w:vAlign w:val="center"/>
          </w:tcPr>
          <w:p w14:paraId="13D86118" w14:textId="334CE57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~$21,900 </w:t>
            </w:r>
          </w:p>
        </w:tc>
        <w:tc>
          <w:tcPr>
            <w:tcW w:w="1287" w:type="dxa"/>
            <w:vAlign w:val="center"/>
          </w:tcPr>
          <w:p w14:paraId="15012204" w14:textId="31D2A3B6"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~$6,500</w:t>
            </w:r>
          </w:p>
        </w:tc>
        <w:tc>
          <w:tcPr>
            <w:tcW w:w="1287" w:type="dxa"/>
            <w:vAlign w:val="center"/>
          </w:tcPr>
          <w:p w14:paraId="23798D5A" w14:textId="3347D72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4%</w:t>
            </w:r>
          </w:p>
        </w:tc>
        <w:tc>
          <w:tcPr>
            <w:tcW w:w="1287" w:type="dxa"/>
            <w:vAlign w:val="center"/>
          </w:tcPr>
          <w:p w14:paraId="0303A371" w14:textId="36F96F0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w:t>
            </w:r>
          </w:p>
        </w:tc>
      </w:tr>
      <w:tr w:rsidR="05FD1449" w14:paraId="1E11CA41" w14:textId="77777777" w:rsidTr="05FD1449">
        <w:trPr>
          <w:trHeight w:val="885"/>
        </w:trPr>
        <w:tc>
          <w:tcPr>
            <w:tcW w:w="1638" w:type="dxa"/>
            <w:shd w:val="clear" w:color="auto" w:fill="D9E2F3" w:themeFill="accent1" w:themeFillTint="33"/>
            <w:vAlign w:val="center"/>
          </w:tcPr>
          <w:p w14:paraId="77FC3D2B" w14:textId="7B5AF86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Children</w:t>
            </w:r>
          </w:p>
        </w:tc>
        <w:tc>
          <w:tcPr>
            <w:tcW w:w="1287" w:type="dxa"/>
            <w:shd w:val="clear" w:color="auto" w:fill="D9D9D9" w:themeFill="background1" w:themeFillShade="D9"/>
            <w:vAlign w:val="center"/>
          </w:tcPr>
          <w:p w14:paraId="5DCAB351" w14:textId="704D81CB"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~$10,400 </w:t>
            </w:r>
          </w:p>
        </w:tc>
        <w:tc>
          <w:tcPr>
            <w:tcW w:w="1287" w:type="dxa"/>
            <w:shd w:val="clear" w:color="auto" w:fill="D9D9D9" w:themeFill="background1" w:themeFillShade="D9"/>
            <w:vAlign w:val="center"/>
          </w:tcPr>
          <w:p w14:paraId="08C6AFDB" w14:textId="22543C6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~$2,200 </w:t>
            </w:r>
          </w:p>
        </w:tc>
        <w:tc>
          <w:tcPr>
            <w:tcW w:w="1287" w:type="dxa"/>
            <w:shd w:val="clear" w:color="auto" w:fill="D9D9D9" w:themeFill="background1" w:themeFillShade="D9"/>
            <w:vAlign w:val="center"/>
          </w:tcPr>
          <w:p w14:paraId="0975B730" w14:textId="31919A96"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~$11,300 </w:t>
            </w:r>
          </w:p>
        </w:tc>
        <w:tc>
          <w:tcPr>
            <w:tcW w:w="1287" w:type="dxa"/>
            <w:shd w:val="clear" w:color="auto" w:fill="D9D9D9" w:themeFill="background1" w:themeFillShade="D9"/>
            <w:vAlign w:val="center"/>
          </w:tcPr>
          <w:p w14:paraId="48DAFE3E" w14:textId="63996B2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~$2,500 </w:t>
            </w:r>
          </w:p>
        </w:tc>
        <w:tc>
          <w:tcPr>
            <w:tcW w:w="1287" w:type="dxa"/>
            <w:shd w:val="clear" w:color="auto" w:fill="D9D9D9" w:themeFill="background1" w:themeFillShade="D9"/>
            <w:vAlign w:val="center"/>
          </w:tcPr>
          <w:p w14:paraId="2E0BC6D5" w14:textId="16498B56"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w:t>
            </w:r>
          </w:p>
        </w:tc>
        <w:tc>
          <w:tcPr>
            <w:tcW w:w="1287" w:type="dxa"/>
            <w:shd w:val="clear" w:color="auto" w:fill="D9D9D9" w:themeFill="background1" w:themeFillShade="D9"/>
            <w:vAlign w:val="center"/>
          </w:tcPr>
          <w:p w14:paraId="52E5F7CE" w14:textId="04C57BA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12%</w:t>
            </w:r>
          </w:p>
        </w:tc>
      </w:tr>
    </w:tbl>
    <w:p w14:paraId="32356C2C" w14:textId="4C271D5B" w:rsidR="05FD1449" w:rsidRDefault="05FD1449" w:rsidP="05FD1449">
      <w:pPr>
        <w:spacing w:after="0" w:line="240" w:lineRule="auto"/>
        <w:rPr>
          <w:rFonts w:asciiTheme="majorHAnsi" w:eastAsiaTheme="majorEastAsia" w:hAnsiTheme="majorHAnsi" w:cstheme="majorBidi"/>
        </w:rPr>
      </w:pPr>
    </w:p>
    <w:p w14:paraId="351B487D" w14:textId="2499483E" w:rsidR="3404C402" w:rsidRDefault="3404C402" w:rsidP="05FD1449">
      <w:pPr>
        <w:spacing w:after="0" w:line="240" w:lineRule="auto"/>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lastRenderedPageBreak/>
        <w:t xml:space="preserve">Key </w:t>
      </w:r>
      <w:r w:rsidR="3E3102ED" w:rsidRPr="05FD1449">
        <w:rPr>
          <w:rFonts w:asciiTheme="majorHAnsi" w:eastAsiaTheme="majorEastAsia" w:hAnsiTheme="majorHAnsi" w:cstheme="majorBidi"/>
          <w:sz w:val="24"/>
          <w:szCs w:val="24"/>
        </w:rPr>
        <w:t xml:space="preserve">Takeaway: </w:t>
      </w:r>
    </w:p>
    <w:p w14:paraId="371B7C35" w14:textId="740B3DEE" w:rsidR="3E3102ED" w:rsidRDefault="3E3102ED" w:rsidP="008240EA">
      <w:pPr>
        <w:pStyle w:val="ListParagraph"/>
        <w:numPr>
          <w:ilvl w:val="0"/>
          <w:numId w:val="9"/>
        </w:num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Both total </w:t>
      </w:r>
      <w:proofErr w:type="gramStart"/>
      <w:r w:rsidRPr="05FD1449">
        <w:rPr>
          <w:rFonts w:asciiTheme="majorHAnsi" w:eastAsiaTheme="majorEastAsia" w:hAnsiTheme="majorHAnsi" w:cstheme="majorBidi"/>
          <w:sz w:val="24"/>
          <w:szCs w:val="24"/>
        </w:rPr>
        <w:t>spend</w:t>
      </w:r>
      <w:proofErr w:type="gramEnd"/>
      <w:r w:rsidRPr="05FD1449">
        <w:rPr>
          <w:rFonts w:asciiTheme="majorHAnsi" w:eastAsiaTheme="majorEastAsia" w:hAnsiTheme="majorHAnsi" w:cstheme="majorBidi"/>
          <w:sz w:val="24"/>
          <w:szCs w:val="24"/>
        </w:rPr>
        <w:t xml:space="preserve"> </w:t>
      </w:r>
      <w:proofErr w:type="spellStart"/>
      <w:r w:rsidRPr="05FD1449">
        <w:rPr>
          <w:rFonts w:asciiTheme="majorHAnsi" w:eastAsiaTheme="majorEastAsia" w:hAnsiTheme="majorHAnsi" w:cstheme="majorBidi"/>
          <w:sz w:val="24"/>
          <w:szCs w:val="24"/>
        </w:rPr>
        <w:t>and</w:t>
      </w:r>
      <w:proofErr w:type="spellEnd"/>
      <w:r w:rsidRPr="05FD1449">
        <w:rPr>
          <w:rFonts w:asciiTheme="majorHAnsi" w:eastAsiaTheme="majorEastAsia" w:hAnsiTheme="majorHAnsi" w:cstheme="majorBidi"/>
          <w:sz w:val="24"/>
          <w:szCs w:val="24"/>
        </w:rPr>
        <w:t xml:space="preserve"> average per member per year spending increased compared to 2021, driven by the child population. Adult member per year </w:t>
      </w:r>
      <w:proofErr w:type="gramStart"/>
      <w:r w:rsidRPr="05FD1449">
        <w:rPr>
          <w:rFonts w:asciiTheme="majorHAnsi" w:eastAsiaTheme="majorEastAsia" w:hAnsiTheme="majorHAnsi" w:cstheme="majorBidi"/>
          <w:sz w:val="24"/>
          <w:szCs w:val="24"/>
        </w:rPr>
        <w:t>spend</w:t>
      </w:r>
      <w:proofErr w:type="gramEnd"/>
      <w:r w:rsidRPr="05FD1449">
        <w:rPr>
          <w:rFonts w:asciiTheme="majorHAnsi" w:eastAsiaTheme="majorEastAsia" w:hAnsiTheme="majorHAnsi" w:cstheme="majorBidi"/>
          <w:sz w:val="24"/>
          <w:szCs w:val="24"/>
        </w:rPr>
        <w:t xml:space="preserve"> decreased slightly from 2021 to 2022.</w:t>
      </w:r>
    </w:p>
    <w:p w14:paraId="491975A4" w14:textId="2FB89E92" w:rsidR="3E3102ED" w:rsidRDefault="3E3102ED" w:rsidP="05FD1449">
      <w:pPr>
        <w:pStyle w:val="Heading4"/>
      </w:pPr>
      <w:r>
        <w:t>Slide 55: Total Cost of Care</w:t>
      </w:r>
      <w:r w:rsidR="5A9725CD">
        <w:t>: Category of Service Breakdown 2021 vs. 2022</w:t>
      </w:r>
    </w:p>
    <w:p w14:paraId="1883F867" w14:textId="003C6990" w:rsidR="5A9725CD" w:rsidRDefault="5A9725CD"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Table 15: </w:t>
      </w:r>
    </w:p>
    <w:p w14:paraId="4ED7A930" w14:textId="3CD5A57E" w:rsidR="5A9725CD" w:rsidRDefault="5A9725CD"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Trend by category of service</w:t>
      </w:r>
      <w:r w:rsidRPr="05FD1449">
        <w:rPr>
          <w:rStyle w:val="FootnoteReference"/>
          <w:rFonts w:asciiTheme="majorHAnsi" w:eastAsiaTheme="majorEastAsia" w:hAnsiTheme="majorHAnsi" w:cstheme="majorBidi"/>
          <w:sz w:val="24"/>
          <w:szCs w:val="24"/>
        </w:rPr>
        <w:footnoteReference w:id="35"/>
      </w:r>
      <w:r w:rsidRPr="05FD1449">
        <w:rPr>
          <w:rFonts w:asciiTheme="majorHAnsi" w:eastAsiaTheme="majorEastAsia" w:hAnsiTheme="majorHAnsi" w:cstheme="majorBidi"/>
          <w:sz w:val="24"/>
          <w:szCs w:val="24"/>
        </w:rPr>
        <w:t xml:space="preserve"> (ACPP &amp; PCACO combined)</w:t>
      </w:r>
    </w:p>
    <w:tbl>
      <w:tblPr>
        <w:tblStyle w:val="TableGrid"/>
        <w:tblW w:w="0" w:type="auto"/>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6A0" w:firstRow="1" w:lastRow="0" w:firstColumn="1" w:lastColumn="0" w:noHBand="1" w:noVBand="1"/>
      </w:tblPr>
      <w:tblGrid>
        <w:gridCol w:w="3035"/>
        <w:gridCol w:w="1838"/>
        <w:gridCol w:w="1838"/>
        <w:gridCol w:w="2360"/>
      </w:tblGrid>
      <w:tr w:rsidR="05FD1449" w14:paraId="3D0334EC" w14:textId="77777777" w:rsidTr="05FD1449">
        <w:trPr>
          <w:trHeight w:val="810"/>
        </w:trPr>
        <w:tc>
          <w:tcPr>
            <w:tcW w:w="3035" w:type="dxa"/>
            <w:shd w:val="clear" w:color="auto" w:fill="D9E2F3" w:themeFill="accent1" w:themeFillTint="33"/>
            <w:vAlign w:val="center"/>
          </w:tcPr>
          <w:p w14:paraId="626CACE9" w14:textId="7F54FCDA"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Average PMPY</w:t>
            </w:r>
          </w:p>
        </w:tc>
        <w:tc>
          <w:tcPr>
            <w:tcW w:w="1838" w:type="dxa"/>
            <w:shd w:val="clear" w:color="auto" w:fill="D9E2F3" w:themeFill="accent1" w:themeFillTint="33"/>
            <w:vAlign w:val="center"/>
          </w:tcPr>
          <w:p w14:paraId="153C7FE8" w14:textId="5D749497"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2021</w:t>
            </w:r>
          </w:p>
        </w:tc>
        <w:tc>
          <w:tcPr>
            <w:tcW w:w="1838" w:type="dxa"/>
            <w:shd w:val="clear" w:color="auto" w:fill="D9E2F3" w:themeFill="accent1" w:themeFillTint="33"/>
            <w:vAlign w:val="center"/>
          </w:tcPr>
          <w:p w14:paraId="273A0BE7" w14:textId="0677BA7C"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2022</w:t>
            </w:r>
          </w:p>
        </w:tc>
        <w:tc>
          <w:tcPr>
            <w:tcW w:w="2360" w:type="dxa"/>
            <w:shd w:val="clear" w:color="auto" w:fill="D9E2F3" w:themeFill="accent1" w:themeFillTint="33"/>
            <w:vAlign w:val="center"/>
          </w:tcPr>
          <w:p w14:paraId="6E5CFDEB" w14:textId="204E6B9A"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2021 vs. 2022 % change</w:t>
            </w:r>
          </w:p>
        </w:tc>
      </w:tr>
      <w:tr w:rsidR="05FD1449" w14:paraId="4B300CC1" w14:textId="77777777" w:rsidTr="05FD1449">
        <w:trPr>
          <w:trHeight w:val="660"/>
        </w:trPr>
        <w:tc>
          <w:tcPr>
            <w:tcW w:w="3035" w:type="dxa"/>
            <w:shd w:val="clear" w:color="auto" w:fill="D9D9D9" w:themeFill="background1" w:themeFillShade="D9"/>
            <w:vAlign w:val="center"/>
          </w:tcPr>
          <w:p w14:paraId="68C69BCC" w14:textId="352D755E"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Inpatient Hospital</w:t>
            </w:r>
          </w:p>
        </w:tc>
        <w:tc>
          <w:tcPr>
            <w:tcW w:w="1838" w:type="dxa"/>
            <w:shd w:val="clear" w:color="auto" w:fill="D9D9D9" w:themeFill="background1" w:themeFillShade="D9"/>
            <w:tcMar>
              <w:top w:w="9" w:type="dxa"/>
              <w:left w:w="9" w:type="dxa"/>
              <w:right w:w="9" w:type="dxa"/>
            </w:tcMar>
            <w:vAlign w:val="center"/>
          </w:tcPr>
          <w:p w14:paraId="0214326B" w14:textId="4A2F9190"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1,033 </w:t>
            </w:r>
          </w:p>
        </w:tc>
        <w:tc>
          <w:tcPr>
            <w:tcW w:w="1838" w:type="dxa"/>
            <w:shd w:val="clear" w:color="auto" w:fill="D9D9D9" w:themeFill="background1" w:themeFillShade="D9"/>
            <w:tcMar>
              <w:top w:w="9" w:type="dxa"/>
              <w:left w:w="9" w:type="dxa"/>
              <w:right w:w="9" w:type="dxa"/>
            </w:tcMar>
            <w:vAlign w:val="center"/>
          </w:tcPr>
          <w:p w14:paraId="6F7D9CF2" w14:textId="035570DE"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980</w:t>
            </w:r>
          </w:p>
        </w:tc>
        <w:tc>
          <w:tcPr>
            <w:tcW w:w="2360" w:type="dxa"/>
            <w:shd w:val="clear" w:color="auto" w:fill="D9D9D9" w:themeFill="background1" w:themeFillShade="D9"/>
            <w:tcMar>
              <w:top w:w="9" w:type="dxa"/>
              <w:left w:w="9" w:type="dxa"/>
              <w:right w:w="9" w:type="dxa"/>
            </w:tcMar>
            <w:vAlign w:val="center"/>
          </w:tcPr>
          <w:p w14:paraId="769BED88" w14:textId="3A561A71"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w:t>
            </w:r>
          </w:p>
        </w:tc>
      </w:tr>
      <w:tr w:rsidR="05FD1449" w14:paraId="6270C328" w14:textId="77777777" w:rsidTr="05FD1449">
        <w:trPr>
          <w:trHeight w:val="660"/>
        </w:trPr>
        <w:tc>
          <w:tcPr>
            <w:tcW w:w="3035" w:type="dxa"/>
            <w:vAlign w:val="center"/>
          </w:tcPr>
          <w:p w14:paraId="36176637" w14:textId="55FA9CF3"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Outpatient Hospital</w:t>
            </w:r>
          </w:p>
        </w:tc>
        <w:tc>
          <w:tcPr>
            <w:tcW w:w="1838" w:type="dxa"/>
            <w:tcMar>
              <w:top w:w="9" w:type="dxa"/>
              <w:left w:w="9" w:type="dxa"/>
              <w:right w:w="9" w:type="dxa"/>
            </w:tcMar>
            <w:vAlign w:val="center"/>
          </w:tcPr>
          <w:p w14:paraId="7D2FA639" w14:textId="1BA290A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1,078 </w:t>
            </w:r>
          </w:p>
        </w:tc>
        <w:tc>
          <w:tcPr>
            <w:tcW w:w="1838" w:type="dxa"/>
            <w:tcMar>
              <w:top w:w="9" w:type="dxa"/>
              <w:left w:w="9" w:type="dxa"/>
              <w:right w:w="9" w:type="dxa"/>
            </w:tcMar>
            <w:vAlign w:val="center"/>
          </w:tcPr>
          <w:p w14:paraId="41807D87" w14:textId="5F8A3092"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1,133 </w:t>
            </w:r>
          </w:p>
        </w:tc>
        <w:tc>
          <w:tcPr>
            <w:tcW w:w="2360" w:type="dxa"/>
            <w:tcMar>
              <w:top w:w="9" w:type="dxa"/>
              <w:left w:w="9" w:type="dxa"/>
              <w:right w:w="9" w:type="dxa"/>
            </w:tcMar>
            <w:vAlign w:val="center"/>
          </w:tcPr>
          <w:p w14:paraId="795A275C" w14:textId="568A764B"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w:t>
            </w:r>
          </w:p>
        </w:tc>
      </w:tr>
      <w:tr w:rsidR="05FD1449" w14:paraId="5D8304E9" w14:textId="77777777" w:rsidTr="05FD1449">
        <w:trPr>
          <w:trHeight w:val="660"/>
        </w:trPr>
        <w:tc>
          <w:tcPr>
            <w:tcW w:w="3035" w:type="dxa"/>
            <w:shd w:val="clear" w:color="auto" w:fill="D9D9D9" w:themeFill="background1" w:themeFillShade="D9"/>
            <w:vAlign w:val="center"/>
          </w:tcPr>
          <w:p w14:paraId="4789C92D" w14:textId="1A2E8DA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Inpatient BH</w:t>
            </w:r>
          </w:p>
        </w:tc>
        <w:tc>
          <w:tcPr>
            <w:tcW w:w="1838" w:type="dxa"/>
            <w:shd w:val="clear" w:color="auto" w:fill="D9D9D9" w:themeFill="background1" w:themeFillShade="D9"/>
            <w:tcMar>
              <w:top w:w="9" w:type="dxa"/>
              <w:left w:w="9" w:type="dxa"/>
              <w:right w:w="9" w:type="dxa"/>
            </w:tcMar>
            <w:vAlign w:val="center"/>
          </w:tcPr>
          <w:p w14:paraId="72638BEA" w14:textId="2CEA5C7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219 </w:t>
            </w:r>
          </w:p>
        </w:tc>
        <w:tc>
          <w:tcPr>
            <w:tcW w:w="1838" w:type="dxa"/>
            <w:shd w:val="clear" w:color="auto" w:fill="D9D9D9" w:themeFill="background1" w:themeFillShade="D9"/>
            <w:tcMar>
              <w:top w:w="9" w:type="dxa"/>
              <w:left w:w="9" w:type="dxa"/>
              <w:right w:w="9" w:type="dxa"/>
            </w:tcMar>
            <w:vAlign w:val="center"/>
          </w:tcPr>
          <w:p w14:paraId="0364FE8E" w14:textId="0A6FB93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219 </w:t>
            </w:r>
          </w:p>
        </w:tc>
        <w:tc>
          <w:tcPr>
            <w:tcW w:w="2360" w:type="dxa"/>
            <w:shd w:val="clear" w:color="auto" w:fill="D9D9D9" w:themeFill="background1" w:themeFillShade="D9"/>
            <w:tcMar>
              <w:top w:w="9" w:type="dxa"/>
              <w:left w:w="9" w:type="dxa"/>
              <w:right w:w="9" w:type="dxa"/>
            </w:tcMar>
            <w:vAlign w:val="center"/>
          </w:tcPr>
          <w:p w14:paraId="57593BBF" w14:textId="0170667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0%</w:t>
            </w:r>
          </w:p>
        </w:tc>
      </w:tr>
      <w:tr w:rsidR="05FD1449" w14:paraId="4C080CE8" w14:textId="77777777" w:rsidTr="05FD1449">
        <w:trPr>
          <w:trHeight w:val="660"/>
        </w:trPr>
        <w:tc>
          <w:tcPr>
            <w:tcW w:w="3035" w:type="dxa"/>
            <w:vAlign w:val="center"/>
          </w:tcPr>
          <w:p w14:paraId="64EBA66F" w14:textId="6128F7F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Outpatient BH</w:t>
            </w:r>
          </w:p>
        </w:tc>
        <w:tc>
          <w:tcPr>
            <w:tcW w:w="1838" w:type="dxa"/>
            <w:tcMar>
              <w:top w:w="9" w:type="dxa"/>
              <w:left w:w="9" w:type="dxa"/>
              <w:right w:w="9" w:type="dxa"/>
            </w:tcMar>
            <w:vAlign w:val="center"/>
          </w:tcPr>
          <w:p w14:paraId="52085488" w14:textId="7035E93E"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632 </w:t>
            </w:r>
          </w:p>
        </w:tc>
        <w:tc>
          <w:tcPr>
            <w:tcW w:w="1838" w:type="dxa"/>
            <w:tcMar>
              <w:top w:w="9" w:type="dxa"/>
              <w:left w:w="9" w:type="dxa"/>
              <w:right w:w="9" w:type="dxa"/>
            </w:tcMar>
            <w:vAlign w:val="center"/>
          </w:tcPr>
          <w:p w14:paraId="3B9A1552" w14:textId="7548A961"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630 </w:t>
            </w:r>
          </w:p>
        </w:tc>
        <w:tc>
          <w:tcPr>
            <w:tcW w:w="2360" w:type="dxa"/>
            <w:tcMar>
              <w:top w:w="9" w:type="dxa"/>
              <w:left w:w="9" w:type="dxa"/>
              <w:right w:w="9" w:type="dxa"/>
            </w:tcMar>
            <w:vAlign w:val="center"/>
          </w:tcPr>
          <w:p w14:paraId="6316B006" w14:textId="046D9BF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0%</w:t>
            </w:r>
          </w:p>
        </w:tc>
      </w:tr>
      <w:tr w:rsidR="05FD1449" w14:paraId="15669C0A" w14:textId="77777777" w:rsidTr="05FD1449">
        <w:trPr>
          <w:trHeight w:val="660"/>
        </w:trPr>
        <w:tc>
          <w:tcPr>
            <w:tcW w:w="3035" w:type="dxa"/>
            <w:shd w:val="clear" w:color="auto" w:fill="D9D9D9" w:themeFill="background1" w:themeFillShade="D9"/>
            <w:vAlign w:val="center"/>
          </w:tcPr>
          <w:p w14:paraId="2146F419" w14:textId="7E41EF9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Professional services</w:t>
            </w:r>
          </w:p>
        </w:tc>
        <w:tc>
          <w:tcPr>
            <w:tcW w:w="1838" w:type="dxa"/>
            <w:shd w:val="clear" w:color="auto" w:fill="D9D9D9" w:themeFill="background1" w:themeFillShade="D9"/>
            <w:tcMar>
              <w:top w:w="9" w:type="dxa"/>
              <w:left w:w="9" w:type="dxa"/>
              <w:right w:w="9" w:type="dxa"/>
            </w:tcMar>
            <w:vAlign w:val="center"/>
          </w:tcPr>
          <w:p w14:paraId="32A949C8" w14:textId="56E73C1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925 </w:t>
            </w:r>
          </w:p>
        </w:tc>
        <w:tc>
          <w:tcPr>
            <w:tcW w:w="1838" w:type="dxa"/>
            <w:shd w:val="clear" w:color="auto" w:fill="D9D9D9" w:themeFill="background1" w:themeFillShade="D9"/>
            <w:tcMar>
              <w:top w:w="9" w:type="dxa"/>
              <w:left w:w="9" w:type="dxa"/>
              <w:right w:w="9" w:type="dxa"/>
            </w:tcMar>
            <w:vAlign w:val="center"/>
          </w:tcPr>
          <w:p w14:paraId="753B7D88" w14:textId="1338D6C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953 </w:t>
            </w:r>
          </w:p>
        </w:tc>
        <w:tc>
          <w:tcPr>
            <w:tcW w:w="2360" w:type="dxa"/>
            <w:shd w:val="clear" w:color="auto" w:fill="D9D9D9" w:themeFill="background1" w:themeFillShade="D9"/>
            <w:tcMar>
              <w:top w:w="9" w:type="dxa"/>
              <w:left w:w="9" w:type="dxa"/>
              <w:right w:w="9" w:type="dxa"/>
            </w:tcMar>
            <w:vAlign w:val="center"/>
          </w:tcPr>
          <w:p w14:paraId="5EF1FC0F" w14:textId="61F7289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3%</w:t>
            </w:r>
          </w:p>
        </w:tc>
      </w:tr>
      <w:tr w:rsidR="05FD1449" w14:paraId="3E2CB0CF" w14:textId="77777777" w:rsidTr="05FD1449">
        <w:trPr>
          <w:trHeight w:val="660"/>
        </w:trPr>
        <w:tc>
          <w:tcPr>
            <w:tcW w:w="3035" w:type="dxa"/>
            <w:vAlign w:val="center"/>
          </w:tcPr>
          <w:p w14:paraId="2584670E" w14:textId="2E2F93F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Pharmacy</w:t>
            </w:r>
          </w:p>
        </w:tc>
        <w:tc>
          <w:tcPr>
            <w:tcW w:w="1838" w:type="dxa"/>
            <w:tcMar>
              <w:top w:w="9" w:type="dxa"/>
              <w:left w:w="9" w:type="dxa"/>
              <w:right w:w="9" w:type="dxa"/>
            </w:tcMar>
            <w:vAlign w:val="center"/>
          </w:tcPr>
          <w:p w14:paraId="1F228D8F" w14:textId="0BB4BA2A"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1,579 </w:t>
            </w:r>
          </w:p>
        </w:tc>
        <w:tc>
          <w:tcPr>
            <w:tcW w:w="1838" w:type="dxa"/>
            <w:tcMar>
              <w:top w:w="9" w:type="dxa"/>
              <w:left w:w="9" w:type="dxa"/>
              <w:right w:w="9" w:type="dxa"/>
            </w:tcMar>
            <w:vAlign w:val="center"/>
          </w:tcPr>
          <w:p w14:paraId="2FA390E6" w14:textId="079C8EEF"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1,657 </w:t>
            </w:r>
          </w:p>
        </w:tc>
        <w:tc>
          <w:tcPr>
            <w:tcW w:w="2360" w:type="dxa"/>
            <w:tcMar>
              <w:top w:w="9" w:type="dxa"/>
              <w:left w:w="9" w:type="dxa"/>
              <w:right w:w="9" w:type="dxa"/>
            </w:tcMar>
            <w:vAlign w:val="center"/>
          </w:tcPr>
          <w:p w14:paraId="53FB127F" w14:textId="3D3BAC4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5%</w:t>
            </w:r>
          </w:p>
        </w:tc>
      </w:tr>
      <w:tr w:rsidR="05FD1449" w14:paraId="09924446" w14:textId="77777777" w:rsidTr="05FD1449">
        <w:trPr>
          <w:trHeight w:val="660"/>
        </w:trPr>
        <w:tc>
          <w:tcPr>
            <w:tcW w:w="3035" w:type="dxa"/>
            <w:shd w:val="clear" w:color="auto" w:fill="D9D9D9" w:themeFill="background1" w:themeFillShade="D9"/>
            <w:vAlign w:val="center"/>
          </w:tcPr>
          <w:p w14:paraId="1DA90A0E" w14:textId="7A86394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All other</w:t>
            </w:r>
          </w:p>
        </w:tc>
        <w:tc>
          <w:tcPr>
            <w:tcW w:w="1838" w:type="dxa"/>
            <w:shd w:val="clear" w:color="auto" w:fill="D9D9D9" w:themeFill="background1" w:themeFillShade="D9"/>
            <w:tcMar>
              <w:top w:w="9" w:type="dxa"/>
              <w:left w:w="9" w:type="dxa"/>
              <w:right w:w="9" w:type="dxa"/>
            </w:tcMar>
            <w:vAlign w:val="center"/>
          </w:tcPr>
          <w:p w14:paraId="7C0C1BDC" w14:textId="669F0133"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259 </w:t>
            </w:r>
          </w:p>
        </w:tc>
        <w:tc>
          <w:tcPr>
            <w:tcW w:w="1838" w:type="dxa"/>
            <w:shd w:val="clear" w:color="auto" w:fill="D9D9D9" w:themeFill="background1" w:themeFillShade="D9"/>
            <w:tcMar>
              <w:top w:w="9" w:type="dxa"/>
              <w:left w:w="9" w:type="dxa"/>
              <w:right w:w="9" w:type="dxa"/>
            </w:tcMar>
            <w:vAlign w:val="center"/>
          </w:tcPr>
          <w:p w14:paraId="7ACEF0AD" w14:textId="27AAF98A"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263 </w:t>
            </w:r>
          </w:p>
        </w:tc>
        <w:tc>
          <w:tcPr>
            <w:tcW w:w="2360" w:type="dxa"/>
            <w:shd w:val="clear" w:color="auto" w:fill="D9D9D9" w:themeFill="background1" w:themeFillShade="D9"/>
            <w:tcMar>
              <w:top w:w="9" w:type="dxa"/>
              <w:left w:w="9" w:type="dxa"/>
              <w:right w:w="9" w:type="dxa"/>
            </w:tcMar>
            <w:vAlign w:val="center"/>
          </w:tcPr>
          <w:p w14:paraId="56135EB9" w14:textId="619008E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1%</w:t>
            </w:r>
          </w:p>
        </w:tc>
      </w:tr>
      <w:tr w:rsidR="05FD1449" w14:paraId="416683EE" w14:textId="77777777" w:rsidTr="05FD1449">
        <w:trPr>
          <w:trHeight w:val="660"/>
        </w:trPr>
        <w:tc>
          <w:tcPr>
            <w:tcW w:w="3035" w:type="dxa"/>
            <w:vAlign w:val="center"/>
          </w:tcPr>
          <w:p w14:paraId="20086A57" w14:textId="434FEDF5"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Total</w:t>
            </w:r>
          </w:p>
        </w:tc>
        <w:tc>
          <w:tcPr>
            <w:tcW w:w="1838" w:type="dxa"/>
            <w:tcMar>
              <w:top w:w="9" w:type="dxa"/>
              <w:left w:w="9" w:type="dxa"/>
              <w:right w:w="9" w:type="dxa"/>
            </w:tcMar>
            <w:vAlign w:val="center"/>
          </w:tcPr>
          <w:p w14:paraId="3883154A" w14:textId="292EB53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5,725 </w:t>
            </w:r>
          </w:p>
        </w:tc>
        <w:tc>
          <w:tcPr>
            <w:tcW w:w="1838" w:type="dxa"/>
            <w:tcMar>
              <w:top w:w="9" w:type="dxa"/>
              <w:left w:w="9" w:type="dxa"/>
              <w:right w:w="9" w:type="dxa"/>
            </w:tcMar>
            <w:vAlign w:val="center"/>
          </w:tcPr>
          <w:p w14:paraId="724989DB" w14:textId="5EC0821B"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5,835 </w:t>
            </w:r>
          </w:p>
        </w:tc>
        <w:tc>
          <w:tcPr>
            <w:tcW w:w="2360" w:type="dxa"/>
            <w:tcMar>
              <w:top w:w="9" w:type="dxa"/>
              <w:left w:w="9" w:type="dxa"/>
              <w:right w:w="9" w:type="dxa"/>
            </w:tcMar>
            <w:vAlign w:val="center"/>
          </w:tcPr>
          <w:p w14:paraId="2AF7F2A4" w14:textId="071ABC51"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w:t>
            </w:r>
          </w:p>
        </w:tc>
      </w:tr>
    </w:tbl>
    <w:p w14:paraId="7B384D43" w14:textId="146D6F6F" w:rsidR="05FD1449" w:rsidRDefault="05FD1449" w:rsidP="05FD1449">
      <w:pPr>
        <w:spacing w:after="0"/>
      </w:pPr>
    </w:p>
    <w:p w14:paraId="2F731F58" w14:textId="385529ED" w:rsidR="2AF23B60" w:rsidRDefault="2AF23B60"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Key Takeaways: </w:t>
      </w:r>
    </w:p>
    <w:p w14:paraId="35A892B3" w14:textId="13BC7569" w:rsidR="2AF23B60" w:rsidRDefault="2AF23B60" w:rsidP="008240EA">
      <w:pPr>
        <w:pStyle w:val="ListParagraph"/>
        <w:numPr>
          <w:ilvl w:val="0"/>
          <w:numId w:val="8"/>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Inpatient Hospital down -5% vs. 2021 </w:t>
      </w:r>
    </w:p>
    <w:p w14:paraId="00D712AD" w14:textId="5F1062AD" w:rsidR="2AF23B60" w:rsidRDefault="2AF23B60" w:rsidP="008240EA">
      <w:pPr>
        <w:pStyle w:val="ListParagraph"/>
        <w:numPr>
          <w:ilvl w:val="0"/>
          <w:numId w:val="8"/>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 Most categories saw slight increases vs. 2021. </w:t>
      </w:r>
      <w:proofErr w:type="gramStart"/>
      <w:r w:rsidRPr="05FD1449">
        <w:rPr>
          <w:rFonts w:asciiTheme="majorHAnsi" w:eastAsiaTheme="majorEastAsia" w:hAnsiTheme="majorHAnsi" w:cstheme="majorBidi"/>
          <w:sz w:val="24"/>
          <w:szCs w:val="24"/>
        </w:rPr>
        <w:t>Largest</w:t>
      </w:r>
      <w:proofErr w:type="gramEnd"/>
      <w:r w:rsidRPr="05FD1449">
        <w:rPr>
          <w:rFonts w:asciiTheme="majorHAnsi" w:eastAsiaTheme="majorEastAsia" w:hAnsiTheme="majorHAnsi" w:cstheme="majorBidi"/>
          <w:sz w:val="24"/>
          <w:szCs w:val="24"/>
        </w:rPr>
        <w:t xml:space="preserve"> increases were in Outpatient Hospital, Pharmacy, and Professional services </w:t>
      </w:r>
    </w:p>
    <w:p w14:paraId="25C4097A" w14:textId="38AA024B" w:rsidR="2AF23B60" w:rsidRDefault="2AF23B60" w:rsidP="008240EA">
      <w:pPr>
        <w:pStyle w:val="ListParagraph"/>
        <w:numPr>
          <w:ilvl w:val="0"/>
          <w:numId w:val="8"/>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 Inpatient BH and Outpatient BH were flat vs 2021 </w:t>
      </w:r>
    </w:p>
    <w:p w14:paraId="35D307FE" w14:textId="2819851E" w:rsidR="2AF23B60" w:rsidRDefault="2AF23B60" w:rsidP="008240EA">
      <w:pPr>
        <w:pStyle w:val="ListParagraph"/>
        <w:numPr>
          <w:ilvl w:val="0"/>
          <w:numId w:val="8"/>
        </w:num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 </w:t>
      </w:r>
      <w:proofErr w:type="gramStart"/>
      <w:r w:rsidRPr="05FD1449">
        <w:rPr>
          <w:rFonts w:asciiTheme="majorHAnsi" w:eastAsiaTheme="majorEastAsia" w:hAnsiTheme="majorHAnsi" w:cstheme="majorBidi"/>
          <w:sz w:val="24"/>
          <w:szCs w:val="24"/>
        </w:rPr>
        <w:t>Total</w:t>
      </w:r>
      <w:proofErr w:type="gramEnd"/>
      <w:r w:rsidRPr="05FD1449">
        <w:rPr>
          <w:rFonts w:asciiTheme="majorHAnsi" w:eastAsiaTheme="majorEastAsia" w:hAnsiTheme="majorHAnsi" w:cstheme="majorBidi"/>
          <w:sz w:val="24"/>
          <w:szCs w:val="24"/>
        </w:rPr>
        <w:t xml:space="preserve"> </w:t>
      </w:r>
      <w:proofErr w:type="gramStart"/>
      <w:r w:rsidRPr="05FD1449">
        <w:rPr>
          <w:rFonts w:asciiTheme="majorHAnsi" w:eastAsiaTheme="majorEastAsia" w:hAnsiTheme="majorHAnsi" w:cstheme="majorBidi"/>
          <w:sz w:val="24"/>
          <w:szCs w:val="24"/>
        </w:rPr>
        <w:t>spend</w:t>
      </w:r>
      <w:proofErr w:type="gramEnd"/>
      <w:r w:rsidRPr="05FD1449">
        <w:rPr>
          <w:rFonts w:asciiTheme="majorHAnsi" w:eastAsiaTheme="majorEastAsia" w:hAnsiTheme="majorHAnsi" w:cstheme="majorBidi"/>
          <w:sz w:val="24"/>
          <w:szCs w:val="24"/>
        </w:rPr>
        <w:t xml:space="preserve"> is up 2% vs. 2021</w:t>
      </w:r>
    </w:p>
    <w:p w14:paraId="58C07AD6" w14:textId="6606232B" w:rsidR="05FD1449" w:rsidRDefault="05FD1449" w:rsidP="05FD1449">
      <w:pPr>
        <w:spacing w:after="0"/>
      </w:pPr>
    </w:p>
    <w:p w14:paraId="67387453" w14:textId="3BDEB47F" w:rsidR="2AF23B60" w:rsidRDefault="2AF23B60" w:rsidP="05FD1449">
      <w:pPr>
        <w:pStyle w:val="Heading4"/>
      </w:pPr>
      <w:r>
        <w:lastRenderedPageBreak/>
        <w:t xml:space="preserve">Slide 56: Financial Performance: </w:t>
      </w:r>
      <w:r w:rsidR="2D0F88FD">
        <w:t xml:space="preserve">Majority of ACOs </w:t>
      </w:r>
      <w:r w:rsidR="120FA361">
        <w:t>S</w:t>
      </w:r>
      <w:r w:rsidR="2D0F88FD">
        <w:t xml:space="preserve">aw </w:t>
      </w:r>
      <w:r w:rsidR="19F2D9C5">
        <w:t>F</w:t>
      </w:r>
      <w:r w:rsidR="2D0F88FD">
        <w:t xml:space="preserve">inancial </w:t>
      </w:r>
      <w:r w:rsidR="3F61F4D8">
        <w:t>G</w:t>
      </w:r>
      <w:r w:rsidR="2D0F88FD">
        <w:t>ains in 2022</w:t>
      </w:r>
    </w:p>
    <w:p w14:paraId="06A02B14" w14:textId="0BC6B7DB" w:rsidR="47AC3347" w:rsidRDefault="47AC3347" w:rsidP="05FD1449">
      <w:pPr>
        <w:spacing w:after="0"/>
        <w:rPr>
          <w:sz w:val="24"/>
          <w:szCs w:val="24"/>
        </w:rPr>
      </w:pPr>
      <w:r w:rsidRPr="05FD1449">
        <w:rPr>
          <w:sz w:val="24"/>
          <w:szCs w:val="24"/>
        </w:rPr>
        <w:t>Table 16:</w:t>
      </w:r>
    </w:p>
    <w:p w14:paraId="45741530" w14:textId="7A1F303A" w:rsidR="47AC3347" w:rsidRDefault="47AC3347" w:rsidP="05FD1449">
      <w:pPr>
        <w:spacing w:after="0"/>
        <w:rPr>
          <w:b/>
          <w:bCs/>
          <w:sz w:val="24"/>
          <w:szCs w:val="24"/>
        </w:rPr>
      </w:pPr>
      <w:r w:rsidRPr="05FD1449">
        <w:rPr>
          <w:b/>
          <w:bCs/>
          <w:sz w:val="24"/>
          <w:szCs w:val="24"/>
        </w:rPr>
        <w:t>2022 projected performance against capitation rates/benchmark</w:t>
      </w:r>
      <w:r w:rsidRPr="05FD1449">
        <w:rPr>
          <w:rStyle w:val="FootnoteReference"/>
          <w:b/>
          <w:bCs/>
          <w:sz w:val="24"/>
          <w:szCs w:val="24"/>
        </w:rPr>
        <w:footnoteReference w:id="36"/>
      </w:r>
    </w:p>
    <w:p w14:paraId="4DD9A4CF" w14:textId="07354DE2" w:rsidR="47AC3347" w:rsidRDefault="47AC3347" w:rsidP="05FD1449">
      <w:pPr>
        <w:spacing w:after="0"/>
        <w:rPr>
          <w:sz w:val="24"/>
          <w:szCs w:val="24"/>
        </w:rPr>
      </w:pPr>
      <w:r w:rsidRPr="05FD1449">
        <w:rPr>
          <w:sz w:val="24"/>
          <w:szCs w:val="24"/>
        </w:rPr>
        <w:t>#of ACOs</w:t>
      </w:r>
    </w:p>
    <w:tbl>
      <w:tblPr>
        <w:tblStyle w:val="TableGrid"/>
        <w:tblW w:w="0" w:type="auto"/>
        <w:tblLayout w:type="fixed"/>
        <w:tblLook w:val="06A0" w:firstRow="1" w:lastRow="0" w:firstColumn="1" w:lastColumn="0" w:noHBand="1" w:noVBand="1"/>
      </w:tblPr>
      <w:tblGrid>
        <w:gridCol w:w="3120"/>
        <w:gridCol w:w="3120"/>
        <w:gridCol w:w="3120"/>
      </w:tblGrid>
      <w:tr w:rsidR="05FD1449" w14:paraId="54D39C9A" w14:textId="77777777" w:rsidTr="05FD1449">
        <w:trPr>
          <w:trHeight w:val="300"/>
        </w:trPr>
        <w:tc>
          <w:tcPr>
            <w:tcW w:w="3120" w:type="dxa"/>
            <w:shd w:val="clear" w:color="auto" w:fill="D9E2F3" w:themeFill="accent1" w:themeFillTint="33"/>
          </w:tcPr>
          <w:p w14:paraId="59D54744" w14:textId="346C84A3" w:rsidR="05FD1449" w:rsidRDefault="05FD1449" w:rsidP="05FD1449"/>
        </w:tc>
        <w:tc>
          <w:tcPr>
            <w:tcW w:w="3120" w:type="dxa"/>
            <w:shd w:val="clear" w:color="auto" w:fill="D9E2F3" w:themeFill="accent1" w:themeFillTint="33"/>
            <w:vAlign w:val="center"/>
          </w:tcPr>
          <w:p w14:paraId="4CB5B893" w14:textId="0835CC79" w:rsidR="47AC3347" w:rsidRDefault="47AC3347" w:rsidP="05FD1449">
            <w:pPr>
              <w:jc w:val="center"/>
            </w:pPr>
            <w:r>
              <w:t>ACPP</w:t>
            </w:r>
          </w:p>
        </w:tc>
        <w:tc>
          <w:tcPr>
            <w:tcW w:w="3120" w:type="dxa"/>
            <w:shd w:val="clear" w:color="auto" w:fill="D9E2F3" w:themeFill="accent1" w:themeFillTint="33"/>
            <w:vAlign w:val="center"/>
          </w:tcPr>
          <w:p w14:paraId="00620CB9" w14:textId="25AFC34E" w:rsidR="47AC3347" w:rsidRDefault="47AC3347" w:rsidP="05FD1449">
            <w:pPr>
              <w:jc w:val="center"/>
            </w:pPr>
            <w:r>
              <w:t>PCACO</w:t>
            </w:r>
          </w:p>
        </w:tc>
      </w:tr>
      <w:tr w:rsidR="05FD1449" w14:paraId="5CEC9FC4" w14:textId="77777777" w:rsidTr="05FD1449">
        <w:trPr>
          <w:trHeight w:val="300"/>
        </w:trPr>
        <w:tc>
          <w:tcPr>
            <w:tcW w:w="3120" w:type="dxa"/>
            <w:shd w:val="clear" w:color="auto" w:fill="D9E2F3" w:themeFill="accent1" w:themeFillTint="33"/>
          </w:tcPr>
          <w:p w14:paraId="6F935175" w14:textId="0E5B4265" w:rsidR="79BC7149" w:rsidRDefault="79BC7149" w:rsidP="05FD1449">
            <w:r>
              <w:t>&gt;2% gains</w:t>
            </w:r>
          </w:p>
        </w:tc>
        <w:tc>
          <w:tcPr>
            <w:tcW w:w="3120" w:type="dxa"/>
            <w:vAlign w:val="center"/>
          </w:tcPr>
          <w:p w14:paraId="218A249D" w14:textId="5FFD0C16" w:rsidR="79BC7149" w:rsidRDefault="79BC7149" w:rsidP="05FD1449">
            <w:pPr>
              <w:jc w:val="center"/>
            </w:pPr>
            <w:r>
              <w:t>7</w:t>
            </w:r>
          </w:p>
        </w:tc>
        <w:tc>
          <w:tcPr>
            <w:tcW w:w="3120" w:type="dxa"/>
            <w:vAlign w:val="center"/>
          </w:tcPr>
          <w:p w14:paraId="1B6547AB" w14:textId="7795E803" w:rsidR="79BC7149" w:rsidRDefault="79BC7149" w:rsidP="05FD1449">
            <w:pPr>
              <w:jc w:val="center"/>
            </w:pPr>
            <w:r>
              <w:t>1</w:t>
            </w:r>
          </w:p>
        </w:tc>
      </w:tr>
      <w:tr w:rsidR="05FD1449" w14:paraId="19388F22" w14:textId="77777777" w:rsidTr="05FD1449">
        <w:trPr>
          <w:trHeight w:val="300"/>
        </w:trPr>
        <w:tc>
          <w:tcPr>
            <w:tcW w:w="3120" w:type="dxa"/>
            <w:shd w:val="clear" w:color="auto" w:fill="D9E2F3" w:themeFill="accent1" w:themeFillTint="33"/>
          </w:tcPr>
          <w:p w14:paraId="744ADC9D" w14:textId="5D34FADF" w:rsidR="79BC7149" w:rsidRDefault="79BC7149" w:rsidP="05FD1449">
            <w:r>
              <w:t xml:space="preserve">+/- 2% of breakeven </w:t>
            </w:r>
          </w:p>
        </w:tc>
        <w:tc>
          <w:tcPr>
            <w:tcW w:w="3120" w:type="dxa"/>
            <w:vAlign w:val="center"/>
          </w:tcPr>
          <w:p w14:paraId="1810CFEF" w14:textId="377E63F1" w:rsidR="79BC7149" w:rsidRDefault="79BC7149" w:rsidP="05FD1449">
            <w:pPr>
              <w:jc w:val="center"/>
            </w:pPr>
            <w:r>
              <w:t>4</w:t>
            </w:r>
          </w:p>
        </w:tc>
        <w:tc>
          <w:tcPr>
            <w:tcW w:w="3120" w:type="dxa"/>
            <w:vAlign w:val="center"/>
          </w:tcPr>
          <w:p w14:paraId="7E5AAB24" w14:textId="4193D75B" w:rsidR="79BC7149" w:rsidRDefault="79BC7149" w:rsidP="05FD1449">
            <w:pPr>
              <w:jc w:val="center"/>
            </w:pPr>
            <w:r>
              <w:t>2</w:t>
            </w:r>
          </w:p>
        </w:tc>
      </w:tr>
      <w:tr w:rsidR="05FD1449" w14:paraId="47F6B604" w14:textId="77777777" w:rsidTr="05FD1449">
        <w:trPr>
          <w:trHeight w:val="300"/>
        </w:trPr>
        <w:tc>
          <w:tcPr>
            <w:tcW w:w="3120" w:type="dxa"/>
            <w:shd w:val="clear" w:color="auto" w:fill="D9E2F3" w:themeFill="accent1" w:themeFillTint="33"/>
          </w:tcPr>
          <w:p w14:paraId="23AFB38C" w14:textId="749D341D" w:rsidR="79BC7149" w:rsidRDefault="79BC7149" w:rsidP="05FD1449">
            <w:r>
              <w:t>&gt;2% losses</w:t>
            </w:r>
          </w:p>
        </w:tc>
        <w:tc>
          <w:tcPr>
            <w:tcW w:w="3120" w:type="dxa"/>
            <w:vAlign w:val="center"/>
          </w:tcPr>
          <w:p w14:paraId="7F43FD45" w14:textId="2139AB15" w:rsidR="79BC7149" w:rsidRDefault="79BC7149" w:rsidP="05FD1449">
            <w:pPr>
              <w:jc w:val="center"/>
            </w:pPr>
            <w:r>
              <w:t>2</w:t>
            </w:r>
          </w:p>
        </w:tc>
        <w:tc>
          <w:tcPr>
            <w:tcW w:w="3120" w:type="dxa"/>
            <w:vAlign w:val="center"/>
          </w:tcPr>
          <w:p w14:paraId="0228F9BE" w14:textId="18AB39CC" w:rsidR="79BC7149" w:rsidRDefault="79BC7149" w:rsidP="05FD1449">
            <w:pPr>
              <w:jc w:val="center"/>
            </w:pPr>
            <w:r>
              <w:t>0</w:t>
            </w:r>
          </w:p>
        </w:tc>
      </w:tr>
      <w:tr w:rsidR="05FD1449" w14:paraId="3C24B8C6" w14:textId="77777777" w:rsidTr="05FD1449">
        <w:trPr>
          <w:trHeight w:val="300"/>
        </w:trPr>
        <w:tc>
          <w:tcPr>
            <w:tcW w:w="3120" w:type="dxa"/>
            <w:shd w:val="clear" w:color="auto" w:fill="D9E2F3" w:themeFill="accent1" w:themeFillTint="33"/>
          </w:tcPr>
          <w:p w14:paraId="7F31C404" w14:textId="09571AD1" w:rsidR="05FD1449" w:rsidRDefault="05FD1449" w:rsidP="05FD1449"/>
        </w:tc>
        <w:tc>
          <w:tcPr>
            <w:tcW w:w="3120" w:type="dxa"/>
            <w:vAlign w:val="center"/>
          </w:tcPr>
          <w:p w14:paraId="4F8B5665" w14:textId="289E8F9C" w:rsidR="79BC7149" w:rsidRDefault="79BC7149" w:rsidP="05FD1449">
            <w:pPr>
              <w:jc w:val="center"/>
            </w:pPr>
            <w:r>
              <w:t>13</w:t>
            </w:r>
          </w:p>
        </w:tc>
        <w:tc>
          <w:tcPr>
            <w:tcW w:w="3120" w:type="dxa"/>
            <w:vAlign w:val="center"/>
          </w:tcPr>
          <w:p w14:paraId="24A8E028" w14:textId="0261C586" w:rsidR="79BC7149" w:rsidRDefault="79BC7149" w:rsidP="05FD1449">
            <w:pPr>
              <w:jc w:val="center"/>
            </w:pPr>
            <w:r>
              <w:t>3</w:t>
            </w:r>
          </w:p>
        </w:tc>
      </w:tr>
    </w:tbl>
    <w:p w14:paraId="73E7E276" w14:textId="6A022336" w:rsidR="05FD1449" w:rsidRDefault="05FD1449" w:rsidP="05FD1449">
      <w:pPr>
        <w:spacing w:after="0"/>
      </w:pPr>
    </w:p>
    <w:p w14:paraId="28F72A3C" w14:textId="11B6DEE3" w:rsidR="15C31D64" w:rsidRDefault="15C31D64"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Key Takeaways: </w:t>
      </w:r>
    </w:p>
    <w:p w14:paraId="30B680A9" w14:textId="0E08A6BE" w:rsidR="15C31D64" w:rsidRDefault="15C31D64" w:rsidP="008240EA">
      <w:pPr>
        <w:pStyle w:val="ListParagraph"/>
        <w:numPr>
          <w:ilvl w:val="0"/>
          <w:numId w:val="7"/>
        </w:num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Most ACOs experienced financial gains or were at breakeven in 2022</w:t>
      </w:r>
    </w:p>
    <w:p w14:paraId="0DB5DB6D" w14:textId="234414F5" w:rsidR="15C31D64" w:rsidRDefault="15C31D64" w:rsidP="008240EA">
      <w:pPr>
        <w:pStyle w:val="ListParagraph"/>
        <w:numPr>
          <w:ilvl w:val="0"/>
          <w:numId w:val="6"/>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For 2021 and beyond, MassHealth adjusted funding to meet actual costs for the ACO program overall.</w:t>
      </w:r>
    </w:p>
    <w:p w14:paraId="7B309D54" w14:textId="604F15A1" w:rsidR="15C31D64" w:rsidRDefault="15C31D64" w:rsidP="008240EA">
      <w:pPr>
        <w:pStyle w:val="ListParagraph"/>
        <w:numPr>
          <w:ilvl w:val="1"/>
          <w:numId w:val="6"/>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This is done by adjusting </w:t>
      </w:r>
      <w:proofErr w:type="gramStart"/>
      <w:r w:rsidRPr="05FD1449">
        <w:rPr>
          <w:rFonts w:asciiTheme="majorHAnsi" w:eastAsiaTheme="majorEastAsia" w:hAnsiTheme="majorHAnsi" w:cstheme="majorBidi"/>
          <w:sz w:val="24"/>
          <w:szCs w:val="24"/>
        </w:rPr>
        <w:t>for</w:t>
      </w:r>
      <w:proofErr w:type="gramEnd"/>
      <w:r w:rsidRPr="05FD1449">
        <w:rPr>
          <w:rFonts w:asciiTheme="majorHAnsi" w:eastAsiaTheme="majorEastAsia" w:hAnsiTheme="majorHAnsi" w:cstheme="majorBidi"/>
          <w:sz w:val="24"/>
          <w:szCs w:val="24"/>
        </w:rPr>
        <w:t xml:space="preserve"> situations in which the market overall is in savings or losses due to some market-wide trend (e.g., pandemic utilization changes, shifts in acuity of the overall caseload).  </w:t>
      </w:r>
    </w:p>
    <w:p w14:paraId="152BC94F" w14:textId="4BAF7E6C" w:rsidR="15C31D64" w:rsidRDefault="15C31D64" w:rsidP="008240EA">
      <w:pPr>
        <w:pStyle w:val="ListParagraph"/>
        <w:numPr>
          <w:ilvl w:val="1"/>
          <w:numId w:val="6"/>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Even in the context of these adjustments, individual ACOs remain incented to perform better than the market overall</w:t>
      </w:r>
    </w:p>
    <w:p w14:paraId="4708FD4D" w14:textId="0E6D9453" w:rsidR="05FD1449" w:rsidRDefault="05FD1449" w:rsidP="05FD1449">
      <w:pPr>
        <w:spacing w:after="0"/>
        <w:rPr>
          <w:rFonts w:asciiTheme="majorHAnsi" w:eastAsiaTheme="majorEastAsia" w:hAnsiTheme="majorHAnsi" w:cstheme="majorBidi"/>
        </w:rPr>
      </w:pPr>
    </w:p>
    <w:p w14:paraId="03E6843C" w14:textId="42F90181" w:rsidR="71382623" w:rsidRDefault="71382623" w:rsidP="05FD1449">
      <w:pPr>
        <w:pStyle w:val="Heading4"/>
      </w:pPr>
      <w:r>
        <w:t xml:space="preserve">Slide 57: ACO Financial Performance Varied by Plan </w:t>
      </w:r>
    </w:p>
    <w:p w14:paraId="60462F7B" w14:textId="5863CFDC" w:rsidR="568DDBC5" w:rsidRDefault="568DDBC5"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Graph 16: </w:t>
      </w:r>
    </w:p>
    <w:p w14:paraId="2281CE33" w14:textId="6B4D26A9" w:rsidR="29822890" w:rsidRDefault="29822890" w:rsidP="05FD1449">
      <w:pPr>
        <w:spacing w:after="0"/>
        <w:rPr>
          <w:rFonts w:asciiTheme="majorHAnsi" w:eastAsiaTheme="majorEastAsia" w:hAnsiTheme="majorHAnsi" w:cstheme="majorBidi"/>
          <w:sz w:val="24"/>
          <w:szCs w:val="24"/>
        </w:rPr>
      </w:pPr>
      <w:r>
        <w:rPr>
          <w:noProof/>
        </w:rPr>
        <w:drawing>
          <wp:inline distT="0" distB="0" distL="0" distR="0" wp14:anchorId="0B8071E3" wp14:editId="404E5C20">
            <wp:extent cx="5943600" cy="2381250"/>
            <wp:effectExtent l="0" t="0" r="0" b="0"/>
            <wp:docPr id="1737688002" name="Picture 1737688002" descr="This graph shows the plan profits and plan losses compared to ACPP and PCACO market profits and losses. Reference Key Takeaway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2381250"/>
                    </a:xfrm>
                    <a:prstGeom prst="rect">
                      <a:avLst/>
                    </a:prstGeom>
                  </pic:spPr>
                </pic:pic>
              </a:graphicData>
            </a:graphic>
          </wp:inline>
        </w:drawing>
      </w:r>
      <w:r w:rsidRPr="04EAB959">
        <w:rPr>
          <w:rFonts w:asciiTheme="majorHAnsi" w:eastAsiaTheme="majorEastAsia" w:hAnsiTheme="majorHAnsi" w:cstheme="majorBidi"/>
          <w:sz w:val="24"/>
          <w:szCs w:val="24"/>
        </w:rPr>
        <w:t xml:space="preserve">Note for Graph 16: January – December 2022 core medical expenditures. ACPP and PCACO data sourced from the 2022 refresh market corridor report which reflects concurrent risk scores and the market corridor adjustments. Figures subject to final reconciliation (including </w:t>
      </w:r>
      <w:proofErr w:type="gramStart"/>
      <w:r w:rsidRPr="04EAB959">
        <w:rPr>
          <w:rFonts w:asciiTheme="majorHAnsi" w:eastAsiaTheme="majorEastAsia" w:hAnsiTheme="majorHAnsi" w:cstheme="majorBidi"/>
          <w:sz w:val="24"/>
          <w:szCs w:val="24"/>
        </w:rPr>
        <w:t>final concurrent</w:t>
      </w:r>
      <w:proofErr w:type="gramEnd"/>
      <w:r w:rsidRPr="04EAB959">
        <w:rPr>
          <w:rFonts w:asciiTheme="majorHAnsi" w:eastAsiaTheme="majorEastAsia" w:hAnsiTheme="majorHAnsi" w:cstheme="majorBidi"/>
          <w:sz w:val="24"/>
          <w:szCs w:val="24"/>
        </w:rPr>
        <w:t xml:space="preserve"> </w:t>
      </w:r>
      <w:r w:rsidRPr="04EAB959">
        <w:rPr>
          <w:rFonts w:asciiTheme="majorHAnsi" w:eastAsiaTheme="majorEastAsia" w:hAnsiTheme="majorHAnsi" w:cstheme="majorBidi"/>
          <w:sz w:val="24"/>
          <w:szCs w:val="24"/>
        </w:rPr>
        <w:lastRenderedPageBreak/>
        <w:t>risk scores and market corridor adjustments), all percentages presented are prior to risk-sharing. Excludes MCO-Administered ACOs.</w:t>
      </w:r>
    </w:p>
    <w:p w14:paraId="2AEF3701" w14:textId="6714B84D" w:rsidR="05FD1449" w:rsidRDefault="05FD1449" w:rsidP="05FD1449">
      <w:pPr>
        <w:spacing w:after="0"/>
        <w:rPr>
          <w:rFonts w:asciiTheme="majorHAnsi" w:eastAsiaTheme="majorEastAsia" w:hAnsiTheme="majorHAnsi" w:cstheme="majorBidi"/>
          <w:sz w:val="24"/>
          <w:szCs w:val="24"/>
        </w:rPr>
      </w:pPr>
    </w:p>
    <w:p w14:paraId="5271EADB" w14:textId="301A0E76" w:rsidR="1CA44ECB" w:rsidRDefault="1CA44ECB"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Key Takeaways:</w:t>
      </w:r>
    </w:p>
    <w:p w14:paraId="6DE3B863" w14:textId="0103CD83" w:rsidR="1CA44ECB" w:rsidRDefault="1CA44ECB" w:rsidP="008240EA">
      <w:pPr>
        <w:pStyle w:val="ListParagraph"/>
        <w:numPr>
          <w:ilvl w:val="0"/>
          <w:numId w:val="5"/>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ACPP/PCACO market experienced 1.5%</w:t>
      </w:r>
      <w:r w:rsidRPr="05FD1449">
        <w:rPr>
          <w:rStyle w:val="FootnoteReference"/>
          <w:rFonts w:asciiTheme="majorHAnsi" w:eastAsiaTheme="majorEastAsia" w:hAnsiTheme="majorHAnsi" w:cstheme="majorBidi"/>
          <w:sz w:val="24"/>
          <w:szCs w:val="24"/>
        </w:rPr>
        <w:footnoteReference w:id="37"/>
      </w:r>
      <w:r w:rsidRPr="05FD1449">
        <w:rPr>
          <w:rFonts w:asciiTheme="majorHAnsi" w:eastAsiaTheme="majorEastAsia" w:hAnsiTheme="majorHAnsi" w:cstheme="majorBidi"/>
          <w:sz w:val="24"/>
          <w:szCs w:val="24"/>
        </w:rPr>
        <w:t xml:space="preserve"> gains after applying concurrent risk scores and the market corridor adjustment (see p. 55) </w:t>
      </w:r>
    </w:p>
    <w:p w14:paraId="722B92F8" w14:textId="36A760FC" w:rsidR="1CA44ECB" w:rsidRDefault="1CA44ECB" w:rsidP="008240EA">
      <w:pPr>
        <w:pStyle w:val="ListParagraph"/>
        <w:numPr>
          <w:ilvl w:val="0"/>
          <w:numId w:val="5"/>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Across the ACPP market, performance varied by </w:t>
      </w:r>
      <w:r w:rsidRPr="05FD1449">
        <w:rPr>
          <w:rFonts w:asciiTheme="majorHAnsi" w:eastAsiaTheme="majorEastAsia" w:hAnsiTheme="majorHAnsi" w:cstheme="majorBidi"/>
          <w:b/>
          <w:bCs/>
          <w:sz w:val="24"/>
          <w:szCs w:val="24"/>
        </w:rPr>
        <w:t>up to ~14 percentage points</w:t>
      </w:r>
      <w:r w:rsidRPr="05FD1449">
        <w:rPr>
          <w:rFonts w:asciiTheme="majorHAnsi" w:eastAsiaTheme="majorEastAsia" w:hAnsiTheme="majorHAnsi" w:cstheme="majorBidi"/>
          <w:sz w:val="24"/>
          <w:szCs w:val="24"/>
        </w:rPr>
        <w:t xml:space="preserve"> across ACOs. </w:t>
      </w:r>
    </w:p>
    <w:p w14:paraId="0DA4E6F4" w14:textId="391DC833" w:rsidR="1CA44ECB" w:rsidRDefault="1CA44ECB" w:rsidP="008240EA">
      <w:pPr>
        <w:pStyle w:val="ListParagraph"/>
        <w:numPr>
          <w:ilvl w:val="0"/>
          <w:numId w:val="5"/>
        </w:num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Across the PCACO market, performance varied by </w:t>
      </w:r>
      <w:r w:rsidRPr="05FD1449">
        <w:rPr>
          <w:rFonts w:asciiTheme="majorHAnsi" w:eastAsiaTheme="majorEastAsia" w:hAnsiTheme="majorHAnsi" w:cstheme="majorBidi"/>
          <w:b/>
          <w:bCs/>
          <w:sz w:val="24"/>
          <w:szCs w:val="24"/>
        </w:rPr>
        <w:t>up to ~2 percentage points</w:t>
      </w:r>
      <w:r w:rsidRPr="05FD1449">
        <w:rPr>
          <w:rFonts w:asciiTheme="majorHAnsi" w:eastAsiaTheme="majorEastAsia" w:hAnsiTheme="majorHAnsi" w:cstheme="majorBidi"/>
          <w:sz w:val="24"/>
          <w:szCs w:val="24"/>
        </w:rPr>
        <w:t xml:space="preserve"> across ACOs.</w:t>
      </w:r>
    </w:p>
    <w:p w14:paraId="6E4042FE" w14:textId="2A53ACBC" w:rsidR="05FD1449" w:rsidRDefault="05FD1449" w:rsidP="05FD1449">
      <w:pPr>
        <w:spacing w:after="0"/>
        <w:rPr>
          <w:rFonts w:asciiTheme="majorHAnsi" w:eastAsiaTheme="majorEastAsia" w:hAnsiTheme="majorHAnsi" w:cstheme="majorBidi"/>
        </w:rPr>
      </w:pPr>
    </w:p>
    <w:p w14:paraId="20451153" w14:textId="636D879D" w:rsidR="639B62C4" w:rsidRDefault="639B62C4" w:rsidP="05FD1449">
      <w:pPr>
        <w:pStyle w:val="Heading4"/>
      </w:pPr>
      <w:r>
        <w:t xml:space="preserve">Slide 58: 2023 Q1 Extension Overview </w:t>
      </w:r>
    </w:p>
    <w:p w14:paraId="05F5F006" w14:textId="14192AEC" w:rsidR="639B62C4" w:rsidRDefault="639B62C4" w:rsidP="05FD1449">
      <w:proofErr w:type="gramStart"/>
      <w:r>
        <w:t>Table</w:t>
      </w:r>
      <w:proofErr w:type="gramEnd"/>
      <w:r>
        <w:t xml:space="preserve"> 17 and 18:</w:t>
      </w:r>
    </w:p>
    <w:p w14:paraId="7232FEA0" w14:textId="4C9F20CE" w:rsidR="639B62C4" w:rsidRDefault="639B62C4" w:rsidP="05FD1449">
      <w:r>
        <w:t>Trend by Category of Service</w:t>
      </w:r>
      <w:r w:rsidRPr="05FD1449">
        <w:rPr>
          <w:rStyle w:val="FootnoteReference"/>
        </w:rPr>
        <w:footnoteReference w:id="38"/>
      </w:r>
    </w:p>
    <w:tbl>
      <w:tblPr>
        <w:tblStyle w:val="TableGrid"/>
        <w:tblW w:w="0" w:type="auto"/>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6A0" w:firstRow="1" w:lastRow="0" w:firstColumn="1" w:lastColumn="0" w:noHBand="1" w:noVBand="1"/>
      </w:tblPr>
      <w:tblGrid>
        <w:gridCol w:w="3035"/>
        <w:gridCol w:w="1838"/>
      </w:tblGrid>
      <w:tr w:rsidR="05FD1449" w14:paraId="37BC8BD8" w14:textId="77777777" w:rsidTr="05FD1449">
        <w:trPr>
          <w:trHeight w:val="810"/>
        </w:trPr>
        <w:tc>
          <w:tcPr>
            <w:tcW w:w="3035" w:type="dxa"/>
            <w:shd w:val="clear" w:color="auto" w:fill="D9E2F3" w:themeFill="accent1" w:themeFillTint="33"/>
            <w:vAlign w:val="center"/>
          </w:tcPr>
          <w:p w14:paraId="04037489" w14:textId="044AC07C"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Average PMPM</w:t>
            </w:r>
          </w:p>
        </w:tc>
        <w:tc>
          <w:tcPr>
            <w:tcW w:w="1838" w:type="dxa"/>
            <w:shd w:val="clear" w:color="auto" w:fill="D9E2F3" w:themeFill="accent1" w:themeFillTint="33"/>
            <w:vAlign w:val="center"/>
          </w:tcPr>
          <w:p w14:paraId="6A23C548" w14:textId="4F5EAF3F"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2023 Q1</w:t>
            </w:r>
          </w:p>
        </w:tc>
      </w:tr>
      <w:tr w:rsidR="05FD1449" w14:paraId="14706AB1" w14:textId="77777777" w:rsidTr="05FD1449">
        <w:trPr>
          <w:trHeight w:val="660"/>
        </w:trPr>
        <w:tc>
          <w:tcPr>
            <w:tcW w:w="3035" w:type="dxa"/>
            <w:shd w:val="clear" w:color="auto" w:fill="D9D9D9" w:themeFill="background1" w:themeFillShade="D9"/>
            <w:vAlign w:val="center"/>
          </w:tcPr>
          <w:p w14:paraId="7DFF7E15" w14:textId="71412A60"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Inpatient Hospital</w:t>
            </w:r>
          </w:p>
        </w:tc>
        <w:tc>
          <w:tcPr>
            <w:tcW w:w="1838" w:type="dxa"/>
            <w:shd w:val="clear" w:color="auto" w:fill="D9D9D9" w:themeFill="background1" w:themeFillShade="D9"/>
            <w:tcMar>
              <w:top w:w="9" w:type="dxa"/>
              <w:left w:w="9" w:type="dxa"/>
              <w:right w:w="9" w:type="dxa"/>
            </w:tcMar>
            <w:vAlign w:val="center"/>
          </w:tcPr>
          <w:p w14:paraId="3D20B3C1" w14:textId="189B5A13"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132 </w:t>
            </w:r>
          </w:p>
        </w:tc>
      </w:tr>
      <w:tr w:rsidR="05FD1449" w14:paraId="2FEEC318" w14:textId="77777777" w:rsidTr="05FD1449">
        <w:trPr>
          <w:trHeight w:val="660"/>
        </w:trPr>
        <w:tc>
          <w:tcPr>
            <w:tcW w:w="3035" w:type="dxa"/>
            <w:vAlign w:val="center"/>
          </w:tcPr>
          <w:p w14:paraId="75A32229" w14:textId="7407C6B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Outpatient Hospital</w:t>
            </w:r>
          </w:p>
        </w:tc>
        <w:tc>
          <w:tcPr>
            <w:tcW w:w="1838" w:type="dxa"/>
            <w:tcMar>
              <w:top w:w="9" w:type="dxa"/>
              <w:left w:w="9" w:type="dxa"/>
              <w:right w:w="9" w:type="dxa"/>
            </w:tcMar>
            <w:vAlign w:val="center"/>
          </w:tcPr>
          <w:p w14:paraId="2AF0C593" w14:textId="56AD4B2F"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162 </w:t>
            </w:r>
          </w:p>
        </w:tc>
      </w:tr>
      <w:tr w:rsidR="05FD1449" w14:paraId="32FE6F13" w14:textId="77777777" w:rsidTr="05FD1449">
        <w:trPr>
          <w:trHeight w:val="660"/>
        </w:trPr>
        <w:tc>
          <w:tcPr>
            <w:tcW w:w="3035" w:type="dxa"/>
            <w:shd w:val="clear" w:color="auto" w:fill="D9D9D9" w:themeFill="background1" w:themeFillShade="D9"/>
            <w:vAlign w:val="center"/>
          </w:tcPr>
          <w:p w14:paraId="1F1C804F" w14:textId="5ED95FF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Inpatient BH</w:t>
            </w:r>
          </w:p>
        </w:tc>
        <w:tc>
          <w:tcPr>
            <w:tcW w:w="1838" w:type="dxa"/>
            <w:shd w:val="clear" w:color="auto" w:fill="D9D9D9" w:themeFill="background1" w:themeFillShade="D9"/>
            <w:tcMar>
              <w:top w:w="9" w:type="dxa"/>
              <w:left w:w="9" w:type="dxa"/>
              <w:right w:w="9" w:type="dxa"/>
            </w:tcMar>
            <w:vAlign w:val="center"/>
          </w:tcPr>
          <w:p w14:paraId="05C68BB4" w14:textId="4F9C284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24</w:t>
            </w:r>
          </w:p>
        </w:tc>
      </w:tr>
      <w:tr w:rsidR="05FD1449" w14:paraId="17260415" w14:textId="77777777" w:rsidTr="05FD1449">
        <w:trPr>
          <w:trHeight w:val="660"/>
        </w:trPr>
        <w:tc>
          <w:tcPr>
            <w:tcW w:w="3035" w:type="dxa"/>
            <w:vAlign w:val="center"/>
          </w:tcPr>
          <w:p w14:paraId="7DC2151A" w14:textId="5669CF2B"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Outpatient BH</w:t>
            </w:r>
          </w:p>
        </w:tc>
        <w:tc>
          <w:tcPr>
            <w:tcW w:w="1838" w:type="dxa"/>
            <w:tcMar>
              <w:top w:w="9" w:type="dxa"/>
              <w:left w:w="9" w:type="dxa"/>
              <w:right w:w="9" w:type="dxa"/>
            </w:tcMar>
            <w:vAlign w:val="center"/>
          </w:tcPr>
          <w:p w14:paraId="637D36C9" w14:textId="37C2CCC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67 </w:t>
            </w:r>
          </w:p>
        </w:tc>
      </w:tr>
      <w:tr w:rsidR="05FD1449" w14:paraId="0A3E7F60" w14:textId="77777777" w:rsidTr="05FD1449">
        <w:trPr>
          <w:trHeight w:val="660"/>
        </w:trPr>
        <w:tc>
          <w:tcPr>
            <w:tcW w:w="3035" w:type="dxa"/>
            <w:shd w:val="clear" w:color="auto" w:fill="D9D9D9" w:themeFill="background1" w:themeFillShade="D9"/>
            <w:vAlign w:val="center"/>
          </w:tcPr>
          <w:p w14:paraId="4C47DFA0" w14:textId="7887757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Professional services</w:t>
            </w:r>
          </w:p>
        </w:tc>
        <w:tc>
          <w:tcPr>
            <w:tcW w:w="1838" w:type="dxa"/>
            <w:shd w:val="clear" w:color="auto" w:fill="D9D9D9" w:themeFill="background1" w:themeFillShade="D9"/>
            <w:tcMar>
              <w:top w:w="9" w:type="dxa"/>
              <w:left w:w="9" w:type="dxa"/>
              <w:right w:w="9" w:type="dxa"/>
            </w:tcMar>
            <w:vAlign w:val="center"/>
          </w:tcPr>
          <w:p w14:paraId="00B3CA00" w14:textId="3D4C4AFA"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148 </w:t>
            </w:r>
          </w:p>
        </w:tc>
      </w:tr>
      <w:tr w:rsidR="05FD1449" w14:paraId="3DA0EB41" w14:textId="77777777" w:rsidTr="05FD1449">
        <w:trPr>
          <w:trHeight w:val="660"/>
        </w:trPr>
        <w:tc>
          <w:tcPr>
            <w:tcW w:w="3035" w:type="dxa"/>
            <w:vAlign w:val="center"/>
          </w:tcPr>
          <w:p w14:paraId="56D80A5F" w14:textId="0C51512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Pharmacy</w:t>
            </w:r>
          </w:p>
        </w:tc>
        <w:tc>
          <w:tcPr>
            <w:tcW w:w="1838" w:type="dxa"/>
            <w:tcMar>
              <w:top w:w="9" w:type="dxa"/>
              <w:left w:w="9" w:type="dxa"/>
              <w:right w:w="9" w:type="dxa"/>
            </w:tcMar>
            <w:vAlign w:val="center"/>
          </w:tcPr>
          <w:p w14:paraId="17C2372E" w14:textId="507DC6E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236</w:t>
            </w:r>
          </w:p>
        </w:tc>
      </w:tr>
      <w:tr w:rsidR="05FD1449" w14:paraId="24E41D27" w14:textId="77777777" w:rsidTr="05FD1449">
        <w:trPr>
          <w:trHeight w:val="660"/>
        </w:trPr>
        <w:tc>
          <w:tcPr>
            <w:tcW w:w="3035" w:type="dxa"/>
            <w:shd w:val="clear" w:color="auto" w:fill="D9D9D9" w:themeFill="background1" w:themeFillShade="D9"/>
            <w:vAlign w:val="center"/>
          </w:tcPr>
          <w:p w14:paraId="1FCEA27F" w14:textId="16C7705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All other</w:t>
            </w:r>
          </w:p>
        </w:tc>
        <w:tc>
          <w:tcPr>
            <w:tcW w:w="1838" w:type="dxa"/>
            <w:shd w:val="clear" w:color="auto" w:fill="D9D9D9" w:themeFill="background1" w:themeFillShade="D9"/>
            <w:tcMar>
              <w:top w:w="9" w:type="dxa"/>
              <w:left w:w="9" w:type="dxa"/>
              <w:right w:w="9" w:type="dxa"/>
            </w:tcMar>
            <w:vAlign w:val="center"/>
          </w:tcPr>
          <w:p w14:paraId="26E2FE92" w14:textId="78EA48FF"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38</w:t>
            </w:r>
          </w:p>
        </w:tc>
      </w:tr>
      <w:tr w:rsidR="05FD1449" w14:paraId="0B45C624" w14:textId="77777777" w:rsidTr="05FD1449">
        <w:trPr>
          <w:trHeight w:val="660"/>
        </w:trPr>
        <w:tc>
          <w:tcPr>
            <w:tcW w:w="3035" w:type="dxa"/>
            <w:vAlign w:val="center"/>
          </w:tcPr>
          <w:p w14:paraId="64792F47" w14:textId="15CD01DD"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Total</w:t>
            </w:r>
          </w:p>
        </w:tc>
        <w:tc>
          <w:tcPr>
            <w:tcW w:w="1838" w:type="dxa"/>
            <w:tcMar>
              <w:top w:w="9" w:type="dxa"/>
              <w:left w:w="9" w:type="dxa"/>
              <w:right w:w="9" w:type="dxa"/>
            </w:tcMar>
            <w:vAlign w:val="center"/>
          </w:tcPr>
          <w:p w14:paraId="460133C4" w14:textId="2226EBE8"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807</w:t>
            </w:r>
          </w:p>
        </w:tc>
      </w:tr>
    </w:tbl>
    <w:p w14:paraId="3DAD634A" w14:textId="15E28B17" w:rsidR="05FD1449" w:rsidRDefault="05FD1449" w:rsidP="05FD1449"/>
    <w:p w14:paraId="0BE3B9F6" w14:textId="5F3F1490" w:rsidR="750F237B" w:rsidRDefault="750F237B" w:rsidP="05FD1449">
      <w:r>
        <w:lastRenderedPageBreak/>
        <w:t>Trend by Population Type</w:t>
      </w:r>
      <w:r w:rsidRPr="05FD1449">
        <w:rPr>
          <w:rStyle w:val="FootnoteReference"/>
        </w:rPr>
        <w:footnoteReference w:id="39"/>
      </w:r>
    </w:p>
    <w:tbl>
      <w:tblPr>
        <w:tblStyle w:val="TableGrid"/>
        <w:tblW w:w="0" w:type="auto"/>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6A0" w:firstRow="1" w:lastRow="0" w:firstColumn="1" w:lastColumn="0" w:noHBand="1" w:noVBand="1"/>
      </w:tblPr>
      <w:tblGrid>
        <w:gridCol w:w="2981"/>
        <w:gridCol w:w="1346"/>
        <w:gridCol w:w="1346"/>
      </w:tblGrid>
      <w:tr w:rsidR="05FD1449" w14:paraId="6F5FE8DA" w14:textId="77777777" w:rsidTr="05FD1449">
        <w:trPr>
          <w:trHeight w:val="960"/>
        </w:trPr>
        <w:tc>
          <w:tcPr>
            <w:tcW w:w="2981" w:type="dxa"/>
            <w:shd w:val="clear" w:color="auto" w:fill="D9E2F3" w:themeFill="accent1" w:themeFillTint="33"/>
            <w:tcMar>
              <w:top w:w="42" w:type="dxa"/>
              <w:left w:w="83" w:type="dxa"/>
              <w:bottom w:w="42" w:type="dxa"/>
              <w:right w:w="83" w:type="dxa"/>
            </w:tcMar>
          </w:tcPr>
          <w:p w14:paraId="4751F02B" w14:textId="7794E77A" w:rsidR="05FD1449" w:rsidRDefault="05FD1449" w:rsidP="05FD1449">
            <w:pPr>
              <w:rPr>
                <w:rFonts w:asciiTheme="majorHAnsi" w:eastAsiaTheme="majorEastAsia" w:hAnsiTheme="majorHAnsi" w:cstheme="majorBidi"/>
                <w:b/>
                <w:bCs/>
                <w:color w:val="FFFFFF" w:themeColor="background1"/>
              </w:rPr>
            </w:pPr>
          </w:p>
        </w:tc>
        <w:tc>
          <w:tcPr>
            <w:tcW w:w="2692" w:type="dxa"/>
            <w:gridSpan w:val="2"/>
            <w:shd w:val="clear" w:color="auto" w:fill="D9E2F3" w:themeFill="accent1" w:themeFillTint="33"/>
            <w:vAlign w:val="center"/>
          </w:tcPr>
          <w:p w14:paraId="4873FF39" w14:textId="27626841" w:rsidR="05FD1449" w:rsidRDefault="05FD1449" w:rsidP="05FD1449">
            <w:pPr>
              <w:jc w:val="center"/>
              <w:rPr>
                <w:rFonts w:asciiTheme="majorHAnsi" w:eastAsiaTheme="majorEastAsia" w:hAnsiTheme="majorHAnsi" w:cstheme="majorBidi"/>
                <w:b/>
                <w:bCs/>
                <w:color w:val="FFFFFF" w:themeColor="background1"/>
              </w:rPr>
            </w:pPr>
            <w:r w:rsidRPr="05FD1449">
              <w:rPr>
                <w:rFonts w:asciiTheme="majorHAnsi" w:eastAsiaTheme="majorEastAsia" w:hAnsiTheme="majorHAnsi" w:cstheme="majorBidi"/>
                <w:b/>
                <w:bCs/>
                <w:color w:val="000000" w:themeColor="text1"/>
              </w:rPr>
              <w:t>2023 Q1 Extension</w:t>
            </w:r>
          </w:p>
        </w:tc>
      </w:tr>
      <w:tr w:rsidR="05FD1449" w14:paraId="525AE183" w14:textId="77777777" w:rsidTr="05FD1449">
        <w:trPr>
          <w:trHeight w:val="960"/>
        </w:trPr>
        <w:tc>
          <w:tcPr>
            <w:tcW w:w="2981" w:type="dxa"/>
            <w:shd w:val="clear" w:color="auto" w:fill="D9E2F3" w:themeFill="accent1" w:themeFillTint="33"/>
            <w:vAlign w:val="center"/>
          </w:tcPr>
          <w:p w14:paraId="7335F05E" w14:textId="7A936CC3"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Average PMPM</w:t>
            </w:r>
          </w:p>
        </w:tc>
        <w:tc>
          <w:tcPr>
            <w:tcW w:w="1346" w:type="dxa"/>
            <w:shd w:val="clear" w:color="auto" w:fill="D9E2F3" w:themeFill="accent1" w:themeFillTint="33"/>
            <w:vAlign w:val="center"/>
          </w:tcPr>
          <w:p w14:paraId="49853793" w14:textId="4AA0288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With </w:t>
            </w:r>
          </w:p>
          <w:p w14:paraId="3B19A55D" w14:textId="40BAB149"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disabilities²</w:t>
            </w:r>
          </w:p>
        </w:tc>
        <w:tc>
          <w:tcPr>
            <w:tcW w:w="1346" w:type="dxa"/>
            <w:shd w:val="clear" w:color="auto" w:fill="D9E2F3" w:themeFill="accent1" w:themeFillTint="33"/>
            <w:vAlign w:val="center"/>
          </w:tcPr>
          <w:p w14:paraId="68BE2F9D" w14:textId="0F937392"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 xml:space="preserve">Without </w:t>
            </w:r>
          </w:p>
          <w:p w14:paraId="6383C6A8" w14:textId="2FCDAAEF"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disabilities²</w:t>
            </w:r>
          </w:p>
        </w:tc>
      </w:tr>
      <w:tr w:rsidR="05FD1449" w14:paraId="431778FC" w14:textId="77777777" w:rsidTr="05FD1449">
        <w:trPr>
          <w:trHeight w:val="1200"/>
        </w:trPr>
        <w:tc>
          <w:tcPr>
            <w:tcW w:w="2981" w:type="dxa"/>
            <w:shd w:val="clear" w:color="auto" w:fill="D9E2F3" w:themeFill="accent1" w:themeFillTint="33"/>
            <w:vAlign w:val="center"/>
          </w:tcPr>
          <w:p w14:paraId="27AAD930" w14:textId="4F28C04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Adults</w:t>
            </w:r>
          </w:p>
        </w:tc>
        <w:tc>
          <w:tcPr>
            <w:tcW w:w="1346" w:type="dxa"/>
            <w:vAlign w:val="center"/>
          </w:tcPr>
          <w:p w14:paraId="65DFAEE1" w14:textId="472AECB4"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~$2,786</w:t>
            </w:r>
          </w:p>
        </w:tc>
        <w:tc>
          <w:tcPr>
            <w:tcW w:w="1346" w:type="dxa"/>
            <w:vAlign w:val="center"/>
          </w:tcPr>
          <w:p w14:paraId="1A12251A" w14:textId="03560B01"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~$955</w:t>
            </w:r>
          </w:p>
        </w:tc>
      </w:tr>
      <w:tr w:rsidR="05FD1449" w14:paraId="1C1F541B" w14:textId="77777777" w:rsidTr="05FD1449">
        <w:trPr>
          <w:trHeight w:val="1200"/>
        </w:trPr>
        <w:tc>
          <w:tcPr>
            <w:tcW w:w="2981" w:type="dxa"/>
            <w:shd w:val="clear" w:color="auto" w:fill="D9E2F3" w:themeFill="accent1" w:themeFillTint="33"/>
            <w:vAlign w:val="center"/>
          </w:tcPr>
          <w:p w14:paraId="735D387B" w14:textId="0F5CA43C"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b/>
                <w:bCs/>
                <w:color w:val="000000" w:themeColor="text1"/>
              </w:rPr>
              <w:t>Children</w:t>
            </w:r>
          </w:p>
        </w:tc>
        <w:tc>
          <w:tcPr>
            <w:tcW w:w="1346" w:type="dxa"/>
            <w:shd w:val="clear" w:color="auto" w:fill="D9D9D9" w:themeFill="background1" w:themeFillShade="D9"/>
            <w:vAlign w:val="center"/>
          </w:tcPr>
          <w:p w14:paraId="06A57904" w14:textId="130EFE87"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 xml:space="preserve">~$1,295 </w:t>
            </w:r>
          </w:p>
        </w:tc>
        <w:tc>
          <w:tcPr>
            <w:tcW w:w="1346" w:type="dxa"/>
            <w:shd w:val="clear" w:color="auto" w:fill="D9D9D9" w:themeFill="background1" w:themeFillShade="D9"/>
            <w:vAlign w:val="center"/>
          </w:tcPr>
          <w:p w14:paraId="2F2F8968" w14:textId="72DEB2BB" w:rsidR="05FD1449" w:rsidRDefault="05FD1449" w:rsidP="05FD1449">
            <w:pPr>
              <w:jc w:val="center"/>
              <w:rPr>
                <w:rFonts w:asciiTheme="majorHAnsi" w:eastAsiaTheme="majorEastAsia" w:hAnsiTheme="majorHAnsi" w:cstheme="majorBidi"/>
                <w:color w:val="000000" w:themeColor="text1"/>
              </w:rPr>
            </w:pPr>
            <w:r w:rsidRPr="05FD1449">
              <w:rPr>
                <w:rFonts w:asciiTheme="majorHAnsi" w:eastAsiaTheme="majorEastAsia" w:hAnsiTheme="majorHAnsi" w:cstheme="majorBidi"/>
                <w:color w:val="000000" w:themeColor="text1"/>
              </w:rPr>
              <w:t>~$332</w:t>
            </w:r>
          </w:p>
        </w:tc>
      </w:tr>
    </w:tbl>
    <w:p w14:paraId="4525966F" w14:textId="0F28504B" w:rsidR="05FD1449" w:rsidRDefault="05FD1449" w:rsidP="05FD1449"/>
    <w:p w14:paraId="272F8DCE" w14:textId="5CD6A74E" w:rsidR="4CB91942" w:rsidRDefault="4CB91942" w:rsidP="05FD1449">
      <w:pPr>
        <w:spacing w:after="0"/>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Key Takeaway: </w:t>
      </w:r>
    </w:p>
    <w:p w14:paraId="5EFD3AFC" w14:textId="55F3457E" w:rsidR="4CB91942" w:rsidRDefault="4CB91942" w:rsidP="008240EA">
      <w:pPr>
        <w:pStyle w:val="ListParagraph"/>
        <w:numPr>
          <w:ilvl w:val="0"/>
          <w:numId w:val="4"/>
        </w:numPr>
        <w:rPr>
          <w:rFonts w:asciiTheme="majorHAnsi" w:eastAsiaTheme="majorEastAsia" w:hAnsiTheme="majorHAnsi" w:cstheme="majorBidi"/>
          <w:sz w:val="24"/>
          <w:szCs w:val="24"/>
        </w:rPr>
      </w:pPr>
      <w:r w:rsidRPr="05FD1449">
        <w:rPr>
          <w:rFonts w:asciiTheme="majorHAnsi" w:eastAsiaTheme="majorEastAsia" w:hAnsiTheme="majorHAnsi" w:cstheme="majorBidi"/>
          <w:sz w:val="24"/>
          <w:szCs w:val="24"/>
        </w:rPr>
        <w:t xml:space="preserve">The </w:t>
      </w:r>
      <w:proofErr w:type="gramStart"/>
      <w:r w:rsidRPr="05FD1449">
        <w:rPr>
          <w:rFonts w:asciiTheme="majorHAnsi" w:eastAsiaTheme="majorEastAsia" w:hAnsiTheme="majorHAnsi" w:cstheme="majorBidi"/>
          <w:sz w:val="24"/>
          <w:szCs w:val="24"/>
        </w:rPr>
        <w:t>2023 Q1 period</w:t>
      </w:r>
      <w:proofErr w:type="gramEnd"/>
      <w:r w:rsidRPr="05FD1449">
        <w:rPr>
          <w:rFonts w:asciiTheme="majorHAnsi" w:eastAsiaTheme="majorEastAsia" w:hAnsiTheme="majorHAnsi" w:cstheme="majorBidi"/>
          <w:sz w:val="24"/>
          <w:szCs w:val="24"/>
        </w:rPr>
        <w:t xml:space="preserve"> was treated as its own contract period prior to the launch of new ACO contracts in April 2023. During this period, the ACO program accounted for $1.78B of MassHealth spending, with an average total cost of medical services per member of ~$807.</w:t>
      </w:r>
    </w:p>
    <w:p w14:paraId="2F76C263" w14:textId="3B63B5B9" w:rsidR="4CB91942" w:rsidRDefault="4CB91942" w:rsidP="05FD1449">
      <w:pPr>
        <w:pStyle w:val="Heading2"/>
      </w:pPr>
      <w:r>
        <w:t xml:space="preserve">Next Phase </w:t>
      </w:r>
    </w:p>
    <w:p w14:paraId="05FCAE05" w14:textId="4D63AC9C" w:rsidR="4CB91942" w:rsidRDefault="4CB91942" w:rsidP="05FD1449">
      <w:pPr>
        <w:pStyle w:val="Heading4"/>
      </w:pPr>
      <w:r>
        <w:t>Slide 60: Conclusion of 2017-2022 1115 Demonstration</w:t>
      </w:r>
    </w:p>
    <w:p w14:paraId="26205358" w14:textId="4EF86A58" w:rsidR="4CB91942" w:rsidRDefault="4CB91942" w:rsidP="04EAB959">
      <w:pPr>
        <w:spacing w:after="0"/>
        <w:rPr>
          <w:rFonts w:asciiTheme="majorHAnsi" w:eastAsiaTheme="majorEastAsia" w:hAnsiTheme="majorHAnsi" w:cstheme="majorBidi"/>
          <w:b/>
          <w:bCs/>
          <w:sz w:val="24"/>
          <w:szCs w:val="24"/>
        </w:rPr>
      </w:pPr>
      <w:r w:rsidRPr="04EAB959">
        <w:rPr>
          <w:rFonts w:asciiTheme="majorHAnsi" w:eastAsiaTheme="majorEastAsia" w:hAnsiTheme="majorHAnsi" w:cstheme="majorBidi"/>
          <w:b/>
          <w:bCs/>
          <w:sz w:val="24"/>
          <w:szCs w:val="24"/>
        </w:rPr>
        <w:t xml:space="preserve">Continued recovery from / response to the pandemic </w:t>
      </w:r>
    </w:p>
    <w:p w14:paraId="1B7B322A" w14:textId="4033EE37" w:rsidR="4CB91942" w:rsidRDefault="4CB91942" w:rsidP="008240EA">
      <w:pPr>
        <w:pStyle w:val="ListParagraph"/>
        <w:numPr>
          <w:ilvl w:val="0"/>
          <w:numId w:val="3"/>
        </w:numPr>
        <w:spacing w:after="0"/>
        <w:rPr>
          <w:rFonts w:asciiTheme="majorHAnsi" w:eastAsiaTheme="majorEastAsia" w:hAnsiTheme="majorHAnsi" w:cstheme="majorBidi"/>
          <w:sz w:val="24"/>
          <w:szCs w:val="24"/>
        </w:rPr>
      </w:pPr>
      <w:r w:rsidRPr="04EAB959">
        <w:rPr>
          <w:rFonts w:asciiTheme="majorHAnsi" w:eastAsiaTheme="majorEastAsia" w:hAnsiTheme="majorHAnsi" w:cstheme="majorBidi"/>
          <w:sz w:val="24"/>
          <w:szCs w:val="24"/>
        </w:rPr>
        <w:t xml:space="preserve">In the final year of the 2017-2022 1115 demonstration, ACOs, CPs, and MassHealth continued to address the effects of the pandemic on MassHealth members and the healthcare workforce </w:t>
      </w:r>
    </w:p>
    <w:p w14:paraId="7ED612B6" w14:textId="4DF9BA93" w:rsidR="4CB91942" w:rsidRDefault="4CB91942" w:rsidP="008240EA">
      <w:pPr>
        <w:pStyle w:val="ListParagraph"/>
        <w:numPr>
          <w:ilvl w:val="0"/>
          <w:numId w:val="3"/>
        </w:numPr>
        <w:spacing w:after="0"/>
        <w:rPr>
          <w:rFonts w:asciiTheme="majorHAnsi" w:eastAsiaTheme="majorEastAsia" w:hAnsiTheme="majorHAnsi" w:cstheme="majorBidi"/>
          <w:sz w:val="24"/>
          <w:szCs w:val="24"/>
        </w:rPr>
      </w:pPr>
      <w:r w:rsidRPr="04EAB959">
        <w:rPr>
          <w:rFonts w:asciiTheme="majorHAnsi" w:eastAsiaTheme="majorEastAsia" w:hAnsiTheme="majorHAnsi" w:cstheme="majorBidi"/>
          <w:sz w:val="24"/>
          <w:szCs w:val="24"/>
        </w:rPr>
        <w:t xml:space="preserve">Efforts to re-engage members in care, ramp up home- and community-based services, continue telehealth use as appropriate, promote BH access, and address workforce shortages continued to be crucial. </w:t>
      </w:r>
    </w:p>
    <w:p w14:paraId="3D4FFCFB" w14:textId="5A44CF8F" w:rsidR="4CB91942" w:rsidRDefault="4CB91942" w:rsidP="04EAB959">
      <w:pPr>
        <w:spacing w:after="0"/>
        <w:rPr>
          <w:rFonts w:asciiTheme="majorHAnsi" w:eastAsiaTheme="majorEastAsia" w:hAnsiTheme="majorHAnsi" w:cstheme="majorBidi"/>
          <w:b/>
          <w:bCs/>
          <w:sz w:val="24"/>
          <w:szCs w:val="24"/>
        </w:rPr>
      </w:pPr>
      <w:r w:rsidRPr="04EAB959">
        <w:rPr>
          <w:rFonts w:asciiTheme="majorHAnsi" w:eastAsiaTheme="majorEastAsia" w:hAnsiTheme="majorHAnsi" w:cstheme="majorBidi"/>
          <w:b/>
          <w:bCs/>
          <w:sz w:val="24"/>
          <w:szCs w:val="24"/>
        </w:rPr>
        <w:t xml:space="preserve">Planning for the end of DSRIP funding  </w:t>
      </w:r>
    </w:p>
    <w:p w14:paraId="1A999143" w14:textId="7F044521" w:rsidR="4CB91942" w:rsidRDefault="4CB91942" w:rsidP="04EAB959">
      <w:pPr>
        <w:pStyle w:val="ListParagraph"/>
        <w:numPr>
          <w:ilvl w:val="0"/>
          <w:numId w:val="2"/>
        </w:numPr>
        <w:spacing w:after="0"/>
        <w:rPr>
          <w:rFonts w:asciiTheme="majorHAnsi" w:eastAsiaTheme="majorEastAsia" w:hAnsiTheme="majorHAnsi" w:cstheme="majorBidi"/>
          <w:sz w:val="24"/>
          <w:szCs w:val="24"/>
        </w:rPr>
      </w:pPr>
      <w:r w:rsidRPr="04EAB959">
        <w:rPr>
          <w:rFonts w:asciiTheme="majorHAnsi" w:eastAsiaTheme="majorEastAsia" w:hAnsiTheme="majorHAnsi" w:cstheme="majorBidi"/>
          <w:sz w:val="24"/>
          <w:szCs w:val="24"/>
        </w:rPr>
        <w:t xml:space="preserve">2022 marked the last full year for DSRIP funding to support ACO population health strategies as well as funding for the CPs, Flexible Services, and Statewide Investments </w:t>
      </w:r>
    </w:p>
    <w:p w14:paraId="7367AE7B" w14:textId="385C727A" w:rsidR="4CB91942" w:rsidRDefault="4CB91942" w:rsidP="04EAB959">
      <w:pPr>
        <w:pStyle w:val="ListParagraph"/>
        <w:numPr>
          <w:ilvl w:val="0"/>
          <w:numId w:val="2"/>
        </w:numPr>
        <w:spacing w:after="0"/>
        <w:rPr>
          <w:rFonts w:asciiTheme="majorHAnsi" w:eastAsiaTheme="majorEastAsia" w:hAnsiTheme="majorHAnsi" w:cstheme="majorBidi"/>
          <w:sz w:val="24"/>
          <w:szCs w:val="24"/>
        </w:rPr>
      </w:pPr>
      <w:r w:rsidRPr="04EAB959">
        <w:rPr>
          <w:rFonts w:asciiTheme="majorHAnsi" w:eastAsiaTheme="majorEastAsia" w:hAnsiTheme="majorHAnsi" w:cstheme="majorBidi"/>
          <w:sz w:val="24"/>
          <w:szCs w:val="24"/>
        </w:rPr>
        <w:t xml:space="preserve">ACOs continued to iterate and refine their DSRIP spending and population health strategies as DSRIP funding declined in the last year, requiring ACOs to continue to prioritize programs that demonstrated success and sustainability </w:t>
      </w:r>
    </w:p>
    <w:p w14:paraId="5EABB745" w14:textId="6D5AB03F" w:rsidR="4CB91942" w:rsidRDefault="4CB91942" w:rsidP="04EAB959">
      <w:pPr>
        <w:pStyle w:val="ListParagraph"/>
        <w:numPr>
          <w:ilvl w:val="0"/>
          <w:numId w:val="2"/>
        </w:numPr>
        <w:spacing w:after="0"/>
        <w:rPr>
          <w:rFonts w:asciiTheme="majorHAnsi" w:eastAsiaTheme="majorEastAsia" w:hAnsiTheme="majorHAnsi" w:cstheme="majorBidi"/>
          <w:sz w:val="24"/>
          <w:szCs w:val="24"/>
        </w:rPr>
      </w:pPr>
      <w:r w:rsidRPr="04EAB959">
        <w:rPr>
          <w:rFonts w:asciiTheme="majorHAnsi" w:eastAsiaTheme="majorEastAsia" w:hAnsiTheme="majorHAnsi" w:cstheme="majorBidi"/>
          <w:sz w:val="24"/>
          <w:szCs w:val="24"/>
        </w:rPr>
        <w:lastRenderedPageBreak/>
        <w:t xml:space="preserve">MassHealth underwent a planning phase to review the successes and challenges of the 2017-2022 waiver, launched stakeholder meetings, and drafted the next 1115 demonstration proposal to continue to invest in and build </w:t>
      </w:r>
      <w:proofErr w:type="gramStart"/>
      <w:r w:rsidRPr="04EAB959">
        <w:rPr>
          <w:rFonts w:asciiTheme="majorHAnsi" w:eastAsiaTheme="majorEastAsia" w:hAnsiTheme="majorHAnsi" w:cstheme="majorBidi"/>
          <w:sz w:val="24"/>
          <w:szCs w:val="24"/>
        </w:rPr>
        <w:t>off of</w:t>
      </w:r>
      <w:proofErr w:type="gramEnd"/>
      <w:r w:rsidRPr="04EAB959">
        <w:rPr>
          <w:rFonts w:asciiTheme="majorHAnsi" w:eastAsiaTheme="majorEastAsia" w:hAnsiTheme="majorHAnsi" w:cstheme="majorBidi"/>
          <w:sz w:val="24"/>
          <w:szCs w:val="24"/>
        </w:rPr>
        <w:t xml:space="preserve"> the reforms accomplished under the 2017-2022 demonstration </w:t>
      </w:r>
    </w:p>
    <w:p w14:paraId="483D5F33" w14:textId="17067730" w:rsidR="4CB91942" w:rsidRDefault="4CB91942" w:rsidP="04EAB959">
      <w:pPr>
        <w:spacing w:after="0"/>
        <w:rPr>
          <w:rFonts w:asciiTheme="majorHAnsi" w:eastAsiaTheme="majorEastAsia" w:hAnsiTheme="majorHAnsi" w:cstheme="majorBidi"/>
          <w:sz w:val="24"/>
          <w:szCs w:val="24"/>
        </w:rPr>
      </w:pPr>
      <w:r w:rsidRPr="04EAB959">
        <w:rPr>
          <w:rFonts w:asciiTheme="majorHAnsi" w:eastAsiaTheme="majorEastAsia" w:hAnsiTheme="majorHAnsi" w:cstheme="majorBidi"/>
          <w:sz w:val="24"/>
          <w:szCs w:val="24"/>
        </w:rPr>
        <w:t xml:space="preserve"> </w:t>
      </w:r>
    </w:p>
    <w:p w14:paraId="45C38EE6" w14:textId="56D03D04" w:rsidR="4CB91942" w:rsidRDefault="4CB91942" w:rsidP="04EAB959">
      <w:pPr>
        <w:spacing w:after="0"/>
        <w:rPr>
          <w:rFonts w:asciiTheme="majorHAnsi" w:eastAsiaTheme="majorEastAsia" w:hAnsiTheme="majorHAnsi" w:cstheme="majorBidi"/>
          <w:b/>
          <w:bCs/>
          <w:sz w:val="24"/>
          <w:szCs w:val="24"/>
        </w:rPr>
      </w:pPr>
      <w:r w:rsidRPr="04EAB959">
        <w:rPr>
          <w:rFonts w:asciiTheme="majorHAnsi" w:eastAsiaTheme="majorEastAsia" w:hAnsiTheme="majorHAnsi" w:cstheme="majorBidi"/>
          <w:b/>
          <w:bCs/>
          <w:sz w:val="24"/>
          <w:szCs w:val="24"/>
        </w:rPr>
        <w:t xml:space="preserve">Building on successes for the 2022-2027 1115 demonstration </w:t>
      </w:r>
    </w:p>
    <w:p w14:paraId="638381B7" w14:textId="69229B9D" w:rsidR="4CB91942" w:rsidRDefault="4CB91942" w:rsidP="04EAB959">
      <w:pPr>
        <w:pStyle w:val="ListParagraph"/>
        <w:numPr>
          <w:ilvl w:val="0"/>
          <w:numId w:val="1"/>
        </w:numPr>
        <w:spacing w:after="0"/>
        <w:rPr>
          <w:rFonts w:asciiTheme="majorHAnsi" w:eastAsiaTheme="majorEastAsia" w:hAnsiTheme="majorHAnsi" w:cstheme="majorBidi"/>
          <w:sz w:val="24"/>
          <w:szCs w:val="24"/>
        </w:rPr>
      </w:pPr>
      <w:r w:rsidRPr="04EAB959">
        <w:rPr>
          <w:rFonts w:asciiTheme="majorHAnsi" w:eastAsiaTheme="majorEastAsia" w:hAnsiTheme="majorHAnsi" w:cstheme="majorBidi"/>
          <w:sz w:val="24"/>
          <w:szCs w:val="24"/>
        </w:rPr>
        <w:t xml:space="preserve">In drafting the 2022-2027 1115 demonstration proposal, MassHealth took the most successful program designs and best practices being tested under the 2017-2022 demonstration and incorporated them as core, funded expectations for ACOs, CPs, and primary care practices in 2023 and beyond.  </w:t>
      </w:r>
    </w:p>
    <w:p w14:paraId="395FBD44" w14:textId="3B0D4D25" w:rsidR="4CB91942" w:rsidRDefault="4CB91942" w:rsidP="04EAB959">
      <w:pPr>
        <w:pStyle w:val="ListParagraph"/>
        <w:numPr>
          <w:ilvl w:val="0"/>
          <w:numId w:val="1"/>
        </w:numPr>
        <w:spacing w:after="0"/>
        <w:rPr>
          <w:rFonts w:asciiTheme="majorHAnsi" w:eastAsiaTheme="majorEastAsia" w:hAnsiTheme="majorHAnsi" w:cstheme="majorBidi"/>
          <w:sz w:val="24"/>
          <w:szCs w:val="24"/>
        </w:rPr>
      </w:pPr>
      <w:r w:rsidRPr="04EAB959">
        <w:rPr>
          <w:rFonts w:asciiTheme="majorHAnsi" w:eastAsiaTheme="majorEastAsia" w:hAnsiTheme="majorHAnsi" w:cstheme="majorBidi"/>
          <w:sz w:val="24"/>
          <w:szCs w:val="24"/>
        </w:rPr>
        <w:t xml:space="preserve">Critical investment areas include:  </w:t>
      </w:r>
    </w:p>
    <w:p w14:paraId="6124CE08" w14:textId="5262A410" w:rsidR="4CB91942" w:rsidRDefault="789D6EC3" w:rsidP="04EAB959">
      <w:pPr>
        <w:pStyle w:val="ListParagraph"/>
        <w:numPr>
          <w:ilvl w:val="1"/>
          <w:numId w:val="1"/>
        </w:numPr>
        <w:spacing w:after="0"/>
        <w:rPr>
          <w:rFonts w:asciiTheme="majorHAnsi" w:eastAsiaTheme="majorEastAsia" w:hAnsiTheme="majorHAnsi" w:cstheme="majorBidi"/>
          <w:sz w:val="24"/>
          <w:szCs w:val="24"/>
        </w:rPr>
      </w:pPr>
      <w:r w:rsidRPr="04EAB959">
        <w:rPr>
          <w:rFonts w:asciiTheme="majorHAnsi" w:eastAsiaTheme="majorEastAsia" w:hAnsiTheme="majorHAnsi" w:cstheme="majorBidi"/>
          <w:sz w:val="24"/>
          <w:szCs w:val="24"/>
        </w:rPr>
        <w:t xml:space="preserve">Enhanced care coordination by ACOs and CPs serving members with complex needs </w:t>
      </w:r>
    </w:p>
    <w:p w14:paraId="617D1E0A" w14:textId="0FDC6489" w:rsidR="4CB91942" w:rsidRDefault="789D6EC3" w:rsidP="04EAB959">
      <w:pPr>
        <w:pStyle w:val="ListParagraph"/>
        <w:numPr>
          <w:ilvl w:val="1"/>
          <w:numId w:val="1"/>
        </w:numPr>
        <w:spacing w:after="0"/>
        <w:rPr>
          <w:rFonts w:asciiTheme="majorHAnsi" w:eastAsiaTheme="majorEastAsia" w:hAnsiTheme="majorHAnsi" w:cstheme="majorBidi"/>
          <w:sz w:val="24"/>
          <w:szCs w:val="24"/>
        </w:rPr>
      </w:pPr>
      <w:r w:rsidRPr="04EAB959">
        <w:rPr>
          <w:rFonts w:asciiTheme="majorHAnsi" w:eastAsiaTheme="majorEastAsia" w:hAnsiTheme="majorHAnsi" w:cstheme="majorBidi"/>
          <w:sz w:val="24"/>
          <w:szCs w:val="24"/>
        </w:rPr>
        <w:t xml:space="preserve">Increased resources to support health equity and health-related social needs along with critical investments in strategic focus areas (e.g., maternal health, pediatrics) </w:t>
      </w:r>
    </w:p>
    <w:p w14:paraId="0864A0B6" w14:textId="4464C69C" w:rsidR="4CB91942" w:rsidRDefault="789D6EC3" w:rsidP="04EAB959">
      <w:pPr>
        <w:pStyle w:val="ListParagraph"/>
        <w:numPr>
          <w:ilvl w:val="1"/>
          <w:numId w:val="1"/>
        </w:numPr>
        <w:spacing w:after="0"/>
        <w:rPr>
          <w:rFonts w:asciiTheme="majorHAnsi" w:eastAsiaTheme="majorEastAsia" w:hAnsiTheme="majorHAnsi" w:cstheme="majorBidi"/>
          <w:sz w:val="24"/>
          <w:szCs w:val="24"/>
        </w:rPr>
      </w:pPr>
      <w:r w:rsidRPr="04EAB959">
        <w:rPr>
          <w:rFonts w:asciiTheme="majorHAnsi" w:eastAsiaTheme="majorEastAsia" w:hAnsiTheme="majorHAnsi" w:cstheme="majorBidi"/>
          <w:sz w:val="24"/>
          <w:szCs w:val="24"/>
        </w:rPr>
        <w:t>High-value MassHealth-serving primary care practices</w:t>
      </w:r>
    </w:p>
    <w:p w14:paraId="1308222F" w14:textId="379FB42F" w:rsidR="4CB91942" w:rsidRDefault="64A0B8C3" w:rsidP="04EAB959">
      <w:pPr>
        <w:pStyle w:val="ListParagraph"/>
        <w:numPr>
          <w:ilvl w:val="0"/>
          <w:numId w:val="1"/>
        </w:numPr>
        <w:spacing w:after="0"/>
        <w:rPr>
          <w:rFonts w:asciiTheme="majorHAnsi" w:eastAsiaTheme="majorEastAsia" w:hAnsiTheme="majorHAnsi" w:cstheme="majorBidi"/>
          <w:sz w:val="24"/>
          <w:szCs w:val="24"/>
        </w:rPr>
      </w:pPr>
      <w:r w:rsidRPr="04EAB959">
        <w:rPr>
          <w:rFonts w:asciiTheme="majorHAnsi" w:eastAsiaTheme="majorEastAsia" w:hAnsiTheme="majorHAnsi" w:cstheme="majorBidi"/>
          <w:sz w:val="24"/>
          <w:szCs w:val="24"/>
        </w:rPr>
        <w:t xml:space="preserve">Additional information about MassHealth’s 2022 – 2027 1115 demonstration extension can be found at: https://www.mass.gov/info-details/1115-masshealth-demonstration-waiver  </w:t>
      </w:r>
    </w:p>
    <w:sectPr w:rsidR="4CB91942">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A71AE" w14:textId="77777777" w:rsidR="00FE35A6" w:rsidRDefault="00FE35A6" w:rsidP="00B767E7">
      <w:pPr>
        <w:spacing w:after="0" w:line="240" w:lineRule="auto"/>
      </w:pPr>
      <w:r>
        <w:separator/>
      </w:r>
    </w:p>
  </w:endnote>
  <w:endnote w:type="continuationSeparator" w:id="0">
    <w:p w14:paraId="2407EC62" w14:textId="77777777" w:rsidR="00FE35A6" w:rsidRDefault="00FE35A6" w:rsidP="00B767E7">
      <w:pPr>
        <w:spacing w:after="0" w:line="240" w:lineRule="auto"/>
      </w:pPr>
      <w:r>
        <w:continuationSeparator/>
      </w:r>
    </w:p>
  </w:endnote>
  <w:endnote w:type="continuationNotice" w:id="1">
    <w:p w14:paraId="3D990362" w14:textId="77777777" w:rsidR="00FE35A6" w:rsidRDefault="00FE35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Sans-Serif">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C093D37" w14:paraId="75646D2B" w14:textId="77777777" w:rsidTr="7C093D37">
      <w:trPr>
        <w:trHeight w:val="300"/>
      </w:trPr>
      <w:tc>
        <w:tcPr>
          <w:tcW w:w="3120" w:type="dxa"/>
        </w:tcPr>
        <w:p w14:paraId="35D09AED" w14:textId="6977ED53" w:rsidR="7C093D37" w:rsidRDefault="7C093D37" w:rsidP="7C093D37">
          <w:pPr>
            <w:pStyle w:val="Header"/>
            <w:ind w:left="-115"/>
          </w:pPr>
        </w:p>
      </w:tc>
      <w:tc>
        <w:tcPr>
          <w:tcW w:w="3120" w:type="dxa"/>
        </w:tcPr>
        <w:p w14:paraId="697C022C" w14:textId="6C516F26" w:rsidR="7C093D37" w:rsidRDefault="7C093D37" w:rsidP="7C093D37">
          <w:pPr>
            <w:pStyle w:val="Header"/>
            <w:jc w:val="center"/>
          </w:pPr>
        </w:p>
      </w:tc>
      <w:tc>
        <w:tcPr>
          <w:tcW w:w="3120" w:type="dxa"/>
        </w:tcPr>
        <w:p w14:paraId="5D17249F" w14:textId="71D7D0A4" w:rsidR="7C093D37" w:rsidRDefault="7C093D37" w:rsidP="7C093D37">
          <w:pPr>
            <w:pStyle w:val="Header"/>
            <w:ind w:right="-115"/>
            <w:jc w:val="right"/>
          </w:pPr>
        </w:p>
      </w:tc>
    </w:tr>
  </w:tbl>
  <w:p w14:paraId="62EEE13F" w14:textId="63B61D36" w:rsidR="7C093D37" w:rsidRDefault="7C093D37" w:rsidP="7C093D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20061" w14:textId="77777777" w:rsidR="00FE35A6" w:rsidRDefault="00FE35A6" w:rsidP="00B767E7">
      <w:pPr>
        <w:spacing w:after="0" w:line="240" w:lineRule="auto"/>
      </w:pPr>
      <w:r>
        <w:separator/>
      </w:r>
    </w:p>
  </w:footnote>
  <w:footnote w:type="continuationSeparator" w:id="0">
    <w:p w14:paraId="7B1F4697" w14:textId="77777777" w:rsidR="00FE35A6" w:rsidRDefault="00FE35A6" w:rsidP="00B767E7">
      <w:pPr>
        <w:spacing w:after="0" w:line="240" w:lineRule="auto"/>
      </w:pPr>
      <w:r>
        <w:continuationSeparator/>
      </w:r>
    </w:p>
  </w:footnote>
  <w:footnote w:type="continuationNotice" w:id="1">
    <w:p w14:paraId="3A6DC370" w14:textId="77777777" w:rsidR="00FE35A6" w:rsidRDefault="00FE35A6">
      <w:pPr>
        <w:spacing w:after="0" w:line="240" w:lineRule="auto"/>
      </w:pPr>
    </w:p>
  </w:footnote>
  <w:footnote w:id="2">
    <w:p w14:paraId="418989F2" w14:textId="2FDA9DDF" w:rsidR="5AA89864" w:rsidRDefault="5AA89864" w:rsidP="5AA89864">
      <w:pPr>
        <w:pStyle w:val="FootnoteText"/>
        <w:rPr>
          <w:rFonts w:ascii="Arial" w:eastAsia="Arial" w:hAnsi="Arial" w:cs="Arial"/>
          <w:color w:val="000000" w:themeColor="text1"/>
          <w:sz w:val="13"/>
          <w:szCs w:val="13"/>
        </w:rPr>
      </w:pPr>
      <w:r w:rsidRPr="575F7924">
        <w:rPr>
          <w:rStyle w:val="FootnoteReference"/>
          <w:rFonts w:ascii="Calibri" w:eastAsia="Calibri" w:hAnsi="Calibri" w:cs="Calibri"/>
        </w:rPr>
        <w:footnoteRef/>
      </w:r>
      <w:r w:rsidRPr="575F7924">
        <w:rPr>
          <w:rFonts w:ascii="Calibri" w:eastAsia="Calibri" w:hAnsi="Calibri" w:cs="Calibri"/>
        </w:rPr>
        <w:t xml:space="preserve"> See Appendix for further background on the 2018 restructuring.</w:t>
      </w:r>
    </w:p>
  </w:footnote>
  <w:footnote w:id="3">
    <w:p w14:paraId="54B63B00" w14:textId="5C60DBA2" w:rsidR="00B767E7" w:rsidRDefault="00B767E7">
      <w:pPr>
        <w:pStyle w:val="FootnoteText"/>
      </w:pPr>
      <w:r w:rsidRPr="575F7924">
        <w:rPr>
          <w:rStyle w:val="FootnoteReference"/>
          <w:rFonts w:ascii="Calibri" w:eastAsia="Calibri" w:hAnsi="Calibri" w:cs="Calibri"/>
        </w:rPr>
        <w:footnoteRef/>
      </w:r>
      <w:r w:rsidR="5AA89864" w:rsidRPr="575F7924">
        <w:rPr>
          <w:rFonts w:ascii="Calibri" w:eastAsia="Calibri" w:hAnsi="Calibri" w:cs="Calibri"/>
        </w:rPr>
        <w:t xml:space="preserve"> Prior reports are available at: </w:t>
      </w:r>
      <w:hyperlink r:id="rId1" w:history="1">
        <w:r w:rsidR="5AA89864" w:rsidRPr="575F7924">
          <w:rPr>
            <w:rStyle w:val="Hyperlink"/>
            <w:rFonts w:ascii="Calibri" w:eastAsia="Calibri" w:hAnsi="Calibri" w:cs="Calibri"/>
          </w:rPr>
          <w:t>https://www.mass.gov/info-details/massachusetts-delivery-system-reform-incentive-payment-program</w:t>
        </w:r>
      </w:hyperlink>
      <w:r w:rsidR="5AA89864" w:rsidRPr="575F7924">
        <w:rPr>
          <w:rFonts w:ascii="Calibri" w:eastAsia="Calibri" w:hAnsi="Calibri" w:cs="Calibri"/>
        </w:rPr>
        <w:t xml:space="preserve"> </w:t>
      </w:r>
    </w:p>
  </w:footnote>
  <w:footnote w:id="4">
    <w:p w14:paraId="68189472" w14:textId="496F807C" w:rsidR="7EE3AA59" w:rsidRDefault="7EE3AA59" w:rsidP="7EE3AA59">
      <w:pPr>
        <w:pStyle w:val="FootnoteText"/>
      </w:pPr>
      <w:r w:rsidRPr="575F7924">
        <w:rPr>
          <w:rStyle w:val="FootnoteReference"/>
          <w:rFonts w:ascii="Calibri" w:eastAsia="Calibri" w:hAnsi="Calibri" w:cs="Calibri"/>
        </w:rPr>
        <w:footnoteRef/>
      </w:r>
      <w:r w:rsidRPr="575F7924">
        <w:rPr>
          <w:rFonts w:ascii="Calibri" w:eastAsia="Calibri" w:hAnsi="Calibri" w:cs="Calibri"/>
        </w:rPr>
        <w:t xml:space="preserve"> Physical health inpatient admissions, excluding BH admissions </w:t>
      </w:r>
    </w:p>
  </w:footnote>
  <w:footnote w:id="5">
    <w:p w14:paraId="6687DAC4" w14:textId="7F3574C7" w:rsidR="7EE3AA59" w:rsidRDefault="7EE3AA59" w:rsidP="7EE3AA59">
      <w:pPr>
        <w:pStyle w:val="FootnoteText"/>
      </w:pPr>
      <w:r w:rsidRPr="575F7924">
        <w:rPr>
          <w:rStyle w:val="FootnoteReference"/>
          <w:rFonts w:ascii="Calibri" w:eastAsia="Calibri" w:hAnsi="Calibri" w:cs="Calibri"/>
        </w:rPr>
        <w:footnoteRef/>
      </w:r>
      <w:r w:rsidRPr="575F7924">
        <w:rPr>
          <w:rFonts w:ascii="Calibri" w:eastAsia="Calibri" w:hAnsi="Calibri" w:cs="Calibri"/>
        </w:rPr>
        <w:t xml:space="preserve"> This section compares year over year </w:t>
      </w:r>
      <w:proofErr w:type="gramStart"/>
      <w:r w:rsidRPr="575F7924">
        <w:rPr>
          <w:rFonts w:ascii="Calibri" w:eastAsia="Calibri" w:hAnsi="Calibri" w:cs="Calibri"/>
        </w:rPr>
        <w:t>trends, and</w:t>
      </w:r>
      <w:proofErr w:type="gramEnd"/>
      <w:r w:rsidRPr="575F7924">
        <w:rPr>
          <w:rFonts w:ascii="Calibri" w:eastAsia="Calibri" w:hAnsi="Calibri" w:cs="Calibri"/>
        </w:rPr>
        <w:t xml:space="preserve"> therefore does not include data from Q1 2023.</w:t>
      </w:r>
    </w:p>
  </w:footnote>
  <w:footnote w:id="6">
    <w:p w14:paraId="47D3A1F1" w14:textId="6CBD7D32" w:rsidR="5D8C8835" w:rsidRDefault="5D8C8835" w:rsidP="05FD1449">
      <w:pPr>
        <w:pStyle w:val="FootnoteText"/>
        <w:rPr>
          <w:rFonts w:eastAsiaTheme="minorEastAsia"/>
          <w:color w:val="000000" w:themeColor="text1"/>
        </w:rPr>
      </w:pPr>
      <w:r w:rsidRPr="5D8C8835">
        <w:rPr>
          <w:rStyle w:val="FootnoteReference"/>
        </w:rPr>
        <w:footnoteRef/>
      </w:r>
      <w:r w:rsidR="05FD1449">
        <w:t xml:space="preserve"> </w:t>
      </w:r>
      <w:r w:rsidR="05FD1449" w:rsidRPr="05FD1449">
        <w:rPr>
          <w:rFonts w:eastAsiaTheme="minorEastAsia"/>
          <w:color w:val="000000" w:themeColor="text1"/>
        </w:rPr>
        <w:t>CY 2021 and CY 2022 reflects the latest data and data runout and may not tie to prior years’ reports. Data is pulled from the Program Management Report (or PMR) version 7 covering CY 2021 and CY 2022 utilization data.</w:t>
      </w:r>
    </w:p>
  </w:footnote>
  <w:footnote w:id="7">
    <w:p w14:paraId="77187A4F" w14:textId="320948CF" w:rsidR="5AA89864" w:rsidRDefault="5AA89864" w:rsidP="05FD1449">
      <w:pPr>
        <w:pStyle w:val="FootnoteText"/>
        <w:rPr>
          <w:rFonts w:eastAsiaTheme="minorEastAsia"/>
          <w:color w:val="000000" w:themeColor="text1"/>
        </w:rPr>
      </w:pPr>
      <w:r w:rsidRPr="575F7924">
        <w:rPr>
          <w:rStyle w:val="FootnoteReference"/>
          <w:rFonts w:ascii="Calibri" w:eastAsia="Calibri" w:hAnsi="Calibri" w:cs="Calibri"/>
        </w:rPr>
        <w:footnoteRef/>
      </w:r>
      <w:r w:rsidR="05FD1449" w:rsidRPr="575F7924">
        <w:rPr>
          <w:rFonts w:ascii="Calibri" w:eastAsia="Calibri" w:hAnsi="Calibri" w:cs="Calibri"/>
        </w:rPr>
        <w:t xml:space="preserve"> </w:t>
      </w:r>
      <w:r w:rsidR="05FD1449" w:rsidRPr="05FD1449">
        <w:rPr>
          <w:rFonts w:eastAsiaTheme="minorEastAsia"/>
        </w:rPr>
        <w:t>MassHealth defines Flexible Services in terms of member-quarters or number of quarters members have received services. A unique member that received services across 4 quarters would count towards 4 services provided.</w:t>
      </w:r>
    </w:p>
  </w:footnote>
  <w:footnote w:id="8">
    <w:p w14:paraId="47558FE2" w14:textId="70ABDB05" w:rsidR="5AA89864" w:rsidRDefault="5AA89864" w:rsidP="5AA89864">
      <w:pPr>
        <w:pStyle w:val="FootnoteText"/>
        <w:rPr>
          <w:rFonts w:ascii="Calibri" w:eastAsia="Calibri" w:hAnsi="Calibri" w:cs="Calibri"/>
          <w:color w:val="000000" w:themeColor="text1"/>
          <w:sz w:val="16"/>
          <w:szCs w:val="16"/>
        </w:rPr>
      </w:pPr>
      <w:r w:rsidRPr="575F7924">
        <w:rPr>
          <w:rStyle w:val="FootnoteReference"/>
          <w:rFonts w:ascii="Calibri" w:eastAsia="Calibri" w:hAnsi="Calibri" w:cs="Calibri"/>
        </w:rPr>
        <w:footnoteRef/>
      </w:r>
      <w:r w:rsidRPr="575F7924">
        <w:rPr>
          <w:rFonts w:ascii="Calibri" w:eastAsia="Calibri" w:hAnsi="Calibri" w:cs="Calibri"/>
        </w:rPr>
        <w:t xml:space="preserve"> The 2022 performance period encompasses five quarters (1/1/2022 – 3/31/2023) rather than the standard four quarters reported in prior years.</w:t>
      </w:r>
    </w:p>
  </w:footnote>
  <w:footnote w:id="9">
    <w:p w14:paraId="313CE92E" w14:textId="52084C8D" w:rsidR="18B1B932" w:rsidRDefault="18B1B932" w:rsidP="05FD1449">
      <w:pPr>
        <w:pStyle w:val="FootnoteText"/>
        <w:rPr>
          <w:rFonts w:eastAsiaTheme="minorEastAsia"/>
          <w:color w:val="000000" w:themeColor="text1"/>
        </w:rPr>
      </w:pPr>
      <w:r w:rsidRPr="575F7924">
        <w:rPr>
          <w:rStyle w:val="FootnoteReference"/>
          <w:rFonts w:ascii="Calibri" w:eastAsia="Calibri" w:hAnsi="Calibri" w:cs="Calibri"/>
        </w:rPr>
        <w:footnoteRef/>
      </w:r>
      <w:r w:rsidR="05FD1449" w:rsidRPr="575F7924">
        <w:rPr>
          <w:rFonts w:ascii="Calibri" w:eastAsia="Calibri" w:hAnsi="Calibri" w:cs="Calibri"/>
        </w:rPr>
        <w:t xml:space="preserve"> </w:t>
      </w:r>
      <w:r w:rsidR="05FD1449" w:rsidRPr="05FD1449">
        <w:rPr>
          <w:rFonts w:eastAsiaTheme="minorEastAsia"/>
        </w:rPr>
        <w:t xml:space="preserve">The </w:t>
      </w:r>
      <w:r w:rsidR="05FD1449" w:rsidRPr="05FD1449">
        <w:rPr>
          <w:rFonts w:eastAsiaTheme="minorEastAsia"/>
          <w:color w:val="000000" w:themeColor="text1"/>
        </w:rPr>
        <w:t>performance period for the 2022 report encompasses five quarters (1/1/2022 – 3/31/2023) rather than the standard four quarters reported in 2020 and 2021. For the purposes of year over year comparisons, numbers annualized when reporting CY22 and does not include Q1 2023.</w:t>
      </w:r>
    </w:p>
  </w:footnote>
  <w:footnote w:id="10">
    <w:p w14:paraId="2A80F7F7" w14:textId="219436C9" w:rsidR="18B1B932" w:rsidRDefault="18B1B932" w:rsidP="18B1B932">
      <w:pPr>
        <w:pStyle w:val="FootnoteText"/>
      </w:pPr>
      <w:r w:rsidRPr="575F7924">
        <w:rPr>
          <w:rStyle w:val="FootnoteReference"/>
          <w:rFonts w:ascii="Calibri" w:eastAsia="Calibri" w:hAnsi="Calibri" w:cs="Calibri"/>
        </w:rPr>
        <w:footnoteRef/>
      </w:r>
      <w:r w:rsidRPr="575F7924">
        <w:rPr>
          <w:rFonts w:ascii="Calibri" w:eastAsia="Calibri" w:hAnsi="Calibri" w:cs="Calibri"/>
        </w:rPr>
        <w:t xml:space="preserve"> MassHealth defines Flexible Services in terms of member-quarters or number of quarters members have received services. A unique member that received services across 4 quarters would count towards 4 services provided.  </w:t>
      </w:r>
    </w:p>
  </w:footnote>
  <w:footnote w:id="11">
    <w:p w14:paraId="18902EAA" w14:textId="72533EC0" w:rsidR="18B1B932" w:rsidRDefault="18B1B932" w:rsidP="18B1B932">
      <w:pPr>
        <w:pStyle w:val="FootnoteText"/>
      </w:pPr>
      <w:r w:rsidRPr="575F7924">
        <w:rPr>
          <w:rStyle w:val="FootnoteReference"/>
          <w:rFonts w:ascii="Calibri" w:eastAsia="Calibri" w:hAnsi="Calibri" w:cs="Calibri"/>
        </w:rPr>
        <w:footnoteRef/>
      </w:r>
      <w:r w:rsidRPr="575F7924">
        <w:rPr>
          <w:rFonts w:ascii="Calibri" w:eastAsia="Calibri" w:hAnsi="Calibri" w:cs="Calibri"/>
        </w:rPr>
        <w:t xml:space="preserve"> </w:t>
      </w:r>
      <w:r w:rsidRPr="575F7924">
        <w:rPr>
          <w:rFonts w:ascii="Calibri" w:eastAsia="Calibri" w:hAnsi="Calibri" w:cs="Calibri"/>
          <w:color w:val="000000" w:themeColor="text1"/>
        </w:rPr>
        <w:t>Comparing ED utilization and BH inpatient admissions of members enrolled in BH CP in Q3 of 2018 to members enrolled in BH CP in Q1 of 2023.</w:t>
      </w:r>
    </w:p>
  </w:footnote>
  <w:footnote w:id="12">
    <w:p w14:paraId="7DB61F14" w14:textId="4D1DA683" w:rsidR="18B1B932" w:rsidRDefault="18B1B932" w:rsidP="18B1B932">
      <w:pPr>
        <w:pStyle w:val="FootnoteText"/>
      </w:pPr>
      <w:r w:rsidRPr="575F7924">
        <w:rPr>
          <w:rStyle w:val="FootnoteReference"/>
          <w:rFonts w:ascii="Calibri" w:eastAsia="Calibri" w:hAnsi="Calibri" w:cs="Calibri"/>
        </w:rPr>
        <w:footnoteRef/>
      </w:r>
      <w:r w:rsidRPr="575F7924">
        <w:rPr>
          <w:rFonts w:ascii="Calibri" w:eastAsia="Calibri" w:hAnsi="Calibri" w:cs="Calibri"/>
        </w:rPr>
        <w:t xml:space="preserve"> Engagement rate represents the % of members enrolled at least 1 day in that month who had a Care Plan completed within the past 12 months</w:t>
      </w:r>
    </w:p>
  </w:footnote>
  <w:footnote w:id="13">
    <w:p w14:paraId="29E30260" w14:textId="3EB3BF5D" w:rsidR="575F7924" w:rsidRDefault="575F7924" w:rsidP="575F7924">
      <w:pPr>
        <w:pStyle w:val="FootnoteText"/>
      </w:pPr>
      <w:r w:rsidRPr="575F7924">
        <w:rPr>
          <w:rStyle w:val="FootnoteReference"/>
          <w:rFonts w:ascii="Calibri" w:eastAsia="Calibri" w:hAnsi="Calibri" w:cs="Calibri"/>
        </w:rPr>
        <w:footnoteRef/>
      </w:r>
      <w:r w:rsidRPr="575F7924">
        <w:rPr>
          <w:rFonts w:ascii="Calibri" w:eastAsia="Calibri" w:hAnsi="Calibri" w:cs="Calibri"/>
        </w:rPr>
        <w:t xml:space="preserve"> Members are considered engaged in the CP program when their care plan is completed </w:t>
      </w:r>
    </w:p>
  </w:footnote>
  <w:footnote w:id="14">
    <w:p w14:paraId="32E6C3DD" w14:textId="40BDE191" w:rsidR="354FCD3D" w:rsidRDefault="354FCD3D" w:rsidP="2109ACC4">
      <w:pPr>
        <w:pStyle w:val="FootnoteText"/>
        <w:rPr>
          <w:rFonts w:eastAsiaTheme="minorEastAsia"/>
          <w:color w:val="000000" w:themeColor="text1"/>
        </w:rPr>
      </w:pPr>
      <w:r w:rsidRPr="354FCD3D">
        <w:rPr>
          <w:rStyle w:val="FootnoteReference"/>
        </w:rPr>
        <w:footnoteRef/>
      </w:r>
      <w:r w:rsidR="2109ACC4">
        <w:t xml:space="preserve"> </w:t>
      </w:r>
      <w:r w:rsidR="2109ACC4" w:rsidRPr="2109ACC4">
        <w:rPr>
          <w:rFonts w:eastAsiaTheme="minorEastAsia"/>
          <w:color w:val="000000" w:themeColor="text1"/>
        </w:rPr>
        <w:t xml:space="preserve">Engagement rate represents the % of members enrolled at least 1 day in that month in a CP, who had a Care Plan completed within the past 12 months. Members who have been disenrolled from the program </w:t>
      </w:r>
      <w:proofErr w:type="gramStart"/>
      <w:r w:rsidR="2109ACC4" w:rsidRPr="2109ACC4">
        <w:rPr>
          <w:rFonts w:eastAsiaTheme="minorEastAsia"/>
          <w:color w:val="000000" w:themeColor="text1"/>
        </w:rPr>
        <w:t>in a given</w:t>
      </w:r>
      <w:proofErr w:type="gramEnd"/>
      <w:r w:rsidR="2109ACC4" w:rsidRPr="2109ACC4">
        <w:rPr>
          <w:rFonts w:eastAsiaTheme="minorEastAsia"/>
          <w:color w:val="000000" w:themeColor="text1"/>
        </w:rPr>
        <w:t xml:space="preserve"> month are not included in the denominator for that month.</w:t>
      </w:r>
    </w:p>
  </w:footnote>
  <w:footnote w:id="15">
    <w:p w14:paraId="563B38CD" w14:textId="4EE1D650" w:rsidR="2109ACC4" w:rsidRDefault="2109ACC4" w:rsidP="2109ACC4">
      <w:pPr>
        <w:pStyle w:val="FootnoteText"/>
      </w:pPr>
      <w:r w:rsidRPr="2109ACC4">
        <w:rPr>
          <w:rStyle w:val="FootnoteReference"/>
        </w:rPr>
        <w:footnoteRef/>
      </w:r>
      <w:r>
        <w:t xml:space="preserve"> The 2022 performance period encompasses five quarters (1/1/2022 – 3/31/2023) rather than the standard four quarters </w:t>
      </w:r>
      <w:r>
        <w:br/>
      </w:r>
    </w:p>
  </w:footnote>
  <w:footnote w:id="16">
    <w:p w14:paraId="22FC8623" w14:textId="4D132730" w:rsidR="2109ACC4" w:rsidRDefault="2109ACC4" w:rsidP="2109ACC4">
      <w:pPr>
        <w:pStyle w:val="FootnoteText"/>
        <w:rPr>
          <w:rFonts w:eastAsiaTheme="minorEastAsia"/>
          <w:color w:val="000000" w:themeColor="text1"/>
        </w:rPr>
      </w:pPr>
      <w:r w:rsidRPr="2109ACC4">
        <w:rPr>
          <w:rStyle w:val="FootnoteReference"/>
        </w:rPr>
        <w:footnoteRef/>
      </w:r>
      <w:r>
        <w:t xml:space="preserve"> </w:t>
      </w:r>
      <w:r w:rsidRPr="2109ACC4">
        <w:rPr>
          <w:rFonts w:eastAsiaTheme="minorEastAsia"/>
          <w:color w:val="000000" w:themeColor="text1"/>
        </w:rPr>
        <w:t>Certain ACOs also received an additional $104.5M for safety net hospital (Delivery System Transformation Initiative) glide-path funding from the beginning of DSRIP through 12/31/2022.</w:t>
      </w:r>
    </w:p>
  </w:footnote>
  <w:footnote w:id="17">
    <w:p w14:paraId="11EFB394" w14:textId="6B111464" w:rsidR="2109ACC4" w:rsidRDefault="2109ACC4" w:rsidP="2109ACC4">
      <w:pPr>
        <w:pStyle w:val="FootnoteText"/>
        <w:rPr>
          <w:rFonts w:eastAsiaTheme="minorEastAsia"/>
          <w:color w:val="000000" w:themeColor="text1"/>
        </w:rPr>
      </w:pPr>
      <w:r w:rsidRPr="2109ACC4">
        <w:rPr>
          <w:rStyle w:val="FootnoteReference"/>
        </w:rPr>
        <w:footnoteRef/>
      </w:r>
      <w:r>
        <w:t xml:space="preserve"> </w:t>
      </w:r>
      <w:r w:rsidRPr="2109ACC4">
        <w:rPr>
          <w:rFonts w:eastAsiaTheme="minorEastAsia"/>
          <w:color w:val="000000" w:themeColor="text1"/>
        </w:rPr>
        <w:t>See p. 35-36 for additional details on how ACOs and CPs utilized their DSRIP funding</w:t>
      </w:r>
    </w:p>
  </w:footnote>
  <w:footnote w:id="18">
    <w:p w14:paraId="3D3786D6" w14:textId="147E44C0" w:rsidR="05FD1449" w:rsidRDefault="05FD1449" w:rsidP="05FD1449">
      <w:pPr>
        <w:pStyle w:val="FootnoteText"/>
        <w:rPr>
          <w:rFonts w:ascii="Arial" w:eastAsia="Arial" w:hAnsi="Arial" w:cs="Arial"/>
          <w:color w:val="000000" w:themeColor="text1"/>
        </w:rPr>
      </w:pPr>
      <w:r w:rsidRPr="05FD1449">
        <w:rPr>
          <w:rStyle w:val="FootnoteReference"/>
        </w:rPr>
        <w:footnoteRef/>
      </w:r>
      <w:r>
        <w:t xml:space="preserve"> </w:t>
      </w:r>
      <w:r w:rsidRPr="05FD1449">
        <w:rPr>
          <w:rFonts w:eastAsiaTheme="minorEastAsia"/>
          <w:color w:val="000000" w:themeColor="text1"/>
        </w:rPr>
        <w:t>ACOs and CPs made investments in housing stabilization and supports, nonmedical transportation, nutrition, investments that addressed multiple HRSNs, and IT investments that were related to HRSNs.  ACOs and CPs did not explicitly report making investments in utility assistance, physical activity, or sexual assault and domestic violence supports.</w:t>
      </w:r>
    </w:p>
  </w:footnote>
  <w:footnote w:id="19">
    <w:p w14:paraId="566F1068" w14:textId="701FC30E" w:rsidR="05FD1449" w:rsidRDefault="05FD1449" w:rsidP="05FD1449">
      <w:pPr>
        <w:pStyle w:val="FootnoteText"/>
        <w:rPr>
          <w:rFonts w:eastAsiaTheme="minorEastAsia"/>
          <w:color w:val="000000" w:themeColor="text1"/>
        </w:rPr>
      </w:pPr>
      <w:r w:rsidRPr="05FD1449">
        <w:rPr>
          <w:rStyle w:val="FootnoteReference"/>
        </w:rPr>
        <w:footnoteRef/>
      </w:r>
      <w:r>
        <w:t xml:space="preserve"> </w:t>
      </w:r>
      <w:r w:rsidRPr="05FD1449">
        <w:rPr>
          <w:rFonts w:eastAsiaTheme="minorEastAsia"/>
          <w:color w:val="000000" w:themeColor="text1"/>
        </w:rPr>
        <w:t>It is likely that ACOs/CPs allocated more than this funding to HRSNs.  For instance, many ACOs allocated funds to various care management programs, which likely provide some level of support for a member’s health-related social needs.  However, if the HRSN linkage was not explicitly stated in the ACO or CP budgets, the funding allocation tied to those programs was not included in the total amounts referenced above.</w:t>
      </w:r>
    </w:p>
  </w:footnote>
  <w:footnote w:id="20">
    <w:p w14:paraId="6C4CBE73" w14:textId="698752BD" w:rsidR="05FD1449" w:rsidRDefault="05FD1449" w:rsidP="05FD1449">
      <w:pPr>
        <w:pStyle w:val="FootnoteText"/>
        <w:rPr>
          <w:rFonts w:ascii="Arial" w:eastAsia="Arial" w:hAnsi="Arial" w:cs="Arial"/>
          <w:color w:val="000000" w:themeColor="text1"/>
          <w:sz w:val="12"/>
          <w:szCs w:val="12"/>
        </w:rPr>
      </w:pPr>
      <w:r w:rsidRPr="05FD1449">
        <w:rPr>
          <w:rStyle w:val="FootnoteReference"/>
        </w:rPr>
        <w:footnoteRef/>
      </w:r>
      <w:r>
        <w:t xml:space="preserve"> </w:t>
      </w:r>
      <w:r w:rsidRPr="05FD1449">
        <w:rPr>
          <w:rFonts w:eastAsiaTheme="minorEastAsia"/>
        </w:rPr>
        <w:t>F</w:t>
      </w:r>
      <w:r w:rsidRPr="05FD1449">
        <w:rPr>
          <w:rFonts w:eastAsiaTheme="minorEastAsia"/>
          <w:color w:val="000000" w:themeColor="text1"/>
        </w:rPr>
        <w:t>lexible Services was launched in 2020; a sizeable portion of HRSN funding shifted over to that program and continued to shift in CY22.</w:t>
      </w:r>
    </w:p>
  </w:footnote>
  <w:footnote w:id="21">
    <w:p w14:paraId="6A2CCC8D" w14:textId="33BD859A" w:rsidR="05FD1449" w:rsidRDefault="05FD1449" w:rsidP="05FD1449">
      <w:pPr>
        <w:pStyle w:val="FootnoteText"/>
      </w:pPr>
      <w:r w:rsidRPr="05FD1449">
        <w:rPr>
          <w:rStyle w:val="FootnoteReference"/>
        </w:rPr>
        <w:footnoteRef/>
      </w:r>
      <w:r>
        <w:t xml:space="preserve"> The decrease from CY21 to CY22 aligns with the overall decrease in DSRIP spending from CY21 to CY22. This amount is inclusive of spending in Q1 2023.  </w:t>
      </w:r>
    </w:p>
  </w:footnote>
  <w:footnote w:id="22">
    <w:p w14:paraId="291C0925" w14:textId="235348F6" w:rsidR="05FD1449" w:rsidRDefault="05FD1449" w:rsidP="05FD1449">
      <w:pPr>
        <w:pStyle w:val="FootnoteText"/>
      </w:pPr>
      <w:r w:rsidRPr="05FD1449">
        <w:rPr>
          <w:rStyle w:val="FootnoteReference"/>
        </w:rPr>
        <w:footnoteRef/>
      </w:r>
      <w:r>
        <w:t xml:space="preserve"> Most programs ended in 2021 and wrapped up in 2022 </w:t>
      </w:r>
    </w:p>
  </w:footnote>
  <w:footnote w:id="23">
    <w:p w14:paraId="3CDD628E" w14:textId="71CDD0AB" w:rsidR="05FD1449" w:rsidRDefault="05FD1449" w:rsidP="05FD1449">
      <w:pPr>
        <w:pStyle w:val="FootnoteText"/>
        <w:rPr>
          <w:rFonts w:ascii="Arial" w:eastAsia="Arial" w:hAnsi="Arial" w:cs="Arial"/>
          <w:color w:val="000000" w:themeColor="text1"/>
          <w:sz w:val="12"/>
          <w:szCs w:val="12"/>
          <w:lang w:val="fr-FR"/>
        </w:rPr>
      </w:pPr>
      <w:r w:rsidRPr="05FD1449">
        <w:rPr>
          <w:rStyle w:val="FootnoteReference"/>
          <w:lang w:val="fr-FR"/>
        </w:rPr>
        <w:footnoteRef/>
      </w:r>
      <w:r w:rsidRPr="05FD1449">
        <w:rPr>
          <w:lang w:val="fr-FR"/>
        </w:rPr>
        <w:t xml:space="preserve"> </w:t>
      </w:r>
      <w:r w:rsidRPr="05FD1449">
        <w:rPr>
          <w:rFonts w:eastAsiaTheme="minorEastAsia"/>
          <w:color w:val="000000" w:themeColor="text1"/>
          <w:lang w:val="fr-FR"/>
        </w:rPr>
        <w:t xml:space="preserve">MA DSRIP TA </w:t>
      </w:r>
      <w:proofErr w:type="gramStart"/>
      <w:r w:rsidRPr="05FD1449">
        <w:rPr>
          <w:rFonts w:eastAsiaTheme="minorEastAsia"/>
          <w:color w:val="000000" w:themeColor="text1"/>
          <w:lang w:val="fr-FR"/>
        </w:rPr>
        <w:t>Marketplace:</w:t>
      </w:r>
      <w:proofErr w:type="gramEnd"/>
      <w:r w:rsidRPr="05FD1449">
        <w:rPr>
          <w:rFonts w:eastAsiaTheme="minorEastAsia"/>
          <w:color w:val="000000" w:themeColor="text1"/>
          <w:lang w:val="fr-FR"/>
        </w:rPr>
        <w:t xml:space="preserve"> </w:t>
      </w:r>
      <w:hyperlink r:id="rId2">
        <w:r w:rsidRPr="05FD1449">
          <w:rPr>
            <w:rStyle w:val="Hyperlink"/>
            <w:rFonts w:eastAsiaTheme="minorEastAsia"/>
            <w:color w:val="1D954F"/>
            <w:lang w:val="fr-FR"/>
          </w:rPr>
          <w:t>https://www.ma-dsrip-ta.com/</w:t>
        </w:r>
      </w:hyperlink>
    </w:p>
  </w:footnote>
  <w:footnote w:id="24">
    <w:p w14:paraId="316F159A" w14:textId="02C03BFA" w:rsidR="05FD1449" w:rsidRDefault="05FD1449" w:rsidP="05FD1449">
      <w:pPr>
        <w:pStyle w:val="FootnoteText"/>
        <w:rPr>
          <w:rFonts w:eastAsiaTheme="minorEastAsia"/>
          <w:color w:val="000000" w:themeColor="text1"/>
        </w:rPr>
      </w:pPr>
      <w:r w:rsidRPr="05FD1449">
        <w:rPr>
          <w:rStyle w:val="FootnoteReference"/>
        </w:rPr>
        <w:footnoteRef/>
      </w:r>
      <w:r>
        <w:t xml:space="preserve"> </w:t>
      </w:r>
      <w:r w:rsidRPr="05FD1449">
        <w:rPr>
          <w:rFonts w:eastAsiaTheme="minorEastAsia"/>
          <w:color w:val="000000" w:themeColor="text1"/>
        </w:rPr>
        <w:t>Official Quality Scores from 2020 utilized data from 2019 plus scoring modifications to help mitigate the impact of the PHE on quality accountability. See appendix for ACO and CP measures.</w:t>
      </w:r>
    </w:p>
  </w:footnote>
  <w:footnote w:id="25">
    <w:p w14:paraId="340433F1" w14:textId="6B2644A1" w:rsidR="05FD1449" w:rsidRDefault="05FD1449" w:rsidP="05FD1449">
      <w:pPr>
        <w:pStyle w:val="FootnoteText"/>
        <w:rPr>
          <w:rFonts w:eastAsiaTheme="minorEastAsia"/>
          <w:color w:val="000000" w:themeColor="text1"/>
        </w:rPr>
      </w:pPr>
      <w:r w:rsidRPr="05FD1449">
        <w:rPr>
          <w:rStyle w:val="FootnoteReference"/>
        </w:rPr>
        <w:footnoteRef/>
      </w:r>
      <w:r>
        <w:t xml:space="preserve"> </w:t>
      </w:r>
      <w:r w:rsidRPr="05FD1449">
        <w:rPr>
          <w:rFonts w:eastAsiaTheme="minorEastAsia"/>
          <w:color w:val="000000" w:themeColor="text1"/>
        </w:rPr>
        <w:t xml:space="preserve">2020 Official Quality Scores included adjustments determined with CMS </w:t>
      </w:r>
      <w:proofErr w:type="gramStart"/>
      <w:r w:rsidRPr="05FD1449">
        <w:rPr>
          <w:rFonts w:eastAsiaTheme="minorEastAsia"/>
          <w:color w:val="000000" w:themeColor="text1"/>
        </w:rPr>
        <w:t>in light of</w:t>
      </w:r>
      <w:proofErr w:type="gramEnd"/>
      <w:r w:rsidRPr="05FD1449">
        <w:rPr>
          <w:rFonts w:eastAsiaTheme="minorEastAsia"/>
          <w:color w:val="000000" w:themeColor="text1"/>
        </w:rPr>
        <w:t xml:space="preserve"> PHE-related challenges and were used for ACO quality-based payments. 2020 Actual Quality Score is provided for comparison purposes only and was not tied to payments.</w:t>
      </w:r>
    </w:p>
  </w:footnote>
  <w:footnote w:id="26">
    <w:p w14:paraId="2840B100" w14:textId="7C7F6736" w:rsidR="05FD1449" w:rsidRDefault="05FD1449" w:rsidP="05FD1449">
      <w:pPr>
        <w:pStyle w:val="FootnoteText"/>
      </w:pPr>
      <w:r w:rsidRPr="05FD1449">
        <w:rPr>
          <w:rStyle w:val="FootnoteReference"/>
        </w:rPr>
        <w:footnoteRef/>
      </w:r>
      <w:r>
        <w:t xml:space="preserve"> </w:t>
      </w:r>
      <w:r w:rsidRPr="05FD1449">
        <w:rPr>
          <w:rFonts w:eastAsiaTheme="minorEastAsia"/>
        </w:rPr>
        <w:t xml:space="preserve">2021 Official Quality Scores compared to 2020 Actual Quality Scores and 2019 Official Quality Scores. </w:t>
      </w:r>
      <w:r>
        <w:t xml:space="preserve"> </w:t>
      </w:r>
    </w:p>
  </w:footnote>
  <w:footnote w:id="27">
    <w:p w14:paraId="01DEB9DA" w14:textId="451B09F9" w:rsidR="05FD1449" w:rsidRDefault="05FD1449" w:rsidP="05FD1449">
      <w:pPr>
        <w:pStyle w:val="FootnoteText"/>
        <w:rPr>
          <w:rFonts w:ascii="Arial" w:eastAsia="Arial" w:hAnsi="Arial" w:cs="Arial"/>
          <w:color w:val="000000" w:themeColor="text1"/>
          <w:sz w:val="12"/>
          <w:szCs w:val="12"/>
        </w:rPr>
      </w:pPr>
      <w:r w:rsidRPr="05FD1449">
        <w:rPr>
          <w:rStyle w:val="FootnoteReference"/>
        </w:rPr>
        <w:footnoteRef/>
      </w:r>
      <w:r w:rsidRPr="05FD1449">
        <w:rPr>
          <w:rFonts w:eastAsiaTheme="minorEastAsia"/>
        </w:rPr>
        <w:t xml:space="preserve"> </w:t>
      </w:r>
      <w:r w:rsidRPr="05FD1449">
        <w:rPr>
          <w:rFonts w:eastAsiaTheme="minorEastAsia"/>
          <w:color w:val="000000" w:themeColor="text1"/>
        </w:rPr>
        <w:t xml:space="preserve">2020 Official Quality Scores included adjustments determined with CMS </w:t>
      </w:r>
      <w:proofErr w:type="gramStart"/>
      <w:r w:rsidRPr="05FD1449">
        <w:rPr>
          <w:rFonts w:eastAsiaTheme="minorEastAsia"/>
          <w:color w:val="000000" w:themeColor="text1"/>
        </w:rPr>
        <w:t>in light of</w:t>
      </w:r>
      <w:proofErr w:type="gramEnd"/>
      <w:r w:rsidRPr="05FD1449">
        <w:rPr>
          <w:rFonts w:eastAsiaTheme="minorEastAsia"/>
          <w:color w:val="000000" w:themeColor="text1"/>
        </w:rPr>
        <w:t xml:space="preserve"> PHE-related challenges and were used for CP quality-based payments. 2020 Actual Quality Score is provided for comparison purposes only and was not tied to any CP quality-based payments.</w:t>
      </w:r>
    </w:p>
  </w:footnote>
  <w:footnote w:id="28">
    <w:p w14:paraId="62692594" w14:textId="01A3FB97" w:rsidR="05FD1449" w:rsidRDefault="05FD1449" w:rsidP="05FD1449">
      <w:pPr>
        <w:pStyle w:val="FootnoteText"/>
      </w:pPr>
      <w:r w:rsidRPr="05FD1449">
        <w:rPr>
          <w:rStyle w:val="FootnoteReference"/>
        </w:rPr>
        <w:footnoteRef/>
      </w:r>
      <w:r>
        <w:t xml:space="preserve"> 2022 Official Quality Scores compared to 2020 Actual Quality Scores and 2019 Official Quality Scores.</w:t>
      </w:r>
    </w:p>
  </w:footnote>
  <w:footnote w:id="29">
    <w:p w14:paraId="18008429" w14:textId="0695C0EF" w:rsidR="05FD1449" w:rsidRDefault="05FD1449" w:rsidP="05FD1449">
      <w:pPr>
        <w:pStyle w:val="FootnoteText"/>
        <w:rPr>
          <w:rFonts w:eastAsiaTheme="minorEastAsia"/>
          <w:color w:val="000000" w:themeColor="text1"/>
        </w:rPr>
      </w:pPr>
      <w:r w:rsidRPr="05FD1449">
        <w:rPr>
          <w:rStyle w:val="FootnoteReference"/>
        </w:rPr>
        <w:footnoteRef/>
      </w:r>
      <w:r>
        <w:t xml:space="preserve"> </w:t>
      </w:r>
      <w:r w:rsidRPr="05FD1449">
        <w:rPr>
          <w:rFonts w:eastAsiaTheme="minorEastAsia"/>
          <w:color w:val="000000" w:themeColor="text1"/>
        </w:rPr>
        <w:t xml:space="preserve">2020 Official Quality Scores included adjustments determined with CMS </w:t>
      </w:r>
      <w:proofErr w:type="gramStart"/>
      <w:r w:rsidRPr="05FD1449">
        <w:rPr>
          <w:rFonts w:eastAsiaTheme="minorEastAsia"/>
          <w:color w:val="000000" w:themeColor="text1"/>
        </w:rPr>
        <w:t>in light of</w:t>
      </w:r>
      <w:proofErr w:type="gramEnd"/>
      <w:r w:rsidRPr="05FD1449">
        <w:rPr>
          <w:rFonts w:eastAsiaTheme="minorEastAsia"/>
          <w:color w:val="000000" w:themeColor="text1"/>
        </w:rPr>
        <w:t xml:space="preserve"> PHE-related challenges and were used for CP quality-based payments. 2020 Actual Quality Score is provided for comparison purposes only and was not tied to any CP quality-based payments.</w:t>
      </w:r>
    </w:p>
  </w:footnote>
  <w:footnote w:id="30">
    <w:p w14:paraId="7DE12BE6" w14:textId="5F9A3F28" w:rsidR="05FD1449" w:rsidRDefault="05FD1449" w:rsidP="05FD1449">
      <w:pPr>
        <w:pStyle w:val="FootnoteText"/>
      </w:pPr>
      <w:r w:rsidRPr="05FD1449">
        <w:rPr>
          <w:rStyle w:val="FootnoteReference"/>
        </w:rPr>
        <w:footnoteRef/>
      </w:r>
      <w:r>
        <w:t xml:space="preserve"> 2022 Official Quality Scores compared to 2020 Actual Quality Scores and 2019 Official Quality Scores.  </w:t>
      </w:r>
    </w:p>
  </w:footnote>
  <w:footnote w:id="31">
    <w:p w14:paraId="31673502" w14:textId="029F18D3" w:rsidR="05FD1449" w:rsidRDefault="05FD1449" w:rsidP="05FD1449">
      <w:pPr>
        <w:pStyle w:val="FootnoteText"/>
        <w:rPr>
          <w:rFonts w:asciiTheme="majorHAnsi" w:eastAsiaTheme="majorEastAsia" w:hAnsiTheme="majorHAnsi" w:cstheme="majorBidi"/>
          <w:color w:val="000000" w:themeColor="text1"/>
        </w:rPr>
      </w:pPr>
      <w:r w:rsidRPr="05FD1449">
        <w:rPr>
          <w:rStyle w:val="FootnoteReference"/>
        </w:rPr>
        <w:footnoteRef/>
      </w:r>
      <w:r>
        <w:t xml:space="preserve"> </w:t>
      </w:r>
      <w:r w:rsidRPr="05FD1449">
        <w:rPr>
          <w:rFonts w:eastAsiaTheme="minorEastAsia"/>
        </w:rPr>
        <w:t>J</w:t>
      </w:r>
      <w:r w:rsidRPr="05FD1449">
        <w:rPr>
          <w:rFonts w:eastAsiaTheme="minorEastAsia"/>
          <w:color w:val="000000" w:themeColor="text1"/>
        </w:rPr>
        <w:t xml:space="preserve">anuary – December 2021 &amp; 2022 medical expenditures; includes all medical covered services (incl. maternity supplemental and HCD), and excludes ABA, CBHI, and HCV. Excludes MCO-Administered ACOs. </w:t>
      </w:r>
      <w:proofErr w:type="gramStart"/>
      <w:r w:rsidRPr="05FD1449">
        <w:rPr>
          <w:rFonts w:eastAsiaTheme="minorEastAsia"/>
          <w:color w:val="000000" w:themeColor="text1"/>
        </w:rPr>
        <w:t>Total</w:t>
      </w:r>
      <w:proofErr w:type="gramEnd"/>
      <w:r w:rsidRPr="05FD1449">
        <w:rPr>
          <w:rFonts w:eastAsiaTheme="minorEastAsia"/>
          <w:color w:val="000000" w:themeColor="text1"/>
        </w:rPr>
        <w:t xml:space="preserve"> spend and PMPY figures are not directly comparable to estimates in previous annual reports</w:t>
      </w:r>
    </w:p>
  </w:footnote>
  <w:footnote w:id="32">
    <w:p w14:paraId="508E416E" w14:textId="49FA1346" w:rsidR="05FD1449" w:rsidRDefault="05FD1449" w:rsidP="05FD1449">
      <w:pPr>
        <w:pStyle w:val="FootnoteText"/>
        <w:rPr>
          <w:rFonts w:eastAsiaTheme="minorEastAsia"/>
          <w:color w:val="000000" w:themeColor="text1"/>
        </w:rPr>
      </w:pPr>
      <w:r w:rsidRPr="05FD1449">
        <w:rPr>
          <w:rStyle w:val="FootnoteReference"/>
        </w:rPr>
        <w:footnoteRef/>
      </w:r>
      <w:r>
        <w:t xml:space="preserve"> </w:t>
      </w:r>
      <w:r w:rsidRPr="05FD1449">
        <w:rPr>
          <w:rFonts w:eastAsiaTheme="minorEastAsia"/>
          <w:color w:val="000000" w:themeColor="text1"/>
        </w:rPr>
        <w:t>The Market % profit/loss above will not tie out to the 2022 refresh market corridor report because the above data excludes MCO and PCC plans</w:t>
      </w:r>
    </w:p>
  </w:footnote>
  <w:footnote w:id="33">
    <w:p w14:paraId="15A8A1E5" w14:textId="61442E2B" w:rsidR="05FD1449" w:rsidRDefault="05FD1449" w:rsidP="05FD1449">
      <w:pPr>
        <w:pStyle w:val="FootnoteText"/>
      </w:pPr>
      <w:r w:rsidRPr="05FD1449">
        <w:rPr>
          <w:rStyle w:val="FootnoteReference"/>
        </w:rPr>
        <w:footnoteRef/>
      </w:r>
      <w:r>
        <w:t xml:space="preserve"> January – December 2021 &amp; 2022 medical expenditures; includes all medical covered services (incl. maternity supplemental and HCD), and excludes ABA, CBHI, and HCV. Excludes MCO-Administered ACOs.</w:t>
      </w:r>
    </w:p>
  </w:footnote>
  <w:footnote w:id="34">
    <w:p w14:paraId="6D6A069C" w14:textId="3DEC294A" w:rsidR="05FD1449" w:rsidRDefault="05FD1449" w:rsidP="05FD1449">
      <w:pPr>
        <w:pStyle w:val="FootnoteText"/>
      </w:pPr>
      <w:r w:rsidRPr="05FD1449">
        <w:rPr>
          <w:rStyle w:val="FootnoteReference"/>
        </w:rPr>
        <w:footnoteRef/>
      </w:r>
      <w:r>
        <w:t xml:space="preserve"> Non-disabled adults include RC IA, RC IX, RC X; disabled adults include RC IIA; non-disabled children include RC IC; disabled children include RC II C</w:t>
      </w:r>
    </w:p>
  </w:footnote>
  <w:footnote w:id="35">
    <w:p w14:paraId="64F7A916" w14:textId="1C2D74EF" w:rsidR="05FD1449" w:rsidRDefault="05FD1449" w:rsidP="05FD1449">
      <w:pPr>
        <w:pStyle w:val="FootnoteText"/>
        <w:rPr>
          <w:rFonts w:eastAsiaTheme="minorEastAsia"/>
          <w:color w:val="000000" w:themeColor="text1"/>
        </w:rPr>
      </w:pPr>
      <w:r w:rsidRPr="05FD1449">
        <w:rPr>
          <w:rStyle w:val="FootnoteReference"/>
        </w:rPr>
        <w:footnoteRef/>
      </w:r>
      <w:r>
        <w:t xml:space="preserve"> </w:t>
      </w:r>
      <w:r w:rsidRPr="05FD1449">
        <w:rPr>
          <w:rFonts w:eastAsiaTheme="minorEastAsia"/>
          <w:color w:val="000000" w:themeColor="text1"/>
        </w:rPr>
        <w:t xml:space="preserve">January – December 2021 &amp; 2022 medical expenditures. Inpatient includes inpatient physical health maternity and non-maternity. Outpatient includes outpatient hospital, emergency room, and lab and radiology (facility). Pharmacy includes </w:t>
      </w:r>
      <w:proofErr w:type="gramStart"/>
      <w:r w:rsidRPr="05FD1449">
        <w:rPr>
          <w:rFonts w:eastAsiaTheme="minorEastAsia"/>
          <w:color w:val="000000" w:themeColor="text1"/>
        </w:rPr>
        <w:t>high-cost</w:t>
      </w:r>
      <w:proofErr w:type="gramEnd"/>
      <w:r w:rsidRPr="05FD1449">
        <w:rPr>
          <w:rFonts w:eastAsiaTheme="minorEastAsia"/>
          <w:color w:val="000000" w:themeColor="text1"/>
        </w:rPr>
        <w:t xml:space="preserve"> drugs and excludes HCV. All Other includes DME and supplies, emergency transportation, LTC, home health, and other medical services. Excludes MCO-Administered ACOs.</w:t>
      </w:r>
    </w:p>
  </w:footnote>
  <w:footnote w:id="36">
    <w:p w14:paraId="245B54B5" w14:textId="4C278264" w:rsidR="05FD1449" w:rsidRDefault="05FD1449" w:rsidP="05FD1449">
      <w:pPr>
        <w:pStyle w:val="FootnoteText"/>
      </w:pPr>
      <w:r w:rsidRPr="05FD1449">
        <w:rPr>
          <w:rStyle w:val="FootnoteReference"/>
        </w:rPr>
        <w:footnoteRef/>
      </w:r>
      <w:r>
        <w:t xml:space="preserve"> January – December 2022 core medical expenditures. ACPP and PCACO data sourced from the 2022 refresh market corridor report which reflects concurrent risk scores and the market corridor adjustment. Figures subject to final reconciliation (including final concurrent risk scores and market corridor adjustments), all percentages presented are prior to risk-sharing. Excludes MCO-Administered ACOs.  </w:t>
      </w:r>
    </w:p>
  </w:footnote>
  <w:footnote w:id="37">
    <w:p w14:paraId="4FC3ECBD" w14:textId="16FB9EE7" w:rsidR="05FD1449" w:rsidRDefault="05FD1449" w:rsidP="05FD1449">
      <w:pPr>
        <w:pStyle w:val="FootnoteText"/>
      </w:pPr>
      <w:r w:rsidRPr="05FD1449">
        <w:rPr>
          <w:rStyle w:val="FootnoteReference"/>
        </w:rPr>
        <w:footnoteRef/>
      </w:r>
      <w:r>
        <w:t xml:space="preserve"> The Market % profit/loss above will not tie out to the 2022 refresh market corridor report because the above data excludes MCO and PCC plans</w:t>
      </w:r>
    </w:p>
  </w:footnote>
  <w:footnote w:id="38">
    <w:p w14:paraId="45B0CEF0" w14:textId="151DBD11" w:rsidR="05FD1449" w:rsidRDefault="05FD1449" w:rsidP="05FD1449">
      <w:pPr>
        <w:pStyle w:val="FootnoteText"/>
      </w:pPr>
      <w:r w:rsidRPr="05FD1449">
        <w:rPr>
          <w:rStyle w:val="FootnoteReference"/>
        </w:rPr>
        <w:footnoteRef/>
      </w:r>
      <w:r>
        <w:t xml:space="preserve"> January – March 2023 medical expenditures; includes all medical covered services (incl. maternity supplemental and HCD), and excludes ABA, CBHI, and HCV. Excludes MCO-Administered ACOs.</w:t>
      </w:r>
    </w:p>
  </w:footnote>
  <w:footnote w:id="39">
    <w:p w14:paraId="060843A4" w14:textId="3FAF0DDA" w:rsidR="05FD1449" w:rsidRDefault="05FD1449" w:rsidP="05FD1449">
      <w:pPr>
        <w:pStyle w:val="FootnoteText"/>
      </w:pPr>
      <w:r w:rsidRPr="05FD1449">
        <w:rPr>
          <w:rStyle w:val="FootnoteReference"/>
        </w:rPr>
        <w:footnoteRef/>
      </w:r>
      <w:r>
        <w:t xml:space="preserve"> Non-disabled adults include RC IA, RC IX, RC X; disabled adults include RC IIA; non-disabled children include RC IC; disabled children include RC II 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C093D37" w14:paraId="6E914631" w14:textId="77777777" w:rsidTr="7C093D37">
      <w:trPr>
        <w:trHeight w:val="300"/>
      </w:trPr>
      <w:tc>
        <w:tcPr>
          <w:tcW w:w="3120" w:type="dxa"/>
        </w:tcPr>
        <w:p w14:paraId="1D0FD4B7" w14:textId="57C4A249" w:rsidR="7C093D37" w:rsidRDefault="7C093D37" w:rsidP="7C093D37">
          <w:pPr>
            <w:pStyle w:val="Header"/>
            <w:ind w:left="-115"/>
          </w:pPr>
        </w:p>
      </w:tc>
      <w:tc>
        <w:tcPr>
          <w:tcW w:w="3120" w:type="dxa"/>
        </w:tcPr>
        <w:p w14:paraId="6189D1DD" w14:textId="4CCFCFEB" w:rsidR="7C093D37" w:rsidRDefault="7C093D37" w:rsidP="7C093D37">
          <w:pPr>
            <w:pStyle w:val="Header"/>
            <w:jc w:val="center"/>
          </w:pPr>
        </w:p>
      </w:tc>
      <w:tc>
        <w:tcPr>
          <w:tcW w:w="3120" w:type="dxa"/>
        </w:tcPr>
        <w:p w14:paraId="3D1635C2" w14:textId="34707431" w:rsidR="7C093D37" w:rsidRDefault="7C093D37" w:rsidP="7C093D37">
          <w:pPr>
            <w:pStyle w:val="Header"/>
            <w:ind w:right="-115"/>
            <w:jc w:val="right"/>
          </w:pPr>
        </w:p>
      </w:tc>
    </w:tr>
  </w:tbl>
  <w:p w14:paraId="323FEB3C" w14:textId="5617A6FF" w:rsidR="7C093D37" w:rsidRDefault="7C093D37" w:rsidP="7C093D3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8753"/>
    <w:multiLevelType w:val="hybridMultilevel"/>
    <w:tmpl w:val="8AAA00D8"/>
    <w:lvl w:ilvl="0" w:tplc="BE789A3A">
      <w:start w:val="1"/>
      <w:numFmt w:val="bullet"/>
      <w:lvlText w:val=""/>
      <w:lvlJc w:val="left"/>
      <w:pPr>
        <w:ind w:left="720" w:hanging="360"/>
      </w:pPr>
      <w:rPr>
        <w:rFonts w:ascii="Symbol" w:hAnsi="Symbol" w:hint="default"/>
      </w:rPr>
    </w:lvl>
    <w:lvl w:ilvl="1" w:tplc="39B66972">
      <w:start w:val="1"/>
      <w:numFmt w:val="bullet"/>
      <w:lvlText w:val="o"/>
      <w:lvlJc w:val="left"/>
      <w:pPr>
        <w:ind w:left="1440" w:hanging="360"/>
      </w:pPr>
      <w:rPr>
        <w:rFonts w:ascii="Courier New" w:hAnsi="Courier New" w:hint="default"/>
      </w:rPr>
    </w:lvl>
    <w:lvl w:ilvl="2" w:tplc="CE66AC6C">
      <w:start w:val="1"/>
      <w:numFmt w:val="bullet"/>
      <w:lvlText w:val=""/>
      <w:lvlJc w:val="left"/>
      <w:pPr>
        <w:ind w:left="2160" w:hanging="360"/>
      </w:pPr>
      <w:rPr>
        <w:rFonts w:ascii="Wingdings" w:hAnsi="Wingdings" w:hint="default"/>
      </w:rPr>
    </w:lvl>
    <w:lvl w:ilvl="3" w:tplc="36CC9BBA">
      <w:start w:val="1"/>
      <w:numFmt w:val="bullet"/>
      <w:lvlText w:val=""/>
      <w:lvlJc w:val="left"/>
      <w:pPr>
        <w:ind w:left="2880" w:hanging="360"/>
      </w:pPr>
      <w:rPr>
        <w:rFonts w:ascii="Symbol" w:hAnsi="Symbol" w:hint="default"/>
      </w:rPr>
    </w:lvl>
    <w:lvl w:ilvl="4" w:tplc="C4440F5E">
      <w:start w:val="1"/>
      <w:numFmt w:val="bullet"/>
      <w:lvlText w:val="o"/>
      <w:lvlJc w:val="left"/>
      <w:pPr>
        <w:ind w:left="3600" w:hanging="360"/>
      </w:pPr>
      <w:rPr>
        <w:rFonts w:ascii="Courier New" w:hAnsi="Courier New" w:hint="default"/>
      </w:rPr>
    </w:lvl>
    <w:lvl w:ilvl="5" w:tplc="090C9274">
      <w:start w:val="1"/>
      <w:numFmt w:val="bullet"/>
      <w:lvlText w:val=""/>
      <w:lvlJc w:val="left"/>
      <w:pPr>
        <w:ind w:left="4320" w:hanging="360"/>
      </w:pPr>
      <w:rPr>
        <w:rFonts w:ascii="Wingdings" w:hAnsi="Wingdings" w:hint="default"/>
      </w:rPr>
    </w:lvl>
    <w:lvl w:ilvl="6" w:tplc="FC4EDC82">
      <w:start w:val="1"/>
      <w:numFmt w:val="bullet"/>
      <w:lvlText w:val=""/>
      <w:lvlJc w:val="left"/>
      <w:pPr>
        <w:ind w:left="5040" w:hanging="360"/>
      </w:pPr>
      <w:rPr>
        <w:rFonts w:ascii="Symbol" w:hAnsi="Symbol" w:hint="default"/>
      </w:rPr>
    </w:lvl>
    <w:lvl w:ilvl="7" w:tplc="1FF419EE">
      <w:start w:val="1"/>
      <w:numFmt w:val="bullet"/>
      <w:lvlText w:val="o"/>
      <w:lvlJc w:val="left"/>
      <w:pPr>
        <w:ind w:left="5760" w:hanging="360"/>
      </w:pPr>
      <w:rPr>
        <w:rFonts w:ascii="Courier New" w:hAnsi="Courier New" w:hint="default"/>
      </w:rPr>
    </w:lvl>
    <w:lvl w:ilvl="8" w:tplc="FDCABDE4">
      <w:start w:val="1"/>
      <w:numFmt w:val="bullet"/>
      <w:lvlText w:val=""/>
      <w:lvlJc w:val="left"/>
      <w:pPr>
        <w:ind w:left="6480" w:hanging="360"/>
      </w:pPr>
      <w:rPr>
        <w:rFonts w:ascii="Wingdings" w:hAnsi="Wingdings" w:hint="default"/>
      </w:rPr>
    </w:lvl>
  </w:abstractNum>
  <w:abstractNum w:abstractNumId="1" w15:restartNumberingAfterBreak="0">
    <w:nsid w:val="046494EB"/>
    <w:multiLevelType w:val="hybridMultilevel"/>
    <w:tmpl w:val="FFFFFFFF"/>
    <w:lvl w:ilvl="0" w:tplc="E27A0D64">
      <w:start w:val="1"/>
      <w:numFmt w:val="bullet"/>
      <w:lvlText w:val=""/>
      <w:lvlJc w:val="left"/>
      <w:pPr>
        <w:ind w:left="720" w:hanging="360"/>
      </w:pPr>
      <w:rPr>
        <w:rFonts w:ascii="Symbol" w:hAnsi="Symbol" w:hint="default"/>
      </w:rPr>
    </w:lvl>
    <w:lvl w:ilvl="1" w:tplc="FF6EE994">
      <w:start w:val="1"/>
      <w:numFmt w:val="bullet"/>
      <w:lvlText w:val="o"/>
      <w:lvlJc w:val="left"/>
      <w:pPr>
        <w:ind w:left="1440" w:hanging="360"/>
      </w:pPr>
      <w:rPr>
        <w:rFonts w:ascii="Courier New" w:hAnsi="Courier New" w:hint="default"/>
      </w:rPr>
    </w:lvl>
    <w:lvl w:ilvl="2" w:tplc="66C27982">
      <w:start w:val="1"/>
      <w:numFmt w:val="bullet"/>
      <w:lvlText w:val=""/>
      <w:lvlJc w:val="left"/>
      <w:pPr>
        <w:ind w:left="2160" w:hanging="360"/>
      </w:pPr>
      <w:rPr>
        <w:rFonts w:ascii="Wingdings" w:hAnsi="Wingdings" w:hint="default"/>
      </w:rPr>
    </w:lvl>
    <w:lvl w:ilvl="3" w:tplc="E4E4BD82">
      <w:start w:val="1"/>
      <w:numFmt w:val="bullet"/>
      <w:lvlText w:val=""/>
      <w:lvlJc w:val="left"/>
      <w:pPr>
        <w:ind w:left="2880" w:hanging="360"/>
      </w:pPr>
      <w:rPr>
        <w:rFonts w:ascii="Symbol" w:hAnsi="Symbol" w:hint="default"/>
      </w:rPr>
    </w:lvl>
    <w:lvl w:ilvl="4" w:tplc="9EFA8396">
      <w:start w:val="1"/>
      <w:numFmt w:val="bullet"/>
      <w:lvlText w:val="o"/>
      <w:lvlJc w:val="left"/>
      <w:pPr>
        <w:ind w:left="3600" w:hanging="360"/>
      </w:pPr>
      <w:rPr>
        <w:rFonts w:ascii="Courier New" w:hAnsi="Courier New" w:hint="default"/>
      </w:rPr>
    </w:lvl>
    <w:lvl w:ilvl="5" w:tplc="BB3EAD98">
      <w:start w:val="1"/>
      <w:numFmt w:val="bullet"/>
      <w:lvlText w:val=""/>
      <w:lvlJc w:val="left"/>
      <w:pPr>
        <w:ind w:left="4320" w:hanging="360"/>
      </w:pPr>
      <w:rPr>
        <w:rFonts w:ascii="Wingdings" w:hAnsi="Wingdings" w:hint="default"/>
      </w:rPr>
    </w:lvl>
    <w:lvl w:ilvl="6" w:tplc="1478AED6">
      <w:start w:val="1"/>
      <w:numFmt w:val="bullet"/>
      <w:lvlText w:val=""/>
      <w:lvlJc w:val="left"/>
      <w:pPr>
        <w:ind w:left="5040" w:hanging="360"/>
      </w:pPr>
      <w:rPr>
        <w:rFonts w:ascii="Symbol" w:hAnsi="Symbol" w:hint="default"/>
      </w:rPr>
    </w:lvl>
    <w:lvl w:ilvl="7" w:tplc="E064F950">
      <w:start w:val="1"/>
      <w:numFmt w:val="bullet"/>
      <w:lvlText w:val="o"/>
      <w:lvlJc w:val="left"/>
      <w:pPr>
        <w:ind w:left="5760" w:hanging="360"/>
      </w:pPr>
      <w:rPr>
        <w:rFonts w:ascii="Courier New" w:hAnsi="Courier New" w:hint="default"/>
      </w:rPr>
    </w:lvl>
    <w:lvl w:ilvl="8" w:tplc="22686790">
      <w:start w:val="1"/>
      <w:numFmt w:val="bullet"/>
      <w:lvlText w:val=""/>
      <w:lvlJc w:val="left"/>
      <w:pPr>
        <w:ind w:left="6480" w:hanging="360"/>
      </w:pPr>
      <w:rPr>
        <w:rFonts w:ascii="Wingdings" w:hAnsi="Wingdings" w:hint="default"/>
      </w:rPr>
    </w:lvl>
  </w:abstractNum>
  <w:abstractNum w:abstractNumId="2" w15:restartNumberingAfterBreak="0">
    <w:nsid w:val="05EA3BFD"/>
    <w:multiLevelType w:val="hybridMultilevel"/>
    <w:tmpl w:val="0B6456A4"/>
    <w:lvl w:ilvl="0" w:tplc="325408DC">
      <w:start w:val="1"/>
      <w:numFmt w:val="bullet"/>
      <w:lvlText w:val=""/>
      <w:lvlJc w:val="left"/>
      <w:pPr>
        <w:ind w:left="720" w:hanging="360"/>
      </w:pPr>
      <w:rPr>
        <w:rFonts w:ascii="Symbol" w:hAnsi="Symbol" w:hint="default"/>
      </w:rPr>
    </w:lvl>
    <w:lvl w:ilvl="1" w:tplc="1F289ACA">
      <w:start w:val="1"/>
      <w:numFmt w:val="bullet"/>
      <w:lvlText w:val="o"/>
      <w:lvlJc w:val="left"/>
      <w:pPr>
        <w:ind w:left="1440" w:hanging="360"/>
      </w:pPr>
      <w:rPr>
        <w:rFonts w:ascii="Courier New" w:hAnsi="Courier New" w:hint="default"/>
      </w:rPr>
    </w:lvl>
    <w:lvl w:ilvl="2" w:tplc="BAD86B20">
      <w:start w:val="1"/>
      <w:numFmt w:val="bullet"/>
      <w:lvlText w:val=""/>
      <w:lvlJc w:val="left"/>
      <w:pPr>
        <w:ind w:left="2160" w:hanging="360"/>
      </w:pPr>
      <w:rPr>
        <w:rFonts w:ascii="Wingdings" w:hAnsi="Wingdings" w:hint="default"/>
      </w:rPr>
    </w:lvl>
    <w:lvl w:ilvl="3" w:tplc="2502048C">
      <w:start w:val="1"/>
      <w:numFmt w:val="bullet"/>
      <w:lvlText w:val=""/>
      <w:lvlJc w:val="left"/>
      <w:pPr>
        <w:ind w:left="2880" w:hanging="360"/>
      </w:pPr>
      <w:rPr>
        <w:rFonts w:ascii="Symbol" w:hAnsi="Symbol" w:hint="default"/>
      </w:rPr>
    </w:lvl>
    <w:lvl w:ilvl="4" w:tplc="C49E52A0">
      <w:start w:val="1"/>
      <w:numFmt w:val="bullet"/>
      <w:lvlText w:val="o"/>
      <w:lvlJc w:val="left"/>
      <w:pPr>
        <w:ind w:left="3600" w:hanging="360"/>
      </w:pPr>
      <w:rPr>
        <w:rFonts w:ascii="Courier New" w:hAnsi="Courier New" w:hint="default"/>
      </w:rPr>
    </w:lvl>
    <w:lvl w:ilvl="5" w:tplc="2DFEC254">
      <w:start w:val="1"/>
      <w:numFmt w:val="bullet"/>
      <w:lvlText w:val=""/>
      <w:lvlJc w:val="left"/>
      <w:pPr>
        <w:ind w:left="4320" w:hanging="360"/>
      </w:pPr>
      <w:rPr>
        <w:rFonts w:ascii="Wingdings" w:hAnsi="Wingdings" w:hint="default"/>
      </w:rPr>
    </w:lvl>
    <w:lvl w:ilvl="6" w:tplc="8A3EF80A">
      <w:start w:val="1"/>
      <w:numFmt w:val="bullet"/>
      <w:lvlText w:val=""/>
      <w:lvlJc w:val="left"/>
      <w:pPr>
        <w:ind w:left="5040" w:hanging="360"/>
      </w:pPr>
      <w:rPr>
        <w:rFonts w:ascii="Symbol" w:hAnsi="Symbol" w:hint="default"/>
      </w:rPr>
    </w:lvl>
    <w:lvl w:ilvl="7" w:tplc="522274B6">
      <w:start w:val="1"/>
      <w:numFmt w:val="bullet"/>
      <w:lvlText w:val="o"/>
      <w:lvlJc w:val="left"/>
      <w:pPr>
        <w:ind w:left="5760" w:hanging="360"/>
      </w:pPr>
      <w:rPr>
        <w:rFonts w:ascii="Courier New" w:hAnsi="Courier New" w:hint="default"/>
      </w:rPr>
    </w:lvl>
    <w:lvl w:ilvl="8" w:tplc="F438D39C">
      <w:start w:val="1"/>
      <w:numFmt w:val="bullet"/>
      <w:lvlText w:val=""/>
      <w:lvlJc w:val="left"/>
      <w:pPr>
        <w:ind w:left="6480" w:hanging="360"/>
      </w:pPr>
      <w:rPr>
        <w:rFonts w:ascii="Wingdings" w:hAnsi="Wingdings" w:hint="default"/>
      </w:rPr>
    </w:lvl>
  </w:abstractNum>
  <w:abstractNum w:abstractNumId="3" w15:restartNumberingAfterBreak="0">
    <w:nsid w:val="06DF57B0"/>
    <w:multiLevelType w:val="hybridMultilevel"/>
    <w:tmpl w:val="FFFFFFFF"/>
    <w:lvl w:ilvl="0" w:tplc="9AE27816">
      <w:start w:val="1"/>
      <w:numFmt w:val="bullet"/>
      <w:lvlText w:val=""/>
      <w:lvlJc w:val="left"/>
      <w:pPr>
        <w:ind w:left="720" w:hanging="360"/>
      </w:pPr>
      <w:rPr>
        <w:rFonts w:ascii="Symbol" w:hAnsi="Symbol" w:hint="default"/>
      </w:rPr>
    </w:lvl>
    <w:lvl w:ilvl="1" w:tplc="4AD41B16">
      <w:start w:val="1"/>
      <w:numFmt w:val="bullet"/>
      <w:lvlText w:val="o"/>
      <w:lvlJc w:val="left"/>
      <w:pPr>
        <w:ind w:left="1440" w:hanging="360"/>
      </w:pPr>
      <w:rPr>
        <w:rFonts w:ascii="Courier New" w:hAnsi="Courier New" w:hint="default"/>
      </w:rPr>
    </w:lvl>
    <w:lvl w:ilvl="2" w:tplc="879008A2">
      <w:start w:val="1"/>
      <w:numFmt w:val="bullet"/>
      <w:lvlText w:val=""/>
      <w:lvlJc w:val="left"/>
      <w:pPr>
        <w:ind w:left="2160" w:hanging="360"/>
      </w:pPr>
      <w:rPr>
        <w:rFonts w:ascii="Wingdings" w:hAnsi="Wingdings" w:hint="default"/>
      </w:rPr>
    </w:lvl>
    <w:lvl w:ilvl="3" w:tplc="A3F45970">
      <w:start w:val="1"/>
      <w:numFmt w:val="bullet"/>
      <w:lvlText w:val=""/>
      <w:lvlJc w:val="left"/>
      <w:pPr>
        <w:ind w:left="2880" w:hanging="360"/>
      </w:pPr>
      <w:rPr>
        <w:rFonts w:ascii="Symbol" w:hAnsi="Symbol" w:hint="default"/>
      </w:rPr>
    </w:lvl>
    <w:lvl w:ilvl="4" w:tplc="96D29D60">
      <w:start w:val="1"/>
      <w:numFmt w:val="bullet"/>
      <w:lvlText w:val="o"/>
      <w:lvlJc w:val="left"/>
      <w:pPr>
        <w:ind w:left="3600" w:hanging="360"/>
      </w:pPr>
      <w:rPr>
        <w:rFonts w:ascii="Courier New" w:hAnsi="Courier New" w:hint="default"/>
      </w:rPr>
    </w:lvl>
    <w:lvl w:ilvl="5" w:tplc="17742CD8">
      <w:start w:val="1"/>
      <w:numFmt w:val="bullet"/>
      <w:lvlText w:val=""/>
      <w:lvlJc w:val="left"/>
      <w:pPr>
        <w:ind w:left="4320" w:hanging="360"/>
      </w:pPr>
      <w:rPr>
        <w:rFonts w:ascii="Wingdings" w:hAnsi="Wingdings" w:hint="default"/>
      </w:rPr>
    </w:lvl>
    <w:lvl w:ilvl="6" w:tplc="CC0ED586">
      <w:start w:val="1"/>
      <w:numFmt w:val="bullet"/>
      <w:lvlText w:val=""/>
      <w:lvlJc w:val="left"/>
      <w:pPr>
        <w:ind w:left="5040" w:hanging="360"/>
      </w:pPr>
      <w:rPr>
        <w:rFonts w:ascii="Symbol" w:hAnsi="Symbol" w:hint="default"/>
      </w:rPr>
    </w:lvl>
    <w:lvl w:ilvl="7" w:tplc="1E46A446">
      <w:start w:val="1"/>
      <w:numFmt w:val="bullet"/>
      <w:lvlText w:val="o"/>
      <w:lvlJc w:val="left"/>
      <w:pPr>
        <w:ind w:left="5760" w:hanging="360"/>
      </w:pPr>
      <w:rPr>
        <w:rFonts w:ascii="Courier New" w:hAnsi="Courier New" w:hint="default"/>
      </w:rPr>
    </w:lvl>
    <w:lvl w:ilvl="8" w:tplc="7A2C44EA">
      <w:start w:val="1"/>
      <w:numFmt w:val="bullet"/>
      <w:lvlText w:val=""/>
      <w:lvlJc w:val="left"/>
      <w:pPr>
        <w:ind w:left="6480" w:hanging="360"/>
      </w:pPr>
      <w:rPr>
        <w:rFonts w:ascii="Wingdings" w:hAnsi="Wingdings" w:hint="default"/>
      </w:rPr>
    </w:lvl>
  </w:abstractNum>
  <w:abstractNum w:abstractNumId="4" w15:restartNumberingAfterBreak="0">
    <w:nsid w:val="09F8180C"/>
    <w:multiLevelType w:val="hybridMultilevel"/>
    <w:tmpl w:val="33F8FD86"/>
    <w:lvl w:ilvl="0" w:tplc="BA165CBC">
      <w:start w:val="1"/>
      <w:numFmt w:val="bullet"/>
      <w:lvlText w:val=""/>
      <w:lvlJc w:val="left"/>
      <w:pPr>
        <w:ind w:left="720" w:hanging="360"/>
      </w:pPr>
      <w:rPr>
        <w:rFonts w:ascii="Symbol" w:hAnsi="Symbol" w:hint="default"/>
      </w:rPr>
    </w:lvl>
    <w:lvl w:ilvl="1" w:tplc="2FB0FEF0">
      <w:start w:val="1"/>
      <w:numFmt w:val="bullet"/>
      <w:lvlText w:val="o"/>
      <w:lvlJc w:val="left"/>
      <w:pPr>
        <w:ind w:left="1440" w:hanging="360"/>
      </w:pPr>
      <w:rPr>
        <w:rFonts w:ascii="Courier New" w:hAnsi="Courier New" w:hint="default"/>
      </w:rPr>
    </w:lvl>
    <w:lvl w:ilvl="2" w:tplc="E544095E">
      <w:start w:val="1"/>
      <w:numFmt w:val="bullet"/>
      <w:lvlText w:val=""/>
      <w:lvlJc w:val="left"/>
      <w:pPr>
        <w:ind w:left="2160" w:hanging="360"/>
      </w:pPr>
      <w:rPr>
        <w:rFonts w:ascii="Wingdings" w:hAnsi="Wingdings" w:hint="default"/>
      </w:rPr>
    </w:lvl>
    <w:lvl w:ilvl="3" w:tplc="D554A1BE">
      <w:start w:val="1"/>
      <w:numFmt w:val="bullet"/>
      <w:lvlText w:val=""/>
      <w:lvlJc w:val="left"/>
      <w:pPr>
        <w:ind w:left="2880" w:hanging="360"/>
      </w:pPr>
      <w:rPr>
        <w:rFonts w:ascii="Symbol" w:hAnsi="Symbol" w:hint="default"/>
      </w:rPr>
    </w:lvl>
    <w:lvl w:ilvl="4" w:tplc="6016A52E">
      <w:start w:val="1"/>
      <w:numFmt w:val="bullet"/>
      <w:lvlText w:val="o"/>
      <w:lvlJc w:val="left"/>
      <w:pPr>
        <w:ind w:left="3600" w:hanging="360"/>
      </w:pPr>
      <w:rPr>
        <w:rFonts w:ascii="Courier New" w:hAnsi="Courier New" w:hint="default"/>
      </w:rPr>
    </w:lvl>
    <w:lvl w:ilvl="5" w:tplc="6C6256EA">
      <w:start w:val="1"/>
      <w:numFmt w:val="bullet"/>
      <w:lvlText w:val=""/>
      <w:lvlJc w:val="left"/>
      <w:pPr>
        <w:ind w:left="4320" w:hanging="360"/>
      </w:pPr>
      <w:rPr>
        <w:rFonts w:ascii="Wingdings" w:hAnsi="Wingdings" w:hint="default"/>
      </w:rPr>
    </w:lvl>
    <w:lvl w:ilvl="6" w:tplc="C9347560">
      <w:start w:val="1"/>
      <w:numFmt w:val="bullet"/>
      <w:lvlText w:val=""/>
      <w:lvlJc w:val="left"/>
      <w:pPr>
        <w:ind w:left="5040" w:hanging="360"/>
      </w:pPr>
      <w:rPr>
        <w:rFonts w:ascii="Symbol" w:hAnsi="Symbol" w:hint="default"/>
      </w:rPr>
    </w:lvl>
    <w:lvl w:ilvl="7" w:tplc="46A0E87E">
      <w:start w:val="1"/>
      <w:numFmt w:val="bullet"/>
      <w:lvlText w:val="o"/>
      <w:lvlJc w:val="left"/>
      <w:pPr>
        <w:ind w:left="5760" w:hanging="360"/>
      </w:pPr>
      <w:rPr>
        <w:rFonts w:ascii="Courier New" w:hAnsi="Courier New" w:hint="default"/>
      </w:rPr>
    </w:lvl>
    <w:lvl w:ilvl="8" w:tplc="F0023404">
      <w:start w:val="1"/>
      <w:numFmt w:val="bullet"/>
      <w:lvlText w:val=""/>
      <w:lvlJc w:val="left"/>
      <w:pPr>
        <w:ind w:left="6480" w:hanging="360"/>
      </w:pPr>
      <w:rPr>
        <w:rFonts w:ascii="Wingdings" w:hAnsi="Wingdings" w:hint="default"/>
      </w:rPr>
    </w:lvl>
  </w:abstractNum>
  <w:abstractNum w:abstractNumId="5" w15:restartNumberingAfterBreak="0">
    <w:nsid w:val="0A8D970E"/>
    <w:multiLevelType w:val="hybridMultilevel"/>
    <w:tmpl w:val="FFFFFFFF"/>
    <w:lvl w:ilvl="0" w:tplc="7F36DDBC">
      <w:start w:val="1"/>
      <w:numFmt w:val="bullet"/>
      <w:lvlText w:val=""/>
      <w:lvlJc w:val="left"/>
      <w:pPr>
        <w:ind w:left="720" w:hanging="360"/>
      </w:pPr>
      <w:rPr>
        <w:rFonts w:ascii="Symbol" w:hAnsi="Symbol" w:hint="default"/>
      </w:rPr>
    </w:lvl>
    <w:lvl w:ilvl="1" w:tplc="FBD01814">
      <w:start w:val="1"/>
      <w:numFmt w:val="bullet"/>
      <w:lvlText w:val="o"/>
      <w:lvlJc w:val="left"/>
      <w:pPr>
        <w:ind w:left="1440" w:hanging="360"/>
      </w:pPr>
      <w:rPr>
        <w:rFonts w:ascii="Courier New" w:hAnsi="Courier New" w:hint="default"/>
      </w:rPr>
    </w:lvl>
    <w:lvl w:ilvl="2" w:tplc="3BCC911E">
      <w:start w:val="1"/>
      <w:numFmt w:val="bullet"/>
      <w:lvlText w:val=""/>
      <w:lvlJc w:val="left"/>
      <w:pPr>
        <w:ind w:left="2160" w:hanging="360"/>
      </w:pPr>
      <w:rPr>
        <w:rFonts w:ascii="Wingdings" w:hAnsi="Wingdings" w:hint="default"/>
      </w:rPr>
    </w:lvl>
    <w:lvl w:ilvl="3" w:tplc="A128298A">
      <w:start w:val="1"/>
      <w:numFmt w:val="bullet"/>
      <w:lvlText w:val=""/>
      <w:lvlJc w:val="left"/>
      <w:pPr>
        <w:ind w:left="2880" w:hanging="360"/>
      </w:pPr>
      <w:rPr>
        <w:rFonts w:ascii="Symbol" w:hAnsi="Symbol" w:hint="default"/>
      </w:rPr>
    </w:lvl>
    <w:lvl w:ilvl="4" w:tplc="DA0EF6CE">
      <w:start w:val="1"/>
      <w:numFmt w:val="bullet"/>
      <w:lvlText w:val="o"/>
      <w:lvlJc w:val="left"/>
      <w:pPr>
        <w:ind w:left="3600" w:hanging="360"/>
      </w:pPr>
      <w:rPr>
        <w:rFonts w:ascii="Courier New" w:hAnsi="Courier New" w:hint="default"/>
      </w:rPr>
    </w:lvl>
    <w:lvl w:ilvl="5" w:tplc="04A0AC04">
      <w:start w:val="1"/>
      <w:numFmt w:val="bullet"/>
      <w:lvlText w:val=""/>
      <w:lvlJc w:val="left"/>
      <w:pPr>
        <w:ind w:left="4320" w:hanging="360"/>
      </w:pPr>
      <w:rPr>
        <w:rFonts w:ascii="Wingdings" w:hAnsi="Wingdings" w:hint="default"/>
      </w:rPr>
    </w:lvl>
    <w:lvl w:ilvl="6" w:tplc="C48CB754">
      <w:start w:val="1"/>
      <w:numFmt w:val="bullet"/>
      <w:lvlText w:val=""/>
      <w:lvlJc w:val="left"/>
      <w:pPr>
        <w:ind w:left="5040" w:hanging="360"/>
      </w:pPr>
      <w:rPr>
        <w:rFonts w:ascii="Symbol" w:hAnsi="Symbol" w:hint="default"/>
      </w:rPr>
    </w:lvl>
    <w:lvl w:ilvl="7" w:tplc="9334BDD2">
      <w:start w:val="1"/>
      <w:numFmt w:val="bullet"/>
      <w:lvlText w:val="o"/>
      <w:lvlJc w:val="left"/>
      <w:pPr>
        <w:ind w:left="5760" w:hanging="360"/>
      </w:pPr>
      <w:rPr>
        <w:rFonts w:ascii="Courier New" w:hAnsi="Courier New" w:hint="default"/>
      </w:rPr>
    </w:lvl>
    <w:lvl w:ilvl="8" w:tplc="B1B60FE8">
      <w:start w:val="1"/>
      <w:numFmt w:val="bullet"/>
      <w:lvlText w:val=""/>
      <w:lvlJc w:val="left"/>
      <w:pPr>
        <w:ind w:left="6480" w:hanging="360"/>
      </w:pPr>
      <w:rPr>
        <w:rFonts w:ascii="Wingdings" w:hAnsi="Wingdings" w:hint="default"/>
      </w:rPr>
    </w:lvl>
  </w:abstractNum>
  <w:abstractNum w:abstractNumId="6" w15:restartNumberingAfterBreak="0">
    <w:nsid w:val="0E4C2CA5"/>
    <w:multiLevelType w:val="hybridMultilevel"/>
    <w:tmpl w:val="345AD016"/>
    <w:lvl w:ilvl="0" w:tplc="60AC15DA">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A9D564"/>
    <w:multiLevelType w:val="hybridMultilevel"/>
    <w:tmpl w:val="5B984154"/>
    <w:lvl w:ilvl="0" w:tplc="9EBACB70">
      <w:start w:val="1"/>
      <w:numFmt w:val="bullet"/>
      <w:lvlText w:val=""/>
      <w:lvlJc w:val="left"/>
      <w:pPr>
        <w:ind w:left="720" w:hanging="360"/>
      </w:pPr>
      <w:rPr>
        <w:rFonts w:ascii="Symbol" w:hAnsi="Symbol" w:hint="default"/>
      </w:rPr>
    </w:lvl>
    <w:lvl w:ilvl="1" w:tplc="3AA07382">
      <w:start w:val="1"/>
      <w:numFmt w:val="bullet"/>
      <w:lvlText w:val="o"/>
      <w:lvlJc w:val="left"/>
      <w:pPr>
        <w:ind w:left="1440" w:hanging="360"/>
      </w:pPr>
      <w:rPr>
        <w:rFonts w:ascii="Courier New" w:hAnsi="Courier New" w:hint="default"/>
      </w:rPr>
    </w:lvl>
    <w:lvl w:ilvl="2" w:tplc="AE08DE64">
      <w:start w:val="1"/>
      <w:numFmt w:val="bullet"/>
      <w:lvlText w:val=""/>
      <w:lvlJc w:val="left"/>
      <w:pPr>
        <w:ind w:left="2160" w:hanging="360"/>
      </w:pPr>
      <w:rPr>
        <w:rFonts w:ascii="Wingdings" w:hAnsi="Wingdings" w:hint="default"/>
      </w:rPr>
    </w:lvl>
    <w:lvl w:ilvl="3" w:tplc="3DB4ABB2">
      <w:start w:val="1"/>
      <w:numFmt w:val="bullet"/>
      <w:lvlText w:val=""/>
      <w:lvlJc w:val="left"/>
      <w:pPr>
        <w:ind w:left="2880" w:hanging="360"/>
      </w:pPr>
      <w:rPr>
        <w:rFonts w:ascii="Symbol" w:hAnsi="Symbol" w:hint="default"/>
      </w:rPr>
    </w:lvl>
    <w:lvl w:ilvl="4" w:tplc="51767604">
      <w:start w:val="1"/>
      <w:numFmt w:val="bullet"/>
      <w:lvlText w:val="o"/>
      <w:lvlJc w:val="left"/>
      <w:pPr>
        <w:ind w:left="3600" w:hanging="360"/>
      </w:pPr>
      <w:rPr>
        <w:rFonts w:ascii="Courier New" w:hAnsi="Courier New" w:hint="default"/>
      </w:rPr>
    </w:lvl>
    <w:lvl w:ilvl="5" w:tplc="FE00E0A6">
      <w:start w:val="1"/>
      <w:numFmt w:val="bullet"/>
      <w:lvlText w:val=""/>
      <w:lvlJc w:val="left"/>
      <w:pPr>
        <w:ind w:left="4320" w:hanging="360"/>
      </w:pPr>
      <w:rPr>
        <w:rFonts w:ascii="Wingdings" w:hAnsi="Wingdings" w:hint="default"/>
      </w:rPr>
    </w:lvl>
    <w:lvl w:ilvl="6" w:tplc="F5264522">
      <w:start w:val="1"/>
      <w:numFmt w:val="bullet"/>
      <w:lvlText w:val=""/>
      <w:lvlJc w:val="left"/>
      <w:pPr>
        <w:ind w:left="5040" w:hanging="360"/>
      </w:pPr>
      <w:rPr>
        <w:rFonts w:ascii="Symbol" w:hAnsi="Symbol" w:hint="default"/>
      </w:rPr>
    </w:lvl>
    <w:lvl w:ilvl="7" w:tplc="BCC438B4">
      <w:start w:val="1"/>
      <w:numFmt w:val="bullet"/>
      <w:lvlText w:val="o"/>
      <w:lvlJc w:val="left"/>
      <w:pPr>
        <w:ind w:left="5760" w:hanging="360"/>
      </w:pPr>
      <w:rPr>
        <w:rFonts w:ascii="Courier New" w:hAnsi="Courier New" w:hint="default"/>
      </w:rPr>
    </w:lvl>
    <w:lvl w:ilvl="8" w:tplc="C95C7B28">
      <w:start w:val="1"/>
      <w:numFmt w:val="bullet"/>
      <w:lvlText w:val=""/>
      <w:lvlJc w:val="left"/>
      <w:pPr>
        <w:ind w:left="6480" w:hanging="360"/>
      </w:pPr>
      <w:rPr>
        <w:rFonts w:ascii="Wingdings" w:hAnsi="Wingdings" w:hint="default"/>
      </w:rPr>
    </w:lvl>
  </w:abstractNum>
  <w:abstractNum w:abstractNumId="8" w15:restartNumberingAfterBreak="0">
    <w:nsid w:val="10EEA4D0"/>
    <w:multiLevelType w:val="hybridMultilevel"/>
    <w:tmpl w:val="9F0AEE9A"/>
    <w:lvl w:ilvl="0" w:tplc="349A431C">
      <w:start w:val="1"/>
      <w:numFmt w:val="bullet"/>
      <w:lvlText w:val=""/>
      <w:lvlJc w:val="left"/>
      <w:pPr>
        <w:ind w:left="720" w:hanging="360"/>
      </w:pPr>
      <w:rPr>
        <w:rFonts w:ascii="Symbol" w:hAnsi="Symbol" w:hint="default"/>
      </w:rPr>
    </w:lvl>
    <w:lvl w:ilvl="1" w:tplc="E6CA77FE">
      <w:start w:val="1"/>
      <w:numFmt w:val="bullet"/>
      <w:lvlText w:val="o"/>
      <w:lvlJc w:val="left"/>
      <w:pPr>
        <w:ind w:left="1440" w:hanging="360"/>
      </w:pPr>
      <w:rPr>
        <w:rFonts w:ascii="Courier New" w:hAnsi="Courier New" w:hint="default"/>
      </w:rPr>
    </w:lvl>
    <w:lvl w:ilvl="2" w:tplc="B49661DE">
      <w:start w:val="1"/>
      <w:numFmt w:val="bullet"/>
      <w:lvlText w:val=""/>
      <w:lvlJc w:val="left"/>
      <w:pPr>
        <w:ind w:left="2160" w:hanging="360"/>
      </w:pPr>
      <w:rPr>
        <w:rFonts w:ascii="Wingdings" w:hAnsi="Wingdings" w:hint="default"/>
      </w:rPr>
    </w:lvl>
    <w:lvl w:ilvl="3" w:tplc="15BE7A9A">
      <w:start w:val="1"/>
      <w:numFmt w:val="bullet"/>
      <w:lvlText w:val=""/>
      <w:lvlJc w:val="left"/>
      <w:pPr>
        <w:ind w:left="2880" w:hanging="360"/>
      </w:pPr>
      <w:rPr>
        <w:rFonts w:ascii="Symbol" w:hAnsi="Symbol" w:hint="default"/>
      </w:rPr>
    </w:lvl>
    <w:lvl w:ilvl="4" w:tplc="F8AEF466">
      <w:start w:val="1"/>
      <w:numFmt w:val="bullet"/>
      <w:lvlText w:val="o"/>
      <w:lvlJc w:val="left"/>
      <w:pPr>
        <w:ind w:left="3600" w:hanging="360"/>
      </w:pPr>
      <w:rPr>
        <w:rFonts w:ascii="Courier New" w:hAnsi="Courier New" w:hint="default"/>
      </w:rPr>
    </w:lvl>
    <w:lvl w:ilvl="5" w:tplc="B706FEA8">
      <w:start w:val="1"/>
      <w:numFmt w:val="bullet"/>
      <w:lvlText w:val=""/>
      <w:lvlJc w:val="left"/>
      <w:pPr>
        <w:ind w:left="4320" w:hanging="360"/>
      </w:pPr>
      <w:rPr>
        <w:rFonts w:ascii="Wingdings" w:hAnsi="Wingdings" w:hint="default"/>
      </w:rPr>
    </w:lvl>
    <w:lvl w:ilvl="6" w:tplc="38EAEC76">
      <w:start w:val="1"/>
      <w:numFmt w:val="bullet"/>
      <w:lvlText w:val=""/>
      <w:lvlJc w:val="left"/>
      <w:pPr>
        <w:ind w:left="5040" w:hanging="360"/>
      </w:pPr>
      <w:rPr>
        <w:rFonts w:ascii="Symbol" w:hAnsi="Symbol" w:hint="default"/>
      </w:rPr>
    </w:lvl>
    <w:lvl w:ilvl="7" w:tplc="03345728">
      <w:start w:val="1"/>
      <w:numFmt w:val="bullet"/>
      <w:lvlText w:val="o"/>
      <w:lvlJc w:val="left"/>
      <w:pPr>
        <w:ind w:left="5760" w:hanging="360"/>
      </w:pPr>
      <w:rPr>
        <w:rFonts w:ascii="Courier New" w:hAnsi="Courier New" w:hint="default"/>
      </w:rPr>
    </w:lvl>
    <w:lvl w:ilvl="8" w:tplc="01AEE4D2">
      <w:start w:val="1"/>
      <w:numFmt w:val="bullet"/>
      <w:lvlText w:val=""/>
      <w:lvlJc w:val="left"/>
      <w:pPr>
        <w:ind w:left="6480" w:hanging="360"/>
      </w:pPr>
      <w:rPr>
        <w:rFonts w:ascii="Wingdings" w:hAnsi="Wingdings" w:hint="default"/>
      </w:rPr>
    </w:lvl>
  </w:abstractNum>
  <w:abstractNum w:abstractNumId="9" w15:restartNumberingAfterBreak="0">
    <w:nsid w:val="124E4824"/>
    <w:multiLevelType w:val="hybridMultilevel"/>
    <w:tmpl w:val="2B3C1C76"/>
    <w:lvl w:ilvl="0" w:tplc="555C3518">
      <w:start w:val="1"/>
      <w:numFmt w:val="bullet"/>
      <w:lvlText w:val=""/>
      <w:lvlJc w:val="left"/>
      <w:pPr>
        <w:ind w:left="720" w:hanging="360"/>
      </w:pPr>
      <w:rPr>
        <w:rFonts w:ascii="Symbol" w:hAnsi="Symbol" w:hint="default"/>
      </w:rPr>
    </w:lvl>
    <w:lvl w:ilvl="1" w:tplc="5A6A06DE">
      <w:start w:val="1"/>
      <w:numFmt w:val="bullet"/>
      <w:lvlText w:val="o"/>
      <w:lvlJc w:val="left"/>
      <w:pPr>
        <w:ind w:left="1440" w:hanging="360"/>
      </w:pPr>
      <w:rPr>
        <w:rFonts w:ascii="Courier New" w:hAnsi="Courier New" w:hint="default"/>
      </w:rPr>
    </w:lvl>
    <w:lvl w:ilvl="2" w:tplc="E85800F4">
      <w:start w:val="1"/>
      <w:numFmt w:val="bullet"/>
      <w:lvlText w:val=""/>
      <w:lvlJc w:val="left"/>
      <w:pPr>
        <w:ind w:left="2160" w:hanging="360"/>
      </w:pPr>
      <w:rPr>
        <w:rFonts w:ascii="Wingdings" w:hAnsi="Wingdings" w:hint="default"/>
      </w:rPr>
    </w:lvl>
    <w:lvl w:ilvl="3" w:tplc="DB90BDF0">
      <w:start w:val="1"/>
      <w:numFmt w:val="bullet"/>
      <w:lvlText w:val=""/>
      <w:lvlJc w:val="left"/>
      <w:pPr>
        <w:ind w:left="2880" w:hanging="360"/>
      </w:pPr>
      <w:rPr>
        <w:rFonts w:ascii="Symbol" w:hAnsi="Symbol" w:hint="default"/>
      </w:rPr>
    </w:lvl>
    <w:lvl w:ilvl="4" w:tplc="3BDCB91E">
      <w:start w:val="1"/>
      <w:numFmt w:val="bullet"/>
      <w:lvlText w:val="o"/>
      <w:lvlJc w:val="left"/>
      <w:pPr>
        <w:ind w:left="3600" w:hanging="360"/>
      </w:pPr>
      <w:rPr>
        <w:rFonts w:ascii="Courier New" w:hAnsi="Courier New" w:hint="default"/>
      </w:rPr>
    </w:lvl>
    <w:lvl w:ilvl="5" w:tplc="621C572C">
      <w:start w:val="1"/>
      <w:numFmt w:val="bullet"/>
      <w:lvlText w:val=""/>
      <w:lvlJc w:val="left"/>
      <w:pPr>
        <w:ind w:left="4320" w:hanging="360"/>
      </w:pPr>
      <w:rPr>
        <w:rFonts w:ascii="Wingdings" w:hAnsi="Wingdings" w:hint="default"/>
      </w:rPr>
    </w:lvl>
    <w:lvl w:ilvl="6" w:tplc="C90C88F4">
      <w:start w:val="1"/>
      <w:numFmt w:val="bullet"/>
      <w:lvlText w:val=""/>
      <w:lvlJc w:val="left"/>
      <w:pPr>
        <w:ind w:left="5040" w:hanging="360"/>
      </w:pPr>
      <w:rPr>
        <w:rFonts w:ascii="Symbol" w:hAnsi="Symbol" w:hint="default"/>
      </w:rPr>
    </w:lvl>
    <w:lvl w:ilvl="7" w:tplc="7F3EE158">
      <w:start w:val="1"/>
      <w:numFmt w:val="bullet"/>
      <w:lvlText w:val="o"/>
      <w:lvlJc w:val="left"/>
      <w:pPr>
        <w:ind w:left="5760" w:hanging="360"/>
      </w:pPr>
      <w:rPr>
        <w:rFonts w:ascii="Courier New" w:hAnsi="Courier New" w:hint="default"/>
      </w:rPr>
    </w:lvl>
    <w:lvl w:ilvl="8" w:tplc="750EF8E2">
      <w:start w:val="1"/>
      <w:numFmt w:val="bullet"/>
      <w:lvlText w:val=""/>
      <w:lvlJc w:val="left"/>
      <w:pPr>
        <w:ind w:left="6480" w:hanging="360"/>
      </w:pPr>
      <w:rPr>
        <w:rFonts w:ascii="Wingdings" w:hAnsi="Wingdings" w:hint="default"/>
      </w:rPr>
    </w:lvl>
  </w:abstractNum>
  <w:abstractNum w:abstractNumId="10" w15:restartNumberingAfterBreak="0">
    <w:nsid w:val="146BEA69"/>
    <w:multiLevelType w:val="hybridMultilevel"/>
    <w:tmpl w:val="FFFFFFFF"/>
    <w:lvl w:ilvl="0" w:tplc="88C0B186">
      <w:start w:val="1"/>
      <w:numFmt w:val="bullet"/>
      <w:lvlText w:val=""/>
      <w:lvlJc w:val="left"/>
      <w:pPr>
        <w:ind w:left="720" w:hanging="360"/>
      </w:pPr>
      <w:rPr>
        <w:rFonts w:ascii="Symbol" w:hAnsi="Symbol" w:hint="default"/>
      </w:rPr>
    </w:lvl>
    <w:lvl w:ilvl="1" w:tplc="DC822AF8">
      <w:start w:val="1"/>
      <w:numFmt w:val="bullet"/>
      <w:lvlText w:val="o"/>
      <w:lvlJc w:val="left"/>
      <w:pPr>
        <w:ind w:left="1440" w:hanging="360"/>
      </w:pPr>
      <w:rPr>
        <w:rFonts w:ascii="Courier New" w:hAnsi="Courier New" w:hint="default"/>
      </w:rPr>
    </w:lvl>
    <w:lvl w:ilvl="2" w:tplc="CFE413A4">
      <w:start w:val="1"/>
      <w:numFmt w:val="bullet"/>
      <w:lvlText w:val=""/>
      <w:lvlJc w:val="left"/>
      <w:pPr>
        <w:ind w:left="2160" w:hanging="360"/>
      </w:pPr>
      <w:rPr>
        <w:rFonts w:ascii="Wingdings" w:hAnsi="Wingdings" w:hint="default"/>
      </w:rPr>
    </w:lvl>
    <w:lvl w:ilvl="3" w:tplc="F53469A0">
      <w:start w:val="1"/>
      <w:numFmt w:val="bullet"/>
      <w:lvlText w:val=""/>
      <w:lvlJc w:val="left"/>
      <w:pPr>
        <w:ind w:left="2880" w:hanging="360"/>
      </w:pPr>
      <w:rPr>
        <w:rFonts w:ascii="Symbol" w:hAnsi="Symbol" w:hint="default"/>
      </w:rPr>
    </w:lvl>
    <w:lvl w:ilvl="4" w:tplc="94A4C5F0">
      <w:start w:val="1"/>
      <w:numFmt w:val="bullet"/>
      <w:lvlText w:val="o"/>
      <w:lvlJc w:val="left"/>
      <w:pPr>
        <w:ind w:left="3600" w:hanging="360"/>
      </w:pPr>
      <w:rPr>
        <w:rFonts w:ascii="Courier New" w:hAnsi="Courier New" w:hint="default"/>
      </w:rPr>
    </w:lvl>
    <w:lvl w:ilvl="5" w:tplc="2D021D68">
      <w:start w:val="1"/>
      <w:numFmt w:val="bullet"/>
      <w:lvlText w:val=""/>
      <w:lvlJc w:val="left"/>
      <w:pPr>
        <w:ind w:left="4320" w:hanging="360"/>
      </w:pPr>
      <w:rPr>
        <w:rFonts w:ascii="Wingdings" w:hAnsi="Wingdings" w:hint="default"/>
      </w:rPr>
    </w:lvl>
    <w:lvl w:ilvl="6" w:tplc="A7E214D2">
      <w:start w:val="1"/>
      <w:numFmt w:val="bullet"/>
      <w:lvlText w:val=""/>
      <w:lvlJc w:val="left"/>
      <w:pPr>
        <w:ind w:left="5040" w:hanging="360"/>
      </w:pPr>
      <w:rPr>
        <w:rFonts w:ascii="Symbol" w:hAnsi="Symbol" w:hint="default"/>
      </w:rPr>
    </w:lvl>
    <w:lvl w:ilvl="7" w:tplc="02B4F7EC">
      <w:start w:val="1"/>
      <w:numFmt w:val="bullet"/>
      <w:lvlText w:val="o"/>
      <w:lvlJc w:val="left"/>
      <w:pPr>
        <w:ind w:left="5760" w:hanging="360"/>
      </w:pPr>
      <w:rPr>
        <w:rFonts w:ascii="Courier New" w:hAnsi="Courier New" w:hint="default"/>
      </w:rPr>
    </w:lvl>
    <w:lvl w:ilvl="8" w:tplc="CE2C2744">
      <w:start w:val="1"/>
      <w:numFmt w:val="bullet"/>
      <w:lvlText w:val=""/>
      <w:lvlJc w:val="left"/>
      <w:pPr>
        <w:ind w:left="6480" w:hanging="360"/>
      </w:pPr>
      <w:rPr>
        <w:rFonts w:ascii="Wingdings" w:hAnsi="Wingdings" w:hint="default"/>
      </w:rPr>
    </w:lvl>
  </w:abstractNum>
  <w:abstractNum w:abstractNumId="11" w15:restartNumberingAfterBreak="0">
    <w:nsid w:val="14BFE8A4"/>
    <w:multiLevelType w:val="hybridMultilevel"/>
    <w:tmpl w:val="A29CD432"/>
    <w:lvl w:ilvl="0" w:tplc="0C2C73A6">
      <w:start w:val="1"/>
      <w:numFmt w:val="bullet"/>
      <w:lvlText w:val=""/>
      <w:lvlJc w:val="left"/>
      <w:pPr>
        <w:ind w:left="720" w:hanging="360"/>
      </w:pPr>
      <w:rPr>
        <w:rFonts w:ascii="Symbol" w:hAnsi="Symbol" w:hint="default"/>
      </w:rPr>
    </w:lvl>
    <w:lvl w:ilvl="1" w:tplc="0EC2874A">
      <w:start w:val="1"/>
      <w:numFmt w:val="bullet"/>
      <w:lvlText w:val="o"/>
      <w:lvlJc w:val="left"/>
      <w:pPr>
        <w:ind w:left="1440" w:hanging="360"/>
      </w:pPr>
      <w:rPr>
        <w:rFonts w:ascii="Courier New" w:hAnsi="Courier New" w:hint="default"/>
      </w:rPr>
    </w:lvl>
    <w:lvl w:ilvl="2" w:tplc="B4C69B7A">
      <w:start w:val="1"/>
      <w:numFmt w:val="bullet"/>
      <w:lvlText w:val=""/>
      <w:lvlJc w:val="left"/>
      <w:pPr>
        <w:ind w:left="2160" w:hanging="360"/>
      </w:pPr>
      <w:rPr>
        <w:rFonts w:ascii="Wingdings" w:hAnsi="Wingdings" w:hint="default"/>
      </w:rPr>
    </w:lvl>
    <w:lvl w:ilvl="3" w:tplc="3A4E1B2A">
      <w:start w:val="1"/>
      <w:numFmt w:val="bullet"/>
      <w:lvlText w:val=""/>
      <w:lvlJc w:val="left"/>
      <w:pPr>
        <w:ind w:left="2880" w:hanging="360"/>
      </w:pPr>
      <w:rPr>
        <w:rFonts w:ascii="Symbol" w:hAnsi="Symbol" w:hint="default"/>
      </w:rPr>
    </w:lvl>
    <w:lvl w:ilvl="4" w:tplc="8AA6ABA8">
      <w:start w:val="1"/>
      <w:numFmt w:val="bullet"/>
      <w:lvlText w:val="o"/>
      <w:lvlJc w:val="left"/>
      <w:pPr>
        <w:ind w:left="3600" w:hanging="360"/>
      </w:pPr>
      <w:rPr>
        <w:rFonts w:ascii="Courier New" w:hAnsi="Courier New" w:hint="default"/>
      </w:rPr>
    </w:lvl>
    <w:lvl w:ilvl="5" w:tplc="E1924D94">
      <w:start w:val="1"/>
      <w:numFmt w:val="bullet"/>
      <w:lvlText w:val=""/>
      <w:lvlJc w:val="left"/>
      <w:pPr>
        <w:ind w:left="4320" w:hanging="360"/>
      </w:pPr>
      <w:rPr>
        <w:rFonts w:ascii="Wingdings" w:hAnsi="Wingdings" w:hint="default"/>
      </w:rPr>
    </w:lvl>
    <w:lvl w:ilvl="6" w:tplc="963041C8">
      <w:start w:val="1"/>
      <w:numFmt w:val="bullet"/>
      <w:lvlText w:val=""/>
      <w:lvlJc w:val="left"/>
      <w:pPr>
        <w:ind w:left="5040" w:hanging="360"/>
      </w:pPr>
      <w:rPr>
        <w:rFonts w:ascii="Symbol" w:hAnsi="Symbol" w:hint="default"/>
      </w:rPr>
    </w:lvl>
    <w:lvl w:ilvl="7" w:tplc="24C28F22">
      <w:start w:val="1"/>
      <w:numFmt w:val="bullet"/>
      <w:lvlText w:val="o"/>
      <w:lvlJc w:val="left"/>
      <w:pPr>
        <w:ind w:left="5760" w:hanging="360"/>
      </w:pPr>
      <w:rPr>
        <w:rFonts w:ascii="Courier New" w:hAnsi="Courier New" w:hint="default"/>
      </w:rPr>
    </w:lvl>
    <w:lvl w:ilvl="8" w:tplc="8954C7B8">
      <w:start w:val="1"/>
      <w:numFmt w:val="bullet"/>
      <w:lvlText w:val=""/>
      <w:lvlJc w:val="left"/>
      <w:pPr>
        <w:ind w:left="6480" w:hanging="360"/>
      </w:pPr>
      <w:rPr>
        <w:rFonts w:ascii="Wingdings" w:hAnsi="Wingdings" w:hint="default"/>
      </w:rPr>
    </w:lvl>
  </w:abstractNum>
  <w:abstractNum w:abstractNumId="12" w15:restartNumberingAfterBreak="0">
    <w:nsid w:val="19427404"/>
    <w:multiLevelType w:val="hybridMultilevel"/>
    <w:tmpl w:val="909C212A"/>
    <w:lvl w:ilvl="0" w:tplc="A63A8BA0">
      <w:start w:val="1"/>
      <w:numFmt w:val="bullet"/>
      <w:lvlText w:val=""/>
      <w:lvlJc w:val="left"/>
      <w:pPr>
        <w:ind w:left="720" w:hanging="360"/>
      </w:pPr>
      <w:rPr>
        <w:rFonts w:ascii="Symbol" w:hAnsi="Symbol" w:hint="default"/>
      </w:rPr>
    </w:lvl>
    <w:lvl w:ilvl="1" w:tplc="FEEC3658">
      <w:start w:val="1"/>
      <w:numFmt w:val="bullet"/>
      <w:lvlText w:val="o"/>
      <w:lvlJc w:val="left"/>
      <w:pPr>
        <w:ind w:left="1440" w:hanging="360"/>
      </w:pPr>
      <w:rPr>
        <w:rFonts w:ascii="Courier New" w:hAnsi="Courier New" w:hint="default"/>
      </w:rPr>
    </w:lvl>
    <w:lvl w:ilvl="2" w:tplc="2CA03AD2">
      <w:start w:val="1"/>
      <w:numFmt w:val="bullet"/>
      <w:lvlText w:val=""/>
      <w:lvlJc w:val="left"/>
      <w:pPr>
        <w:ind w:left="2160" w:hanging="360"/>
      </w:pPr>
      <w:rPr>
        <w:rFonts w:ascii="Wingdings" w:hAnsi="Wingdings" w:hint="default"/>
      </w:rPr>
    </w:lvl>
    <w:lvl w:ilvl="3" w:tplc="1810826E">
      <w:start w:val="1"/>
      <w:numFmt w:val="bullet"/>
      <w:lvlText w:val=""/>
      <w:lvlJc w:val="left"/>
      <w:pPr>
        <w:ind w:left="2880" w:hanging="360"/>
      </w:pPr>
      <w:rPr>
        <w:rFonts w:ascii="Symbol" w:hAnsi="Symbol" w:hint="default"/>
      </w:rPr>
    </w:lvl>
    <w:lvl w:ilvl="4" w:tplc="2188CAE2">
      <w:start w:val="1"/>
      <w:numFmt w:val="bullet"/>
      <w:lvlText w:val="o"/>
      <w:lvlJc w:val="left"/>
      <w:pPr>
        <w:ind w:left="3600" w:hanging="360"/>
      </w:pPr>
      <w:rPr>
        <w:rFonts w:ascii="Courier New" w:hAnsi="Courier New" w:hint="default"/>
      </w:rPr>
    </w:lvl>
    <w:lvl w:ilvl="5" w:tplc="F6E6783C">
      <w:start w:val="1"/>
      <w:numFmt w:val="bullet"/>
      <w:lvlText w:val=""/>
      <w:lvlJc w:val="left"/>
      <w:pPr>
        <w:ind w:left="4320" w:hanging="360"/>
      </w:pPr>
      <w:rPr>
        <w:rFonts w:ascii="Wingdings" w:hAnsi="Wingdings" w:hint="default"/>
      </w:rPr>
    </w:lvl>
    <w:lvl w:ilvl="6" w:tplc="F9E2DB52">
      <w:start w:val="1"/>
      <w:numFmt w:val="bullet"/>
      <w:lvlText w:val=""/>
      <w:lvlJc w:val="left"/>
      <w:pPr>
        <w:ind w:left="5040" w:hanging="360"/>
      </w:pPr>
      <w:rPr>
        <w:rFonts w:ascii="Symbol" w:hAnsi="Symbol" w:hint="default"/>
      </w:rPr>
    </w:lvl>
    <w:lvl w:ilvl="7" w:tplc="5FFCC7A0">
      <w:start w:val="1"/>
      <w:numFmt w:val="bullet"/>
      <w:lvlText w:val="o"/>
      <w:lvlJc w:val="left"/>
      <w:pPr>
        <w:ind w:left="5760" w:hanging="360"/>
      </w:pPr>
      <w:rPr>
        <w:rFonts w:ascii="Courier New" w:hAnsi="Courier New" w:hint="default"/>
      </w:rPr>
    </w:lvl>
    <w:lvl w:ilvl="8" w:tplc="CF3CA7CA">
      <w:start w:val="1"/>
      <w:numFmt w:val="bullet"/>
      <w:lvlText w:val=""/>
      <w:lvlJc w:val="left"/>
      <w:pPr>
        <w:ind w:left="6480" w:hanging="360"/>
      </w:pPr>
      <w:rPr>
        <w:rFonts w:ascii="Wingdings" w:hAnsi="Wingdings" w:hint="default"/>
      </w:rPr>
    </w:lvl>
  </w:abstractNum>
  <w:abstractNum w:abstractNumId="13" w15:restartNumberingAfterBreak="0">
    <w:nsid w:val="195702C1"/>
    <w:multiLevelType w:val="hybridMultilevel"/>
    <w:tmpl w:val="9788C434"/>
    <w:lvl w:ilvl="0" w:tplc="B87260B6">
      <w:start w:val="1"/>
      <w:numFmt w:val="bullet"/>
      <w:lvlText w:val=""/>
      <w:lvlJc w:val="left"/>
      <w:pPr>
        <w:ind w:left="720" w:hanging="360"/>
      </w:pPr>
      <w:rPr>
        <w:rFonts w:ascii="Symbol" w:hAnsi="Symbol" w:hint="default"/>
      </w:rPr>
    </w:lvl>
    <w:lvl w:ilvl="1" w:tplc="8D3CD95C">
      <w:start w:val="1"/>
      <w:numFmt w:val="bullet"/>
      <w:lvlText w:val="o"/>
      <w:lvlJc w:val="left"/>
      <w:pPr>
        <w:ind w:left="1440" w:hanging="360"/>
      </w:pPr>
      <w:rPr>
        <w:rFonts w:ascii="Courier New" w:hAnsi="Courier New" w:hint="default"/>
      </w:rPr>
    </w:lvl>
    <w:lvl w:ilvl="2" w:tplc="236AE07E">
      <w:start w:val="1"/>
      <w:numFmt w:val="bullet"/>
      <w:lvlText w:val=""/>
      <w:lvlJc w:val="left"/>
      <w:pPr>
        <w:ind w:left="2160" w:hanging="360"/>
      </w:pPr>
      <w:rPr>
        <w:rFonts w:ascii="Wingdings" w:hAnsi="Wingdings" w:hint="default"/>
      </w:rPr>
    </w:lvl>
    <w:lvl w:ilvl="3" w:tplc="F51CFC8A">
      <w:start w:val="1"/>
      <w:numFmt w:val="bullet"/>
      <w:lvlText w:val=""/>
      <w:lvlJc w:val="left"/>
      <w:pPr>
        <w:ind w:left="2880" w:hanging="360"/>
      </w:pPr>
      <w:rPr>
        <w:rFonts w:ascii="Symbol" w:hAnsi="Symbol" w:hint="default"/>
      </w:rPr>
    </w:lvl>
    <w:lvl w:ilvl="4" w:tplc="CDE08CCC">
      <w:start w:val="1"/>
      <w:numFmt w:val="bullet"/>
      <w:lvlText w:val="o"/>
      <w:lvlJc w:val="left"/>
      <w:pPr>
        <w:ind w:left="3600" w:hanging="360"/>
      </w:pPr>
      <w:rPr>
        <w:rFonts w:ascii="Courier New" w:hAnsi="Courier New" w:hint="default"/>
      </w:rPr>
    </w:lvl>
    <w:lvl w:ilvl="5" w:tplc="F9D89E42">
      <w:start w:val="1"/>
      <w:numFmt w:val="bullet"/>
      <w:lvlText w:val=""/>
      <w:lvlJc w:val="left"/>
      <w:pPr>
        <w:ind w:left="4320" w:hanging="360"/>
      </w:pPr>
      <w:rPr>
        <w:rFonts w:ascii="Wingdings" w:hAnsi="Wingdings" w:hint="default"/>
      </w:rPr>
    </w:lvl>
    <w:lvl w:ilvl="6" w:tplc="BA40CBA4">
      <w:start w:val="1"/>
      <w:numFmt w:val="bullet"/>
      <w:lvlText w:val=""/>
      <w:lvlJc w:val="left"/>
      <w:pPr>
        <w:ind w:left="5040" w:hanging="360"/>
      </w:pPr>
      <w:rPr>
        <w:rFonts w:ascii="Symbol" w:hAnsi="Symbol" w:hint="default"/>
      </w:rPr>
    </w:lvl>
    <w:lvl w:ilvl="7" w:tplc="E21A7ED2">
      <w:start w:val="1"/>
      <w:numFmt w:val="bullet"/>
      <w:lvlText w:val="o"/>
      <w:lvlJc w:val="left"/>
      <w:pPr>
        <w:ind w:left="5760" w:hanging="360"/>
      </w:pPr>
      <w:rPr>
        <w:rFonts w:ascii="Courier New" w:hAnsi="Courier New" w:hint="default"/>
      </w:rPr>
    </w:lvl>
    <w:lvl w:ilvl="8" w:tplc="ABC8B7CC">
      <w:start w:val="1"/>
      <w:numFmt w:val="bullet"/>
      <w:lvlText w:val=""/>
      <w:lvlJc w:val="left"/>
      <w:pPr>
        <w:ind w:left="6480" w:hanging="360"/>
      </w:pPr>
      <w:rPr>
        <w:rFonts w:ascii="Wingdings" w:hAnsi="Wingdings" w:hint="default"/>
      </w:rPr>
    </w:lvl>
  </w:abstractNum>
  <w:abstractNum w:abstractNumId="14" w15:restartNumberingAfterBreak="0">
    <w:nsid w:val="1A1C31C3"/>
    <w:multiLevelType w:val="hybridMultilevel"/>
    <w:tmpl w:val="D76276C4"/>
    <w:lvl w:ilvl="0" w:tplc="B1DE11BE">
      <w:start w:val="1"/>
      <w:numFmt w:val="bullet"/>
      <w:lvlText w:val=""/>
      <w:lvlJc w:val="left"/>
      <w:pPr>
        <w:ind w:left="720" w:hanging="360"/>
      </w:pPr>
      <w:rPr>
        <w:rFonts w:ascii="Symbol" w:hAnsi="Symbol" w:hint="default"/>
      </w:rPr>
    </w:lvl>
    <w:lvl w:ilvl="1" w:tplc="102004DA">
      <w:start w:val="1"/>
      <w:numFmt w:val="bullet"/>
      <w:lvlText w:val="o"/>
      <w:lvlJc w:val="left"/>
      <w:pPr>
        <w:ind w:left="1440" w:hanging="360"/>
      </w:pPr>
      <w:rPr>
        <w:rFonts w:ascii="Courier New" w:hAnsi="Courier New" w:hint="default"/>
      </w:rPr>
    </w:lvl>
    <w:lvl w:ilvl="2" w:tplc="7ABA9FDC">
      <w:start w:val="1"/>
      <w:numFmt w:val="bullet"/>
      <w:lvlText w:val=""/>
      <w:lvlJc w:val="left"/>
      <w:pPr>
        <w:ind w:left="2160" w:hanging="360"/>
      </w:pPr>
      <w:rPr>
        <w:rFonts w:ascii="Wingdings" w:hAnsi="Wingdings" w:hint="default"/>
      </w:rPr>
    </w:lvl>
    <w:lvl w:ilvl="3" w:tplc="45D0C422">
      <w:start w:val="1"/>
      <w:numFmt w:val="bullet"/>
      <w:lvlText w:val=""/>
      <w:lvlJc w:val="left"/>
      <w:pPr>
        <w:ind w:left="2880" w:hanging="360"/>
      </w:pPr>
      <w:rPr>
        <w:rFonts w:ascii="Symbol" w:hAnsi="Symbol" w:hint="default"/>
      </w:rPr>
    </w:lvl>
    <w:lvl w:ilvl="4" w:tplc="C9A40E86">
      <w:start w:val="1"/>
      <w:numFmt w:val="bullet"/>
      <w:lvlText w:val="o"/>
      <w:lvlJc w:val="left"/>
      <w:pPr>
        <w:ind w:left="3600" w:hanging="360"/>
      </w:pPr>
      <w:rPr>
        <w:rFonts w:ascii="Courier New" w:hAnsi="Courier New" w:hint="default"/>
      </w:rPr>
    </w:lvl>
    <w:lvl w:ilvl="5" w:tplc="AFF852EA">
      <w:start w:val="1"/>
      <w:numFmt w:val="bullet"/>
      <w:lvlText w:val=""/>
      <w:lvlJc w:val="left"/>
      <w:pPr>
        <w:ind w:left="4320" w:hanging="360"/>
      </w:pPr>
      <w:rPr>
        <w:rFonts w:ascii="Wingdings" w:hAnsi="Wingdings" w:hint="default"/>
      </w:rPr>
    </w:lvl>
    <w:lvl w:ilvl="6" w:tplc="42AC24DE">
      <w:start w:val="1"/>
      <w:numFmt w:val="bullet"/>
      <w:lvlText w:val=""/>
      <w:lvlJc w:val="left"/>
      <w:pPr>
        <w:ind w:left="5040" w:hanging="360"/>
      </w:pPr>
      <w:rPr>
        <w:rFonts w:ascii="Symbol" w:hAnsi="Symbol" w:hint="default"/>
      </w:rPr>
    </w:lvl>
    <w:lvl w:ilvl="7" w:tplc="B3C287E4">
      <w:start w:val="1"/>
      <w:numFmt w:val="bullet"/>
      <w:lvlText w:val="o"/>
      <w:lvlJc w:val="left"/>
      <w:pPr>
        <w:ind w:left="5760" w:hanging="360"/>
      </w:pPr>
      <w:rPr>
        <w:rFonts w:ascii="Courier New" w:hAnsi="Courier New" w:hint="default"/>
      </w:rPr>
    </w:lvl>
    <w:lvl w:ilvl="8" w:tplc="A030D16A">
      <w:start w:val="1"/>
      <w:numFmt w:val="bullet"/>
      <w:lvlText w:val=""/>
      <w:lvlJc w:val="left"/>
      <w:pPr>
        <w:ind w:left="6480" w:hanging="360"/>
      </w:pPr>
      <w:rPr>
        <w:rFonts w:ascii="Wingdings" w:hAnsi="Wingdings" w:hint="default"/>
      </w:rPr>
    </w:lvl>
  </w:abstractNum>
  <w:abstractNum w:abstractNumId="15" w15:restartNumberingAfterBreak="0">
    <w:nsid w:val="1AE2FC11"/>
    <w:multiLevelType w:val="hybridMultilevel"/>
    <w:tmpl w:val="FFFFFFFF"/>
    <w:lvl w:ilvl="0" w:tplc="10A04E42">
      <w:start w:val="1"/>
      <w:numFmt w:val="bullet"/>
      <w:lvlText w:val=""/>
      <w:lvlJc w:val="left"/>
      <w:pPr>
        <w:ind w:left="720" w:hanging="360"/>
      </w:pPr>
      <w:rPr>
        <w:rFonts w:ascii="Symbol" w:hAnsi="Symbol" w:hint="default"/>
      </w:rPr>
    </w:lvl>
    <w:lvl w:ilvl="1" w:tplc="A52026C2">
      <w:start w:val="1"/>
      <w:numFmt w:val="bullet"/>
      <w:lvlText w:val="o"/>
      <w:lvlJc w:val="left"/>
      <w:pPr>
        <w:ind w:left="1440" w:hanging="360"/>
      </w:pPr>
      <w:rPr>
        <w:rFonts w:ascii="Courier New" w:hAnsi="Courier New" w:hint="default"/>
      </w:rPr>
    </w:lvl>
    <w:lvl w:ilvl="2" w:tplc="67D4ABA2">
      <w:start w:val="1"/>
      <w:numFmt w:val="bullet"/>
      <w:lvlText w:val=""/>
      <w:lvlJc w:val="left"/>
      <w:pPr>
        <w:ind w:left="2160" w:hanging="360"/>
      </w:pPr>
      <w:rPr>
        <w:rFonts w:ascii="Wingdings" w:hAnsi="Wingdings" w:hint="default"/>
      </w:rPr>
    </w:lvl>
    <w:lvl w:ilvl="3" w:tplc="149ADA2E">
      <w:start w:val="1"/>
      <w:numFmt w:val="bullet"/>
      <w:lvlText w:val=""/>
      <w:lvlJc w:val="left"/>
      <w:pPr>
        <w:ind w:left="2880" w:hanging="360"/>
      </w:pPr>
      <w:rPr>
        <w:rFonts w:ascii="Symbol" w:hAnsi="Symbol" w:hint="default"/>
      </w:rPr>
    </w:lvl>
    <w:lvl w:ilvl="4" w:tplc="97F4E2CE">
      <w:start w:val="1"/>
      <w:numFmt w:val="bullet"/>
      <w:lvlText w:val="o"/>
      <w:lvlJc w:val="left"/>
      <w:pPr>
        <w:ind w:left="3600" w:hanging="360"/>
      </w:pPr>
      <w:rPr>
        <w:rFonts w:ascii="Courier New" w:hAnsi="Courier New" w:hint="default"/>
      </w:rPr>
    </w:lvl>
    <w:lvl w:ilvl="5" w:tplc="74147D4E">
      <w:start w:val="1"/>
      <w:numFmt w:val="bullet"/>
      <w:lvlText w:val=""/>
      <w:lvlJc w:val="left"/>
      <w:pPr>
        <w:ind w:left="4320" w:hanging="360"/>
      </w:pPr>
      <w:rPr>
        <w:rFonts w:ascii="Wingdings" w:hAnsi="Wingdings" w:hint="default"/>
      </w:rPr>
    </w:lvl>
    <w:lvl w:ilvl="6" w:tplc="92487FAE">
      <w:start w:val="1"/>
      <w:numFmt w:val="bullet"/>
      <w:lvlText w:val=""/>
      <w:lvlJc w:val="left"/>
      <w:pPr>
        <w:ind w:left="5040" w:hanging="360"/>
      </w:pPr>
      <w:rPr>
        <w:rFonts w:ascii="Symbol" w:hAnsi="Symbol" w:hint="default"/>
      </w:rPr>
    </w:lvl>
    <w:lvl w:ilvl="7" w:tplc="B7860F88">
      <w:start w:val="1"/>
      <w:numFmt w:val="bullet"/>
      <w:lvlText w:val="o"/>
      <w:lvlJc w:val="left"/>
      <w:pPr>
        <w:ind w:left="5760" w:hanging="360"/>
      </w:pPr>
      <w:rPr>
        <w:rFonts w:ascii="Courier New" w:hAnsi="Courier New" w:hint="default"/>
      </w:rPr>
    </w:lvl>
    <w:lvl w:ilvl="8" w:tplc="17B25E04">
      <w:start w:val="1"/>
      <w:numFmt w:val="bullet"/>
      <w:lvlText w:val=""/>
      <w:lvlJc w:val="left"/>
      <w:pPr>
        <w:ind w:left="6480" w:hanging="360"/>
      </w:pPr>
      <w:rPr>
        <w:rFonts w:ascii="Wingdings" w:hAnsi="Wingdings" w:hint="default"/>
      </w:rPr>
    </w:lvl>
  </w:abstractNum>
  <w:abstractNum w:abstractNumId="16" w15:restartNumberingAfterBreak="0">
    <w:nsid w:val="1C34A69B"/>
    <w:multiLevelType w:val="hybridMultilevel"/>
    <w:tmpl w:val="CC00A10E"/>
    <w:lvl w:ilvl="0" w:tplc="20860256">
      <w:start w:val="1"/>
      <w:numFmt w:val="bullet"/>
      <w:lvlText w:val=""/>
      <w:lvlJc w:val="left"/>
      <w:pPr>
        <w:ind w:left="720" w:hanging="360"/>
      </w:pPr>
      <w:rPr>
        <w:rFonts w:ascii="Symbol" w:hAnsi="Symbol" w:hint="default"/>
      </w:rPr>
    </w:lvl>
    <w:lvl w:ilvl="1" w:tplc="DA20C072">
      <w:start w:val="1"/>
      <w:numFmt w:val="bullet"/>
      <w:lvlText w:val="o"/>
      <w:lvlJc w:val="left"/>
      <w:pPr>
        <w:ind w:left="1440" w:hanging="360"/>
      </w:pPr>
      <w:rPr>
        <w:rFonts w:ascii="Courier New" w:hAnsi="Courier New" w:hint="default"/>
      </w:rPr>
    </w:lvl>
    <w:lvl w:ilvl="2" w:tplc="64603C1E">
      <w:start w:val="1"/>
      <w:numFmt w:val="bullet"/>
      <w:lvlText w:val=""/>
      <w:lvlJc w:val="left"/>
      <w:pPr>
        <w:ind w:left="2160" w:hanging="360"/>
      </w:pPr>
      <w:rPr>
        <w:rFonts w:ascii="Wingdings" w:hAnsi="Wingdings" w:hint="default"/>
      </w:rPr>
    </w:lvl>
    <w:lvl w:ilvl="3" w:tplc="AFEEC7E8">
      <w:start w:val="1"/>
      <w:numFmt w:val="bullet"/>
      <w:lvlText w:val=""/>
      <w:lvlJc w:val="left"/>
      <w:pPr>
        <w:ind w:left="2880" w:hanging="360"/>
      </w:pPr>
      <w:rPr>
        <w:rFonts w:ascii="Symbol" w:hAnsi="Symbol" w:hint="default"/>
      </w:rPr>
    </w:lvl>
    <w:lvl w:ilvl="4" w:tplc="C4D83D90">
      <w:start w:val="1"/>
      <w:numFmt w:val="bullet"/>
      <w:lvlText w:val="o"/>
      <w:lvlJc w:val="left"/>
      <w:pPr>
        <w:ind w:left="3600" w:hanging="360"/>
      </w:pPr>
      <w:rPr>
        <w:rFonts w:ascii="Courier New" w:hAnsi="Courier New" w:hint="default"/>
      </w:rPr>
    </w:lvl>
    <w:lvl w:ilvl="5" w:tplc="492235A0">
      <w:start w:val="1"/>
      <w:numFmt w:val="bullet"/>
      <w:lvlText w:val=""/>
      <w:lvlJc w:val="left"/>
      <w:pPr>
        <w:ind w:left="4320" w:hanging="360"/>
      </w:pPr>
      <w:rPr>
        <w:rFonts w:ascii="Wingdings" w:hAnsi="Wingdings" w:hint="default"/>
      </w:rPr>
    </w:lvl>
    <w:lvl w:ilvl="6" w:tplc="86FE5F16">
      <w:start w:val="1"/>
      <w:numFmt w:val="bullet"/>
      <w:lvlText w:val=""/>
      <w:lvlJc w:val="left"/>
      <w:pPr>
        <w:ind w:left="5040" w:hanging="360"/>
      </w:pPr>
      <w:rPr>
        <w:rFonts w:ascii="Symbol" w:hAnsi="Symbol" w:hint="default"/>
      </w:rPr>
    </w:lvl>
    <w:lvl w:ilvl="7" w:tplc="457C0F7E">
      <w:start w:val="1"/>
      <w:numFmt w:val="bullet"/>
      <w:lvlText w:val="o"/>
      <w:lvlJc w:val="left"/>
      <w:pPr>
        <w:ind w:left="5760" w:hanging="360"/>
      </w:pPr>
      <w:rPr>
        <w:rFonts w:ascii="Courier New" w:hAnsi="Courier New" w:hint="default"/>
      </w:rPr>
    </w:lvl>
    <w:lvl w:ilvl="8" w:tplc="C8948744">
      <w:start w:val="1"/>
      <w:numFmt w:val="bullet"/>
      <w:lvlText w:val=""/>
      <w:lvlJc w:val="left"/>
      <w:pPr>
        <w:ind w:left="6480" w:hanging="360"/>
      </w:pPr>
      <w:rPr>
        <w:rFonts w:ascii="Wingdings" w:hAnsi="Wingdings" w:hint="default"/>
      </w:rPr>
    </w:lvl>
  </w:abstractNum>
  <w:abstractNum w:abstractNumId="17" w15:restartNumberingAfterBreak="0">
    <w:nsid w:val="1FC6E345"/>
    <w:multiLevelType w:val="hybridMultilevel"/>
    <w:tmpl w:val="FFFFFFFF"/>
    <w:lvl w:ilvl="0" w:tplc="C452F82A">
      <w:start w:val="1"/>
      <w:numFmt w:val="bullet"/>
      <w:lvlText w:val=""/>
      <w:lvlJc w:val="left"/>
      <w:pPr>
        <w:ind w:left="720" w:hanging="360"/>
      </w:pPr>
      <w:rPr>
        <w:rFonts w:ascii="Symbol" w:hAnsi="Symbol" w:hint="default"/>
      </w:rPr>
    </w:lvl>
    <w:lvl w:ilvl="1" w:tplc="1BD639B8">
      <w:start w:val="1"/>
      <w:numFmt w:val="bullet"/>
      <w:lvlText w:val="o"/>
      <w:lvlJc w:val="left"/>
      <w:pPr>
        <w:ind w:left="1440" w:hanging="360"/>
      </w:pPr>
      <w:rPr>
        <w:rFonts w:ascii="Courier New" w:hAnsi="Courier New" w:hint="default"/>
      </w:rPr>
    </w:lvl>
    <w:lvl w:ilvl="2" w:tplc="BF92DD5C">
      <w:start w:val="1"/>
      <w:numFmt w:val="bullet"/>
      <w:lvlText w:val=""/>
      <w:lvlJc w:val="left"/>
      <w:pPr>
        <w:ind w:left="2160" w:hanging="360"/>
      </w:pPr>
      <w:rPr>
        <w:rFonts w:ascii="Wingdings" w:hAnsi="Wingdings" w:hint="default"/>
      </w:rPr>
    </w:lvl>
    <w:lvl w:ilvl="3" w:tplc="C6BA6DCA">
      <w:start w:val="1"/>
      <w:numFmt w:val="bullet"/>
      <w:lvlText w:val=""/>
      <w:lvlJc w:val="left"/>
      <w:pPr>
        <w:ind w:left="2880" w:hanging="360"/>
      </w:pPr>
      <w:rPr>
        <w:rFonts w:ascii="Symbol" w:hAnsi="Symbol" w:hint="default"/>
      </w:rPr>
    </w:lvl>
    <w:lvl w:ilvl="4" w:tplc="57688690">
      <w:start w:val="1"/>
      <w:numFmt w:val="bullet"/>
      <w:lvlText w:val="o"/>
      <w:lvlJc w:val="left"/>
      <w:pPr>
        <w:ind w:left="3600" w:hanging="360"/>
      </w:pPr>
      <w:rPr>
        <w:rFonts w:ascii="Courier New" w:hAnsi="Courier New" w:hint="default"/>
      </w:rPr>
    </w:lvl>
    <w:lvl w:ilvl="5" w:tplc="D0943E2A">
      <w:start w:val="1"/>
      <w:numFmt w:val="bullet"/>
      <w:lvlText w:val=""/>
      <w:lvlJc w:val="left"/>
      <w:pPr>
        <w:ind w:left="4320" w:hanging="360"/>
      </w:pPr>
      <w:rPr>
        <w:rFonts w:ascii="Wingdings" w:hAnsi="Wingdings" w:hint="default"/>
      </w:rPr>
    </w:lvl>
    <w:lvl w:ilvl="6" w:tplc="50F40FA8">
      <w:start w:val="1"/>
      <w:numFmt w:val="bullet"/>
      <w:lvlText w:val=""/>
      <w:lvlJc w:val="left"/>
      <w:pPr>
        <w:ind w:left="5040" w:hanging="360"/>
      </w:pPr>
      <w:rPr>
        <w:rFonts w:ascii="Symbol" w:hAnsi="Symbol" w:hint="default"/>
      </w:rPr>
    </w:lvl>
    <w:lvl w:ilvl="7" w:tplc="DC6485B2">
      <w:start w:val="1"/>
      <w:numFmt w:val="bullet"/>
      <w:lvlText w:val="o"/>
      <w:lvlJc w:val="left"/>
      <w:pPr>
        <w:ind w:left="5760" w:hanging="360"/>
      </w:pPr>
      <w:rPr>
        <w:rFonts w:ascii="Courier New" w:hAnsi="Courier New" w:hint="default"/>
      </w:rPr>
    </w:lvl>
    <w:lvl w:ilvl="8" w:tplc="8B6ADF5C">
      <w:start w:val="1"/>
      <w:numFmt w:val="bullet"/>
      <w:lvlText w:val=""/>
      <w:lvlJc w:val="left"/>
      <w:pPr>
        <w:ind w:left="6480" w:hanging="360"/>
      </w:pPr>
      <w:rPr>
        <w:rFonts w:ascii="Wingdings" w:hAnsi="Wingdings" w:hint="default"/>
      </w:rPr>
    </w:lvl>
  </w:abstractNum>
  <w:abstractNum w:abstractNumId="18" w15:restartNumberingAfterBreak="0">
    <w:nsid w:val="21851232"/>
    <w:multiLevelType w:val="hybridMultilevel"/>
    <w:tmpl w:val="EDB4B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2B5653"/>
    <w:multiLevelType w:val="hybridMultilevel"/>
    <w:tmpl w:val="6AC804C2"/>
    <w:lvl w:ilvl="0" w:tplc="F138B95A">
      <w:start w:val="1"/>
      <w:numFmt w:val="bullet"/>
      <w:lvlText w:val=""/>
      <w:lvlJc w:val="left"/>
      <w:pPr>
        <w:ind w:left="720" w:hanging="360"/>
      </w:pPr>
      <w:rPr>
        <w:rFonts w:ascii="Symbol" w:hAnsi="Symbol" w:hint="default"/>
      </w:rPr>
    </w:lvl>
    <w:lvl w:ilvl="1" w:tplc="3A3428E8">
      <w:start w:val="1"/>
      <w:numFmt w:val="bullet"/>
      <w:lvlText w:val="o"/>
      <w:lvlJc w:val="left"/>
      <w:pPr>
        <w:ind w:left="1440" w:hanging="360"/>
      </w:pPr>
      <w:rPr>
        <w:rFonts w:ascii="Courier New" w:hAnsi="Courier New" w:hint="default"/>
      </w:rPr>
    </w:lvl>
    <w:lvl w:ilvl="2" w:tplc="D48E05D4">
      <w:start w:val="1"/>
      <w:numFmt w:val="bullet"/>
      <w:lvlText w:val=""/>
      <w:lvlJc w:val="left"/>
      <w:pPr>
        <w:ind w:left="2160" w:hanging="360"/>
      </w:pPr>
      <w:rPr>
        <w:rFonts w:ascii="Wingdings" w:hAnsi="Wingdings" w:hint="default"/>
      </w:rPr>
    </w:lvl>
    <w:lvl w:ilvl="3" w:tplc="D570AFD4">
      <w:start w:val="1"/>
      <w:numFmt w:val="bullet"/>
      <w:lvlText w:val=""/>
      <w:lvlJc w:val="left"/>
      <w:pPr>
        <w:ind w:left="2880" w:hanging="360"/>
      </w:pPr>
      <w:rPr>
        <w:rFonts w:ascii="Symbol" w:hAnsi="Symbol" w:hint="default"/>
      </w:rPr>
    </w:lvl>
    <w:lvl w:ilvl="4" w:tplc="D6FC0D4C">
      <w:start w:val="1"/>
      <w:numFmt w:val="bullet"/>
      <w:lvlText w:val="o"/>
      <w:lvlJc w:val="left"/>
      <w:pPr>
        <w:ind w:left="3600" w:hanging="360"/>
      </w:pPr>
      <w:rPr>
        <w:rFonts w:ascii="Courier New" w:hAnsi="Courier New" w:hint="default"/>
      </w:rPr>
    </w:lvl>
    <w:lvl w:ilvl="5" w:tplc="9BCE946E">
      <w:start w:val="1"/>
      <w:numFmt w:val="bullet"/>
      <w:lvlText w:val=""/>
      <w:lvlJc w:val="left"/>
      <w:pPr>
        <w:ind w:left="4320" w:hanging="360"/>
      </w:pPr>
      <w:rPr>
        <w:rFonts w:ascii="Wingdings" w:hAnsi="Wingdings" w:hint="default"/>
      </w:rPr>
    </w:lvl>
    <w:lvl w:ilvl="6" w:tplc="DE608320">
      <w:start w:val="1"/>
      <w:numFmt w:val="bullet"/>
      <w:lvlText w:val=""/>
      <w:lvlJc w:val="left"/>
      <w:pPr>
        <w:ind w:left="5040" w:hanging="360"/>
      </w:pPr>
      <w:rPr>
        <w:rFonts w:ascii="Symbol" w:hAnsi="Symbol" w:hint="default"/>
      </w:rPr>
    </w:lvl>
    <w:lvl w:ilvl="7" w:tplc="C602D95C">
      <w:start w:val="1"/>
      <w:numFmt w:val="bullet"/>
      <w:lvlText w:val="o"/>
      <w:lvlJc w:val="left"/>
      <w:pPr>
        <w:ind w:left="5760" w:hanging="360"/>
      </w:pPr>
      <w:rPr>
        <w:rFonts w:ascii="Courier New" w:hAnsi="Courier New" w:hint="default"/>
      </w:rPr>
    </w:lvl>
    <w:lvl w:ilvl="8" w:tplc="18FE1B8C">
      <w:start w:val="1"/>
      <w:numFmt w:val="bullet"/>
      <w:lvlText w:val=""/>
      <w:lvlJc w:val="left"/>
      <w:pPr>
        <w:ind w:left="6480" w:hanging="360"/>
      </w:pPr>
      <w:rPr>
        <w:rFonts w:ascii="Wingdings" w:hAnsi="Wingdings" w:hint="default"/>
      </w:rPr>
    </w:lvl>
  </w:abstractNum>
  <w:abstractNum w:abstractNumId="20" w15:restartNumberingAfterBreak="0">
    <w:nsid w:val="240634B7"/>
    <w:multiLevelType w:val="hybridMultilevel"/>
    <w:tmpl w:val="FFFFFFFF"/>
    <w:lvl w:ilvl="0" w:tplc="C5B8E0CC">
      <w:start w:val="1"/>
      <w:numFmt w:val="bullet"/>
      <w:lvlText w:val=""/>
      <w:lvlJc w:val="left"/>
      <w:pPr>
        <w:ind w:left="720" w:hanging="360"/>
      </w:pPr>
      <w:rPr>
        <w:rFonts w:ascii="Symbol" w:hAnsi="Symbol" w:hint="default"/>
      </w:rPr>
    </w:lvl>
    <w:lvl w:ilvl="1" w:tplc="84BA6016">
      <w:start w:val="1"/>
      <w:numFmt w:val="bullet"/>
      <w:lvlText w:val="o"/>
      <w:lvlJc w:val="left"/>
      <w:pPr>
        <w:ind w:left="1440" w:hanging="360"/>
      </w:pPr>
      <w:rPr>
        <w:rFonts w:ascii="Courier New" w:hAnsi="Courier New" w:hint="default"/>
      </w:rPr>
    </w:lvl>
    <w:lvl w:ilvl="2" w:tplc="B3402522">
      <w:start w:val="1"/>
      <w:numFmt w:val="bullet"/>
      <w:lvlText w:val=""/>
      <w:lvlJc w:val="left"/>
      <w:pPr>
        <w:ind w:left="2160" w:hanging="360"/>
      </w:pPr>
      <w:rPr>
        <w:rFonts w:ascii="Wingdings" w:hAnsi="Wingdings" w:hint="default"/>
      </w:rPr>
    </w:lvl>
    <w:lvl w:ilvl="3" w:tplc="D506F6F2">
      <w:start w:val="1"/>
      <w:numFmt w:val="bullet"/>
      <w:lvlText w:val=""/>
      <w:lvlJc w:val="left"/>
      <w:pPr>
        <w:ind w:left="2880" w:hanging="360"/>
      </w:pPr>
      <w:rPr>
        <w:rFonts w:ascii="Symbol" w:hAnsi="Symbol" w:hint="default"/>
      </w:rPr>
    </w:lvl>
    <w:lvl w:ilvl="4" w:tplc="3A0C397A">
      <w:start w:val="1"/>
      <w:numFmt w:val="bullet"/>
      <w:lvlText w:val="o"/>
      <w:lvlJc w:val="left"/>
      <w:pPr>
        <w:ind w:left="3600" w:hanging="360"/>
      </w:pPr>
      <w:rPr>
        <w:rFonts w:ascii="Courier New" w:hAnsi="Courier New" w:hint="default"/>
      </w:rPr>
    </w:lvl>
    <w:lvl w:ilvl="5" w:tplc="62B678A8">
      <w:start w:val="1"/>
      <w:numFmt w:val="bullet"/>
      <w:lvlText w:val=""/>
      <w:lvlJc w:val="left"/>
      <w:pPr>
        <w:ind w:left="4320" w:hanging="360"/>
      </w:pPr>
      <w:rPr>
        <w:rFonts w:ascii="Wingdings" w:hAnsi="Wingdings" w:hint="default"/>
      </w:rPr>
    </w:lvl>
    <w:lvl w:ilvl="6" w:tplc="4D82CE48">
      <w:start w:val="1"/>
      <w:numFmt w:val="bullet"/>
      <w:lvlText w:val=""/>
      <w:lvlJc w:val="left"/>
      <w:pPr>
        <w:ind w:left="5040" w:hanging="360"/>
      </w:pPr>
      <w:rPr>
        <w:rFonts w:ascii="Symbol" w:hAnsi="Symbol" w:hint="default"/>
      </w:rPr>
    </w:lvl>
    <w:lvl w:ilvl="7" w:tplc="5F26917C">
      <w:start w:val="1"/>
      <w:numFmt w:val="bullet"/>
      <w:lvlText w:val="o"/>
      <w:lvlJc w:val="left"/>
      <w:pPr>
        <w:ind w:left="5760" w:hanging="360"/>
      </w:pPr>
      <w:rPr>
        <w:rFonts w:ascii="Courier New" w:hAnsi="Courier New" w:hint="default"/>
      </w:rPr>
    </w:lvl>
    <w:lvl w:ilvl="8" w:tplc="E9AE7BC6">
      <w:start w:val="1"/>
      <w:numFmt w:val="bullet"/>
      <w:lvlText w:val=""/>
      <w:lvlJc w:val="left"/>
      <w:pPr>
        <w:ind w:left="6480" w:hanging="360"/>
      </w:pPr>
      <w:rPr>
        <w:rFonts w:ascii="Wingdings" w:hAnsi="Wingdings" w:hint="default"/>
      </w:rPr>
    </w:lvl>
  </w:abstractNum>
  <w:abstractNum w:abstractNumId="21" w15:restartNumberingAfterBreak="0">
    <w:nsid w:val="2419671E"/>
    <w:multiLevelType w:val="hybridMultilevel"/>
    <w:tmpl w:val="FFFFFFFF"/>
    <w:lvl w:ilvl="0" w:tplc="7920613A">
      <w:start w:val="1"/>
      <w:numFmt w:val="bullet"/>
      <w:lvlText w:val=""/>
      <w:lvlJc w:val="left"/>
      <w:pPr>
        <w:ind w:left="720" w:hanging="360"/>
      </w:pPr>
      <w:rPr>
        <w:rFonts w:ascii="Arial,Sans-Serif" w:hAnsi="Arial,Sans-Serif" w:hint="default"/>
      </w:rPr>
    </w:lvl>
    <w:lvl w:ilvl="1" w:tplc="5E1A6180">
      <w:start w:val="1"/>
      <w:numFmt w:val="bullet"/>
      <w:lvlText w:val="o"/>
      <w:lvlJc w:val="left"/>
      <w:pPr>
        <w:ind w:left="1440" w:hanging="360"/>
      </w:pPr>
      <w:rPr>
        <w:rFonts w:ascii="Courier New" w:hAnsi="Courier New" w:hint="default"/>
      </w:rPr>
    </w:lvl>
    <w:lvl w:ilvl="2" w:tplc="D298D28A">
      <w:start w:val="1"/>
      <w:numFmt w:val="bullet"/>
      <w:lvlText w:val=""/>
      <w:lvlJc w:val="left"/>
      <w:pPr>
        <w:ind w:left="2160" w:hanging="360"/>
      </w:pPr>
      <w:rPr>
        <w:rFonts w:ascii="Wingdings" w:hAnsi="Wingdings" w:hint="default"/>
      </w:rPr>
    </w:lvl>
    <w:lvl w:ilvl="3" w:tplc="A268FD2C">
      <w:start w:val="1"/>
      <w:numFmt w:val="bullet"/>
      <w:lvlText w:val=""/>
      <w:lvlJc w:val="left"/>
      <w:pPr>
        <w:ind w:left="2880" w:hanging="360"/>
      </w:pPr>
      <w:rPr>
        <w:rFonts w:ascii="Symbol" w:hAnsi="Symbol" w:hint="default"/>
      </w:rPr>
    </w:lvl>
    <w:lvl w:ilvl="4" w:tplc="31BE9D56">
      <w:start w:val="1"/>
      <w:numFmt w:val="bullet"/>
      <w:lvlText w:val="o"/>
      <w:lvlJc w:val="left"/>
      <w:pPr>
        <w:ind w:left="3600" w:hanging="360"/>
      </w:pPr>
      <w:rPr>
        <w:rFonts w:ascii="Courier New" w:hAnsi="Courier New" w:hint="default"/>
      </w:rPr>
    </w:lvl>
    <w:lvl w:ilvl="5" w:tplc="6E423286">
      <w:start w:val="1"/>
      <w:numFmt w:val="bullet"/>
      <w:lvlText w:val=""/>
      <w:lvlJc w:val="left"/>
      <w:pPr>
        <w:ind w:left="4320" w:hanging="360"/>
      </w:pPr>
      <w:rPr>
        <w:rFonts w:ascii="Wingdings" w:hAnsi="Wingdings" w:hint="default"/>
      </w:rPr>
    </w:lvl>
    <w:lvl w:ilvl="6" w:tplc="ABBE1802">
      <w:start w:val="1"/>
      <w:numFmt w:val="bullet"/>
      <w:lvlText w:val=""/>
      <w:lvlJc w:val="left"/>
      <w:pPr>
        <w:ind w:left="5040" w:hanging="360"/>
      </w:pPr>
      <w:rPr>
        <w:rFonts w:ascii="Symbol" w:hAnsi="Symbol" w:hint="default"/>
      </w:rPr>
    </w:lvl>
    <w:lvl w:ilvl="7" w:tplc="706EA896">
      <w:start w:val="1"/>
      <w:numFmt w:val="bullet"/>
      <w:lvlText w:val="o"/>
      <w:lvlJc w:val="left"/>
      <w:pPr>
        <w:ind w:left="5760" w:hanging="360"/>
      </w:pPr>
      <w:rPr>
        <w:rFonts w:ascii="Courier New" w:hAnsi="Courier New" w:hint="default"/>
      </w:rPr>
    </w:lvl>
    <w:lvl w:ilvl="8" w:tplc="F99A3914">
      <w:start w:val="1"/>
      <w:numFmt w:val="bullet"/>
      <w:lvlText w:val=""/>
      <w:lvlJc w:val="left"/>
      <w:pPr>
        <w:ind w:left="6480" w:hanging="360"/>
      </w:pPr>
      <w:rPr>
        <w:rFonts w:ascii="Wingdings" w:hAnsi="Wingdings" w:hint="default"/>
      </w:rPr>
    </w:lvl>
  </w:abstractNum>
  <w:abstractNum w:abstractNumId="22" w15:restartNumberingAfterBreak="0">
    <w:nsid w:val="24A700C7"/>
    <w:multiLevelType w:val="hybridMultilevel"/>
    <w:tmpl w:val="2F22AB26"/>
    <w:lvl w:ilvl="0" w:tplc="50C0598C">
      <w:start w:val="1"/>
      <w:numFmt w:val="bullet"/>
      <w:lvlText w:val=""/>
      <w:lvlJc w:val="left"/>
      <w:pPr>
        <w:ind w:left="720" w:hanging="360"/>
      </w:pPr>
      <w:rPr>
        <w:rFonts w:ascii="Symbol" w:hAnsi="Symbol" w:hint="default"/>
      </w:rPr>
    </w:lvl>
    <w:lvl w:ilvl="1" w:tplc="E668D062">
      <w:start w:val="1"/>
      <w:numFmt w:val="bullet"/>
      <w:lvlText w:val="o"/>
      <w:lvlJc w:val="left"/>
      <w:pPr>
        <w:ind w:left="1440" w:hanging="360"/>
      </w:pPr>
      <w:rPr>
        <w:rFonts w:ascii="Courier New" w:hAnsi="Courier New" w:hint="default"/>
      </w:rPr>
    </w:lvl>
    <w:lvl w:ilvl="2" w:tplc="FEA0EA1E">
      <w:start w:val="1"/>
      <w:numFmt w:val="bullet"/>
      <w:lvlText w:val=""/>
      <w:lvlJc w:val="left"/>
      <w:pPr>
        <w:ind w:left="2160" w:hanging="360"/>
      </w:pPr>
      <w:rPr>
        <w:rFonts w:ascii="Wingdings" w:hAnsi="Wingdings" w:hint="default"/>
      </w:rPr>
    </w:lvl>
    <w:lvl w:ilvl="3" w:tplc="13F87F64">
      <w:start w:val="1"/>
      <w:numFmt w:val="bullet"/>
      <w:lvlText w:val=""/>
      <w:lvlJc w:val="left"/>
      <w:pPr>
        <w:ind w:left="2880" w:hanging="360"/>
      </w:pPr>
      <w:rPr>
        <w:rFonts w:ascii="Symbol" w:hAnsi="Symbol" w:hint="default"/>
      </w:rPr>
    </w:lvl>
    <w:lvl w:ilvl="4" w:tplc="7C262658">
      <w:start w:val="1"/>
      <w:numFmt w:val="bullet"/>
      <w:lvlText w:val="o"/>
      <w:lvlJc w:val="left"/>
      <w:pPr>
        <w:ind w:left="3600" w:hanging="360"/>
      </w:pPr>
      <w:rPr>
        <w:rFonts w:ascii="Courier New" w:hAnsi="Courier New" w:hint="default"/>
      </w:rPr>
    </w:lvl>
    <w:lvl w:ilvl="5" w:tplc="862E3B1C">
      <w:start w:val="1"/>
      <w:numFmt w:val="bullet"/>
      <w:lvlText w:val=""/>
      <w:lvlJc w:val="left"/>
      <w:pPr>
        <w:ind w:left="4320" w:hanging="360"/>
      </w:pPr>
      <w:rPr>
        <w:rFonts w:ascii="Wingdings" w:hAnsi="Wingdings" w:hint="default"/>
      </w:rPr>
    </w:lvl>
    <w:lvl w:ilvl="6" w:tplc="33C8ED04">
      <w:start w:val="1"/>
      <w:numFmt w:val="bullet"/>
      <w:lvlText w:val=""/>
      <w:lvlJc w:val="left"/>
      <w:pPr>
        <w:ind w:left="5040" w:hanging="360"/>
      </w:pPr>
      <w:rPr>
        <w:rFonts w:ascii="Symbol" w:hAnsi="Symbol" w:hint="default"/>
      </w:rPr>
    </w:lvl>
    <w:lvl w:ilvl="7" w:tplc="340E8F34">
      <w:start w:val="1"/>
      <w:numFmt w:val="bullet"/>
      <w:lvlText w:val="o"/>
      <w:lvlJc w:val="left"/>
      <w:pPr>
        <w:ind w:left="5760" w:hanging="360"/>
      </w:pPr>
      <w:rPr>
        <w:rFonts w:ascii="Courier New" w:hAnsi="Courier New" w:hint="default"/>
      </w:rPr>
    </w:lvl>
    <w:lvl w:ilvl="8" w:tplc="5F547040">
      <w:start w:val="1"/>
      <w:numFmt w:val="bullet"/>
      <w:lvlText w:val=""/>
      <w:lvlJc w:val="left"/>
      <w:pPr>
        <w:ind w:left="6480" w:hanging="360"/>
      </w:pPr>
      <w:rPr>
        <w:rFonts w:ascii="Wingdings" w:hAnsi="Wingdings" w:hint="default"/>
      </w:rPr>
    </w:lvl>
  </w:abstractNum>
  <w:abstractNum w:abstractNumId="23" w15:restartNumberingAfterBreak="0">
    <w:nsid w:val="286ACF88"/>
    <w:multiLevelType w:val="hybridMultilevel"/>
    <w:tmpl w:val="FFFFFFFF"/>
    <w:lvl w:ilvl="0" w:tplc="15A82522">
      <w:start w:val="1"/>
      <w:numFmt w:val="bullet"/>
      <w:lvlText w:val=""/>
      <w:lvlJc w:val="left"/>
      <w:pPr>
        <w:ind w:left="720" w:hanging="360"/>
      </w:pPr>
      <w:rPr>
        <w:rFonts w:ascii="Symbol" w:hAnsi="Symbol" w:hint="default"/>
      </w:rPr>
    </w:lvl>
    <w:lvl w:ilvl="1" w:tplc="0E34292E">
      <w:start w:val="1"/>
      <w:numFmt w:val="bullet"/>
      <w:lvlText w:val="o"/>
      <w:lvlJc w:val="left"/>
      <w:pPr>
        <w:ind w:left="1440" w:hanging="360"/>
      </w:pPr>
      <w:rPr>
        <w:rFonts w:ascii="Courier New" w:hAnsi="Courier New" w:hint="default"/>
      </w:rPr>
    </w:lvl>
    <w:lvl w:ilvl="2" w:tplc="3CDE89AA">
      <w:start w:val="1"/>
      <w:numFmt w:val="bullet"/>
      <w:lvlText w:val=""/>
      <w:lvlJc w:val="left"/>
      <w:pPr>
        <w:ind w:left="2160" w:hanging="360"/>
      </w:pPr>
      <w:rPr>
        <w:rFonts w:ascii="Wingdings" w:hAnsi="Wingdings" w:hint="default"/>
      </w:rPr>
    </w:lvl>
    <w:lvl w:ilvl="3" w:tplc="B476BE82">
      <w:start w:val="1"/>
      <w:numFmt w:val="bullet"/>
      <w:lvlText w:val=""/>
      <w:lvlJc w:val="left"/>
      <w:pPr>
        <w:ind w:left="2880" w:hanging="360"/>
      </w:pPr>
      <w:rPr>
        <w:rFonts w:ascii="Symbol" w:hAnsi="Symbol" w:hint="default"/>
      </w:rPr>
    </w:lvl>
    <w:lvl w:ilvl="4" w:tplc="F212679A">
      <w:start w:val="1"/>
      <w:numFmt w:val="bullet"/>
      <w:lvlText w:val="o"/>
      <w:lvlJc w:val="left"/>
      <w:pPr>
        <w:ind w:left="3600" w:hanging="360"/>
      </w:pPr>
      <w:rPr>
        <w:rFonts w:ascii="Courier New" w:hAnsi="Courier New" w:hint="default"/>
      </w:rPr>
    </w:lvl>
    <w:lvl w:ilvl="5" w:tplc="1EC4AFA4">
      <w:start w:val="1"/>
      <w:numFmt w:val="bullet"/>
      <w:lvlText w:val=""/>
      <w:lvlJc w:val="left"/>
      <w:pPr>
        <w:ind w:left="4320" w:hanging="360"/>
      </w:pPr>
      <w:rPr>
        <w:rFonts w:ascii="Wingdings" w:hAnsi="Wingdings" w:hint="default"/>
      </w:rPr>
    </w:lvl>
    <w:lvl w:ilvl="6" w:tplc="9782D6E0">
      <w:start w:val="1"/>
      <w:numFmt w:val="bullet"/>
      <w:lvlText w:val=""/>
      <w:lvlJc w:val="left"/>
      <w:pPr>
        <w:ind w:left="5040" w:hanging="360"/>
      </w:pPr>
      <w:rPr>
        <w:rFonts w:ascii="Symbol" w:hAnsi="Symbol" w:hint="default"/>
      </w:rPr>
    </w:lvl>
    <w:lvl w:ilvl="7" w:tplc="F4063778">
      <w:start w:val="1"/>
      <w:numFmt w:val="bullet"/>
      <w:lvlText w:val="o"/>
      <w:lvlJc w:val="left"/>
      <w:pPr>
        <w:ind w:left="5760" w:hanging="360"/>
      </w:pPr>
      <w:rPr>
        <w:rFonts w:ascii="Courier New" w:hAnsi="Courier New" w:hint="default"/>
      </w:rPr>
    </w:lvl>
    <w:lvl w:ilvl="8" w:tplc="80F01B42">
      <w:start w:val="1"/>
      <w:numFmt w:val="bullet"/>
      <w:lvlText w:val=""/>
      <w:lvlJc w:val="left"/>
      <w:pPr>
        <w:ind w:left="6480" w:hanging="360"/>
      </w:pPr>
      <w:rPr>
        <w:rFonts w:ascii="Wingdings" w:hAnsi="Wingdings" w:hint="default"/>
      </w:rPr>
    </w:lvl>
  </w:abstractNum>
  <w:abstractNum w:abstractNumId="24" w15:restartNumberingAfterBreak="0">
    <w:nsid w:val="290F0B79"/>
    <w:multiLevelType w:val="hybridMultilevel"/>
    <w:tmpl w:val="FFFFFFFF"/>
    <w:lvl w:ilvl="0" w:tplc="4B9046DC">
      <w:start w:val="1"/>
      <w:numFmt w:val="bullet"/>
      <w:lvlText w:val=""/>
      <w:lvlJc w:val="left"/>
      <w:pPr>
        <w:ind w:left="720" w:hanging="360"/>
      </w:pPr>
      <w:rPr>
        <w:rFonts w:ascii="Symbol" w:hAnsi="Symbol" w:hint="default"/>
      </w:rPr>
    </w:lvl>
    <w:lvl w:ilvl="1" w:tplc="C3CE568C">
      <w:start w:val="1"/>
      <w:numFmt w:val="bullet"/>
      <w:lvlText w:val="o"/>
      <w:lvlJc w:val="left"/>
      <w:pPr>
        <w:ind w:left="1440" w:hanging="360"/>
      </w:pPr>
      <w:rPr>
        <w:rFonts w:ascii="Courier New" w:hAnsi="Courier New" w:hint="default"/>
      </w:rPr>
    </w:lvl>
    <w:lvl w:ilvl="2" w:tplc="CABE5D28">
      <w:start w:val="1"/>
      <w:numFmt w:val="bullet"/>
      <w:lvlText w:val=""/>
      <w:lvlJc w:val="left"/>
      <w:pPr>
        <w:ind w:left="2160" w:hanging="360"/>
      </w:pPr>
      <w:rPr>
        <w:rFonts w:ascii="Wingdings" w:hAnsi="Wingdings" w:hint="default"/>
      </w:rPr>
    </w:lvl>
    <w:lvl w:ilvl="3" w:tplc="1D0CBCEA">
      <w:start w:val="1"/>
      <w:numFmt w:val="bullet"/>
      <w:lvlText w:val=""/>
      <w:lvlJc w:val="left"/>
      <w:pPr>
        <w:ind w:left="2880" w:hanging="360"/>
      </w:pPr>
      <w:rPr>
        <w:rFonts w:ascii="Symbol" w:hAnsi="Symbol" w:hint="default"/>
      </w:rPr>
    </w:lvl>
    <w:lvl w:ilvl="4" w:tplc="07F6B628">
      <w:start w:val="1"/>
      <w:numFmt w:val="bullet"/>
      <w:lvlText w:val="o"/>
      <w:lvlJc w:val="left"/>
      <w:pPr>
        <w:ind w:left="3600" w:hanging="360"/>
      </w:pPr>
      <w:rPr>
        <w:rFonts w:ascii="Courier New" w:hAnsi="Courier New" w:hint="default"/>
      </w:rPr>
    </w:lvl>
    <w:lvl w:ilvl="5" w:tplc="BB928570">
      <w:start w:val="1"/>
      <w:numFmt w:val="bullet"/>
      <w:lvlText w:val=""/>
      <w:lvlJc w:val="left"/>
      <w:pPr>
        <w:ind w:left="4320" w:hanging="360"/>
      </w:pPr>
      <w:rPr>
        <w:rFonts w:ascii="Wingdings" w:hAnsi="Wingdings" w:hint="default"/>
      </w:rPr>
    </w:lvl>
    <w:lvl w:ilvl="6" w:tplc="9724C40C">
      <w:start w:val="1"/>
      <w:numFmt w:val="bullet"/>
      <w:lvlText w:val=""/>
      <w:lvlJc w:val="left"/>
      <w:pPr>
        <w:ind w:left="5040" w:hanging="360"/>
      </w:pPr>
      <w:rPr>
        <w:rFonts w:ascii="Symbol" w:hAnsi="Symbol" w:hint="default"/>
      </w:rPr>
    </w:lvl>
    <w:lvl w:ilvl="7" w:tplc="775A5034">
      <w:start w:val="1"/>
      <w:numFmt w:val="bullet"/>
      <w:lvlText w:val="o"/>
      <w:lvlJc w:val="left"/>
      <w:pPr>
        <w:ind w:left="5760" w:hanging="360"/>
      </w:pPr>
      <w:rPr>
        <w:rFonts w:ascii="Courier New" w:hAnsi="Courier New" w:hint="default"/>
      </w:rPr>
    </w:lvl>
    <w:lvl w:ilvl="8" w:tplc="39CE117E">
      <w:start w:val="1"/>
      <w:numFmt w:val="bullet"/>
      <w:lvlText w:val=""/>
      <w:lvlJc w:val="left"/>
      <w:pPr>
        <w:ind w:left="6480" w:hanging="360"/>
      </w:pPr>
      <w:rPr>
        <w:rFonts w:ascii="Wingdings" w:hAnsi="Wingdings" w:hint="default"/>
      </w:rPr>
    </w:lvl>
  </w:abstractNum>
  <w:abstractNum w:abstractNumId="25" w15:restartNumberingAfterBreak="0">
    <w:nsid w:val="29BDA765"/>
    <w:multiLevelType w:val="hybridMultilevel"/>
    <w:tmpl w:val="C3B20C74"/>
    <w:lvl w:ilvl="0" w:tplc="17322D58">
      <w:start w:val="1"/>
      <w:numFmt w:val="bullet"/>
      <w:lvlText w:val=""/>
      <w:lvlJc w:val="left"/>
      <w:pPr>
        <w:ind w:left="720" w:hanging="360"/>
      </w:pPr>
      <w:rPr>
        <w:rFonts w:ascii="Symbol" w:hAnsi="Symbol" w:hint="default"/>
      </w:rPr>
    </w:lvl>
    <w:lvl w:ilvl="1" w:tplc="089455A2">
      <w:start w:val="1"/>
      <w:numFmt w:val="bullet"/>
      <w:lvlText w:val="o"/>
      <w:lvlJc w:val="left"/>
      <w:pPr>
        <w:ind w:left="1440" w:hanging="360"/>
      </w:pPr>
      <w:rPr>
        <w:rFonts w:ascii="Courier New" w:hAnsi="Courier New" w:hint="default"/>
      </w:rPr>
    </w:lvl>
    <w:lvl w:ilvl="2" w:tplc="7AF6D5F0">
      <w:start w:val="1"/>
      <w:numFmt w:val="bullet"/>
      <w:lvlText w:val=""/>
      <w:lvlJc w:val="left"/>
      <w:pPr>
        <w:ind w:left="2160" w:hanging="360"/>
      </w:pPr>
      <w:rPr>
        <w:rFonts w:ascii="Wingdings" w:hAnsi="Wingdings" w:hint="default"/>
      </w:rPr>
    </w:lvl>
    <w:lvl w:ilvl="3" w:tplc="E1B0A436">
      <w:start w:val="1"/>
      <w:numFmt w:val="bullet"/>
      <w:lvlText w:val=""/>
      <w:lvlJc w:val="left"/>
      <w:pPr>
        <w:ind w:left="2880" w:hanging="360"/>
      </w:pPr>
      <w:rPr>
        <w:rFonts w:ascii="Symbol" w:hAnsi="Symbol" w:hint="default"/>
      </w:rPr>
    </w:lvl>
    <w:lvl w:ilvl="4" w:tplc="3AD8F492">
      <w:start w:val="1"/>
      <w:numFmt w:val="bullet"/>
      <w:lvlText w:val="o"/>
      <w:lvlJc w:val="left"/>
      <w:pPr>
        <w:ind w:left="3600" w:hanging="360"/>
      </w:pPr>
      <w:rPr>
        <w:rFonts w:ascii="Courier New" w:hAnsi="Courier New" w:hint="default"/>
      </w:rPr>
    </w:lvl>
    <w:lvl w:ilvl="5" w:tplc="3DD46DD0">
      <w:start w:val="1"/>
      <w:numFmt w:val="bullet"/>
      <w:lvlText w:val=""/>
      <w:lvlJc w:val="left"/>
      <w:pPr>
        <w:ind w:left="4320" w:hanging="360"/>
      </w:pPr>
      <w:rPr>
        <w:rFonts w:ascii="Wingdings" w:hAnsi="Wingdings" w:hint="default"/>
      </w:rPr>
    </w:lvl>
    <w:lvl w:ilvl="6" w:tplc="5AFE15B0">
      <w:start w:val="1"/>
      <w:numFmt w:val="bullet"/>
      <w:lvlText w:val=""/>
      <w:lvlJc w:val="left"/>
      <w:pPr>
        <w:ind w:left="5040" w:hanging="360"/>
      </w:pPr>
      <w:rPr>
        <w:rFonts w:ascii="Symbol" w:hAnsi="Symbol" w:hint="default"/>
      </w:rPr>
    </w:lvl>
    <w:lvl w:ilvl="7" w:tplc="4E86F900">
      <w:start w:val="1"/>
      <w:numFmt w:val="bullet"/>
      <w:lvlText w:val="o"/>
      <w:lvlJc w:val="left"/>
      <w:pPr>
        <w:ind w:left="5760" w:hanging="360"/>
      </w:pPr>
      <w:rPr>
        <w:rFonts w:ascii="Courier New" w:hAnsi="Courier New" w:hint="default"/>
      </w:rPr>
    </w:lvl>
    <w:lvl w:ilvl="8" w:tplc="3DBA94FE">
      <w:start w:val="1"/>
      <w:numFmt w:val="bullet"/>
      <w:lvlText w:val=""/>
      <w:lvlJc w:val="left"/>
      <w:pPr>
        <w:ind w:left="6480" w:hanging="360"/>
      </w:pPr>
      <w:rPr>
        <w:rFonts w:ascii="Wingdings" w:hAnsi="Wingdings" w:hint="default"/>
      </w:rPr>
    </w:lvl>
  </w:abstractNum>
  <w:abstractNum w:abstractNumId="26" w15:restartNumberingAfterBreak="0">
    <w:nsid w:val="29E185ED"/>
    <w:multiLevelType w:val="hybridMultilevel"/>
    <w:tmpl w:val="FEAC9844"/>
    <w:lvl w:ilvl="0" w:tplc="DBC8141A">
      <w:start w:val="1"/>
      <w:numFmt w:val="bullet"/>
      <w:lvlText w:val=""/>
      <w:lvlJc w:val="left"/>
      <w:pPr>
        <w:ind w:left="720" w:hanging="360"/>
      </w:pPr>
      <w:rPr>
        <w:rFonts w:ascii="Symbol" w:hAnsi="Symbol" w:hint="default"/>
      </w:rPr>
    </w:lvl>
    <w:lvl w:ilvl="1" w:tplc="74CC3D8A">
      <w:start w:val="1"/>
      <w:numFmt w:val="bullet"/>
      <w:lvlText w:val="o"/>
      <w:lvlJc w:val="left"/>
      <w:pPr>
        <w:ind w:left="1440" w:hanging="360"/>
      </w:pPr>
      <w:rPr>
        <w:rFonts w:ascii="Courier New" w:hAnsi="Courier New" w:hint="default"/>
      </w:rPr>
    </w:lvl>
    <w:lvl w:ilvl="2" w:tplc="396C7138">
      <w:start w:val="1"/>
      <w:numFmt w:val="bullet"/>
      <w:lvlText w:val=""/>
      <w:lvlJc w:val="left"/>
      <w:pPr>
        <w:ind w:left="2160" w:hanging="360"/>
      </w:pPr>
      <w:rPr>
        <w:rFonts w:ascii="Wingdings" w:hAnsi="Wingdings" w:hint="default"/>
      </w:rPr>
    </w:lvl>
    <w:lvl w:ilvl="3" w:tplc="DB8401DC">
      <w:start w:val="1"/>
      <w:numFmt w:val="bullet"/>
      <w:lvlText w:val=""/>
      <w:lvlJc w:val="left"/>
      <w:pPr>
        <w:ind w:left="2880" w:hanging="360"/>
      </w:pPr>
      <w:rPr>
        <w:rFonts w:ascii="Symbol" w:hAnsi="Symbol" w:hint="default"/>
      </w:rPr>
    </w:lvl>
    <w:lvl w:ilvl="4" w:tplc="9C6450DE">
      <w:start w:val="1"/>
      <w:numFmt w:val="bullet"/>
      <w:lvlText w:val="o"/>
      <w:lvlJc w:val="left"/>
      <w:pPr>
        <w:ind w:left="3600" w:hanging="360"/>
      </w:pPr>
      <w:rPr>
        <w:rFonts w:ascii="Courier New" w:hAnsi="Courier New" w:hint="default"/>
      </w:rPr>
    </w:lvl>
    <w:lvl w:ilvl="5" w:tplc="BCAEF780">
      <w:start w:val="1"/>
      <w:numFmt w:val="bullet"/>
      <w:lvlText w:val=""/>
      <w:lvlJc w:val="left"/>
      <w:pPr>
        <w:ind w:left="4320" w:hanging="360"/>
      </w:pPr>
      <w:rPr>
        <w:rFonts w:ascii="Wingdings" w:hAnsi="Wingdings" w:hint="default"/>
      </w:rPr>
    </w:lvl>
    <w:lvl w:ilvl="6" w:tplc="A17A2BEA">
      <w:start w:val="1"/>
      <w:numFmt w:val="bullet"/>
      <w:lvlText w:val=""/>
      <w:lvlJc w:val="left"/>
      <w:pPr>
        <w:ind w:left="5040" w:hanging="360"/>
      </w:pPr>
      <w:rPr>
        <w:rFonts w:ascii="Symbol" w:hAnsi="Symbol" w:hint="default"/>
      </w:rPr>
    </w:lvl>
    <w:lvl w:ilvl="7" w:tplc="08B2F766">
      <w:start w:val="1"/>
      <w:numFmt w:val="bullet"/>
      <w:lvlText w:val="o"/>
      <w:lvlJc w:val="left"/>
      <w:pPr>
        <w:ind w:left="5760" w:hanging="360"/>
      </w:pPr>
      <w:rPr>
        <w:rFonts w:ascii="Courier New" w:hAnsi="Courier New" w:hint="default"/>
      </w:rPr>
    </w:lvl>
    <w:lvl w:ilvl="8" w:tplc="9A3C9FE4">
      <w:start w:val="1"/>
      <w:numFmt w:val="bullet"/>
      <w:lvlText w:val=""/>
      <w:lvlJc w:val="left"/>
      <w:pPr>
        <w:ind w:left="6480" w:hanging="360"/>
      </w:pPr>
      <w:rPr>
        <w:rFonts w:ascii="Wingdings" w:hAnsi="Wingdings" w:hint="default"/>
      </w:rPr>
    </w:lvl>
  </w:abstractNum>
  <w:abstractNum w:abstractNumId="27" w15:restartNumberingAfterBreak="0">
    <w:nsid w:val="2B80DC67"/>
    <w:multiLevelType w:val="hybridMultilevel"/>
    <w:tmpl w:val="FFFFFFFF"/>
    <w:lvl w:ilvl="0" w:tplc="9E1AC994">
      <w:start w:val="1"/>
      <w:numFmt w:val="bullet"/>
      <w:lvlText w:val=""/>
      <w:lvlJc w:val="left"/>
      <w:pPr>
        <w:ind w:left="720" w:hanging="360"/>
      </w:pPr>
      <w:rPr>
        <w:rFonts w:ascii="Symbol" w:hAnsi="Symbol" w:hint="default"/>
      </w:rPr>
    </w:lvl>
    <w:lvl w:ilvl="1" w:tplc="F18AE344">
      <w:start w:val="1"/>
      <w:numFmt w:val="bullet"/>
      <w:lvlText w:val="o"/>
      <w:lvlJc w:val="left"/>
      <w:pPr>
        <w:ind w:left="1440" w:hanging="360"/>
      </w:pPr>
      <w:rPr>
        <w:rFonts w:ascii="Courier New" w:hAnsi="Courier New" w:hint="default"/>
      </w:rPr>
    </w:lvl>
    <w:lvl w:ilvl="2" w:tplc="3C96DACC">
      <w:start w:val="1"/>
      <w:numFmt w:val="bullet"/>
      <w:lvlText w:val=""/>
      <w:lvlJc w:val="left"/>
      <w:pPr>
        <w:ind w:left="2160" w:hanging="360"/>
      </w:pPr>
      <w:rPr>
        <w:rFonts w:ascii="Wingdings" w:hAnsi="Wingdings" w:hint="default"/>
      </w:rPr>
    </w:lvl>
    <w:lvl w:ilvl="3" w:tplc="57B63A5A">
      <w:start w:val="1"/>
      <w:numFmt w:val="bullet"/>
      <w:lvlText w:val=""/>
      <w:lvlJc w:val="left"/>
      <w:pPr>
        <w:ind w:left="2880" w:hanging="360"/>
      </w:pPr>
      <w:rPr>
        <w:rFonts w:ascii="Symbol" w:hAnsi="Symbol" w:hint="default"/>
      </w:rPr>
    </w:lvl>
    <w:lvl w:ilvl="4" w:tplc="FD449FB4">
      <w:start w:val="1"/>
      <w:numFmt w:val="bullet"/>
      <w:lvlText w:val="o"/>
      <w:lvlJc w:val="left"/>
      <w:pPr>
        <w:ind w:left="3600" w:hanging="360"/>
      </w:pPr>
      <w:rPr>
        <w:rFonts w:ascii="Courier New" w:hAnsi="Courier New" w:hint="default"/>
      </w:rPr>
    </w:lvl>
    <w:lvl w:ilvl="5" w:tplc="6172B78C">
      <w:start w:val="1"/>
      <w:numFmt w:val="bullet"/>
      <w:lvlText w:val=""/>
      <w:lvlJc w:val="left"/>
      <w:pPr>
        <w:ind w:left="4320" w:hanging="360"/>
      </w:pPr>
      <w:rPr>
        <w:rFonts w:ascii="Wingdings" w:hAnsi="Wingdings" w:hint="default"/>
      </w:rPr>
    </w:lvl>
    <w:lvl w:ilvl="6" w:tplc="E324726E">
      <w:start w:val="1"/>
      <w:numFmt w:val="bullet"/>
      <w:lvlText w:val=""/>
      <w:lvlJc w:val="left"/>
      <w:pPr>
        <w:ind w:left="5040" w:hanging="360"/>
      </w:pPr>
      <w:rPr>
        <w:rFonts w:ascii="Symbol" w:hAnsi="Symbol" w:hint="default"/>
      </w:rPr>
    </w:lvl>
    <w:lvl w:ilvl="7" w:tplc="7B644796">
      <w:start w:val="1"/>
      <w:numFmt w:val="bullet"/>
      <w:lvlText w:val="o"/>
      <w:lvlJc w:val="left"/>
      <w:pPr>
        <w:ind w:left="5760" w:hanging="360"/>
      </w:pPr>
      <w:rPr>
        <w:rFonts w:ascii="Courier New" w:hAnsi="Courier New" w:hint="default"/>
      </w:rPr>
    </w:lvl>
    <w:lvl w:ilvl="8" w:tplc="B2D29BF4">
      <w:start w:val="1"/>
      <w:numFmt w:val="bullet"/>
      <w:lvlText w:val=""/>
      <w:lvlJc w:val="left"/>
      <w:pPr>
        <w:ind w:left="6480" w:hanging="360"/>
      </w:pPr>
      <w:rPr>
        <w:rFonts w:ascii="Wingdings" w:hAnsi="Wingdings" w:hint="default"/>
      </w:rPr>
    </w:lvl>
  </w:abstractNum>
  <w:abstractNum w:abstractNumId="28" w15:restartNumberingAfterBreak="0">
    <w:nsid w:val="2BDF51B3"/>
    <w:multiLevelType w:val="hybridMultilevel"/>
    <w:tmpl w:val="773EF698"/>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5C9E76"/>
    <w:multiLevelType w:val="hybridMultilevel"/>
    <w:tmpl w:val="2C3AFFA2"/>
    <w:lvl w:ilvl="0" w:tplc="AC723C9E">
      <w:start w:val="1"/>
      <w:numFmt w:val="bullet"/>
      <w:lvlText w:val=""/>
      <w:lvlJc w:val="left"/>
      <w:pPr>
        <w:ind w:left="720" w:hanging="360"/>
      </w:pPr>
      <w:rPr>
        <w:rFonts w:ascii="Symbol" w:hAnsi="Symbol" w:hint="default"/>
      </w:rPr>
    </w:lvl>
    <w:lvl w:ilvl="1" w:tplc="CE925DEA">
      <w:start w:val="1"/>
      <w:numFmt w:val="bullet"/>
      <w:lvlText w:val="o"/>
      <w:lvlJc w:val="left"/>
      <w:pPr>
        <w:ind w:left="1440" w:hanging="360"/>
      </w:pPr>
      <w:rPr>
        <w:rFonts w:ascii="Courier New" w:hAnsi="Courier New" w:hint="default"/>
      </w:rPr>
    </w:lvl>
    <w:lvl w:ilvl="2" w:tplc="5680CBCA">
      <w:start w:val="1"/>
      <w:numFmt w:val="bullet"/>
      <w:lvlText w:val=""/>
      <w:lvlJc w:val="left"/>
      <w:pPr>
        <w:ind w:left="2160" w:hanging="360"/>
      </w:pPr>
      <w:rPr>
        <w:rFonts w:ascii="Wingdings" w:hAnsi="Wingdings" w:hint="default"/>
      </w:rPr>
    </w:lvl>
    <w:lvl w:ilvl="3" w:tplc="A18CEEF0">
      <w:start w:val="1"/>
      <w:numFmt w:val="bullet"/>
      <w:lvlText w:val=""/>
      <w:lvlJc w:val="left"/>
      <w:pPr>
        <w:ind w:left="2880" w:hanging="360"/>
      </w:pPr>
      <w:rPr>
        <w:rFonts w:ascii="Symbol" w:hAnsi="Symbol" w:hint="default"/>
      </w:rPr>
    </w:lvl>
    <w:lvl w:ilvl="4" w:tplc="1236125E">
      <w:start w:val="1"/>
      <w:numFmt w:val="bullet"/>
      <w:lvlText w:val="o"/>
      <w:lvlJc w:val="left"/>
      <w:pPr>
        <w:ind w:left="3600" w:hanging="360"/>
      </w:pPr>
      <w:rPr>
        <w:rFonts w:ascii="Courier New" w:hAnsi="Courier New" w:hint="default"/>
      </w:rPr>
    </w:lvl>
    <w:lvl w:ilvl="5" w:tplc="21F87904">
      <w:start w:val="1"/>
      <w:numFmt w:val="bullet"/>
      <w:lvlText w:val=""/>
      <w:lvlJc w:val="left"/>
      <w:pPr>
        <w:ind w:left="4320" w:hanging="360"/>
      </w:pPr>
      <w:rPr>
        <w:rFonts w:ascii="Wingdings" w:hAnsi="Wingdings" w:hint="default"/>
      </w:rPr>
    </w:lvl>
    <w:lvl w:ilvl="6" w:tplc="FF446B72">
      <w:start w:val="1"/>
      <w:numFmt w:val="bullet"/>
      <w:lvlText w:val=""/>
      <w:lvlJc w:val="left"/>
      <w:pPr>
        <w:ind w:left="5040" w:hanging="360"/>
      </w:pPr>
      <w:rPr>
        <w:rFonts w:ascii="Symbol" w:hAnsi="Symbol" w:hint="default"/>
      </w:rPr>
    </w:lvl>
    <w:lvl w:ilvl="7" w:tplc="4C023B3A">
      <w:start w:val="1"/>
      <w:numFmt w:val="bullet"/>
      <w:lvlText w:val="o"/>
      <w:lvlJc w:val="left"/>
      <w:pPr>
        <w:ind w:left="5760" w:hanging="360"/>
      </w:pPr>
      <w:rPr>
        <w:rFonts w:ascii="Courier New" w:hAnsi="Courier New" w:hint="default"/>
      </w:rPr>
    </w:lvl>
    <w:lvl w:ilvl="8" w:tplc="AD04E540">
      <w:start w:val="1"/>
      <w:numFmt w:val="bullet"/>
      <w:lvlText w:val=""/>
      <w:lvlJc w:val="left"/>
      <w:pPr>
        <w:ind w:left="6480" w:hanging="360"/>
      </w:pPr>
      <w:rPr>
        <w:rFonts w:ascii="Wingdings" w:hAnsi="Wingdings" w:hint="default"/>
      </w:rPr>
    </w:lvl>
  </w:abstractNum>
  <w:abstractNum w:abstractNumId="30" w15:restartNumberingAfterBreak="0">
    <w:nsid w:val="2FCF503B"/>
    <w:multiLevelType w:val="hybridMultilevel"/>
    <w:tmpl w:val="D0B43B1A"/>
    <w:lvl w:ilvl="0" w:tplc="A1106830">
      <w:start w:val="1"/>
      <w:numFmt w:val="bullet"/>
      <w:lvlText w:val=""/>
      <w:lvlJc w:val="left"/>
      <w:pPr>
        <w:ind w:left="720" w:hanging="360"/>
      </w:pPr>
      <w:rPr>
        <w:rFonts w:ascii="Symbol" w:hAnsi="Symbol" w:hint="default"/>
      </w:rPr>
    </w:lvl>
    <w:lvl w:ilvl="1" w:tplc="90465AC6">
      <w:start w:val="1"/>
      <w:numFmt w:val="bullet"/>
      <w:lvlText w:val="o"/>
      <w:lvlJc w:val="left"/>
      <w:pPr>
        <w:ind w:left="1440" w:hanging="360"/>
      </w:pPr>
      <w:rPr>
        <w:rFonts w:ascii="Courier New" w:hAnsi="Courier New" w:hint="default"/>
      </w:rPr>
    </w:lvl>
    <w:lvl w:ilvl="2" w:tplc="D74037D4">
      <w:start w:val="1"/>
      <w:numFmt w:val="bullet"/>
      <w:lvlText w:val=""/>
      <w:lvlJc w:val="left"/>
      <w:pPr>
        <w:ind w:left="2160" w:hanging="360"/>
      </w:pPr>
      <w:rPr>
        <w:rFonts w:ascii="Wingdings" w:hAnsi="Wingdings" w:hint="default"/>
      </w:rPr>
    </w:lvl>
    <w:lvl w:ilvl="3" w:tplc="2502378A">
      <w:start w:val="1"/>
      <w:numFmt w:val="bullet"/>
      <w:lvlText w:val=""/>
      <w:lvlJc w:val="left"/>
      <w:pPr>
        <w:ind w:left="2880" w:hanging="360"/>
      </w:pPr>
      <w:rPr>
        <w:rFonts w:ascii="Symbol" w:hAnsi="Symbol" w:hint="default"/>
      </w:rPr>
    </w:lvl>
    <w:lvl w:ilvl="4" w:tplc="124EB486">
      <w:start w:val="1"/>
      <w:numFmt w:val="bullet"/>
      <w:lvlText w:val="o"/>
      <w:lvlJc w:val="left"/>
      <w:pPr>
        <w:ind w:left="3600" w:hanging="360"/>
      </w:pPr>
      <w:rPr>
        <w:rFonts w:ascii="Courier New" w:hAnsi="Courier New" w:hint="default"/>
      </w:rPr>
    </w:lvl>
    <w:lvl w:ilvl="5" w:tplc="FB7A0A80">
      <w:start w:val="1"/>
      <w:numFmt w:val="bullet"/>
      <w:lvlText w:val=""/>
      <w:lvlJc w:val="left"/>
      <w:pPr>
        <w:ind w:left="4320" w:hanging="360"/>
      </w:pPr>
      <w:rPr>
        <w:rFonts w:ascii="Wingdings" w:hAnsi="Wingdings" w:hint="default"/>
      </w:rPr>
    </w:lvl>
    <w:lvl w:ilvl="6" w:tplc="4D68F5C6">
      <w:start w:val="1"/>
      <w:numFmt w:val="bullet"/>
      <w:lvlText w:val=""/>
      <w:lvlJc w:val="left"/>
      <w:pPr>
        <w:ind w:left="5040" w:hanging="360"/>
      </w:pPr>
      <w:rPr>
        <w:rFonts w:ascii="Symbol" w:hAnsi="Symbol" w:hint="default"/>
      </w:rPr>
    </w:lvl>
    <w:lvl w:ilvl="7" w:tplc="6E74CD5C">
      <w:start w:val="1"/>
      <w:numFmt w:val="bullet"/>
      <w:lvlText w:val="o"/>
      <w:lvlJc w:val="left"/>
      <w:pPr>
        <w:ind w:left="5760" w:hanging="360"/>
      </w:pPr>
      <w:rPr>
        <w:rFonts w:ascii="Courier New" w:hAnsi="Courier New" w:hint="default"/>
      </w:rPr>
    </w:lvl>
    <w:lvl w:ilvl="8" w:tplc="B8424774">
      <w:start w:val="1"/>
      <w:numFmt w:val="bullet"/>
      <w:lvlText w:val=""/>
      <w:lvlJc w:val="left"/>
      <w:pPr>
        <w:ind w:left="6480" w:hanging="360"/>
      </w:pPr>
      <w:rPr>
        <w:rFonts w:ascii="Wingdings" w:hAnsi="Wingdings" w:hint="default"/>
      </w:rPr>
    </w:lvl>
  </w:abstractNum>
  <w:abstractNum w:abstractNumId="31" w15:restartNumberingAfterBreak="0">
    <w:nsid w:val="314E7071"/>
    <w:multiLevelType w:val="hybridMultilevel"/>
    <w:tmpl w:val="FFFFFFFF"/>
    <w:lvl w:ilvl="0" w:tplc="7960D558">
      <w:start w:val="1"/>
      <w:numFmt w:val="bullet"/>
      <w:lvlText w:val=""/>
      <w:lvlJc w:val="left"/>
      <w:pPr>
        <w:ind w:left="1080" w:hanging="360"/>
      </w:pPr>
      <w:rPr>
        <w:rFonts w:ascii="Symbol" w:hAnsi="Symbol" w:hint="default"/>
      </w:rPr>
    </w:lvl>
    <w:lvl w:ilvl="1" w:tplc="19AC4DFE">
      <w:start w:val="1"/>
      <w:numFmt w:val="bullet"/>
      <w:lvlText w:val="o"/>
      <w:lvlJc w:val="left"/>
      <w:pPr>
        <w:ind w:left="1800" w:hanging="360"/>
      </w:pPr>
      <w:rPr>
        <w:rFonts w:ascii="Courier New" w:hAnsi="Courier New" w:hint="default"/>
      </w:rPr>
    </w:lvl>
    <w:lvl w:ilvl="2" w:tplc="86C0124A">
      <w:start w:val="1"/>
      <w:numFmt w:val="bullet"/>
      <w:lvlText w:val=""/>
      <w:lvlJc w:val="left"/>
      <w:pPr>
        <w:ind w:left="2520" w:hanging="360"/>
      </w:pPr>
      <w:rPr>
        <w:rFonts w:ascii="Wingdings" w:hAnsi="Wingdings" w:hint="default"/>
      </w:rPr>
    </w:lvl>
    <w:lvl w:ilvl="3" w:tplc="1F80C474">
      <w:start w:val="1"/>
      <w:numFmt w:val="bullet"/>
      <w:lvlText w:val=""/>
      <w:lvlJc w:val="left"/>
      <w:pPr>
        <w:ind w:left="3240" w:hanging="360"/>
      </w:pPr>
      <w:rPr>
        <w:rFonts w:ascii="Symbol" w:hAnsi="Symbol" w:hint="default"/>
      </w:rPr>
    </w:lvl>
    <w:lvl w:ilvl="4" w:tplc="37AAC55E">
      <w:start w:val="1"/>
      <w:numFmt w:val="bullet"/>
      <w:lvlText w:val="o"/>
      <w:lvlJc w:val="left"/>
      <w:pPr>
        <w:ind w:left="3960" w:hanging="360"/>
      </w:pPr>
      <w:rPr>
        <w:rFonts w:ascii="Courier New" w:hAnsi="Courier New" w:hint="default"/>
      </w:rPr>
    </w:lvl>
    <w:lvl w:ilvl="5" w:tplc="4CF00688">
      <w:start w:val="1"/>
      <w:numFmt w:val="bullet"/>
      <w:lvlText w:val=""/>
      <w:lvlJc w:val="left"/>
      <w:pPr>
        <w:ind w:left="4680" w:hanging="360"/>
      </w:pPr>
      <w:rPr>
        <w:rFonts w:ascii="Wingdings" w:hAnsi="Wingdings" w:hint="default"/>
      </w:rPr>
    </w:lvl>
    <w:lvl w:ilvl="6" w:tplc="C7E40A70">
      <w:start w:val="1"/>
      <w:numFmt w:val="bullet"/>
      <w:lvlText w:val=""/>
      <w:lvlJc w:val="left"/>
      <w:pPr>
        <w:ind w:left="5400" w:hanging="360"/>
      </w:pPr>
      <w:rPr>
        <w:rFonts w:ascii="Symbol" w:hAnsi="Symbol" w:hint="default"/>
      </w:rPr>
    </w:lvl>
    <w:lvl w:ilvl="7" w:tplc="C206E9E0">
      <w:start w:val="1"/>
      <w:numFmt w:val="bullet"/>
      <w:lvlText w:val="o"/>
      <w:lvlJc w:val="left"/>
      <w:pPr>
        <w:ind w:left="6120" w:hanging="360"/>
      </w:pPr>
      <w:rPr>
        <w:rFonts w:ascii="Courier New" w:hAnsi="Courier New" w:hint="default"/>
      </w:rPr>
    </w:lvl>
    <w:lvl w:ilvl="8" w:tplc="C0BA1DFE">
      <w:start w:val="1"/>
      <w:numFmt w:val="bullet"/>
      <w:lvlText w:val=""/>
      <w:lvlJc w:val="left"/>
      <w:pPr>
        <w:ind w:left="6840" w:hanging="360"/>
      </w:pPr>
      <w:rPr>
        <w:rFonts w:ascii="Wingdings" w:hAnsi="Wingdings" w:hint="default"/>
      </w:rPr>
    </w:lvl>
  </w:abstractNum>
  <w:abstractNum w:abstractNumId="32" w15:restartNumberingAfterBreak="0">
    <w:nsid w:val="336174EB"/>
    <w:multiLevelType w:val="hybridMultilevel"/>
    <w:tmpl w:val="F25E7EEA"/>
    <w:lvl w:ilvl="0" w:tplc="4D926AB4">
      <w:start w:val="1"/>
      <w:numFmt w:val="bullet"/>
      <w:lvlText w:val=""/>
      <w:lvlJc w:val="left"/>
      <w:pPr>
        <w:ind w:left="720" w:hanging="360"/>
      </w:pPr>
      <w:rPr>
        <w:rFonts w:ascii="Symbol" w:hAnsi="Symbol" w:hint="default"/>
      </w:rPr>
    </w:lvl>
    <w:lvl w:ilvl="1" w:tplc="1BFC1D62">
      <w:start w:val="1"/>
      <w:numFmt w:val="bullet"/>
      <w:lvlText w:val="o"/>
      <w:lvlJc w:val="left"/>
      <w:pPr>
        <w:ind w:left="1440" w:hanging="360"/>
      </w:pPr>
      <w:rPr>
        <w:rFonts w:ascii="Courier New" w:hAnsi="Courier New" w:hint="default"/>
      </w:rPr>
    </w:lvl>
    <w:lvl w:ilvl="2" w:tplc="8E805116">
      <w:start w:val="1"/>
      <w:numFmt w:val="bullet"/>
      <w:lvlText w:val=""/>
      <w:lvlJc w:val="left"/>
      <w:pPr>
        <w:ind w:left="2160" w:hanging="360"/>
      </w:pPr>
      <w:rPr>
        <w:rFonts w:ascii="Wingdings" w:hAnsi="Wingdings" w:hint="default"/>
      </w:rPr>
    </w:lvl>
    <w:lvl w:ilvl="3" w:tplc="0B3419E0">
      <w:start w:val="1"/>
      <w:numFmt w:val="bullet"/>
      <w:lvlText w:val=""/>
      <w:lvlJc w:val="left"/>
      <w:pPr>
        <w:ind w:left="2880" w:hanging="360"/>
      </w:pPr>
      <w:rPr>
        <w:rFonts w:ascii="Symbol" w:hAnsi="Symbol" w:hint="default"/>
      </w:rPr>
    </w:lvl>
    <w:lvl w:ilvl="4" w:tplc="E7F06594">
      <w:start w:val="1"/>
      <w:numFmt w:val="bullet"/>
      <w:lvlText w:val="o"/>
      <w:lvlJc w:val="left"/>
      <w:pPr>
        <w:ind w:left="3600" w:hanging="360"/>
      </w:pPr>
      <w:rPr>
        <w:rFonts w:ascii="Courier New" w:hAnsi="Courier New" w:hint="default"/>
      </w:rPr>
    </w:lvl>
    <w:lvl w:ilvl="5" w:tplc="553C3CB2">
      <w:start w:val="1"/>
      <w:numFmt w:val="bullet"/>
      <w:lvlText w:val=""/>
      <w:lvlJc w:val="left"/>
      <w:pPr>
        <w:ind w:left="4320" w:hanging="360"/>
      </w:pPr>
      <w:rPr>
        <w:rFonts w:ascii="Wingdings" w:hAnsi="Wingdings" w:hint="default"/>
      </w:rPr>
    </w:lvl>
    <w:lvl w:ilvl="6" w:tplc="E7B22CAA">
      <w:start w:val="1"/>
      <w:numFmt w:val="bullet"/>
      <w:lvlText w:val=""/>
      <w:lvlJc w:val="left"/>
      <w:pPr>
        <w:ind w:left="5040" w:hanging="360"/>
      </w:pPr>
      <w:rPr>
        <w:rFonts w:ascii="Symbol" w:hAnsi="Symbol" w:hint="default"/>
      </w:rPr>
    </w:lvl>
    <w:lvl w:ilvl="7" w:tplc="CA8E368C">
      <w:start w:val="1"/>
      <w:numFmt w:val="bullet"/>
      <w:lvlText w:val="o"/>
      <w:lvlJc w:val="left"/>
      <w:pPr>
        <w:ind w:left="5760" w:hanging="360"/>
      </w:pPr>
      <w:rPr>
        <w:rFonts w:ascii="Courier New" w:hAnsi="Courier New" w:hint="default"/>
      </w:rPr>
    </w:lvl>
    <w:lvl w:ilvl="8" w:tplc="E01640F6">
      <w:start w:val="1"/>
      <w:numFmt w:val="bullet"/>
      <w:lvlText w:val=""/>
      <w:lvlJc w:val="left"/>
      <w:pPr>
        <w:ind w:left="6480" w:hanging="360"/>
      </w:pPr>
      <w:rPr>
        <w:rFonts w:ascii="Wingdings" w:hAnsi="Wingdings" w:hint="default"/>
      </w:rPr>
    </w:lvl>
  </w:abstractNum>
  <w:abstractNum w:abstractNumId="33" w15:restartNumberingAfterBreak="0">
    <w:nsid w:val="34904689"/>
    <w:multiLevelType w:val="hybridMultilevel"/>
    <w:tmpl w:val="2CEE01E4"/>
    <w:lvl w:ilvl="0" w:tplc="C25E493A">
      <w:start w:val="1"/>
      <w:numFmt w:val="bullet"/>
      <w:lvlText w:val=""/>
      <w:lvlJc w:val="left"/>
      <w:pPr>
        <w:ind w:left="720" w:hanging="360"/>
      </w:pPr>
      <w:rPr>
        <w:rFonts w:ascii="Symbol" w:hAnsi="Symbol" w:hint="default"/>
      </w:rPr>
    </w:lvl>
    <w:lvl w:ilvl="1" w:tplc="B336C7A4">
      <w:start w:val="1"/>
      <w:numFmt w:val="bullet"/>
      <w:lvlText w:val="o"/>
      <w:lvlJc w:val="left"/>
      <w:pPr>
        <w:ind w:left="1440" w:hanging="360"/>
      </w:pPr>
      <w:rPr>
        <w:rFonts w:ascii="Courier New" w:hAnsi="Courier New" w:hint="default"/>
      </w:rPr>
    </w:lvl>
    <w:lvl w:ilvl="2" w:tplc="52389B18">
      <w:start w:val="1"/>
      <w:numFmt w:val="bullet"/>
      <w:lvlText w:val=""/>
      <w:lvlJc w:val="left"/>
      <w:pPr>
        <w:ind w:left="2160" w:hanging="360"/>
      </w:pPr>
      <w:rPr>
        <w:rFonts w:ascii="Wingdings" w:hAnsi="Wingdings" w:hint="default"/>
      </w:rPr>
    </w:lvl>
    <w:lvl w:ilvl="3" w:tplc="54EE9742">
      <w:start w:val="1"/>
      <w:numFmt w:val="bullet"/>
      <w:lvlText w:val=""/>
      <w:lvlJc w:val="left"/>
      <w:pPr>
        <w:ind w:left="2880" w:hanging="360"/>
      </w:pPr>
      <w:rPr>
        <w:rFonts w:ascii="Symbol" w:hAnsi="Symbol" w:hint="default"/>
      </w:rPr>
    </w:lvl>
    <w:lvl w:ilvl="4" w:tplc="45BCCEAC">
      <w:start w:val="1"/>
      <w:numFmt w:val="bullet"/>
      <w:lvlText w:val="o"/>
      <w:lvlJc w:val="left"/>
      <w:pPr>
        <w:ind w:left="3600" w:hanging="360"/>
      </w:pPr>
      <w:rPr>
        <w:rFonts w:ascii="Courier New" w:hAnsi="Courier New" w:hint="default"/>
      </w:rPr>
    </w:lvl>
    <w:lvl w:ilvl="5" w:tplc="16669C88">
      <w:start w:val="1"/>
      <w:numFmt w:val="bullet"/>
      <w:lvlText w:val=""/>
      <w:lvlJc w:val="left"/>
      <w:pPr>
        <w:ind w:left="4320" w:hanging="360"/>
      </w:pPr>
      <w:rPr>
        <w:rFonts w:ascii="Wingdings" w:hAnsi="Wingdings" w:hint="default"/>
      </w:rPr>
    </w:lvl>
    <w:lvl w:ilvl="6" w:tplc="B7EEBD1C">
      <w:start w:val="1"/>
      <w:numFmt w:val="bullet"/>
      <w:lvlText w:val=""/>
      <w:lvlJc w:val="left"/>
      <w:pPr>
        <w:ind w:left="5040" w:hanging="360"/>
      </w:pPr>
      <w:rPr>
        <w:rFonts w:ascii="Symbol" w:hAnsi="Symbol" w:hint="default"/>
      </w:rPr>
    </w:lvl>
    <w:lvl w:ilvl="7" w:tplc="8ECC8F0C">
      <w:start w:val="1"/>
      <w:numFmt w:val="bullet"/>
      <w:lvlText w:val="o"/>
      <w:lvlJc w:val="left"/>
      <w:pPr>
        <w:ind w:left="5760" w:hanging="360"/>
      </w:pPr>
      <w:rPr>
        <w:rFonts w:ascii="Courier New" w:hAnsi="Courier New" w:hint="default"/>
      </w:rPr>
    </w:lvl>
    <w:lvl w:ilvl="8" w:tplc="2AF8CF40">
      <w:start w:val="1"/>
      <w:numFmt w:val="bullet"/>
      <w:lvlText w:val=""/>
      <w:lvlJc w:val="left"/>
      <w:pPr>
        <w:ind w:left="6480" w:hanging="360"/>
      </w:pPr>
      <w:rPr>
        <w:rFonts w:ascii="Wingdings" w:hAnsi="Wingdings" w:hint="default"/>
      </w:rPr>
    </w:lvl>
  </w:abstractNum>
  <w:abstractNum w:abstractNumId="34" w15:restartNumberingAfterBreak="0">
    <w:nsid w:val="34E5F190"/>
    <w:multiLevelType w:val="hybridMultilevel"/>
    <w:tmpl w:val="5584081C"/>
    <w:lvl w:ilvl="0" w:tplc="645CAE16">
      <w:start w:val="1"/>
      <w:numFmt w:val="bullet"/>
      <w:lvlText w:val=""/>
      <w:lvlJc w:val="left"/>
      <w:pPr>
        <w:ind w:left="720" w:hanging="360"/>
      </w:pPr>
      <w:rPr>
        <w:rFonts w:ascii="Symbol" w:hAnsi="Symbol" w:hint="default"/>
      </w:rPr>
    </w:lvl>
    <w:lvl w:ilvl="1" w:tplc="1B2E11CA">
      <w:start w:val="1"/>
      <w:numFmt w:val="bullet"/>
      <w:lvlText w:val="o"/>
      <w:lvlJc w:val="left"/>
      <w:pPr>
        <w:ind w:left="1440" w:hanging="360"/>
      </w:pPr>
      <w:rPr>
        <w:rFonts w:ascii="Courier New" w:hAnsi="Courier New" w:hint="default"/>
      </w:rPr>
    </w:lvl>
    <w:lvl w:ilvl="2" w:tplc="EEAAAB6C">
      <w:start w:val="1"/>
      <w:numFmt w:val="bullet"/>
      <w:lvlText w:val=""/>
      <w:lvlJc w:val="left"/>
      <w:pPr>
        <w:ind w:left="2160" w:hanging="360"/>
      </w:pPr>
      <w:rPr>
        <w:rFonts w:ascii="Wingdings" w:hAnsi="Wingdings" w:hint="default"/>
      </w:rPr>
    </w:lvl>
    <w:lvl w:ilvl="3" w:tplc="BD48FCF0">
      <w:start w:val="1"/>
      <w:numFmt w:val="bullet"/>
      <w:lvlText w:val=""/>
      <w:lvlJc w:val="left"/>
      <w:pPr>
        <w:ind w:left="2880" w:hanging="360"/>
      </w:pPr>
      <w:rPr>
        <w:rFonts w:ascii="Symbol" w:hAnsi="Symbol" w:hint="default"/>
      </w:rPr>
    </w:lvl>
    <w:lvl w:ilvl="4" w:tplc="2890A6B4">
      <w:start w:val="1"/>
      <w:numFmt w:val="bullet"/>
      <w:lvlText w:val="o"/>
      <w:lvlJc w:val="left"/>
      <w:pPr>
        <w:ind w:left="3600" w:hanging="360"/>
      </w:pPr>
      <w:rPr>
        <w:rFonts w:ascii="Courier New" w:hAnsi="Courier New" w:hint="default"/>
      </w:rPr>
    </w:lvl>
    <w:lvl w:ilvl="5" w:tplc="F96EB202">
      <w:start w:val="1"/>
      <w:numFmt w:val="bullet"/>
      <w:lvlText w:val=""/>
      <w:lvlJc w:val="left"/>
      <w:pPr>
        <w:ind w:left="4320" w:hanging="360"/>
      </w:pPr>
      <w:rPr>
        <w:rFonts w:ascii="Wingdings" w:hAnsi="Wingdings" w:hint="default"/>
      </w:rPr>
    </w:lvl>
    <w:lvl w:ilvl="6" w:tplc="AD204626">
      <w:start w:val="1"/>
      <w:numFmt w:val="bullet"/>
      <w:lvlText w:val=""/>
      <w:lvlJc w:val="left"/>
      <w:pPr>
        <w:ind w:left="5040" w:hanging="360"/>
      </w:pPr>
      <w:rPr>
        <w:rFonts w:ascii="Symbol" w:hAnsi="Symbol" w:hint="default"/>
      </w:rPr>
    </w:lvl>
    <w:lvl w:ilvl="7" w:tplc="9B0A6466">
      <w:start w:val="1"/>
      <w:numFmt w:val="bullet"/>
      <w:lvlText w:val="o"/>
      <w:lvlJc w:val="left"/>
      <w:pPr>
        <w:ind w:left="5760" w:hanging="360"/>
      </w:pPr>
      <w:rPr>
        <w:rFonts w:ascii="Courier New" w:hAnsi="Courier New" w:hint="default"/>
      </w:rPr>
    </w:lvl>
    <w:lvl w:ilvl="8" w:tplc="1688C81A">
      <w:start w:val="1"/>
      <w:numFmt w:val="bullet"/>
      <w:lvlText w:val=""/>
      <w:lvlJc w:val="left"/>
      <w:pPr>
        <w:ind w:left="6480" w:hanging="360"/>
      </w:pPr>
      <w:rPr>
        <w:rFonts w:ascii="Wingdings" w:hAnsi="Wingdings" w:hint="default"/>
      </w:rPr>
    </w:lvl>
  </w:abstractNum>
  <w:abstractNum w:abstractNumId="35" w15:restartNumberingAfterBreak="0">
    <w:nsid w:val="3565F916"/>
    <w:multiLevelType w:val="hybridMultilevel"/>
    <w:tmpl w:val="71F68D7A"/>
    <w:lvl w:ilvl="0" w:tplc="128617F8">
      <w:start w:val="1"/>
      <w:numFmt w:val="bullet"/>
      <w:lvlText w:val=""/>
      <w:lvlJc w:val="left"/>
      <w:pPr>
        <w:ind w:left="720" w:hanging="360"/>
      </w:pPr>
      <w:rPr>
        <w:rFonts w:ascii="Symbol" w:hAnsi="Symbol" w:hint="default"/>
      </w:rPr>
    </w:lvl>
    <w:lvl w:ilvl="1" w:tplc="E316482A">
      <w:start w:val="1"/>
      <w:numFmt w:val="bullet"/>
      <w:lvlText w:val="o"/>
      <w:lvlJc w:val="left"/>
      <w:pPr>
        <w:ind w:left="1440" w:hanging="360"/>
      </w:pPr>
      <w:rPr>
        <w:rFonts w:ascii="Courier New" w:hAnsi="Courier New" w:hint="default"/>
      </w:rPr>
    </w:lvl>
    <w:lvl w:ilvl="2" w:tplc="EE8C3772">
      <w:start w:val="1"/>
      <w:numFmt w:val="bullet"/>
      <w:lvlText w:val=""/>
      <w:lvlJc w:val="left"/>
      <w:pPr>
        <w:ind w:left="2160" w:hanging="360"/>
      </w:pPr>
      <w:rPr>
        <w:rFonts w:ascii="Wingdings" w:hAnsi="Wingdings" w:hint="default"/>
      </w:rPr>
    </w:lvl>
    <w:lvl w:ilvl="3" w:tplc="68E24836">
      <w:start w:val="1"/>
      <w:numFmt w:val="bullet"/>
      <w:lvlText w:val=""/>
      <w:lvlJc w:val="left"/>
      <w:pPr>
        <w:ind w:left="2880" w:hanging="360"/>
      </w:pPr>
      <w:rPr>
        <w:rFonts w:ascii="Symbol" w:hAnsi="Symbol" w:hint="default"/>
      </w:rPr>
    </w:lvl>
    <w:lvl w:ilvl="4" w:tplc="9E5A8726">
      <w:start w:val="1"/>
      <w:numFmt w:val="bullet"/>
      <w:lvlText w:val="o"/>
      <w:lvlJc w:val="left"/>
      <w:pPr>
        <w:ind w:left="3600" w:hanging="360"/>
      </w:pPr>
      <w:rPr>
        <w:rFonts w:ascii="Courier New" w:hAnsi="Courier New" w:hint="default"/>
      </w:rPr>
    </w:lvl>
    <w:lvl w:ilvl="5" w:tplc="3DFE9E8A">
      <w:start w:val="1"/>
      <w:numFmt w:val="bullet"/>
      <w:lvlText w:val=""/>
      <w:lvlJc w:val="left"/>
      <w:pPr>
        <w:ind w:left="4320" w:hanging="360"/>
      </w:pPr>
      <w:rPr>
        <w:rFonts w:ascii="Wingdings" w:hAnsi="Wingdings" w:hint="default"/>
      </w:rPr>
    </w:lvl>
    <w:lvl w:ilvl="6" w:tplc="BE22B7F0">
      <w:start w:val="1"/>
      <w:numFmt w:val="bullet"/>
      <w:lvlText w:val=""/>
      <w:lvlJc w:val="left"/>
      <w:pPr>
        <w:ind w:left="5040" w:hanging="360"/>
      </w:pPr>
      <w:rPr>
        <w:rFonts w:ascii="Symbol" w:hAnsi="Symbol" w:hint="default"/>
      </w:rPr>
    </w:lvl>
    <w:lvl w:ilvl="7" w:tplc="1A28FB2A">
      <w:start w:val="1"/>
      <w:numFmt w:val="bullet"/>
      <w:lvlText w:val="o"/>
      <w:lvlJc w:val="left"/>
      <w:pPr>
        <w:ind w:left="5760" w:hanging="360"/>
      </w:pPr>
      <w:rPr>
        <w:rFonts w:ascii="Courier New" w:hAnsi="Courier New" w:hint="default"/>
      </w:rPr>
    </w:lvl>
    <w:lvl w:ilvl="8" w:tplc="165AE482">
      <w:start w:val="1"/>
      <w:numFmt w:val="bullet"/>
      <w:lvlText w:val=""/>
      <w:lvlJc w:val="left"/>
      <w:pPr>
        <w:ind w:left="6480" w:hanging="360"/>
      </w:pPr>
      <w:rPr>
        <w:rFonts w:ascii="Wingdings" w:hAnsi="Wingdings" w:hint="default"/>
      </w:rPr>
    </w:lvl>
  </w:abstractNum>
  <w:abstractNum w:abstractNumId="36" w15:restartNumberingAfterBreak="0">
    <w:nsid w:val="3734CCA9"/>
    <w:multiLevelType w:val="hybridMultilevel"/>
    <w:tmpl w:val="E0800988"/>
    <w:lvl w:ilvl="0" w:tplc="1A36EE5A">
      <w:start w:val="1"/>
      <w:numFmt w:val="bullet"/>
      <w:lvlText w:val=""/>
      <w:lvlJc w:val="left"/>
      <w:pPr>
        <w:ind w:left="720" w:hanging="360"/>
      </w:pPr>
      <w:rPr>
        <w:rFonts w:ascii="Symbol" w:hAnsi="Symbol" w:hint="default"/>
      </w:rPr>
    </w:lvl>
    <w:lvl w:ilvl="1" w:tplc="A796A222">
      <w:start w:val="1"/>
      <w:numFmt w:val="bullet"/>
      <w:lvlText w:val="o"/>
      <w:lvlJc w:val="left"/>
      <w:pPr>
        <w:ind w:left="1440" w:hanging="360"/>
      </w:pPr>
      <w:rPr>
        <w:rFonts w:ascii="Courier New" w:hAnsi="Courier New" w:hint="default"/>
      </w:rPr>
    </w:lvl>
    <w:lvl w:ilvl="2" w:tplc="A31026C2">
      <w:start w:val="1"/>
      <w:numFmt w:val="bullet"/>
      <w:lvlText w:val=""/>
      <w:lvlJc w:val="left"/>
      <w:pPr>
        <w:ind w:left="2160" w:hanging="360"/>
      </w:pPr>
      <w:rPr>
        <w:rFonts w:ascii="Wingdings" w:hAnsi="Wingdings" w:hint="default"/>
      </w:rPr>
    </w:lvl>
    <w:lvl w:ilvl="3" w:tplc="5658E12E">
      <w:start w:val="1"/>
      <w:numFmt w:val="bullet"/>
      <w:lvlText w:val=""/>
      <w:lvlJc w:val="left"/>
      <w:pPr>
        <w:ind w:left="2880" w:hanging="360"/>
      </w:pPr>
      <w:rPr>
        <w:rFonts w:ascii="Symbol" w:hAnsi="Symbol" w:hint="default"/>
      </w:rPr>
    </w:lvl>
    <w:lvl w:ilvl="4" w:tplc="3ABA468A">
      <w:start w:val="1"/>
      <w:numFmt w:val="bullet"/>
      <w:lvlText w:val="o"/>
      <w:lvlJc w:val="left"/>
      <w:pPr>
        <w:ind w:left="3600" w:hanging="360"/>
      </w:pPr>
      <w:rPr>
        <w:rFonts w:ascii="Courier New" w:hAnsi="Courier New" w:hint="default"/>
      </w:rPr>
    </w:lvl>
    <w:lvl w:ilvl="5" w:tplc="760AD8C4">
      <w:start w:val="1"/>
      <w:numFmt w:val="bullet"/>
      <w:lvlText w:val=""/>
      <w:lvlJc w:val="left"/>
      <w:pPr>
        <w:ind w:left="4320" w:hanging="360"/>
      </w:pPr>
      <w:rPr>
        <w:rFonts w:ascii="Wingdings" w:hAnsi="Wingdings" w:hint="default"/>
      </w:rPr>
    </w:lvl>
    <w:lvl w:ilvl="6" w:tplc="560EF356">
      <w:start w:val="1"/>
      <w:numFmt w:val="bullet"/>
      <w:lvlText w:val=""/>
      <w:lvlJc w:val="left"/>
      <w:pPr>
        <w:ind w:left="5040" w:hanging="360"/>
      </w:pPr>
      <w:rPr>
        <w:rFonts w:ascii="Symbol" w:hAnsi="Symbol" w:hint="default"/>
      </w:rPr>
    </w:lvl>
    <w:lvl w:ilvl="7" w:tplc="E4680006">
      <w:start w:val="1"/>
      <w:numFmt w:val="bullet"/>
      <w:lvlText w:val="o"/>
      <w:lvlJc w:val="left"/>
      <w:pPr>
        <w:ind w:left="5760" w:hanging="360"/>
      </w:pPr>
      <w:rPr>
        <w:rFonts w:ascii="Courier New" w:hAnsi="Courier New" w:hint="default"/>
      </w:rPr>
    </w:lvl>
    <w:lvl w:ilvl="8" w:tplc="5D8E709A">
      <w:start w:val="1"/>
      <w:numFmt w:val="bullet"/>
      <w:lvlText w:val=""/>
      <w:lvlJc w:val="left"/>
      <w:pPr>
        <w:ind w:left="6480" w:hanging="360"/>
      </w:pPr>
      <w:rPr>
        <w:rFonts w:ascii="Wingdings" w:hAnsi="Wingdings" w:hint="default"/>
      </w:rPr>
    </w:lvl>
  </w:abstractNum>
  <w:abstractNum w:abstractNumId="37" w15:restartNumberingAfterBreak="0">
    <w:nsid w:val="3B08A874"/>
    <w:multiLevelType w:val="hybridMultilevel"/>
    <w:tmpl w:val="295AE712"/>
    <w:lvl w:ilvl="0" w:tplc="2BEA08D4">
      <w:start w:val="1"/>
      <w:numFmt w:val="bullet"/>
      <w:lvlText w:val=""/>
      <w:lvlJc w:val="left"/>
      <w:pPr>
        <w:ind w:left="720" w:hanging="360"/>
      </w:pPr>
      <w:rPr>
        <w:rFonts w:ascii="Symbol" w:hAnsi="Symbol" w:hint="default"/>
      </w:rPr>
    </w:lvl>
    <w:lvl w:ilvl="1" w:tplc="2AF2EFB4">
      <w:start w:val="1"/>
      <w:numFmt w:val="bullet"/>
      <w:lvlText w:val="o"/>
      <w:lvlJc w:val="left"/>
      <w:pPr>
        <w:ind w:left="1440" w:hanging="360"/>
      </w:pPr>
      <w:rPr>
        <w:rFonts w:ascii="Courier New" w:hAnsi="Courier New" w:hint="default"/>
      </w:rPr>
    </w:lvl>
    <w:lvl w:ilvl="2" w:tplc="643CD300">
      <w:start w:val="1"/>
      <w:numFmt w:val="bullet"/>
      <w:lvlText w:val=""/>
      <w:lvlJc w:val="left"/>
      <w:pPr>
        <w:ind w:left="2160" w:hanging="360"/>
      </w:pPr>
      <w:rPr>
        <w:rFonts w:ascii="Wingdings" w:hAnsi="Wingdings" w:hint="default"/>
      </w:rPr>
    </w:lvl>
    <w:lvl w:ilvl="3" w:tplc="46465B5E">
      <w:start w:val="1"/>
      <w:numFmt w:val="bullet"/>
      <w:lvlText w:val=""/>
      <w:lvlJc w:val="left"/>
      <w:pPr>
        <w:ind w:left="2880" w:hanging="360"/>
      </w:pPr>
      <w:rPr>
        <w:rFonts w:ascii="Symbol" w:hAnsi="Symbol" w:hint="default"/>
      </w:rPr>
    </w:lvl>
    <w:lvl w:ilvl="4" w:tplc="AEB2876A">
      <w:start w:val="1"/>
      <w:numFmt w:val="bullet"/>
      <w:lvlText w:val="o"/>
      <w:lvlJc w:val="left"/>
      <w:pPr>
        <w:ind w:left="3600" w:hanging="360"/>
      </w:pPr>
      <w:rPr>
        <w:rFonts w:ascii="Courier New" w:hAnsi="Courier New" w:hint="default"/>
      </w:rPr>
    </w:lvl>
    <w:lvl w:ilvl="5" w:tplc="54EA29A0">
      <w:start w:val="1"/>
      <w:numFmt w:val="bullet"/>
      <w:lvlText w:val=""/>
      <w:lvlJc w:val="left"/>
      <w:pPr>
        <w:ind w:left="4320" w:hanging="360"/>
      </w:pPr>
      <w:rPr>
        <w:rFonts w:ascii="Wingdings" w:hAnsi="Wingdings" w:hint="default"/>
      </w:rPr>
    </w:lvl>
    <w:lvl w:ilvl="6" w:tplc="307A20F0">
      <w:start w:val="1"/>
      <w:numFmt w:val="bullet"/>
      <w:lvlText w:val=""/>
      <w:lvlJc w:val="left"/>
      <w:pPr>
        <w:ind w:left="5040" w:hanging="360"/>
      </w:pPr>
      <w:rPr>
        <w:rFonts w:ascii="Symbol" w:hAnsi="Symbol" w:hint="default"/>
      </w:rPr>
    </w:lvl>
    <w:lvl w:ilvl="7" w:tplc="F9C249B6">
      <w:start w:val="1"/>
      <w:numFmt w:val="bullet"/>
      <w:lvlText w:val="o"/>
      <w:lvlJc w:val="left"/>
      <w:pPr>
        <w:ind w:left="5760" w:hanging="360"/>
      </w:pPr>
      <w:rPr>
        <w:rFonts w:ascii="Courier New" w:hAnsi="Courier New" w:hint="default"/>
      </w:rPr>
    </w:lvl>
    <w:lvl w:ilvl="8" w:tplc="5ED200DA">
      <w:start w:val="1"/>
      <w:numFmt w:val="bullet"/>
      <w:lvlText w:val=""/>
      <w:lvlJc w:val="left"/>
      <w:pPr>
        <w:ind w:left="6480" w:hanging="360"/>
      </w:pPr>
      <w:rPr>
        <w:rFonts w:ascii="Wingdings" w:hAnsi="Wingdings" w:hint="default"/>
      </w:rPr>
    </w:lvl>
  </w:abstractNum>
  <w:abstractNum w:abstractNumId="38" w15:restartNumberingAfterBreak="0">
    <w:nsid w:val="3D9CCCA9"/>
    <w:multiLevelType w:val="hybridMultilevel"/>
    <w:tmpl w:val="5DB2E366"/>
    <w:lvl w:ilvl="0" w:tplc="635ACDC2">
      <w:start w:val="1"/>
      <w:numFmt w:val="bullet"/>
      <w:lvlText w:val=""/>
      <w:lvlJc w:val="left"/>
      <w:pPr>
        <w:ind w:left="720" w:hanging="360"/>
      </w:pPr>
      <w:rPr>
        <w:rFonts w:ascii="Symbol" w:hAnsi="Symbol" w:hint="default"/>
      </w:rPr>
    </w:lvl>
    <w:lvl w:ilvl="1" w:tplc="004EF56A">
      <w:start w:val="1"/>
      <w:numFmt w:val="bullet"/>
      <w:lvlText w:val="o"/>
      <w:lvlJc w:val="left"/>
      <w:pPr>
        <w:ind w:left="1440" w:hanging="360"/>
      </w:pPr>
      <w:rPr>
        <w:rFonts w:ascii="Courier New" w:hAnsi="Courier New" w:hint="default"/>
      </w:rPr>
    </w:lvl>
    <w:lvl w:ilvl="2" w:tplc="96FE3BFE">
      <w:start w:val="1"/>
      <w:numFmt w:val="bullet"/>
      <w:lvlText w:val=""/>
      <w:lvlJc w:val="left"/>
      <w:pPr>
        <w:ind w:left="2160" w:hanging="360"/>
      </w:pPr>
      <w:rPr>
        <w:rFonts w:ascii="Wingdings" w:hAnsi="Wingdings" w:hint="default"/>
      </w:rPr>
    </w:lvl>
    <w:lvl w:ilvl="3" w:tplc="E3BC2E38">
      <w:start w:val="1"/>
      <w:numFmt w:val="bullet"/>
      <w:lvlText w:val=""/>
      <w:lvlJc w:val="left"/>
      <w:pPr>
        <w:ind w:left="2880" w:hanging="360"/>
      </w:pPr>
      <w:rPr>
        <w:rFonts w:ascii="Symbol" w:hAnsi="Symbol" w:hint="default"/>
      </w:rPr>
    </w:lvl>
    <w:lvl w:ilvl="4" w:tplc="789C5B26">
      <w:start w:val="1"/>
      <w:numFmt w:val="bullet"/>
      <w:lvlText w:val="o"/>
      <w:lvlJc w:val="left"/>
      <w:pPr>
        <w:ind w:left="3600" w:hanging="360"/>
      </w:pPr>
      <w:rPr>
        <w:rFonts w:ascii="Courier New" w:hAnsi="Courier New" w:hint="default"/>
      </w:rPr>
    </w:lvl>
    <w:lvl w:ilvl="5" w:tplc="322E7E6C">
      <w:start w:val="1"/>
      <w:numFmt w:val="bullet"/>
      <w:lvlText w:val=""/>
      <w:lvlJc w:val="left"/>
      <w:pPr>
        <w:ind w:left="4320" w:hanging="360"/>
      </w:pPr>
      <w:rPr>
        <w:rFonts w:ascii="Wingdings" w:hAnsi="Wingdings" w:hint="default"/>
      </w:rPr>
    </w:lvl>
    <w:lvl w:ilvl="6" w:tplc="99D4042C">
      <w:start w:val="1"/>
      <w:numFmt w:val="bullet"/>
      <w:lvlText w:val=""/>
      <w:lvlJc w:val="left"/>
      <w:pPr>
        <w:ind w:left="5040" w:hanging="360"/>
      </w:pPr>
      <w:rPr>
        <w:rFonts w:ascii="Symbol" w:hAnsi="Symbol" w:hint="default"/>
      </w:rPr>
    </w:lvl>
    <w:lvl w:ilvl="7" w:tplc="554A85DA">
      <w:start w:val="1"/>
      <w:numFmt w:val="bullet"/>
      <w:lvlText w:val="o"/>
      <w:lvlJc w:val="left"/>
      <w:pPr>
        <w:ind w:left="5760" w:hanging="360"/>
      </w:pPr>
      <w:rPr>
        <w:rFonts w:ascii="Courier New" w:hAnsi="Courier New" w:hint="default"/>
      </w:rPr>
    </w:lvl>
    <w:lvl w:ilvl="8" w:tplc="768C709E">
      <w:start w:val="1"/>
      <w:numFmt w:val="bullet"/>
      <w:lvlText w:val=""/>
      <w:lvlJc w:val="left"/>
      <w:pPr>
        <w:ind w:left="6480" w:hanging="360"/>
      </w:pPr>
      <w:rPr>
        <w:rFonts w:ascii="Wingdings" w:hAnsi="Wingdings" w:hint="default"/>
      </w:rPr>
    </w:lvl>
  </w:abstractNum>
  <w:abstractNum w:abstractNumId="39" w15:restartNumberingAfterBreak="0">
    <w:nsid w:val="41CDCE3E"/>
    <w:multiLevelType w:val="hybridMultilevel"/>
    <w:tmpl w:val="FFFFFFFF"/>
    <w:lvl w:ilvl="0" w:tplc="78CA7ACA">
      <w:start w:val="1"/>
      <w:numFmt w:val="bullet"/>
      <w:lvlText w:val=""/>
      <w:lvlJc w:val="left"/>
      <w:pPr>
        <w:ind w:left="720" w:hanging="360"/>
      </w:pPr>
      <w:rPr>
        <w:rFonts w:ascii="Symbol" w:hAnsi="Symbol" w:hint="default"/>
      </w:rPr>
    </w:lvl>
    <w:lvl w:ilvl="1" w:tplc="05F25EB4">
      <w:start w:val="1"/>
      <w:numFmt w:val="bullet"/>
      <w:lvlText w:val="o"/>
      <w:lvlJc w:val="left"/>
      <w:pPr>
        <w:ind w:left="1440" w:hanging="360"/>
      </w:pPr>
      <w:rPr>
        <w:rFonts w:ascii="Courier New" w:hAnsi="Courier New" w:hint="default"/>
      </w:rPr>
    </w:lvl>
    <w:lvl w:ilvl="2" w:tplc="9114435A">
      <w:start w:val="1"/>
      <w:numFmt w:val="bullet"/>
      <w:lvlText w:val=""/>
      <w:lvlJc w:val="left"/>
      <w:pPr>
        <w:ind w:left="2160" w:hanging="360"/>
      </w:pPr>
      <w:rPr>
        <w:rFonts w:ascii="Wingdings" w:hAnsi="Wingdings" w:hint="default"/>
      </w:rPr>
    </w:lvl>
    <w:lvl w:ilvl="3" w:tplc="2E980BDE">
      <w:start w:val="1"/>
      <w:numFmt w:val="bullet"/>
      <w:lvlText w:val=""/>
      <w:lvlJc w:val="left"/>
      <w:pPr>
        <w:ind w:left="2880" w:hanging="360"/>
      </w:pPr>
      <w:rPr>
        <w:rFonts w:ascii="Symbol" w:hAnsi="Symbol" w:hint="default"/>
      </w:rPr>
    </w:lvl>
    <w:lvl w:ilvl="4" w:tplc="87C8AC28">
      <w:start w:val="1"/>
      <w:numFmt w:val="bullet"/>
      <w:lvlText w:val="o"/>
      <w:lvlJc w:val="left"/>
      <w:pPr>
        <w:ind w:left="3600" w:hanging="360"/>
      </w:pPr>
      <w:rPr>
        <w:rFonts w:ascii="Courier New" w:hAnsi="Courier New" w:hint="default"/>
      </w:rPr>
    </w:lvl>
    <w:lvl w:ilvl="5" w:tplc="F5CE96FE">
      <w:start w:val="1"/>
      <w:numFmt w:val="bullet"/>
      <w:lvlText w:val=""/>
      <w:lvlJc w:val="left"/>
      <w:pPr>
        <w:ind w:left="4320" w:hanging="360"/>
      </w:pPr>
      <w:rPr>
        <w:rFonts w:ascii="Wingdings" w:hAnsi="Wingdings" w:hint="default"/>
      </w:rPr>
    </w:lvl>
    <w:lvl w:ilvl="6" w:tplc="240C592C">
      <w:start w:val="1"/>
      <w:numFmt w:val="bullet"/>
      <w:lvlText w:val=""/>
      <w:lvlJc w:val="left"/>
      <w:pPr>
        <w:ind w:left="5040" w:hanging="360"/>
      </w:pPr>
      <w:rPr>
        <w:rFonts w:ascii="Symbol" w:hAnsi="Symbol" w:hint="default"/>
      </w:rPr>
    </w:lvl>
    <w:lvl w:ilvl="7" w:tplc="4F14331A">
      <w:start w:val="1"/>
      <w:numFmt w:val="bullet"/>
      <w:lvlText w:val="o"/>
      <w:lvlJc w:val="left"/>
      <w:pPr>
        <w:ind w:left="5760" w:hanging="360"/>
      </w:pPr>
      <w:rPr>
        <w:rFonts w:ascii="Courier New" w:hAnsi="Courier New" w:hint="default"/>
      </w:rPr>
    </w:lvl>
    <w:lvl w:ilvl="8" w:tplc="D0BAF858">
      <w:start w:val="1"/>
      <w:numFmt w:val="bullet"/>
      <w:lvlText w:val=""/>
      <w:lvlJc w:val="left"/>
      <w:pPr>
        <w:ind w:left="6480" w:hanging="360"/>
      </w:pPr>
      <w:rPr>
        <w:rFonts w:ascii="Wingdings" w:hAnsi="Wingdings" w:hint="default"/>
      </w:rPr>
    </w:lvl>
  </w:abstractNum>
  <w:abstractNum w:abstractNumId="40" w15:restartNumberingAfterBreak="0">
    <w:nsid w:val="4367E8B0"/>
    <w:multiLevelType w:val="hybridMultilevel"/>
    <w:tmpl w:val="FFFFFFFF"/>
    <w:lvl w:ilvl="0" w:tplc="3440EB92">
      <w:start w:val="1"/>
      <w:numFmt w:val="bullet"/>
      <w:lvlText w:val=""/>
      <w:lvlJc w:val="left"/>
      <w:pPr>
        <w:ind w:left="1080" w:hanging="360"/>
      </w:pPr>
      <w:rPr>
        <w:rFonts w:ascii="Symbol" w:hAnsi="Symbol" w:hint="default"/>
      </w:rPr>
    </w:lvl>
    <w:lvl w:ilvl="1" w:tplc="D6F64024">
      <w:start w:val="1"/>
      <w:numFmt w:val="bullet"/>
      <w:lvlText w:val="o"/>
      <w:lvlJc w:val="left"/>
      <w:pPr>
        <w:ind w:left="1800" w:hanging="360"/>
      </w:pPr>
      <w:rPr>
        <w:rFonts w:ascii="Courier New" w:hAnsi="Courier New" w:hint="default"/>
      </w:rPr>
    </w:lvl>
    <w:lvl w:ilvl="2" w:tplc="309A0624">
      <w:start w:val="1"/>
      <w:numFmt w:val="bullet"/>
      <w:lvlText w:val=""/>
      <w:lvlJc w:val="left"/>
      <w:pPr>
        <w:ind w:left="2520" w:hanging="360"/>
      </w:pPr>
      <w:rPr>
        <w:rFonts w:ascii="Wingdings" w:hAnsi="Wingdings" w:hint="default"/>
      </w:rPr>
    </w:lvl>
    <w:lvl w:ilvl="3" w:tplc="D2406AEC">
      <w:start w:val="1"/>
      <w:numFmt w:val="bullet"/>
      <w:lvlText w:val=""/>
      <w:lvlJc w:val="left"/>
      <w:pPr>
        <w:ind w:left="3240" w:hanging="360"/>
      </w:pPr>
      <w:rPr>
        <w:rFonts w:ascii="Symbol" w:hAnsi="Symbol" w:hint="default"/>
      </w:rPr>
    </w:lvl>
    <w:lvl w:ilvl="4" w:tplc="57387956">
      <w:start w:val="1"/>
      <w:numFmt w:val="bullet"/>
      <w:lvlText w:val="o"/>
      <w:lvlJc w:val="left"/>
      <w:pPr>
        <w:ind w:left="3960" w:hanging="360"/>
      </w:pPr>
      <w:rPr>
        <w:rFonts w:ascii="Courier New" w:hAnsi="Courier New" w:hint="default"/>
      </w:rPr>
    </w:lvl>
    <w:lvl w:ilvl="5" w:tplc="3CD08746">
      <w:start w:val="1"/>
      <w:numFmt w:val="bullet"/>
      <w:lvlText w:val=""/>
      <w:lvlJc w:val="left"/>
      <w:pPr>
        <w:ind w:left="4680" w:hanging="360"/>
      </w:pPr>
      <w:rPr>
        <w:rFonts w:ascii="Wingdings" w:hAnsi="Wingdings" w:hint="default"/>
      </w:rPr>
    </w:lvl>
    <w:lvl w:ilvl="6" w:tplc="31BED0E0">
      <w:start w:val="1"/>
      <w:numFmt w:val="bullet"/>
      <w:lvlText w:val=""/>
      <w:lvlJc w:val="left"/>
      <w:pPr>
        <w:ind w:left="5400" w:hanging="360"/>
      </w:pPr>
      <w:rPr>
        <w:rFonts w:ascii="Symbol" w:hAnsi="Symbol" w:hint="default"/>
      </w:rPr>
    </w:lvl>
    <w:lvl w:ilvl="7" w:tplc="BD60C62E">
      <w:start w:val="1"/>
      <w:numFmt w:val="bullet"/>
      <w:lvlText w:val="o"/>
      <w:lvlJc w:val="left"/>
      <w:pPr>
        <w:ind w:left="6120" w:hanging="360"/>
      </w:pPr>
      <w:rPr>
        <w:rFonts w:ascii="Courier New" w:hAnsi="Courier New" w:hint="default"/>
      </w:rPr>
    </w:lvl>
    <w:lvl w:ilvl="8" w:tplc="5DBA37A6">
      <w:start w:val="1"/>
      <w:numFmt w:val="bullet"/>
      <w:lvlText w:val=""/>
      <w:lvlJc w:val="left"/>
      <w:pPr>
        <w:ind w:left="6840" w:hanging="360"/>
      </w:pPr>
      <w:rPr>
        <w:rFonts w:ascii="Wingdings" w:hAnsi="Wingdings" w:hint="default"/>
      </w:rPr>
    </w:lvl>
  </w:abstractNum>
  <w:abstractNum w:abstractNumId="41" w15:restartNumberingAfterBreak="0">
    <w:nsid w:val="43F6E1DC"/>
    <w:multiLevelType w:val="hybridMultilevel"/>
    <w:tmpl w:val="788C30EC"/>
    <w:lvl w:ilvl="0" w:tplc="2DFA5058">
      <w:start w:val="1"/>
      <w:numFmt w:val="bullet"/>
      <w:lvlText w:val=""/>
      <w:lvlJc w:val="left"/>
      <w:pPr>
        <w:ind w:left="720" w:hanging="360"/>
      </w:pPr>
      <w:rPr>
        <w:rFonts w:ascii="Symbol" w:hAnsi="Symbol" w:hint="default"/>
      </w:rPr>
    </w:lvl>
    <w:lvl w:ilvl="1" w:tplc="CFD0124C">
      <w:start w:val="1"/>
      <w:numFmt w:val="bullet"/>
      <w:lvlText w:val="o"/>
      <w:lvlJc w:val="left"/>
      <w:pPr>
        <w:ind w:left="1440" w:hanging="360"/>
      </w:pPr>
      <w:rPr>
        <w:rFonts w:ascii="Courier New" w:hAnsi="Courier New" w:hint="default"/>
      </w:rPr>
    </w:lvl>
    <w:lvl w:ilvl="2" w:tplc="3912EC64">
      <w:start w:val="1"/>
      <w:numFmt w:val="bullet"/>
      <w:lvlText w:val=""/>
      <w:lvlJc w:val="left"/>
      <w:pPr>
        <w:ind w:left="2160" w:hanging="360"/>
      </w:pPr>
      <w:rPr>
        <w:rFonts w:ascii="Wingdings" w:hAnsi="Wingdings" w:hint="default"/>
      </w:rPr>
    </w:lvl>
    <w:lvl w:ilvl="3" w:tplc="72629B64">
      <w:start w:val="1"/>
      <w:numFmt w:val="bullet"/>
      <w:lvlText w:val=""/>
      <w:lvlJc w:val="left"/>
      <w:pPr>
        <w:ind w:left="2880" w:hanging="360"/>
      </w:pPr>
      <w:rPr>
        <w:rFonts w:ascii="Symbol" w:hAnsi="Symbol" w:hint="default"/>
      </w:rPr>
    </w:lvl>
    <w:lvl w:ilvl="4" w:tplc="E8F49C00">
      <w:start w:val="1"/>
      <w:numFmt w:val="bullet"/>
      <w:lvlText w:val="o"/>
      <w:lvlJc w:val="left"/>
      <w:pPr>
        <w:ind w:left="3600" w:hanging="360"/>
      </w:pPr>
      <w:rPr>
        <w:rFonts w:ascii="Courier New" w:hAnsi="Courier New" w:hint="default"/>
      </w:rPr>
    </w:lvl>
    <w:lvl w:ilvl="5" w:tplc="26DA0352">
      <w:start w:val="1"/>
      <w:numFmt w:val="bullet"/>
      <w:lvlText w:val=""/>
      <w:lvlJc w:val="left"/>
      <w:pPr>
        <w:ind w:left="4320" w:hanging="360"/>
      </w:pPr>
      <w:rPr>
        <w:rFonts w:ascii="Wingdings" w:hAnsi="Wingdings" w:hint="default"/>
      </w:rPr>
    </w:lvl>
    <w:lvl w:ilvl="6" w:tplc="A74C946C">
      <w:start w:val="1"/>
      <w:numFmt w:val="bullet"/>
      <w:lvlText w:val=""/>
      <w:lvlJc w:val="left"/>
      <w:pPr>
        <w:ind w:left="5040" w:hanging="360"/>
      </w:pPr>
      <w:rPr>
        <w:rFonts w:ascii="Symbol" w:hAnsi="Symbol" w:hint="default"/>
      </w:rPr>
    </w:lvl>
    <w:lvl w:ilvl="7" w:tplc="87A8ADDA">
      <w:start w:val="1"/>
      <w:numFmt w:val="bullet"/>
      <w:lvlText w:val="o"/>
      <w:lvlJc w:val="left"/>
      <w:pPr>
        <w:ind w:left="5760" w:hanging="360"/>
      </w:pPr>
      <w:rPr>
        <w:rFonts w:ascii="Courier New" w:hAnsi="Courier New" w:hint="default"/>
      </w:rPr>
    </w:lvl>
    <w:lvl w:ilvl="8" w:tplc="FC7E22E8">
      <w:start w:val="1"/>
      <w:numFmt w:val="bullet"/>
      <w:lvlText w:val=""/>
      <w:lvlJc w:val="left"/>
      <w:pPr>
        <w:ind w:left="6480" w:hanging="360"/>
      </w:pPr>
      <w:rPr>
        <w:rFonts w:ascii="Wingdings" w:hAnsi="Wingdings" w:hint="default"/>
      </w:rPr>
    </w:lvl>
  </w:abstractNum>
  <w:abstractNum w:abstractNumId="42" w15:restartNumberingAfterBreak="0">
    <w:nsid w:val="44D72272"/>
    <w:multiLevelType w:val="hybridMultilevel"/>
    <w:tmpl w:val="FFFFFFFF"/>
    <w:lvl w:ilvl="0" w:tplc="2E04C172">
      <w:start w:val="1"/>
      <w:numFmt w:val="bullet"/>
      <w:lvlText w:val=""/>
      <w:lvlJc w:val="left"/>
      <w:pPr>
        <w:ind w:left="720" w:hanging="360"/>
      </w:pPr>
      <w:rPr>
        <w:rFonts w:ascii="Symbol" w:hAnsi="Symbol" w:hint="default"/>
      </w:rPr>
    </w:lvl>
    <w:lvl w:ilvl="1" w:tplc="DD7ECA74">
      <w:start w:val="1"/>
      <w:numFmt w:val="bullet"/>
      <w:lvlText w:val="o"/>
      <w:lvlJc w:val="left"/>
      <w:pPr>
        <w:ind w:left="1440" w:hanging="360"/>
      </w:pPr>
      <w:rPr>
        <w:rFonts w:ascii="Courier New" w:hAnsi="Courier New" w:hint="default"/>
      </w:rPr>
    </w:lvl>
    <w:lvl w:ilvl="2" w:tplc="400C6DFC">
      <w:start w:val="1"/>
      <w:numFmt w:val="bullet"/>
      <w:lvlText w:val=""/>
      <w:lvlJc w:val="left"/>
      <w:pPr>
        <w:ind w:left="2160" w:hanging="360"/>
      </w:pPr>
      <w:rPr>
        <w:rFonts w:ascii="Wingdings" w:hAnsi="Wingdings" w:hint="default"/>
      </w:rPr>
    </w:lvl>
    <w:lvl w:ilvl="3" w:tplc="FB663CF6">
      <w:start w:val="1"/>
      <w:numFmt w:val="bullet"/>
      <w:lvlText w:val=""/>
      <w:lvlJc w:val="left"/>
      <w:pPr>
        <w:ind w:left="2880" w:hanging="360"/>
      </w:pPr>
      <w:rPr>
        <w:rFonts w:ascii="Symbol" w:hAnsi="Symbol" w:hint="default"/>
      </w:rPr>
    </w:lvl>
    <w:lvl w:ilvl="4" w:tplc="063A207E">
      <w:start w:val="1"/>
      <w:numFmt w:val="bullet"/>
      <w:lvlText w:val="o"/>
      <w:lvlJc w:val="left"/>
      <w:pPr>
        <w:ind w:left="3600" w:hanging="360"/>
      </w:pPr>
      <w:rPr>
        <w:rFonts w:ascii="Courier New" w:hAnsi="Courier New" w:hint="default"/>
      </w:rPr>
    </w:lvl>
    <w:lvl w:ilvl="5" w:tplc="ED380594">
      <w:start w:val="1"/>
      <w:numFmt w:val="bullet"/>
      <w:lvlText w:val=""/>
      <w:lvlJc w:val="left"/>
      <w:pPr>
        <w:ind w:left="4320" w:hanging="360"/>
      </w:pPr>
      <w:rPr>
        <w:rFonts w:ascii="Wingdings" w:hAnsi="Wingdings" w:hint="default"/>
      </w:rPr>
    </w:lvl>
    <w:lvl w:ilvl="6" w:tplc="5BEABD5C">
      <w:start w:val="1"/>
      <w:numFmt w:val="bullet"/>
      <w:lvlText w:val=""/>
      <w:lvlJc w:val="left"/>
      <w:pPr>
        <w:ind w:left="5040" w:hanging="360"/>
      </w:pPr>
      <w:rPr>
        <w:rFonts w:ascii="Symbol" w:hAnsi="Symbol" w:hint="default"/>
      </w:rPr>
    </w:lvl>
    <w:lvl w:ilvl="7" w:tplc="099C2004">
      <w:start w:val="1"/>
      <w:numFmt w:val="bullet"/>
      <w:lvlText w:val="o"/>
      <w:lvlJc w:val="left"/>
      <w:pPr>
        <w:ind w:left="5760" w:hanging="360"/>
      </w:pPr>
      <w:rPr>
        <w:rFonts w:ascii="Courier New" w:hAnsi="Courier New" w:hint="default"/>
      </w:rPr>
    </w:lvl>
    <w:lvl w:ilvl="8" w:tplc="BCF229F6">
      <w:start w:val="1"/>
      <w:numFmt w:val="bullet"/>
      <w:lvlText w:val=""/>
      <w:lvlJc w:val="left"/>
      <w:pPr>
        <w:ind w:left="6480" w:hanging="360"/>
      </w:pPr>
      <w:rPr>
        <w:rFonts w:ascii="Wingdings" w:hAnsi="Wingdings" w:hint="default"/>
      </w:rPr>
    </w:lvl>
  </w:abstractNum>
  <w:abstractNum w:abstractNumId="43" w15:restartNumberingAfterBreak="0">
    <w:nsid w:val="47EC6F1B"/>
    <w:multiLevelType w:val="hybridMultilevel"/>
    <w:tmpl w:val="DA4298B6"/>
    <w:lvl w:ilvl="0" w:tplc="0FA22150">
      <w:start w:val="1"/>
      <w:numFmt w:val="bullet"/>
      <w:lvlText w:val=""/>
      <w:lvlJc w:val="left"/>
      <w:pPr>
        <w:ind w:left="720" w:hanging="360"/>
      </w:pPr>
      <w:rPr>
        <w:rFonts w:ascii="Symbol" w:hAnsi="Symbol" w:hint="default"/>
      </w:rPr>
    </w:lvl>
    <w:lvl w:ilvl="1" w:tplc="3A3C7984">
      <w:start w:val="1"/>
      <w:numFmt w:val="bullet"/>
      <w:lvlText w:val="o"/>
      <w:lvlJc w:val="left"/>
      <w:pPr>
        <w:ind w:left="1440" w:hanging="360"/>
      </w:pPr>
      <w:rPr>
        <w:rFonts w:ascii="Courier New" w:hAnsi="Courier New" w:hint="default"/>
      </w:rPr>
    </w:lvl>
    <w:lvl w:ilvl="2" w:tplc="379EF514">
      <w:start w:val="1"/>
      <w:numFmt w:val="bullet"/>
      <w:lvlText w:val=""/>
      <w:lvlJc w:val="left"/>
      <w:pPr>
        <w:ind w:left="2160" w:hanging="360"/>
      </w:pPr>
      <w:rPr>
        <w:rFonts w:ascii="Wingdings" w:hAnsi="Wingdings" w:hint="default"/>
      </w:rPr>
    </w:lvl>
    <w:lvl w:ilvl="3" w:tplc="BE263EFC">
      <w:start w:val="1"/>
      <w:numFmt w:val="bullet"/>
      <w:lvlText w:val=""/>
      <w:lvlJc w:val="left"/>
      <w:pPr>
        <w:ind w:left="2880" w:hanging="360"/>
      </w:pPr>
      <w:rPr>
        <w:rFonts w:ascii="Symbol" w:hAnsi="Symbol" w:hint="default"/>
      </w:rPr>
    </w:lvl>
    <w:lvl w:ilvl="4" w:tplc="B8761970">
      <w:start w:val="1"/>
      <w:numFmt w:val="bullet"/>
      <w:lvlText w:val="o"/>
      <w:lvlJc w:val="left"/>
      <w:pPr>
        <w:ind w:left="3600" w:hanging="360"/>
      </w:pPr>
      <w:rPr>
        <w:rFonts w:ascii="Courier New" w:hAnsi="Courier New" w:hint="default"/>
      </w:rPr>
    </w:lvl>
    <w:lvl w:ilvl="5" w:tplc="5E2E9208">
      <w:start w:val="1"/>
      <w:numFmt w:val="bullet"/>
      <w:lvlText w:val=""/>
      <w:lvlJc w:val="left"/>
      <w:pPr>
        <w:ind w:left="4320" w:hanging="360"/>
      </w:pPr>
      <w:rPr>
        <w:rFonts w:ascii="Wingdings" w:hAnsi="Wingdings" w:hint="default"/>
      </w:rPr>
    </w:lvl>
    <w:lvl w:ilvl="6" w:tplc="E4CC0438">
      <w:start w:val="1"/>
      <w:numFmt w:val="bullet"/>
      <w:lvlText w:val=""/>
      <w:lvlJc w:val="left"/>
      <w:pPr>
        <w:ind w:left="5040" w:hanging="360"/>
      </w:pPr>
      <w:rPr>
        <w:rFonts w:ascii="Symbol" w:hAnsi="Symbol" w:hint="default"/>
      </w:rPr>
    </w:lvl>
    <w:lvl w:ilvl="7" w:tplc="36D29B58">
      <w:start w:val="1"/>
      <w:numFmt w:val="bullet"/>
      <w:lvlText w:val="o"/>
      <w:lvlJc w:val="left"/>
      <w:pPr>
        <w:ind w:left="5760" w:hanging="360"/>
      </w:pPr>
      <w:rPr>
        <w:rFonts w:ascii="Courier New" w:hAnsi="Courier New" w:hint="default"/>
      </w:rPr>
    </w:lvl>
    <w:lvl w:ilvl="8" w:tplc="F990CF80">
      <w:start w:val="1"/>
      <w:numFmt w:val="bullet"/>
      <w:lvlText w:val=""/>
      <w:lvlJc w:val="left"/>
      <w:pPr>
        <w:ind w:left="6480" w:hanging="360"/>
      </w:pPr>
      <w:rPr>
        <w:rFonts w:ascii="Wingdings" w:hAnsi="Wingdings" w:hint="default"/>
      </w:rPr>
    </w:lvl>
  </w:abstractNum>
  <w:abstractNum w:abstractNumId="44" w15:restartNumberingAfterBreak="0">
    <w:nsid w:val="49C9E747"/>
    <w:multiLevelType w:val="hybridMultilevel"/>
    <w:tmpl w:val="600AB28E"/>
    <w:lvl w:ilvl="0" w:tplc="63AADBEE">
      <w:start w:val="1"/>
      <w:numFmt w:val="bullet"/>
      <w:lvlText w:val=""/>
      <w:lvlJc w:val="left"/>
      <w:pPr>
        <w:ind w:left="720" w:hanging="360"/>
      </w:pPr>
      <w:rPr>
        <w:rFonts w:ascii="Symbol" w:hAnsi="Symbol" w:hint="default"/>
      </w:rPr>
    </w:lvl>
    <w:lvl w:ilvl="1" w:tplc="F23206D4">
      <w:start w:val="1"/>
      <w:numFmt w:val="bullet"/>
      <w:lvlText w:val="o"/>
      <w:lvlJc w:val="left"/>
      <w:pPr>
        <w:ind w:left="1440" w:hanging="360"/>
      </w:pPr>
      <w:rPr>
        <w:rFonts w:ascii="Courier New" w:hAnsi="Courier New" w:hint="default"/>
      </w:rPr>
    </w:lvl>
    <w:lvl w:ilvl="2" w:tplc="47482854">
      <w:start w:val="1"/>
      <w:numFmt w:val="bullet"/>
      <w:lvlText w:val=""/>
      <w:lvlJc w:val="left"/>
      <w:pPr>
        <w:ind w:left="2160" w:hanging="360"/>
      </w:pPr>
      <w:rPr>
        <w:rFonts w:ascii="Wingdings" w:hAnsi="Wingdings" w:hint="default"/>
      </w:rPr>
    </w:lvl>
    <w:lvl w:ilvl="3" w:tplc="9D961E68">
      <w:start w:val="1"/>
      <w:numFmt w:val="bullet"/>
      <w:lvlText w:val=""/>
      <w:lvlJc w:val="left"/>
      <w:pPr>
        <w:ind w:left="2880" w:hanging="360"/>
      </w:pPr>
      <w:rPr>
        <w:rFonts w:ascii="Symbol" w:hAnsi="Symbol" w:hint="default"/>
      </w:rPr>
    </w:lvl>
    <w:lvl w:ilvl="4" w:tplc="EF264A0E">
      <w:start w:val="1"/>
      <w:numFmt w:val="bullet"/>
      <w:lvlText w:val="o"/>
      <w:lvlJc w:val="left"/>
      <w:pPr>
        <w:ind w:left="3600" w:hanging="360"/>
      </w:pPr>
      <w:rPr>
        <w:rFonts w:ascii="Courier New" w:hAnsi="Courier New" w:hint="default"/>
      </w:rPr>
    </w:lvl>
    <w:lvl w:ilvl="5" w:tplc="8870A908">
      <w:start w:val="1"/>
      <w:numFmt w:val="bullet"/>
      <w:lvlText w:val=""/>
      <w:lvlJc w:val="left"/>
      <w:pPr>
        <w:ind w:left="4320" w:hanging="360"/>
      </w:pPr>
      <w:rPr>
        <w:rFonts w:ascii="Wingdings" w:hAnsi="Wingdings" w:hint="default"/>
      </w:rPr>
    </w:lvl>
    <w:lvl w:ilvl="6" w:tplc="043E3244">
      <w:start w:val="1"/>
      <w:numFmt w:val="bullet"/>
      <w:lvlText w:val=""/>
      <w:lvlJc w:val="left"/>
      <w:pPr>
        <w:ind w:left="5040" w:hanging="360"/>
      </w:pPr>
      <w:rPr>
        <w:rFonts w:ascii="Symbol" w:hAnsi="Symbol" w:hint="default"/>
      </w:rPr>
    </w:lvl>
    <w:lvl w:ilvl="7" w:tplc="C01C8D94">
      <w:start w:val="1"/>
      <w:numFmt w:val="bullet"/>
      <w:lvlText w:val="o"/>
      <w:lvlJc w:val="left"/>
      <w:pPr>
        <w:ind w:left="5760" w:hanging="360"/>
      </w:pPr>
      <w:rPr>
        <w:rFonts w:ascii="Courier New" w:hAnsi="Courier New" w:hint="default"/>
      </w:rPr>
    </w:lvl>
    <w:lvl w:ilvl="8" w:tplc="11A40A38">
      <w:start w:val="1"/>
      <w:numFmt w:val="bullet"/>
      <w:lvlText w:val=""/>
      <w:lvlJc w:val="left"/>
      <w:pPr>
        <w:ind w:left="6480" w:hanging="360"/>
      </w:pPr>
      <w:rPr>
        <w:rFonts w:ascii="Wingdings" w:hAnsi="Wingdings" w:hint="default"/>
      </w:rPr>
    </w:lvl>
  </w:abstractNum>
  <w:abstractNum w:abstractNumId="45" w15:restartNumberingAfterBreak="0">
    <w:nsid w:val="4A123FB5"/>
    <w:multiLevelType w:val="hybridMultilevel"/>
    <w:tmpl w:val="890C2024"/>
    <w:lvl w:ilvl="0" w:tplc="603A2792">
      <w:start w:val="1"/>
      <w:numFmt w:val="bullet"/>
      <w:lvlText w:val=""/>
      <w:lvlJc w:val="left"/>
      <w:pPr>
        <w:ind w:left="720" w:hanging="360"/>
      </w:pPr>
      <w:rPr>
        <w:rFonts w:ascii="Symbol" w:hAnsi="Symbol" w:hint="default"/>
      </w:rPr>
    </w:lvl>
    <w:lvl w:ilvl="1" w:tplc="73F6489E">
      <w:start w:val="1"/>
      <w:numFmt w:val="bullet"/>
      <w:lvlText w:val="o"/>
      <w:lvlJc w:val="left"/>
      <w:pPr>
        <w:ind w:left="1440" w:hanging="360"/>
      </w:pPr>
      <w:rPr>
        <w:rFonts w:ascii="Courier New" w:hAnsi="Courier New" w:hint="default"/>
      </w:rPr>
    </w:lvl>
    <w:lvl w:ilvl="2" w:tplc="5EF420B8">
      <w:start w:val="1"/>
      <w:numFmt w:val="bullet"/>
      <w:lvlText w:val=""/>
      <w:lvlJc w:val="left"/>
      <w:pPr>
        <w:ind w:left="2160" w:hanging="360"/>
      </w:pPr>
      <w:rPr>
        <w:rFonts w:ascii="Wingdings" w:hAnsi="Wingdings" w:hint="default"/>
      </w:rPr>
    </w:lvl>
    <w:lvl w:ilvl="3" w:tplc="A1745236">
      <w:start w:val="1"/>
      <w:numFmt w:val="bullet"/>
      <w:lvlText w:val=""/>
      <w:lvlJc w:val="left"/>
      <w:pPr>
        <w:ind w:left="2880" w:hanging="360"/>
      </w:pPr>
      <w:rPr>
        <w:rFonts w:ascii="Symbol" w:hAnsi="Symbol" w:hint="default"/>
      </w:rPr>
    </w:lvl>
    <w:lvl w:ilvl="4" w:tplc="77020E84">
      <w:start w:val="1"/>
      <w:numFmt w:val="bullet"/>
      <w:lvlText w:val="o"/>
      <w:lvlJc w:val="left"/>
      <w:pPr>
        <w:ind w:left="3600" w:hanging="360"/>
      </w:pPr>
      <w:rPr>
        <w:rFonts w:ascii="Courier New" w:hAnsi="Courier New" w:hint="default"/>
      </w:rPr>
    </w:lvl>
    <w:lvl w:ilvl="5" w:tplc="4A5CF96C">
      <w:start w:val="1"/>
      <w:numFmt w:val="bullet"/>
      <w:lvlText w:val=""/>
      <w:lvlJc w:val="left"/>
      <w:pPr>
        <w:ind w:left="4320" w:hanging="360"/>
      </w:pPr>
      <w:rPr>
        <w:rFonts w:ascii="Wingdings" w:hAnsi="Wingdings" w:hint="default"/>
      </w:rPr>
    </w:lvl>
    <w:lvl w:ilvl="6" w:tplc="3E964CB0">
      <w:start w:val="1"/>
      <w:numFmt w:val="bullet"/>
      <w:lvlText w:val=""/>
      <w:lvlJc w:val="left"/>
      <w:pPr>
        <w:ind w:left="5040" w:hanging="360"/>
      </w:pPr>
      <w:rPr>
        <w:rFonts w:ascii="Symbol" w:hAnsi="Symbol" w:hint="default"/>
      </w:rPr>
    </w:lvl>
    <w:lvl w:ilvl="7" w:tplc="59D83E28">
      <w:start w:val="1"/>
      <w:numFmt w:val="bullet"/>
      <w:lvlText w:val="o"/>
      <w:lvlJc w:val="left"/>
      <w:pPr>
        <w:ind w:left="5760" w:hanging="360"/>
      </w:pPr>
      <w:rPr>
        <w:rFonts w:ascii="Courier New" w:hAnsi="Courier New" w:hint="default"/>
      </w:rPr>
    </w:lvl>
    <w:lvl w:ilvl="8" w:tplc="FED03F64">
      <w:start w:val="1"/>
      <w:numFmt w:val="bullet"/>
      <w:lvlText w:val=""/>
      <w:lvlJc w:val="left"/>
      <w:pPr>
        <w:ind w:left="6480" w:hanging="360"/>
      </w:pPr>
      <w:rPr>
        <w:rFonts w:ascii="Wingdings" w:hAnsi="Wingdings" w:hint="default"/>
      </w:rPr>
    </w:lvl>
  </w:abstractNum>
  <w:abstractNum w:abstractNumId="46" w15:restartNumberingAfterBreak="0">
    <w:nsid w:val="4D7B13D6"/>
    <w:multiLevelType w:val="hybridMultilevel"/>
    <w:tmpl w:val="7FF0BC86"/>
    <w:lvl w:ilvl="0" w:tplc="F822C518">
      <w:start w:val="1"/>
      <w:numFmt w:val="bullet"/>
      <w:lvlText w:val=""/>
      <w:lvlJc w:val="left"/>
      <w:pPr>
        <w:ind w:left="720" w:hanging="360"/>
      </w:pPr>
      <w:rPr>
        <w:rFonts w:ascii="Symbol" w:hAnsi="Symbol" w:hint="default"/>
      </w:rPr>
    </w:lvl>
    <w:lvl w:ilvl="1" w:tplc="BE44CF18">
      <w:start w:val="1"/>
      <w:numFmt w:val="bullet"/>
      <w:lvlText w:val="o"/>
      <w:lvlJc w:val="left"/>
      <w:pPr>
        <w:ind w:left="1440" w:hanging="360"/>
      </w:pPr>
      <w:rPr>
        <w:rFonts w:ascii="Courier New" w:hAnsi="Courier New" w:hint="default"/>
      </w:rPr>
    </w:lvl>
    <w:lvl w:ilvl="2" w:tplc="4298469E">
      <w:start w:val="1"/>
      <w:numFmt w:val="bullet"/>
      <w:lvlText w:val=""/>
      <w:lvlJc w:val="left"/>
      <w:pPr>
        <w:ind w:left="2160" w:hanging="360"/>
      </w:pPr>
      <w:rPr>
        <w:rFonts w:ascii="Wingdings" w:hAnsi="Wingdings" w:hint="default"/>
      </w:rPr>
    </w:lvl>
    <w:lvl w:ilvl="3" w:tplc="6C7E7C64">
      <w:start w:val="1"/>
      <w:numFmt w:val="bullet"/>
      <w:lvlText w:val=""/>
      <w:lvlJc w:val="left"/>
      <w:pPr>
        <w:ind w:left="2880" w:hanging="360"/>
      </w:pPr>
      <w:rPr>
        <w:rFonts w:ascii="Symbol" w:hAnsi="Symbol" w:hint="default"/>
      </w:rPr>
    </w:lvl>
    <w:lvl w:ilvl="4" w:tplc="828493B0">
      <w:start w:val="1"/>
      <w:numFmt w:val="bullet"/>
      <w:lvlText w:val="o"/>
      <w:lvlJc w:val="left"/>
      <w:pPr>
        <w:ind w:left="3600" w:hanging="360"/>
      </w:pPr>
      <w:rPr>
        <w:rFonts w:ascii="Courier New" w:hAnsi="Courier New" w:hint="default"/>
      </w:rPr>
    </w:lvl>
    <w:lvl w:ilvl="5" w:tplc="36C0E5D6">
      <w:start w:val="1"/>
      <w:numFmt w:val="bullet"/>
      <w:lvlText w:val=""/>
      <w:lvlJc w:val="left"/>
      <w:pPr>
        <w:ind w:left="4320" w:hanging="360"/>
      </w:pPr>
      <w:rPr>
        <w:rFonts w:ascii="Wingdings" w:hAnsi="Wingdings" w:hint="default"/>
      </w:rPr>
    </w:lvl>
    <w:lvl w:ilvl="6" w:tplc="C3B814C8">
      <w:start w:val="1"/>
      <w:numFmt w:val="bullet"/>
      <w:lvlText w:val=""/>
      <w:lvlJc w:val="left"/>
      <w:pPr>
        <w:ind w:left="5040" w:hanging="360"/>
      </w:pPr>
      <w:rPr>
        <w:rFonts w:ascii="Symbol" w:hAnsi="Symbol" w:hint="default"/>
      </w:rPr>
    </w:lvl>
    <w:lvl w:ilvl="7" w:tplc="AFCCB98C">
      <w:start w:val="1"/>
      <w:numFmt w:val="bullet"/>
      <w:lvlText w:val="o"/>
      <w:lvlJc w:val="left"/>
      <w:pPr>
        <w:ind w:left="5760" w:hanging="360"/>
      </w:pPr>
      <w:rPr>
        <w:rFonts w:ascii="Courier New" w:hAnsi="Courier New" w:hint="default"/>
      </w:rPr>
    </w:lvl>
    <w:lvl w:ilvl="8" w:tplc="BF467360">
      <w:start w:val="1"/>
      <w:numFmt w:val="bullet"/>
      <w:lvlText w:val=""/>
      <w:lvlJc w:val="left"/>
      <w:pPr>
        <w:ind w:left="6480" w:hanging="360"/>
      </w:pPr>
      <w:rPr>
        <w:rFonts w:ascii="Wingdings" w:hAnsi="Wingdings" w:hint="default"/>
      </w:rPr>
    </w:lvl>
  </w:abstractNum>
  <w:abstractNum w:abstractNumId="47" w15:restartNumberingAfterBreak="0">
    <w:nsid w:val="4DC12F50"/>
    <w:multiLevelType w:val="hybridMultilevel"/>
    <w:tmpl w:val="68DE7E50"/>
    <w:lvl w:ilvl="0" w:tplc="604C9AA8">
      <w:start w:val="1"/>
      <w:numFmt w:val="bullet"/>
      <w:lvlText w:val=""/>
      <w:lvlJc w:val="left"/>
      <w:pPr>
        <w:ind w:left="720" w:hanging="360"/>
      </w:pPr>
      <w:rPr>
        <w:rFonts w:ascii="Symbol" w:hAnsi="Symbol" w:hint="default"/>
      </w:rPr>
    </w:lvl>
    <w:lvl w:ilvl="1" w:tplc="B59A4812">
      <w:start w:val="1"/>
      <w:numFmt w:val="bullet"/>
      <w:lvlText w:val="o"/>
      <w:lvlJc w:val="left"/>
      <w:pPr>
        <w:ind w:left="1440" w:hanging="360"/>
      </w:pPr>
      <w:rPr>
        <w:rFonts w:ascii="Courier New" w:hAnsi="Courier New" w:hint="default"/>
      </w:rPr>
    </w:lvl>
    <w:lvl w:ilvl="2" w:tplc="42807ABC">
      <w:start w:val="1"/>
      <w:numFmt w:val="bullet"/>
      <w:lvlText w:val=""/>
      <w:lvlJc w:val="left"/>
      <w:pPr>
        <w:ind w:left="2160" w:hanging="360"/>
      </w:pPr>
      <w:rPr>
        <w:rFonts w:ascii="Wingdings" w:hAnsi="Wingdings" w:hint="default"/>
      </w:rPr>
    </w:lvl>
    <w:lvl w:ilvl="3" w:tplc="21F03AC0">
      <w:start w:val="1"/>
      <w:numFmt w:val="bullet"/>
      <w:lvlText w:val=""/>
      <w:lvlJc w:val="left"/>
      <w:pPr>
        <w:ind w:left="2880" w:hanging="360"/>
      </w:pPr>
      <w:rPr>
        <w:rFonts w:ascii="Symbol" w:hAnsi="Symbol" w:hint="default"/>
      </w:rPr>
    </w:lvl>
    <w:lvl w:ilvl="4" w:tplc="38FA58F8">
      <w:start w:val="1"/>
      <w:numFmt w:val="bullet"/>
      <w:lvlText w:val="o"/>
      <w:lvlJc w:val="left"/>
      <w:pPr>
        <w:ind w:left="3600" w:hanging="360"/>
      </w:pPr>
      <w:rPr>
        <w:rFonts w:ascii="Courier New" w:hAnsi="Courier New" w:hint="default"/>
      </w:rPr>
    </w:lvl>
    <w:lvl w:ilvl="5" w:tplc="7CDCA5D6">
      <w:start w:val="1"/>
      <w:numFmt w:val="bullet"/>
      <w:lvlText w:val=""/>
      <w:lvlJc w:val="left"/>
      <w:pPr>
        <w:ind w:left="4320" w:hanging="360"/>
      </w:pPr>
      <w:rPr>
        <w:rFonts w:ascii="Wingdings" w:hAnsi="Wingdings" w:hint="default"/>
      </w:rPr>
    </w:lvl>
    <w:lvl w:ilvl="6" w:tplc="8C946F56">
      <w:start w:val="1"/>
      <w:numFmt w:val="bullet"/>
      <w:lvlText w:val=""/>
      <w:lvlJc w:val="left"/>
      <w:pPr>
        <w:ind w:left="5040" w:hanging="360"/>
      </w:pPr>
      <w:rPr>
        <w:rFonts w:ascii="Symbol" w:hAnsi="Symbol" w:hint="default"/>
      </w:rPr>
    </w:lvl>
    <w:lvl w:ilvl="7" w:tplc="BEFAFE34">
      <w:start w:val="1"/>
      <w:numFmt w:val="bullet"/>
      <w:lvlText w:val="o"/>
      <w:lvlJc w:val="left"/>
      <w:pPr>
        <w:ind w:left="5760" w:hanging="360"/>
      </w:pPr>
      <w:rPr>
        <w:rFonts w:ascii="Courier New" w:hAnsi="Courier New" w:hint="default"/>
      </w:rPr>
    </w:lvl>
    <w:lvl w:ilvl="8" w:tplc="BF303192">
      <w:start w:val="1"/>
      <w:numFmt w:val="bullet"/>
      <w:lvlText w:val=""/>
      <w:lvlJc w:val="left"/>
      <w:pPr>
        <w:ind w:left="6480" w:hanging="360"/>
      </w:pPr>
      <w:rPr>
        <w:rFonts w:ascii="Wingdings" w:hAnsi="Wingdings" w:hint="default"/>
      </w:rPr>
    </w:lvl>
  </w:abstractNum>
  <w:abstractNum w:abstractNumId="48" w15:restartNumberingAfterBreak="0">
    <w:nsid w:val="4E747C20"/>
    <w:multiLevelType w:val="hybridMultilevel"/>
    <w:tmpl w:val="88A0E3B6"/>
    <w:lvl w:ilvl="0" w:tplc="3AC4C8CC">
      <w:start w:val="1"/>
      <w:numFmt w:val="bullet"/>
      <w:lvlText w:val=""/>
      <w:lvlJc w:val="left"/>
      <w:pPr>
        <w:ind w:left="720" w:hanging="360"/>
      </w:pPr>
      <w:rPr>
        <w:rFonts w:ascii="Symbol" w:hAnsi="Symbol" w:hint="default"/>
      </w:rPr>
    </w:lvl>
    <w:lvl w:ilvl="1" w:tplc="AF1A1696">
      <w:start w:val="1"/>
      <w:numFmt w:val="bullet"/>
      <w:lvlText w:val="o"/>
      <w:lvlJc w:val="left"/>
      <w:pPr>
        <w:ind w:left="1440" w:hanging="360"/>
      </w:pPr>
      <w:rPr>
        <w:rFonts w:ascii="Courier New" w:hAnsi="Courier New" w:hint="default"/>
      </w:rPr>
    </w:lvl>
    <w:lvl w:ilvl="2" w:tplc="B8F415AA">
      <w:start w:val="1"/>
      <w:numFmt w:val="bullet"/>
      <w:lvlText w:val=""/>
      <w:lvlJc w:val="left"/>
      <w:pPr>
        <w:ind w:left="2160" w:hanging="360"/>
      </w:pPr>
      <w:rPr>
        <w:rFonts w:ascii="Wingdings" w:hAnsi="Wingdings" w:hint="default"/>
      </w:rPr>
    </w:lvl>
    <w:lvl w:ilvl="3" w:tplc="5BD0D1C2">
      <w:start w:val="1"/>
      <w:numFmt w:val="bullet"/>
      <w:lvlText w:val=""/>
      <w:lvlJc w:val="left"/>
      <w:pPr>
        <w:ind w:left="2880" w:hanging="360"/>
      </w:pPr>
      <w:rPr>
        <w:rFonts w:ascii="Symbol" w:hAnsi="Symbol" w:hint="default"/>
      </w:rPr>
    </w:lvl>
    <w:lvl w:ilvl="4" w:tplc="92449F72">
      <w:start w:val="1"/>
      <w:numFmt w:val="bullet"/>
      <w:lvlText w:val="o"/>
      <w:lvlJc w:val="left"/>
      <w:pPr>
        <w:ind w:left="3600" w:hanging="360"/>
      </w:pPr>
      <w:rPr>
        <w:rFonts w:ascii="Courier New" w:hAnsi="Courier New" w:hint="default"/>
      </w:rPr>
    </w:lvl>
    <w:lvl w:ilvl="5" w:tplc="46883830">
      <w:start w:val="1"/>
      <w:numFmt w:val="bullet"/>
      <w:lvlText w:val=""/>
      <w:lvlJc w:val="left"/>
      <w:pPr>
        <w:ind w:left="4320" w:hanging="360"/>
      </w:pPr>
      <w:rPr>
        <w:rFonts w:ascii="Wingdings" w:hAnsi="Wingdings" w:hint="default"/>
      </w:rPr>
    </w:lvl>
    <w:lvl w:ilvl="6" w:tplc="1C787028">
      <w:start w:val="1"/>
      <w:numFmt w:val="bullet"/>
      <w:lvlText w:val=""/>
      <w:lvlJc w:val="left"/>
      <w:pPr>
        <w:ind w:left="5040" w:hanging="360"/>
      </w:pPr>
      <w:rPr>
        <w:rFonts w:ascii="Symbol" w:hAnsi="Symbol" w:hint="default"/>
      </w:rPr>
    </w:lvl>
    <w:lvl w:ilvl="7" w:tplc="4CD4D008">
      <w:start w:val="1"/>
      <w:numFmt w:val="bullet"/>
      <w:lvlText w:val="o"/>
      <w:lvlJc w:val="left"/>
      <w:pPr>
        <w:ind w:left="5760" w:hanging="360"/>
      </w:pPr>
      <w:rPr>
        <w:rFonts w:ascii="Courier New" w:hAnsi="Courier New" w:hint="default"/>
      </w:rPr>
    </w:lvl>
    <w:lvl w:ilvl="8" w:tplc="612EAF88">
      <w:start w:val="1"/>
      <w:numFmt w:val="bullet"/>
      <w:lvlText w:val=""/>
      <w:lvlJc w:val="left"/>
      <w:pPr>
        <w:ind w:left="6480" w:hanging="360"/>
      </w:pPr>
      <w:rPr>
        <w:rFonts w:ascii="Wingdings" w:hAnsi="Wingdings" w:hint="default"/>
      </w:rPr>
    </w:lvl>
  </w:abstractNum>
  <w:abstractNum w:abstractNumId="49" w15:restartNumberingAfterBreak="0">
    <w:nsid w:val="56F377C5"/>
    <w:multiLevelType w:val="hybridMultilevel"/>
    <w:tmpl w:val="74102102"/>
    <w:lvl w:ilvl="0" w:tplc="A53EE2E0">
      <w:start w:val="1"/>
      <w:numFmt w:val="bullet"/>
      <w:lvlText w:val=""/>
      <w:lvlJc w:val="left"/>
      <w:pPr>
        <w:ind w:left="720" w:hanging="360"/>
      </w:pPr>
      <w:rPr>
        <w:rFonts w:ascii="Symbol" w:hAnsi="Symbol" w:hint="default"/>
      </w:rPr>
    </w:lvl>
    <w:lvl w:ilvl="1" w:tplc="698A3B04">
      <w:start w:val="1"/>
      <w:numFmt w:val="bullet"/>
      <w:lvlText w:val="o"/>
      <w:lvlJc w:val="left"/>
      <w:pPr>
        <w:ind w:left="1440" w:hanging="360"/>
      </w:pPr>
      <w:rPr>
        <w:rFonts w:ascii="Courier New" w:hAnsi="Courier New" w:hint="default"/>
      </w:rPr>
    </w:lvl>
    <w:lvl w:ilvl="2" w:tplc="7C9A9CFE">
      <w:start w:val="1"/>
      <w:numFmt w:val="bullet"/>
      <w:lvlText w:val=""/>
      <w:lvlJc w:val="left"/>
      <w:pPr>
        <w:ind w:left="2160" w:hanging="360"/>
      </w:pPr>
      <w:rPr>
        <w:rFonts w:ascii="Wingdings" w:hAnsi="Wingdings" w:hint="default"/>
      </w:rPr>
    </w:lvl>
    <w:lvl w:ilvl="3" w:tplc="684A4A70">
      <w:start w:val="1"/>
      <w:numFmt w:val="bullet"/>
      <w:lvlText w:val=""/>
      <w:lvlJc w:val="left"/>
      <w:pPr>
        <w:ind w:left="2880" w:hanging="360"/>
      </w:pPr>
      <w:rPr>
        <w:rFonts w:ascii="Symbol" w:hAnsi="Symbol" w:hint="default"/>
      </w:rPr>
    </w:lvl>
    <w:lvl w:ilvl="4" w:tplc="344235B6">
      <w:start w:val="1"/>
      <w:numFmt w:val="bullet"/>
      <w:lvlText w:val="o"/>
      <w:lvlJc w:val="left"/>
      <w:pPr>
        <w:ind w:left="3600" w:hanging="360"/>
      </w:pPr>
      <w:rPr>
        <w:rFonts w:ascii="Courier New" w:hAnsi="Courier New" w:hint="default"/>
      </w:rPr>
    </w:lvl>
    <w:lvl w:ilvl="5" w:tplc="F3188FA8">
      <w:start w:val="1"/>
      <w:numFmt w:val="bullet"/>
      <w:lvlText w:val=""/>
      <w:lvlJc w:val="left"/>
      <w:pPr>
        <w:ind w:left="4320" w:hanging="360"/>
      </w:pPr>
      <w:rPr>
        <w:rFonts w:ascii="Wingdings" w:hAnsi="Wingdings" w:hint="default"/>
      </w:rPr>
    </w:lvl>
    <w:lvl w:ilvl="6" w:tplc="A568F144">
      <w:start w:val="1"/>
      <w:numFmt w:val="bullet"/>
      <w:lvlText w:val=""/>
      <w:lvlJc w:val="left"/>
      <w:pPr>
        <w:ind w:left="5040" w:hanging="360"/>
      </w:pPr>
      <w:rPr>
        <w:rFonts w:ascii="Symbol" w:hAnsi="Symbol" w:hint="default"/>
      </w:rPr>
    </w:lvl>
    <w:lvl w:ilvl="7" w:tplc="4148E5DA">
      <w:start w:val="1"/>
      <w:numFmt w:val="bullet"/>
      <w:lvlText w:val="o"/>
      <w:lvlJc w:val="left"/>
      <w:pPr>
        <w:ind w:left="5760" w:hanging="360"/>
      </w:pPr>
      <w:rPr>
        <w:rFonts w:ascii="Courier New" w:hAnsi="Courier New" w:hint="default"/>
      </w:rPr>
    </w:lvl>
    <w:lvl w:ilvl="8" w:tplc="74D6B48A">
      <w:start w:val="1"/>
      <w:numFmt w:val="bullet"/>
      <w:lvlText w:val=""/>
      <w:lvlJc w:val="left"/>
      <w:pPr>
        <w:ind w:left="6480" w:hanging="360"/>
      </w:pPr>
      <w:rPr>
        <w:rFonts w:ascii="Wingdings" w:hAnsi="Wingdings" w:hint="default"/>
      </w:rPr>
    </w:lvl>
  </w:abstractNum>
  <w:abstractNum w:abstractNumId="50" w15:restartNumberingAfterBreak="0">
    <w:nsid w:val="5A5A3807"/>
    <w:multiLevelType w:val="hybridMultilevel"/>
    <w:tmpl w:val="312EF7F6"/>
    <w:lvl w:ilvl="0" w:tplc="4E3225AC">
      <w:start w:val="1"/>
      <w:numFmt w:val="bullet"/>
      <w:lvlText w:val=""/>
      <w:lvlJc w:val="left"/>
      <w:pPr>
        <w:ind w:left="720" w:hanging="360"/>
      </w:pPr>
      <w:rPr>
        <w:rFonts w:ascii="Symbol" w:hAnsi="Symbol" w:hint="default"/>
      </w:rPr>
    </w:lvl>
    <w:lvl w:ilvl="1" w:tplc="999C6B84">
      <w:start w:val="1"/>
      <w:numFmt w:val="bullet"/>
      <w:lvlText w:val="o"/>
      <w:lvlJc w:val="left"/>
      <w:pPr>
        <w:ind w:left="1440" w:hanging="360"/>
      </w:pPr>
      <w:rPr>
        <w:rFonts w:ascii="Courier New" w:hAnsi="Courier New" w:hint="default"/>
      </w:rPr>
    </w:lvl>
    <w:lvl w:ilvl="2" w:tplc="1BFCF2F2">
      <w:start w:val="1"/>
      <w:numFmt w:val="bullet"/>
      <w:lvlText w:val=""/>
      <w:lvlJc w:val="left"/>
      <w:pPr>
        <w:ind w:left="2160" w:hanging="360"/>
      </w:pPr>
      <w:rPr>
        <w:rFonts w:ascii="Wingdings" w:hAnsi="Wingdings" w:hint="default"/>
      </w:rPr>
    </w:lvl>
    <w:lvl w:ilvl="3" w:tplc="BBC64BC6">
      <w:start w:val="1"/>
      <w:numFmt w:val="bullet"/>
      <w:lvlText w:val=""/>
      <w:lvlJc w:val="left"/>
      <w:pPr>
        <w:ind w:left="2880" w:hanging="360"/>
      </w:pPr>
      <w:rPr>
        <w:rFonts w:ascii="Symbol" w:hAnsi="Symbol" w:hint="default"/>
      </w:rPr>
    </w:lvl>
    <w:lvl w:ilvl="4" w:tplc="63EA8A80">
      <w:start w:val="1"/>
      <w:numFmt w:val="bullet"/>
      <w:lvlText w:val="o"/>
      <w:lvlJc w:val="left"/>
      <w:pPr>
        <w:ind w:left="3600" w:hanging="360"/>
      </w:pPr>
      <w:rPr>
        <w:rFonts w:ascii="Courier New" w:hAnsi="Courier New" w:hint="default"/>
      </w:rPr>
    </w:lvl>
    <w:lvl w:ilvl="5" w:tplc="E84AFF14">
      <w:start w:val="1"/>
      <w:numFmt w:val="bullet"/>
      <w:lvlText w:val=""/>
      <w:lvlJc w:val="left"/>
      <w:pPr>
        <w:ind w:left="4320" w:hanging="360"/>
      </w:pPr>
      <w:rPr>
        <w:rFonts w:ascii="Wingdings" w:hAnsi="Wingdings" w:hint="default"/>
      </w:rPr>
    </w:lvl>
    <w:lvl w:ilvl="6" w:tplc="5F0E2408">
      <w:start w:val="1"/>
      <w:numFmt w:val="bullet"/>
      <w:lvlText w:val=""/>
      <w:lvlJc w:val="left"/>
      <w:pPr>
        <w:ind w:left="5040" w:hanging="360"/>
      </w:pPr>
      <w:rPr>
        <w:rFonts w:ascii="Symbol" w:hAnsi="Symbol" w:hint="default"/>
      </w:rPr>
    </w:lvl>
    <w:lvl w:ilvl="7" w:tplc="AC027418">
      <w:start w:val="1"/>
      <w:numFmt w:val="bullet"/>
      <w:lvlText w:val="o"/>
      <w:lvlJc w:val="left"/>
      <w:pPr>
        <w:ind w:left="5760" w:hanging="360"/>
      </w:pPr>
      <w:rPr>
        <w:rFonts w:ascii="Courier New" w:hAnsi="Courier New" w:hint="default"/>
      </w:rPr>
    </w:lvl>
    <w:lvl w:ilvl="8" w:tplc="1A1ACA1C">
      <w:start w:val="1"/>
      <w:numFmt w:val="bullet"/>
      <w:lvlText w:val=""/>
      <w:lvlJc w:val="left"/>
      <w:pPr>
        <w:ind w:left="6480" w:hanging="360"/>
      </w:pPr>
      <w:rPr>
        <w:rFonts w:ascii="Wingdings" w:hAnsi="Wingdings" w:hint="default"/>
      </w:rPr>
    </w:lvl>
  </w:abstractNum>
  <w:abstractNum w:abstractNumId="51" w15:restartNumberingAfterBreak="0">
    <w:nsid w:val="5C8F2A63"/>
    <w:multiLevelType w:val="hybridMultilevel"/>
    <w:tmpl w:val="FFFFFFFF"/>
    <w:lvl w:ilvl="0" w:tplc="4A0AF134">
      <w:numFmt w:val="bullet"/>
      <w:lvlText w:val="•"/>
      <w:lvlJc w:val="left"/>
      <w:pPr>
        <w:ind w:left="720" w:hanging="360"/>
      </w:pPr>
      <w:rPr>
        <w:rFonts w:ascii="Calibri" w:hAnsi="Calibri" w:hint="default"/>
      </w:rPr>
    </w:lvl>
    <w:lvl w:ilvl="1" w:tplc="F9B2C846">
      <w:start w:val="1"/>
      <w:numFmt w:val="bullet"/>
      <w:lvlText w:val="o"/>
      <w:lvlJc w:val="left"/>
      <w:pPr>
        <w:ind w:left="1440" w:hanging="360"/>
      </w:pPr>
      <w:rPr>
        <w:rFonts w:ascii="Courier New" w:hAnsi="Courier New" w:hint="default"/>
      </w:rPr>
    </w:lvl>
    <w:lvl w:ilvl="2" w:tplc="A9128BCC">
      <w:start w:val="1"/>
      <w:numFmt w:val="bullet"/>
      <w:lvlText w:val=""/>
      <w:lvlJc w:val="left"/>
      <w:pPr>
        <w:ind w:left="2160" w:hanging="360"/>
      </w:pPr>
      <w:rPr>
        <w:rFonts w:ascii="Wingdings" w:hAnsi="Wingdings" w:hint="default"/>
      </w:rPr>
    </w:lvl>
    <w:lvl w:ilvl="3" w:tplc="A41C7942">
      <w:start w:val="1"/>
      <w:numFmt w:val="bullet"/>
      <w:lvlText w:val=""/>
      <w:lvlJc w:val="left"/>
      <w:pPr>
        <w:ind w:left="2880" w:hanging="360"/>
      </w:pPr>
      <w:rPr>
        <w:rFonts w:ascii="Symbol" w:hAnsi="Symbol" w:hint="default"/>
      </w:rPr>
    </w:lvl>
    <w:lvl w:ilvl="4" w:tplc="6E46EC84">
      <w:start w:val="1"/>
      <w:numFmt w:val="bullet"/>
      <w:lvlText w:val="o"/>
      <w:lvlJc w:val="left"/>
      <w:pPr>
        <w:ind w:left="3600" w:hanging="360"/>
      </w:pPr>
      <w:rPr>
        <w:rFonts w:ascii="Courier New" w:hAnsi="Courier New" w:hint="default"/>
      </w:rPr>
    </w:lvl>
    <w:lvl w:ilvl="5" w:tplc="48369108">
      <w:start w:val="1"/>
      <w:numFmt w:val="bullet"/>
      <w:lvlText w:val=""/>
      <w:lvlJc w:val="left"/>
      <w:pPr>
        <w:ind w:left="4320" w:hanging="360"/>
      </w:pPr>
      <w:rPr>
        <w:rFonts w:ascii="Wingdings" w:hAnsi="Wingdings" w:hint="default"/>
      </w:rPr>
    </w:lvl>
    <w:lvl w:ilvl="6" w:tplc="8BFCCF46">
      <w:start w:val="1"/>
      <w:numFmt w:val="bullet"/>
      <w:lvlText w:val=""/>
      <w:lvlJc w:val="left"/>
      <w:pPr>
        <w:ind w:left="5040" w:hanging="360"/>
      </w:pPr>
      <w:rPr>
        <w:rFonts w:ascii="Symbol" w:hAnsi="Symbol" w:hint="default"/>
      </w:rPr>
    </w:lvl>
    <w:lvl w:ilvl="7" w:tplc="4906CC52">
      <w:start w:val="1"/>
      <w:numFmt w:val="bullet"/>
      <w:lvlText w:val="o"/>
      <w:lvlJc w:val="left"/>
      <w:pPr>
        <w:ind w:left="5760" w:hanging="360"/>
      </w:pPr>
      <w:rPr>
        <w:rFonts w:ascii="Courier New" w:hAnsi="Courier New" w:hint="default"/>
      </w:rPr>
    </w:lvl>
    <w:lvl w:ilvl="8" w:tplc="1A360D6E">
      <w:start w:val="1"/>
      <w:numFmt w:val="bullet"/>
      <w:lvlText w:val=""/>
      <w:lvlJc w:val="left"/>
      <w:pPr>
        <w:ind w:left="6480" w:hanging="360"/>
      </w:pPr>
      <w:rPr>
        <w:rFonts w:ascii="Wingdings" w:hAnsi="Wingdings" w:hint="default"/>
      </w:rPr>
    </w:lvl>
  </w:abstractNum>
  <w:abstractNum w:abstractNumId="52" w15:restartNumberingAfterBreak="0">
    <w:nsid w:val="5CFF9840"/>
    <w:multiLevelType w:val="hybridMultilevel"/>
    <w:tmpl w:val="25DCC67C"/>
    <w:lvl w:ilvl="0" w:tplc="2884AAE4">
      <w:start w:val="1"/>
      <w:numFmt w:val="bullet"/>
      <w:lvlText w:val=""/>
      <w:lvlJc w:val="left"/>
      <w:pPr>
        <w:ind w:left="720" w:hanging="360"/>
      </w:pPr>
      <w:rPr>
        <w:rFonts w:ascii="Symbol" w:hAnsi="Symbol" w:hint="default"/>
      </w:rPr>
    </w:lvl>
    <w:lvl w:ilvl="1" w:tplc="8098A880">
      <w:start w:val="1"/>
      <w:numFmt w:val="bullet"/>
      <w:lvlText w:val="o"/>
      <w:lvlJc w:val="left"/>
      <w:pPr>
        <w:ind w:left="1440" w:hanging="360"/>
      </w:pPr>
      <w:rPr>
        <w:rFonts w:ascii="Courier New" w:hAnsi="Courier New" w:hint="default"/>
      </w:rPr>
    </w:lvl>
    <w:lvl w:ilvl="2" w:tplc="B4386238">
      <w:start w:val="1"/>
      <w:numFmt w:val="bullet"/>
      <w:lvlText w:val=""/>
      <w:lvlJc w:val="left"/>
      <w:pPr>
        <w:ind w:left="2160" w:hanging="360"/>
      </w:pPr>
      <w:rPr>
        <w:rFonts w:ascii="Wingdings" w:hAnsi="Wingdings" w:hint="default"/>
      </w:rPr>
    </w:lvl>
    <w:lvl w:ilvl="3" w:tplc="8E24A6D8">
      <w:start w:val="1"/>
      <w:numFmt w:val="bullet"/>
      <w:lvlText w:val=""/>
      <w:lvlJc w:val="left"/>
      <w:pPr>
        <w:ind w:left="2880" w:hanging="360"/>
      </w:pPr>
      <w:rPr>
        <w:rFonts w:ascii="Symbol" w:hAnsi="Symbol" w:hint="default"/>
      </w:rPr>
    </w:lvl>
    <w:lvl w:ilvl="4" w:tplc="5A864F2C">
      <w:start w:val="1"/>
      <w:numFmt w:val="bullet"/>
      <w:lvlText w:val="o"/>
      <w:lvlJc w:val="left"/>
      <w:pPr>
        <w:ind w:left="3600" w:hanging="360"/>
      </w:pPr>
      <w:rPr>
        <w:rFonts w:ascii="Courier New" w:hAnsi="Courier New" w:hint="default"/>
      </w:rPr>
    </w:lvl>
    <w:lvl w:ilvl="5" w:tplc="9A32E5A8">
      <w:start w:val="1"/>
      <w:numFmt w:val="bullet"/>
      <w:lvlText w:val=""/>
      <w:lvlJc w:val="left"/>
      <w:pPr>
        <w:ind w:left="4320" w:hanging="360"/>
      </w:pPr>
      <w:rPr>
        <w:rFonts w:ascii="Wingdings" w:hAnsi="Wingdings" w:hint="default"/>
      </w:rPr>
    </w:lvl>
    <w:lvl w:ilvl="6" w:tplc="E794DF72">
      <w:start w:val="1"/>
      <w:numFmt w:val="bullet"/>
      <w:lvlText w:val=""/>
      <w:lvlJc w:val="left"/>
      <w:pPr>
        <w:ind w:left="5040" w:hanging="360"/>
      </w:pPr>
      <w:rPr>
        <w:rFonts w:ascii="Symbol" w:hAnsi="Symbol" w:hint="default"/>
      </w:rPr>
    </w:lvl>
    <w:lvl w:ilvl="7" w:tplc="9B98A176">
      <w:start w:val="1"/>
      <w:numFmt w:val="bullet"/>
      <w:lvlText w:val="o"/>
      <w:lvlJc w:val="left"/>
      <w:pPr>
        <w:ind w:left="5760" w:hanging="360"/>
      </w:pPr>
      <w:rPr>
        <w:rFonts w:ascii="Courier New" w:hAnsi="Courier New" w:hint="default"/>
      </w:rPr>
    </w:lvl>
    <w:lvl w:ilvl="8" w:tplc="B0D459BA">
      <w:start w:val="1"/>
      <w:numFmt w:val="bullet"/>
      <w:lvlText w:val=""/>
      <w:lvlJc w:val="left"/>
      <w:pPr>
        <w:ind w:left="6480" w:hanging="360"/>
      </w:pPr>
      <w:rPr>
        <w:rFonts w:ascii="Wingdings" w:hAnsi="Wingdings" w:hint="default"/>
      </w:rPr>
    </w:lvl>
  </w:abstractNum>
  <w:abstractNum w:abstractNumId="53" w15:restartNumberingAfterBreak="0">
    <w:nsid w:val="5DC462E8"/>
    <w:multiLevelType w:val="hybridMultilevel"/>
    <w:tmpl w:val="FFFFFFFF"/>
    <w:lvl w:ilvl="0" w:tplc="5088C4CA">
      <w:start w:val="1"/>
      <w:numFmt w:val="bullet"/>
      <w:lvlText w:val=""/>
      <w:lvlJc w:val="left"/>
      <w:pPr>
        <w:ind w:left="720" w:hanging="360"/>
      </w:pPr>
      <w:rPr>
        <w:rFonts w:ascii="Symbol" w:hAnsi="Symbol" w:hint="default"/>
      </w:rPr>
    </w:lvl>
    <w:lvl w:ilvl="1" w:tplc="F5487544">
      <w:start w:val="1"/>
      <w:numFmt w:val="bullet"/>
      <w:lvlText w:val="o"/>
      <w:lvlJc w:val="left"/>
      <w:pPr>
        <w:ind w:left="1440" w:hanging="360"/>
      </w:pPr>
      <w:rPr>
        <w:rFonts w:ascii="Courier New" w:hAnsi="Courier New" w:hint="default"/>
      </w:rPr>
    </w:lvl>
    <w:lvl w:ilvl="2" w:tplc="3B1E5882">
      <w:start w:val="1"/>
      <w:numFmt w:val="bullet"/>
      <w:lvlText w:val=""/>
      <w:lvlJc w:val="left"/>
      <w:pPr>
        <w:ind w:left="2160" w:hanging="360"/>
      </w:pPr>
      <w:rPr>
        <w:rFonts w:ascii="Wingdings" w:hAnsi="Wingdings" w:hint="default"/>
      </w:rPr>
    </w:lvl>
    <w:lvl w:ilvl="3" w:tplc="02E6927E">
      <w:start w:val="1"/>
      <w:numFmt w:val="bullet"/>
      <w:lvlText w:val=""/>
      <w:lvlJc w:val="left"/>
      <w:pPr>
        <w:ind w:left="2880" w:hanging="360"/>
      </w:pPr>
      <w:rPr>
        <w:rFonts w:ascii="Symbol" w:hAnsi="Symbol" w:hint="default"/>
      </w:rPr>
    </w:lvl>
    <w:lvl w:ilvl="4" w:tplc="50E4C150">
      <w:start w:val="1"/>
      <w:numFmt w:val="bullet"/>
      <w:lvlText w:val="o"/>
      <w:lvlJc w:val="left"/>
      <w:pPr>
        <w:ind w:left="3600" w:hanging="360"/>
      </w:pPr>
      <w:rPr>
        <w:rFonts w:ascii="Courier New" w:hAnsi="Courier New" w:hint="default"/>
      </w:rPr>
    </w:lvl>
    <w:lvl w:ilvl="5" w:tplc="A172037A">
      <w:start w:val="1"/>
      <w:numFmt w:val="bullet"/>
      <w:lvlText w:val=""/>
      <w:lvlJc w:val="left"/>
      <w:pPr>
        <w:ind w:left="4320" w:hanging="360"/>
      </w:pPr>
      <w:rPr>
        <w:rFonts w:ascii="Wingdings" w:hAnsi="Wingdings" w:hint="default"/>
      </w:rPr>
    </w:lvl>
    <w:lvl w:ilvl="6" w:tplc="B4942D8A">
      <w:start w:val="1"/>
      <w:numFmt w:val="bullet"/>
      <w:lvlText w:val=""/>
      <w:lvlJc w:val="left"/>
      <w:pPr>
        <w:ind w:left="5040" w:hanging="360"/>
      </w:pPr>
      <w:rPr>
        <w:rFonts w:ascii="Symbol" w:hAnsi="Symbol" w:hint="default"/>
      </w:rPr>
    </w:lvl>
    <w:lvl w:ilvl="7" w:tplc="4B265012">
      <w:start w:val="1"/>
      <w:numFmt w:val="bullet"/>
      <w:lvlText w:val="o"/>
      <w:lvlJc w:val="left"/>
      <w:pPr>
        <w:ind w:left="5760" w:hanging="360"/>
      </w:pPr>
      <w:rPr>
        <w:rFonts w:ascii="Courier New" w:hAnsi="Courier New" w:hint="default"/>
      </w:rPr>
    </w:lvl>
    <w:lvl w:ilvl="8" w:tplc="53DEC1AE">
      <w:start w:val="1"/>
      <w:numFmt w:val="bullet"/>
      <w:lvlText w:val=""/>
      <w:lvlJc w:val="left"/>
      <w:pPr>
        <w:ind w:left="6480" w:hanging="360"/>
      </w:pPr>
      <w:rPr>
        <w:rFonts w:ascii="Wingdings" w:hAnsi="Wingdings" w:hint="default"/>
      </w:rPr>
    </w:lvl>
  </w:abstractNum>
  <w:abstractNum w:abstractNumId="54" w15:restartNumberingAfterBreak="0">
    <w:nsid w:val="5EF89468"/>
    <w:multiLevelType w:val="hybridMultilevel"/>
    <w:tmpl w:val="70EC8798"/>
    <w:lvl w:ilvl="0" w:tplc="6F4C3894">
      <w:start w:val="1"/>
      <w:numFmt w:val="bullet"/>
      <w:lvlText w:val=""/>
      <w:lvlJc w:val="left"/>
      <w:pPr>
        <w:ind w:left="720" w:hanging="360"/>
      </w:pPr>
      <w:rPr>
        <w:rFonts w:ascii="Symbol" w:hAnsi="Symbol" w:hint="default"/>
      </w:rPr>
    </w:lvl>
    <w:lvl w:ilvl="1" w:tplc="DD6065D0">
      <w:start w:val="1"/>
      <w:numFmt w:val="bullet"/>
      <w:lvlText w:val="o"/>
      <w:lvlJc w:val="left"/>
      <w:pPr>
        <w:ind w:left="1440" w:hanging="360"/>
      </w:pPr>
      <w:rPr>
        <w:rFonts w:ascii="Courier New" w:hAnsi="Courier New" w:hint="default"/>
      </w:rPr>
    </w:lvl>
    <w:lvl w:ilvl="2" w:tplc="375AC9F0">
      <w:start w:val="1"/>
      <w:numFmt w:val="bullet"/>
      <w:lvlText w:val=""/>
      <w:lvlJc w:val="left"/>
      <w:pPr>
        <w:ind w:left="2160" w:hanging="360"/>
      </w:pPr>
      <w:rPr>
        <w:rFonts w:ascii="Wingdings" w:hAnsi="Wingdings" w:hint="default"/>
      </w:rPr>
    </w:lvl>
    <w:lvl w:ilvl="3" w:tplc="7B9C8366">
      <w:start w:val="1"/>
      <w:numFmt w:val="bullet"/>
      <w:lvlText w:val=""/>
      <w:lvlJc w:val="left"/>
      <w:pPr>
        <w:ind w:left="2880" w:hanging="360"/>
      </w:pPr>
      <w:rPr>
        <w:rFonts w:ascii="Symbol" w:hAnsi="Symbol" w:hint="default"/>
      </w:rPr>
    </w:lvl>
    <w:lvl w:ilvl="4" w:tplc="507E89A4">
      <w:start w:val="1"/>
      <w:numFmt w:val="bullet"/>
      <w:lvlText w:val="o"/>
      <w:lvlJc w:val="left"/>
      <w:pPr>
        <w:ind w:left="3600" w:hanging="360"/>
      </w:pPr>
      <w:rPr>
        <w:rFonts w:ascii="Courier New" w:hAnsi="Courier New" w:hint="default"/>
      </w:rPr>
    </w:lvl>
    <w:lvl w:ilvl="5" w:tplc="E764AE2C">
      <w:start w:val="1"/>
      <w:numFmt w:val="bullet"/>
      <w:lvlText w:val=""/>
      <w:lvlJc w:val="left"/>
      <w:pPr>
        <w:ind w:left="4320" w:hanging="360"/>
      </w:pPr>
      <w:rPr>
        <w:rFonts w:ascii="Wingdings" w:hAnsi="Wingdings" w:hint="default"/>
      </w:rPr>
    </w:lvl>
    <w:lvl w:ilvl="6" w:tplc="5E9ACB1A">
      <w:start w:val="1"/>
      <w:numFmt w:val="bullet"/>
      <w:lvlText w:val=""/>
      <w:lvlJc w:val="left"/>
      <w:pPr>
        <w:ind w:left="5040" w:hanging="360"/>
      </w:pPr>
      <w:rPr>
        <w:rFonts w:ascii="Symbol" w:hAnsi="Symbol" w:hint="default"/>
      </w:rPr>
    </w:lvl>
    <w:lvl w:ilvl="7" w:tplc="35487896">
      <w:start w:val="1"/>
      <w:numFmt w:val="bullet"/>
      <w:lvlText w:val="o"/>
      <w:lvlJc w:val="left"/>
      <w:pPr>
        <w:ind w:left="5760" w:hanging="360"/>
      </w:pPr>
      <w:rPr>
        <w:rFonts w:ascii="Courier New" w:hAnsi="Courier New" w:hint="default"/>
      </w:rPr>
    </w:lvl>
    <w:lvl w:ilvl="8" w:tplc="B4A6CB96">
      <w:start w:val="1"/>
      <w:numFmt w:val="bullet"/>
      <w:lvlText w:val=""/>
      <w:lvlJc w:val="left"/>
      <w:pPr>
        <w:ind w:left="6480" w:hanging="360"/>
      </w:pPr>
      <w:rPr>
        <w:rFonts w:ascii="Wingdings" w:hAnsi="Wingdings" w:hint="default"/>
      </w:rPr>
    </w:lvl>
  </w:abstractNum>
  <w:abstractNum w:abstractNumId="55" w15:restartNumberingAfterBreak="0">
    <w:nsid w:val="5FC7D9C6"/>
    <w:multiLevelType w:val="hybridMultilevel"/>
    <w:tmpl w:val="F1225366"/>
    <w:lvl w:ilvl="0" w:tplc="FEC0AE54">
      <w:start w:val="1"/>
      <w:numFmt w:val="bullet"/>
      <w:lvlText w:val=""/>
      <w:lvlJc w:val="left"/>
      <w:pPr>
        <w:ind w:left="720" w:hanging="360"/>
      </w:pPr>
      <w:rPr>
        <w:rFonts w:ascii="Symbol" w:hAnsi="Symbol" w:hint="default"/>
      </w:rPr>
    </w:lvl>
    <w:lvl w:ilvl="1" w:tplc="46907318">
      <w:start w:val="1"/>
      <w:numFmt w:val="bullet"/>
      <w:lvlText w:val="o"/>
      <w:lvlJc w:val="left"/>
      <w:pPr>
        <w:ind w:left="1440" w:hanging="360"/>
      </w:pPr>
      <w:rPr>
        <w:rFonts w:ascii="Courier New" w:hAnsi="Courier New" w:hint="default"/>
      </w:rPr>
    </w:lvl>
    <w:lvl w:ilvl="2" w:tplc="FA6ED298">
      <w:start w:val="1"/>
      <w:numFmt w:val="bullet"/>
      <w:lvlText w:val=""/>
      <w:lvlJc w:val="left"/>
      <w:pPr>
        <w:ind w:left="2160" w:hanging="360"/>
      </w:pPr>
      <w:rPr>
        <w:rFonts w:ascii="Wingdings" w:hAnsi="Wingdings" w:hint="default"/>
      </w:rPr>
    </w:lvl>
    <w:lvl w:ilvl="3" w:tplc="A59014A0">
      <w:start w:val="1"/>
      <w:numFmt w:val="bullet"/>
      <w:lvlText w:val=""/>
      <w:lvlJc w:val="left"/>
      <w:pPr>
        <w:ind w:left="2880" w:hanging="360"/>
      </w:pPr>
      <w:rPr>
        <w:rFonts w:ascii="Symbol" w:hAnsi="Symbol" w:hint="default"/>
      </w:rPr>
    </w:lvl>
    <w:lvl w:ilvl="4" w:tplc="94CA81D2">
      <w:start w:val="1"/>
      <w:numFmt w:val="bullet"/>
      <w:lvlText w:val="o"/>
      <w:lvlJc w:val="left"/>
      <w:pPr>
        <w:ind w:left="3600" w:hanging="360"/>
      </w:pPr>
      <w:rPr>
        <w:rFonts w:ascii="Courier New" w:hAnsi="Courier New" w:hint="default"/>
      </w:rPr>
    </w:lvl>
    <w:lvl w:ilvl="5" w:tplc="F87A11C0">
      <w:start w:val="1"/>
      <w:numFmt w:val="bullet"/>
      <w:lvlText w:val=""/>
      <w:lvlJc w:val="left"/>
      <w:pPr>
        <w:ind w:left="4320" w:hanging="360"/>
      </w:pPr>
      <w:rPr>
        <w:rFonts w:ascii="Wingdings" w:hAnsi="Wingdings" w:hint="default"/>
      </w:rPr>
    </w:lvl>
    <w:lvl w:ilvl="6" w:tplc="639AA8F8">
      <w:start w:val="1"/>
      <w:numFmt w:val="bullet"/>
      <w:lvlText w:val=""/>
      <w:lvlJc w:val="left"/>
      <w:pPr>
        <w:ind w:left="5040" w:hanging="360"/>
      </w:pPr>
      <w:rPr>
        <w:rFonts w:ascii="Symbol" w:hAnsi="Symbol" w:hint="default"/>
      </w:rPr>
    </w:lvl>
    <w:lvl w:ilvl="7" w:tplc="CB2CF278">
      <w:start w:val="1"/>
      <w:numFmt w:val="bullet"/>
      <w:lvlText w:val="o"/>
      <w:lvlJc w:val="left"/>
      <w:pPr>
        <w:ind w:left="5760" w:hanging="360"/>
      </w:pPr>
      <w:rPr>
        <w:rFonts w:ascii="Courier New" w:hAnsi="Courier New" w:hint="default"/>
      </w:rPr>
    </w:lvl>
    <w:lvl w:ilvl="8" w:tplc="6462689C">
      <w:start w:val="1"/>
      <w:numFmt w:val="bullet"/>
      <w:lvlText w:val=""/>
      <w:lvlJc w:val="left"/>
      <w:pPr>
        <w:ind w:left="6480" w:hanging="360"/>
      </w:pPr>
      <w:rPr>
        <w:rFonts w:ascii="Wingdings" w:hAnsi="Wingdings" w:hint="default"/>
      </w:rPr>
    </w:lvl>
  </w:abstractNum>
  <w:abstractNum w:abstractNumId="56" w15:restartNumberingAfterBreak="0">
    <w:nsid w:val="613B965D"/>
    <w:multiLevelType w:val="hybridMultilevel"/>
    <w:tmpl w:val="FFFFFFFF"/>
    <w:lvl w:ilvl="0" w:tplc="356AAF92">
      <w:start w:val="1"/>
      <w:numFmt w:val="bullet"/>
      <w:lvlText w:val=""/>
      <w:lvlJc w:val="left"/>
      <w:pPr>
        <w:ind w:left="720" w:hanging="360"/>
      </w:pPr>
      <w:rPr>
        <w:rFonts w:ascii="Symbol" w:hAnsi="Symbol" w:hint="default"/>
      </w:rPr>
    </w:lvl>
    <w:lvl w:ilvl="1" w:tplc="0AF46D3A">
      <w:start w:val="1"/>
      <w:numFmt w:val="bullet"/>
      <w:lvlText w:val="o"/>
      <w:lvlJc w:val="left"/>
      <w:pPr>
        <w:ind w:left="1440" w:hanging="360"/>
      </w:pPr>
      <w:rPr>
        <w:rFonts w:ascii="Courier New" w:hAnsi="Courier New" w:hint="default"/>
      </w:rPr>
    </w:lvl>
    <w:lvl w:ilvl="2" w:tplc="E7F64F88">
      <w:start w:val="1"/>
      <w:numFmt w:val="bullet"/>
      <w:lvlText w:val=""/>
      <w:lvlJc w:val="left"/>
      <w:pPr>
        <w:ind w:left="2160" w:hanging="360"/>
      </w:pPr>
      <w:rPr>
        <w:rFonts w:ascii="Wingdings" w:hAnsi="Wingdings" w:hint="default"/>
      </w:rPr>
    </w:lvl>
    <w:lvl w:ilvl="3" w:tplc="9C527FEA">
      <w:start w:val="1"/>
      <w:numFmt w:val="bullet"/>
      <w:lvlText w:val=""/>
      <w:lvlJc w:val="left"/>
      <w:pPr>
        <w:ind w:left="2880" w:hanging="360"/>
      </w:pPr>
      <w:rPr>
        <w:rFonts w:ascii="Symbol" w:hAnsi="Symbol" w:hint="default"/>
      </w:rPr>
    </w:lvl>
    <w:lvl w:ilvl="4" w:tplc="AB4ADA98">
      <w:start w:val="1"/>
      <w:numFmt w:val="bullet"/>
      <w:lvlText w:val="o"/>
      <w:lvlJc w:val="left"/>
      <w:pPr>
        <w:ind w:left="3600" w:hanging="360"/>
      </w:pPr>
      <w:rPr>
        <w:rFonts w:ascii="Courier New" w:hAnsi="Courier New" w:hint="default"/>
      </w:rPr>
    </w:lvl>
    <w:lvl w:ilvl="5" w:tplc="AD9003CA">
      <w:start w:val="1"/>
      <w:numFmt w:val="bullet"/>
      <w:lvlText w:val=""/>
      <w:lvlJc w:val="left"/>
      <w:pPr>
        <w:ind w:left="4320" w:hanging="360"/>
      </w:pPr>
      <w:rPr>
        <w:rFonts w:ascii="Wingdings" w:hAnsi="Wingdings" w:hint="default"/>
      </w:rPr>
    </w:lvl>
    <w:lvl w:ilvl="6" w:tplc="AC524132">
      <w:start w:val="1"/>
      <w:numFmt w:val="bullet"/>
      <w:lvlText w:val=""/>
      <w:lvlJc w:val="left"/>
      <w:pPr>
        <w:ind w:left="5040" w:hanging="360"/>
      </w:pPr>
      <w:rPr>
        <w:rFonts w:ascii="Symbol" w:hAnsi="Symbol" w:hint="default"/>
      </w:rPr>
    </w:lvl>
    <w:lvl w:ilvl="7" w:tplc="7C66D256">
      <w:start w:val="1"/>
      <w:numFmt w:val="bullet"/>
      <w:lvlText w:val="o"/>
      <w:lvlJc w:val="left"/>
      <w:pPr>
        <w:ind w:left="5760" w:hanging="360"/>
      </w:pPr>
      <w:rPr>
        <w:rFonts w:ascii="Courier New" w:hAnsi="Courier New" w:hint="default"/>
      </w:rPr>
    </w:lvl>
    <w:lvl w:ilvl="8" w:tplc="D9960E80">
      <w:start w:val="1"/>
      <w:numFmt w:val="bullet"/>
      <w:lvlText w:val=""/>
      <w:lvlJc w:val="left"/>
      <w:pPr>
        <w:ind w:left="6480" w:hanging="360"/>
      </w:pPr>
      <w:rPr>
        <w:rFonts w:ascii="Wingdings" w:hAnsi="Wingdings" w:hint="default"/>
      </w:rPr>
    </w:lvl>
  </w:abstractNum>
  <w:abstractNum w:abstractNumId="57" w15:restartNumberingAfterBreak="0">
    <w:nsid w:val="62700B75"/>
    <w:multiLevelType w:val="hybridMultilevel"/>
    <w:tmpl w:val="9B06BC2A"/>
    <w:lvl w:ilvl="0" w:tplc="2E38734E">
      <w:start w:val="1"/>
      <w:numFmt w:val="bullet"/>
      <w:lvlText w:val=""/>
      <w:lvlJc w:val="left"/>
      <w:pPr>
        <w:ind w:left="720" w:hanging="360"/>
      </w:pPr>
      <w:rPr>
        <w:rFonts w:ascii="Symbol" w:hAnsi="Symbol" w:hint="default"/>
      </w:rPr>
    </w:lvl>
    <w:lvl w:ilvl="1" w:tplc="EBDACBBC">
      <w:start w:val="1"/>
      <w:numFmt w:val="bullet"/>
      <w:lvlText w:val="o"/>
      <w:lvlJc w:val="left"/>
      <w:pPr>
        <w:ind w:left="1440" w:hanging="360"/>
      </w:pPr>
      <w:rPr>
        <w:rFonts w:ascii="Courier New" w:hAnsi="Courier New" w:hint="default"/>
      </w:rPr>
    </w:lvl>
    <w:lvl w:ilvl="2" w:tplc="77AA2CB0">
      <w:start w:val="1"/>
      <w:numFmt w:val="bullet"/>
      <w:lvlText w:val=""/>
      <w:lvlJc w:val="left"/>
      <w:pPr>
        <w:ind w:left="2160" w:hanging="360"/>
      </w:pPr>
      <w:rPr>
        <w:rFonts w:ascii="Wingdings" w:hAnsi="Wingdings" w:hint="default"/>
      </w:rPr>
    </w:lvl>
    <w:lvl w:ilvl="3" w:tplc="DA46624A">
      <w:start w:val="1"/>
      <w:numFmt w:val="bullet"/>
      <w:lvlText w:val=""/>
      <w:lvlJc w:val="left"/>
      <w:pPr>
        <w:ind w:left="2880" w:hanging="360"/>
      </w:pPr>
      <w:rPr>
        <w:rFonts w:ascii="Symbol" w:hAnsi="Symbol" w:hint="default"/>
      </w:rPr>
    </w:lvl>
    <w:lvl w:ilvl="4" w:tplc="472831F0">
      <w:start w:val="1"/>
      <w:numFmt w:val="bullet"/>
      <w:lvlText w:val="o"/>
      <w:lvlJc w:val="left"/>
      <w:pPr>
        <w:ind w:left="3600" w:hanging="360"/>
      </w:pPr>
      <w:rPr>
        <w:rFonts w:ascii="Courier New" w:hAnsi="Courier New" w:hint="default"/>
      </w:rPr>
    </w:lvl>
    <w:lvl w:ilvl="5" w:tplc="456212AE">
      <w:start w:val="1"/>
      <w:numFmt w:val="bullet"/>
      <w:lvlText w:val=""/>
      <w:lvlJc w:val="left"/>
      <w:pPr>
        <w:ind w:left="4320" w:hanging="360"/>
      </w:pPr>
      <w:rPr>
        <w:rFonts w:ascii="Wingdings" w:hAnsi="Wingdings" w:hint="default"/>
      </w:rPr>
    </w:lvl>
    <w:lvl w:ilvl="6" w:tplc="1D747050">
      <w:start w:val="1"/>
      <w:numFmt w:val="bullet"/>
      <w:lvlText w:val=""/>
      <w:lvlJc w:val="left"/>
      <w:pPr>
        <w:ind w:left="5040" w:hanging="360"/>
      </w:pPr>
      <w:rPr>
        <w:rFonts w:ascii="Symbol" w:hAnsi="Symbol" w:hint="default"/>
      </w:rPr>
    </w:lvl>
    <w:lvl w:ilvl="7" w:tplc="3A82E7B8">
      <w:start w:val="1"/>
      <w:numFmt w:val="bullet"/>
      <w:lvlText w:val="o"/>
      <w:lvlJc w:val="left"/>
      <w:pPr>
        <w:ind w:left="5760" w:hanging="360"/>
      </w:pPr>
      <w:rPr>
        <w:rFonts w:ascii="Courier New" w:hAnsi="Courier New" w:hint="default"/>
      </w:rPr>
    </w:lvl>
    <w:lvl w:ilvl="8" w:tplc="FA40234E">
      <w:start w:val="1"/>
      <w:numFmt w:val="bullet"/>
      <w:lvlText w:val=""/>
      <w:lvlJc w:val="left"/>
      <w:pPr>
        <w:ind w:left="6480" w:hanging="360"/>
      </w:pPr>
      <w:rPr>
        <w:rFonts w:ascii="Wingdings" w:hAnsi="Wingdings" w:hint="default"/>
      </w:rPr>
    </w:lvl>
  </w:abstractNum>
  <w:abstractNum w:abstractNumId="58" w15:restartNumberingAfterBreak="0">
    <w:nsid w:val="635A62C2"/>
    <w:multiLevelType w:val="hybridMultilevel"/>
    <w:tmpl w:val="FFFFFFFF"/>
    <w:lvl w:ilvl="0" w:tplc="0CD21C84">
      <w:start w:val="1"/>
      <w:numFmt w:val="bullet"/>
      <w:lvlText w:val=""/>
      <w:lvlJc w:val="left"/>
      <w:pPr>
        <w:ind w:left="720" w:hanging="360"/>
      </w:pPr>
      <w:rPr>
        <w:rFonts w:ascii="Symbol" w:hAnsi="Symbol" w:hint="default"/>
      </w:rPr>
    </w:lvl>
    <w:lvl w:ilvl="1" w:tplc="6E342886">
      <w:start w:val="1"/>
      <w:numFmt w:val="bullet"/>
      <w:lvlText w:val="o"/>
      <w:lvlJc w:val="left"/>
      <w:pPr>
        <w:ind w:left="1440" w:hanging="360"/>
      </w:pPr>
      <w:rPr>
        <w:rFonts w:ascii="Courier New" w:hAnsi="Courier New" w:hint="default"/>
      </w:rPr>
    </w:lvl>
    <w:lvl w:ilvl="2" w:tplc="03FE75F6">
      <w:start w:val="1"/>
      <w:numFmt w:val="bullet"/>
      <w:lvlText w:val=""/>
      <w:lvlJc w:val="left"/>
      <w:pPr>
        <w:ind w:left="2160" w:hanging="360"/>
      </w:pPr>
      <w:rPr>
        <w:rFonts w:ascii="Wingdings" w:hAnsi="Wingdings" w:hint="default"/>
      </w:rPr>
    </w:lvl>
    <w:lvl w:ilvl="3" w:tplc="CF2C4ABC">
      <w:start w:val="1"/>
      <w:numFmt w:val="bullet"/>
      <w:lvlText w:val=""/>
      <w:lvlJc w:val="left"/>
      <w:pPr>
        <w:ind w:left="2880" w:hanging="360"/>
      </w:pPr>
      <w:rPr>
        <w:rFonts w:ascii="Symbol" w:hAnsi="Symbol" w:hint="default"/>
      </w:rPr>
    </w:lvl>
    <w:lvl w:ilvl="4" w:tplc="646607B8">
      <w:start w:val="1"/>
      <w:numFmt w:val="bullet"/>
      <w:lvlText w:val="o"/>
      <w:lvlJc w:val="left"/>
      <w:pPr>
        <w:ind w:left="3600" w:hanging="360"/>
      </w:pPr>
      <w:rPr>
        <w:rFonts w:ascii="Courier New" w:hAnsi="Courier New" w:hint="default"/>
      </w:rPr>
    </w:lvl>
    <w:lvl w:ilvl="5" w:tplc="5DD048EA">
      <w:start w:val="1"/>
      <w:numFmt w:val="bullet"/>
      <w:lvlText w:val=""/>
      <w:lvlJc w:val="left"/>
      <w:pPr>
        <w:ind w:left="4320" w:hanging="360"/>
      </w:pPr>
      <w:rPr>
        <w:rFonts w:ascii="Wingdings" w:hAnsi="Wingdings" w:hint="default"/>
      </w:rPr>
    </w:lvl>
    <w:lvl w:ilvl="6" w:tplc="C56E8594">
      <w:start w:val="1"/>
      <w:numFmt w:val="bullet"/>
      <w:lvlText w:val=""/>
      <w:lvlJc w:val="left"/>
      <w:pPr>
        <w:ind w:left="5040" w:hanging="360"/>
      </w:pPr>
      <w:rPr>
        <w:rFonts w:ascii="Symbol" w:hAnsi="Symbol" w:hint="default"/>
      </w:rPr>
    </w:lvl>
    <w:lvl w:ilvl="7" w:tplc="25941DFE">
      <w:start w:val="1"/>
      <w:numFmt w:val="bullet"/>
      <w:lvlText w:val="o"/>
      <w:lvlJc w:val="left"/>
      <w:pPr>
        <w:ind w:left="5760" w:hanging="360"/>
      </w:pPr>
      <w:rPr>
        <w:rFonts w:ascii="Courier New" w:hAnsi="Courier New" w:hint="default"/>
      </w:rPr>
    </w:lvl>
    <w:lvl w:ilvl="8" w:tplc="01E2B70C">
      <w:start w:val="1"/>
      <w:numFmt w:val="bullet"/>
      <w:lvlText w:val=""/>
      <w:lvlJc w:val="left"/>
      <w:pPr>
        <w:ind w:left="6480" w:hanging="360"/>
      </w:pPr>
      <w:rPr>
        <w:rFonts w:ascii="Wingdings" w:hAnsi="Wingdings" w:hint="default"/>
      </w:rPr>
    </w:lvl>
  </w:abstractNum>
  <w:abstractNum w:abstractNumId="59" w15:restartNumberingAfterBreak="0">
    <w:nsid w:val="683D3341"/>
    <w:multiLevelType w:val="hybridMultilevel"/>
    <w:tmpl w:val="5C4AED8E"/>
    <w:lvl w:ilvl="0" w:tplc="0EA644B4">
      <w:start w:val="1"/>
      <w:numFmt w:val="bullet"/>
      <w:lvlText w:val=""/>
      <w:lvlJc w:val="left"/>
      <w:pPr>
        <w:ind w:left="720" w:hanging="360"/>
      </w:pPr>
      <w:rPr>
        <w:rFonts w:ascii="Symbol" w:hAnsi="Symbol" w:hint="default"/>
      </w:rPr>
    </w:lvl>
    <w:lvl w:ilvl="1" w:tplc="3C5C19A4">
      <w:start w:val="1"/>
      <w:numFmt w:val="bullet"/>
      <w:lvlText w:val="o"/>
      <w:lvlJc w:val="left"/>
      <w:pPr>
        <w:ind w:left="1440" w:hanging="360"/>
      </w:pPr>
      <w:rPr>
        <w:rFonts w:ascii="Courier New" w:hAnsi="Courier New" w:hint="default"/>
      </w:rPr>
    </w:lvl>
    <w:lvl w:ilvl="2" w:tplc="07A22B94">
      <w:start w:val="1"/>
      <w:numFmt w:val="bullet"/>
      <w:lvlText w:val=""/>
      <w:lvlJc w:val="left"/>
      <w:pPr>
        <w:ind w:left="2160" w:hanging="360"/>
      </w:pPr>
      <w:rPr>
        <w:rFonts w:ascii="Wingdings" w:hAnsi="Wingdings" w:hint="default"/>
      </w:rPr>
    </w:lvl>
    <w:lvl w:ilvl="3" w:tplc="3DDC7D28">
      <w:start w:val="1"/>
      <w:numFmt w:val="bullet"/>
      <w:lvlText w:val=""/>
      <w:lvlJc w:val="left"/>
      <w:pPr>
        <w:ind w:left="2880" w:hanging="360"/>
      </w:pPr>
      <w:rPr>
        <w:rFonts w:ascii="Symbol" w:hAnsi="Symbol" w:hint="default"/>
      </w:rPr>
    </w:lvl>
    <w:lvl w:ilvl="4" w:tplc="F508E1F4">
      <w:start w:val="1"/>
      <w:numFmt w:val="bullet"/>
      <w:lvlText w:val="o"/>
      <w:lvlJc w:val="left"/>
      <w:pPr>
        <w:ind w:left="3600" w:hanging="360"/>
      </w:pPr>
      <w:rPr>
        <w:rFonts w:ascii="Courier New" w:hAnsi="Courier New" w:hint="default"/>
      </w:rPr>
    </w:lvl>
    <w:lvl w:ilvl="5" w:tplc="E9C4A2C8">
      <w:start w:val="1"/>
      <w:numFmt w:val="bullet"/>
      <w:lvlText w:val=""/>
      <w:lvlJc w:val="left"/>
      <w:pPr>
        <w:ind w:left="4320" w:hanging="360"/>
      </w:pPr>
      <w:rPr>
        <w:rFonts w:ascii="Wingdings" w:hAnsi="Wingdings" w:hint="default"/>
      </w:rPr>
    </w:lvl>
    <w:lvl w:ilvl="6" w:tplc="67E2CAFC">
      <w:start w:val="1"/>
      <w:numFmt w:val="bullet"/>
      <w:lvlText w:val=""/>
      <w:lvlJc w:val="left"/>
      <w:pPr>
        <w:ind w:left="5040" w:hanging="360"/>
      </w:pPr>
      <w:rPr>
        <w:rFonts w:ascii="Symbol" w:hAnsi="Symbol" w:hint="default"/>
      </w:rPr>
    </w:lvl>
    <w:lvl w:ilvl="7" w:tplc="A3B02A12">
      <w:start w:val="1"/>
      <w:numFmt w:val="bullet"/>
      <w:lvlText w:val="o"/>
      <w:lvlJc w:val="left"/>
      <w:pPr>
        <w:ind w:left="5760" w:hanging="360"/>
      </w:pPr>
      <w:rPr>
        <w:rFonts w:ascii="Courier New" w:hAnsi="Courier New" w:hint="default"/>
      </w:rPr>
    </w:lvl>
    <w:lvl w:ilvl="8" w:tplc="59FEC34A">
      <w:start w:val="1"/>
      <w:numFmt w:val="bullet"/>
      <w:lvlText w:val=""/>
      <w:lvlJc w:val="left"/>
      <w:pPr>
        <w:ind w:left="6480" w:hanging="360"/>
      </w:pPr>
      <w:rPr>
        <w:rFonts w:ascii="Wingdings" w:hAnsi="Wingdings" w:hint="default"/>
      </w:rPr>
    </w:lvl>
  </w:abstractNum>
  <w:abstractNum w:abstractNumId="60" w15:restartNumberingAfterBreak="0">
    <w:nsid w:val="684D1E36"/>
    <w:multiLevelType w:val="hybridMultilevel"/>
    <w:tmpl w:val="5ACA8ACC"/>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A8076C6"/>
    <w:multiLevelType w:val="hybridMultilevel"/>
    <w:tmpl w:val="37565CFC"/>
    <w:lvl w:ilvl="0" w:tplc="9884AC1E">
      <w:start w:val="1"/>
      <w:numFmt w:val="bullet"/>
      <w:lvlText w:val=""/>
      <w:lvlJc w:val="left"/>
      <w:pPr>
        <w:ind w:left="720" w:hanging="360"/>
      </w:pPr>
      <w:rPr>
        <w:rFonts w:ascii="Symbol" w:hAnsi="Symbol" w:hint="default"/>
      </w:rPr>
    </w:lvl>
    <w:lvl w:ilvl="1" w:tplc="A42EF446">
      <w:start w:val="1"/>
      <w:numFmt w:val="bullet"/>
      <w:lvlText w:val="o"/>
      <w:lvlJc w:val="left"/>
      <w:pPr>
        <w:ind w:left="1440" w:hanging="360"/>
      </w:pPr>
      <w:rPr>
        <w:rFonts w:ascii="Courier New" w:hAnsi="Courier New" w:hint="default"/>
      </w:rPr>
    </w:lvl>
    <w:lvl w:ilvl="2" w:tplc="ED3816E2">
      <w:start w:val="1"/>
      <w:numFmt w:val="bullet"/>
      <w:lvlText w:val=""/>
      <w:lvlJc w:val="left"/>
      <w:pPr>
        <w:ind w:left="2160" w:hanging="360"/>
      </w:pPr>
      <w:rPr>
        <w:rFonts w:ascii="Wingdings" w:hAnsi="Wingdings" w:hint="default"/>
      </w:rPr>
    </w:lvl>
    <w:lvl w:ilvl="3" w:tplc="29AC3742">
      <w:start w:val="1"/>
      <w:numFmt w:val="bullet"/>
      <w:lvlText w:val=""/>
      <w:lvlJc w:val="left"/>
      <w:pPr>
        <w:ind w:left="2880" w:hanging="360"/>
      </w:pPr>
      <w:rPr>
        <w:rFonts w:ascii="Symbol" w:hAnsi="Symbol" w:hint="default"/>
      </w:rPr>
    </w:lvl>
    <w:lvl w:ilvl="4" w:tplc="521EAD08">
      <w:start w:val="1"/>
      <w:numFmt w:val="bullet"/>
      <w:lvlText w:val="o"/>
      <w:lvlJc w:val="left"/>
      <w:pPr>
        <w:ind w:left="3600" w:hanging="360"/>
      </w:pPr>
      <w:rPr>
        <w:rFonts w:ascii="Courier New" w:hAnsi="Courier New" w:hint="default"/>
      </w:rPr>
    </w:lvl>
    <w:lvl w:ilvl="5" w:tplc="9860428E">
      <w:start w:val="1"/>
      <w:numFmt w:val="bullet"/>
      <w:lvlText w:val=""/>
      <w:lvlJc w:val="left"/>
      <w:pPr>
        <w:ind w:left="4320" w:hanging="360"/>
      </w:pPr>
      <w:rPr>
        <w:rFonts w:ascii="Wingdings" w:hAnsi="Wingdings" w:hint="default"/>
      </w:rPr>
    </w:lvl>
    <w:lvl w:ilvl="6" w:tplc="ABD21D92">
      <w:start w:val="1"/>
      <w:numFmt w:val="bullet"/>
      <w:lvlText w:val=""/>
      <w:lvlJc w:val="left"/>
      <w:pPr>
        <w:ind w:left="5040" w:hanging="360"/>
      </w:pPr>
      <w:rPr>
        <w:rFonts w:ascii="Symbol" w:hAnsi="Symbol" w:hint="default"/>
      </w:rPr>
    </w:lvl>
    <w:lvl w:ilvl="7" w:tplc="C5E81182">
      <w:start w:val="1"/>
      <w:numFmt w:val="bullet"/>
      <w:lvlText w:val="o"/>
      <w:lvlJc w:val="left"/>
      <w:pPr>
        <w:ind w:left="5760" w:hanging="360"/>
      </w:pPr>
      <w:rPr>
        <w:rFonts w:ascii="Courier New" w:hAnsi="Courier New" w:hint="default"/>
      </w:rPr>
    </w:lvl>
    <w:lvl w:ilvl="8" w:tplc="E8A0CE08">
      <w:start w:val="1"/>
      <w:numFmt w:val="bullet"/>
      <w:lvlText w:val=""/>
      <w:lvlJc w:val="left"/>
      <w:pPr>
        <w:ind w:left="6480" w:hanging="360"/>
      </w:pPr>
      <w:rPr>
        <w:rFonts w:ascii="Wingdings" w:hAnsi="Wingdings" w:hint="default"/>
      </w:rPr>
    </w:lvl>
  </w:abstractNum>
  <w:abstractNum w:abstractNumId="62" w15:restartNumberingAfterBreak="0">
    <w:nsid w:val="6BA1766E"/>
    <w:multiLevelType w:val="hybridMultilevel"/>
    <w:tmpl w:val="DC121BD4"/>
    <w:lvl w:ilvl="0" w:tplc="FBBE4F76">
      <w:start w:val="1"/>
      <w:numFmt w:val="bullet"/>
      <w:lvlText w:val=""/>
      <w:lvlJc w:val="left"/>
      <w:pPr>
        <w:ind w:left="720" w:hanging="360"/>
      </w:pPr>
      <w:rPr>
        <w:rFonts w:ascii="Symbol" w:hAnsi="Symbol" w:hint="default"/>
      </w:rPr>
    </w:lvl>
    <w:lvl w:ilvl="1" w:tplc="FB00EB0A">
      <w:start w:val="1"/>
      <w:numFmt w:val="bullet"/>
      <w:lvlText w:val="o"/>
      <w:lvlJc w:val="left"/>
      <w:pPr>
        <w:ind w:left="1440" w:hanging="360"/>
      </w:pPr>
      <w:rPr>
        <w:rFonts w:ascii="Courier New" w:hAnsi="Courier New" w:hint="default"/>
      </w:rPr>
    </w:lvl>
    <w:lvl w:ilvl="2" w:tplc="7ED89EAA">
      <w:start w:val="1"/>
      <w:numFmt w:val="bullet"/>
      <w:lvlText w:val=""/>
      <w:lvlJc w:val="left"/>
      <w:pPr>
        <w:ind w:left="2160" w:hanging="360"/>
      </w:pPr>
      <w:rPr>
        <w:rFonts w:ascii="Wingdings" w:hAnsi="Wingdings" w:hint="default"/>
      </w:rPr>
    </w:lvl>
    <w:lvl w:ilvl="3" w:tplc="9196D4D4">
      <w:start w:val="1"/>
      <w:numFmt w:val="bullet"/>
      <w:lvlText w:val=""/>
      <w:lvlJc w:val="left"/>
      <w:pPr>
        <w:ind w:left="2880" w:hanging="360"/>
      </w:pPr>
      <w:rPr>
        <w:rFonts w:ascii="Symbol" w:hAnsi="Symbol" w:hint="default"/>
      </w:rPr>
    </w:lvl>
    <w:lvl w:ilvl="4" w:tplc="6FB62A78">
      <w:start w:val="1"/>
      <w:numFmt w:val="bullet"/>
      <w:lvlText w:val="o"/>
      <w:lvlJc w:val="left"/>
      <w:pPr>
        <w:ind w:left="3600" w:hanging="360"/>
      </w:pPr>
      <w:rPr>
        <w:rFonts w:ascii="Courier New" w:hAnsi="Courier New" w:hint="default"/>
      </w:rPr>
    </w:lvl>
    <w:lvl w:ilvl="5" w:tplc="91A874E6">
      <w:start w:val="1"/>
      <w:numFmt w:val="bullet"/>
      <w:lvlText w:val=""/>
      <w:lvlJc w:val="left"/>
      <w:pPr>
        <w:ind w:left="4320" w:hanging="360"/>
      </w:pPr>
      <w:rPr>
        <w:rFonts w:ascii="Wingdings" w:hAnsi="Wingdings" w:hint="default"/>
      </w:rPr>
    </w:lvl>
    <w:lvl w:ilvl="6" w:tplc="0D6C285E">
      <w:start w:val="1"/>
      <w:numFmt w:val="bullet"/>
      <w:lvlText w:val=""/>
      <w:lvlJc w:val="left"/>
      <w:pPr>
        <w:ind w:left="5040" w:hanging="360"/>
      </w:pPr>
      <w:rPr>
        <w:rFonts w:ascii="Symbol" w:hAnsi="Symbol" w:hint="default"/>
      </w:rPr>
    </w:lvl>
    <w:lvl w:ilvl="7" w:tplc="1924CDB8">
      <w:start w:val="1"/>
      <w:numFmt w:val="bullet"/>
      <w:lvlText w:val="o"/>
      <w:lvlJc w:val="left"/>
      <w:pPr>
        <w:ind w:left="5760" w:hanging="360"/>
      </w:pPr>
      <w:rPr>
        <w:rFonts w:ascii="Courier New" w:hAnsi="Courier New" w:hint="default"/>
      </w:rPr>
    </w:lvl>
    <w:lvl w:ilvl="8" w:tplc="A194185A">
      <w:start w:val="1"/>
      <w:numFmt w:val="bullet"/>
      <w:lvlText w:val=""/>
      <w:lvlJc w:val="left"/>
      <w:pPr>
        <w:ind w:left="6480" w:hanging="360"/>
      </w:pPr>
      <w:rPr>
        <w:rFonts w:ascii="Wingdings" w:hAnsi="Wingdings" w:hint="default"/>
      </w:rPr>
    </w:lvl>
  </w:abstractNum>
  <w:abstractNum w:abstractNumId="63" w15:restartNumberingAfterBreak="0">
    <w:nsid w:val="6BD9F1B4"/>
    <w:multiLevelType w:val="hybridMultilevel"/>
    <w:tmpl w:val="FFFFFFFF"/>
    <w:lvl w:ilvl="0" w:tplc="B1E64332">
      <w:start w:val="1"/>
      <w:numFmt w:val="bullet"/>
      <w:lvlText w:val=""/>
      <w:lvlJc w:val="left"/>
      <w:pPr>
        <w:ind w:left="720" w:hanging="360"/>
      </w:pPr>
      <w:rPr>
        <w:rFonts w:ascii="Symbol" w:hAnsi="Symbol" w:hint="default"/>
      </w:rPr>
    </w:lvl>
    <w:lvl w:ilvl="1" w:tplc="6B5C3B52">
      <w:start w:val="1"/>
      <w:numFmt w:val="bullet"/>
      <w:lvlText w:val="o"/>
      <w:lvlJc w:val="left"/>
      <w:pPr>
        <w:ind w:left="1440" w:hanging="360"/>
      </w:pPr>
      <w:rPr>
        <w:rFonts w:ascii="Courier New" w:hAnsi="Courier New" w:hint="default"/>
      </w:rPr>
    </w:lvl>
    <w:lvl w:ilvl="2" w:tplc="17C67268">
      <w:start w:val="1"/>
      <w:numFmt w:val="bullet"/>
      <w:lvlText w:val=""/>
      <w:lvlJc w:val="left"/>
      <w:pPr>
        <w:ind w:left="2160" w:hanging="360"/>
      </w:pPr>
      <w:rPr>
        <w:rFonts w:ascii="Wingdings" w:hAnsi="Wingdings" w:hint="default"/>
      </w:rPr>
    </w:lvl>
    <w:lvl w:ilvl="3" w:tplc="719C0EBC">
      <w:start w:val="1"/>
      <w:numFmt w:val="bullet"/>
      <w:lvlText w:val=""/>
      <w:lvlJc w:val="left"/>
      <w:pPr>
        <w:ind w:left="2880" w:hanging="360"/>
      </w:pPr>
      <w:rPr>
        <w:rFonts w:ascii="Symbol" w:hAnsi="Symbol" w:hint="default"/>
      </w:rPr>
    </w:lvl>
    <w:lvl w:ilvl="4" w:tplc="89761D34">
      <w:start w:val="1"/>
      <w:numFmt w:val="bullet"/>
      <w:lvlText w:val="o"/>
      <w:lvlJc w:val="left"/>
      <w:pPr>
        <w:ind w:left="3600" w:hanging="360"/>
      </w:pPr>
      <w:rPr>
        <w:rFonts w:ascii="Courier New" w:hAnsi="Courier New" w:hint="default"/>
      </w:rPr>
    </w:lvl>
    <w:lvl w:ilvl="5" w:tplc="AC443246">
      <w:start w:val="1"/>
      <w:numFmt w:val="bullet"/>
      <w:lvlText w:val=""/>
      <w:lvlJc w:val="left"/>
      <w:pPr>
        <w:ind w:left="4320" w:hanging="360"/>
      </w:pPr>
      <w:rPr>
        <w:rFonts w:ascii="Wingdings" w:hAnsi="Wingdings" w:hint="default"/>
      </w:rPr>
    </w:lvl>
    <w:lvl w:ilvl="6" w:tplc="0E260344">
      <w:start w:val="1"/>
      <w:numFmt w:val="bullet"/>
      <w:lvlText w:val=""/>
      <w:lvlJc w:val="left"/>
      <w:pPr>
        <w:ind w:left="5040" w:hanging="360"/>
      </w:pPr>
      <w:rPr>
        <w:rFonts w:ascii="Symbol" w:hAnsi="Symbol" w:hint="default"/>
      </w:rPr>
    </w:lvl>
    <w:lvl w:ilvl="7" w:tplc="8744E446">
      <w:start w:val="1"/>
      <w:numFmt w:val="bullet"/>
      <w:lvlText w:val="o"/>
      <w:lvlJc w:val="left"/>
      <w:pPr>
        <w:ind w:left="5760" w:hanging="360"/>
      </w:pPr>
      <w:rPr>
        <w:rFonts w:ascii="Courier New" w:hAnsi="Courier New" w:hint="default"/>
      </w:rPr>
    </w:lvl>
    <w:lvl w:ilvl="8" w:tplc="DC7C1DCE">
      <w:start w:val="1"/>
      <w:numFmt w:val="bullet"/>
      <w:lvlText w:val=""/>
      <w:lvlJc w:val="left"/>
      <w:pPr>
        <w:ind w:left="6480" w:hanging="360"/>
      </w:pPr>
      <w:rPr>
        <w:rFonts w:ascii="Wingdings" w:hAnsi="Wingdings" w:hint="default"/>
      </w:rPr>
    </w:lvl>
  </w:abstractNum>
  <w:abstractNum w:abstractNumId="64" w15:restartNumberingAfterBreak="0">
    <w:nsid w:val="6DF9421F"/>
    <w:multiLevelType w:val="hybridMultilevel"/>
    <w:tmpl w:val="FC865BD0"/>
    <w:lvl w:ilvl="0" w:tplc="FFFFFFFF">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57B98B0"/>
    <w:multiLevelType w:val="hybridMultilevel"/>
    <w:tmpl w:val="FFFFFFFF"/>
    <w:lvl w:ilvl="0" w:tplc="E09AF976">
      <w:start w:val="1"/>
      <w:numFmt w:val="bullet"/>
      <w:lvlText w:val=""/>
      <w:lvlJc w:val="left"/>
      <w:pPr>
        <w:ind w:left="720" w:hanging="360"/>
      </w:pPr>
      <w:rPr>
        <w:rFonts w:ascii="Symbol" w:hAnsi="Symbol" w:hint="default"/>
      </w:rPr>
    </w:lvl>
    <w:lvl w:ilvl="1" w:tplc="EA28A9D8">
      <w:start w:val="1"/>
      <w:numFmt w:val="bullet"/>
      <w:lvlText w:val="o"/>
      <w:lvlJc w:val="left"/>
      <w:pPr>
        <w:ind w:left="1440" w:hanging="360"/>
      </w:pPr>
      <w:rPr>
        <w:rFonts w:ascii="Courier New" w:hAnsi="Courier New" w:hint="default"/>
      </w:rPr>
    </w:lvl>
    <w:lvl w:ilvl="2" w:tplc="4A424C40">
      <w:start w:val="1"/>
      <w:numFmt w:val="bullet"/>
      <w:lvlText w:val=""/>
      <w:lvlJc w:val="left"/>
      <w:pPr>
        <w:ind w:left="2160" w:hanging="360"/>
      </w:pPr>
      <w:rPr>
        <w:rFonts w:ascii="Wingdings" w:hAnsi="Wingdings" w:hint="default"/>
      </w:rPr>
    </w:lvl>
    <w:lvl w:ilvl="3" w:tplc="A154881C">
      <w:start w:val="1"/>
      <w:numFmt w:val="bullet"/>
      <w:lvlText w:val=""/>
      <w:lvlJc w:val="left"/>
      <w:pPr>
        <w:ind w:left="2880" w:hanging="360"/>
      </w:pPr>
      <w:rPr>
        <w:rFonts w:ascii="Symbol" w:hAnsi="Symbol" w:hint="default"/>
      </w:rPr>
    </w:lvl>
    <w:lvl w:ilvl="4" w:tplc="2C60C918">
      <w:start w:val="1"/>
      <w:numFmt w:val="bullet"/>
      <w:lvlText w:val="o"/>
      <w:lvlJc w:val="left"/>
      <w:pPr>
        <w:ind w:left="3600" w:hanging="360"/>
      </w:pPr>
      <w:rPr>
        <w:rFonts w:ascii="Courier New" w:hAnsi="Courier New" w:hint="default"/>
      </w:rPr>
    </w:lvl>
    <w:lvl w:ilvl="5" w:tplc="2E78147E">
      <w:start w:val="1"/>
      <w:numFmt w:val="bullet"/>
      <w:lvlText w:val=""/>
      <w:lvlJc w:val="left"/>
      <w:pPr>
        <w:ind w:left="4320" w:hanging="360"/>
      </w:pPr>
      <w:rPr>
        <w:rFonts w:ascii="Wingdings" w:hAnsi="Wingdings" w:hint="default"/>
      </w:rPr>
    </w:lvl>
    <w:lvl w:ilvl="6" w:tplc="65F6E370">
      <w:start w:val="1"/>
      <w:numFmt w:val="bullet"/>
      <w:lvlText w:val=""/>
      <w:lvlJc w:val="left"/>
      <w:pPr>
        <w:ind w:left="5040" w:hanging="360"/>
      </w:pPr>
      <w:rPr>
        <w:rFonts w:ascii="Symbol" w:hAnsi="Symbol" w:hint="default"/>
      </w:rPr>
    </w:lvl>
    <w:lvl w:ilvl="7" w:tplc="F4D6618E">
      <w:start w:val="1"/>
      <w:numFmt w:val="bullet"/>
      <w:lvlText w:val="o"/>
      <w:lvlJc w:val="left"/>
      <w:pPr>
        <w:ind w:left="5760" w:hanging="360"/>
      </w:pPr>
      <w:rPr>
        <w:rFonts w:ascii="Courier New" w:hAnsi="Courier New" w:hint="default"/>
      </w:rPr>
    </w:lvl>
    <w:lvl w:ilvl="8" w:tplc="E7204FD8">
      <w:start w:val="1"/>
      <w:numFmt w:val="bullet"/>
      <w:lvlText w:val=""/>
      <w:lvlJc w:val="left"/>
      <w:pPr>
        <w:ind w:left="6480" w:hanging="360"/>
      </w:pPr>
      <w:rPr>
        <w:rFonts w:ascii="Wingdings" w:hAnsi="Wingdings" w:hint="default"/>
      </w:rPr>
    </w:lvl>
  </w:abstractNum>
  <w:abstractNum w:abstractNumId="66" w15:restartNumberingAfterBreak="0">
    <w:nsid w:val="75D96A67"/>
    <w:multiLevelType w:val="hybridMultilevel"/>
    <w:tmpl w:val="8078F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62527F0"/>
    <w:multiLevelType w:val="hybridMultilevel"/>
    <w:tmpl w:val="A7E6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6D79427"/>
    <w:multiLevelType w:val="hybridMultilevel"/>
    <w:tmpl w:val="FFFFFFFF"/>
    <w:lvl w:ilvl="0" w:tplc="49F0E764">
      <w:start w:val="1"/>
      <w:numFmt w:val="decimal"/>
      <w:lvlText w:val="%1."/>
      <w:lvlJc w:val="left"/>
      <w:pPr>
        <w:ind w:left="720" w:hanging="360"/>
      </w:pPr>
    </w:lvl>
    <w:lvl w:ilvl="1" w:tplc="7882AE1A">
      <w:start w:val="1"/>
      <w:numFmt w:val="lowerLetter"/>
      <w:lvlText w:val="%2."/>
      <w:lvlJc w:val="left"/>
      <w:pPr>
        <w:ind w:left="1440" w:hanging="360"/>
      </w:pPr>
    </w:lvl>
    <w:lvl w:ilvl="2" w:tplc="AD0C23A4">
      <w:start w:val="1"/>
      <w:numFmt w:val="lowerRoman"/>
      <w:lvlText w:val="%3."/>
      <w:lvlJc w:val="right"/>
      <w:pPr>
        <w:ind w:left="2160" w:hanging="180"/>
      </w:pPr>
    </w:lvl>
    <w:lvl w:ilvl="3" w:tplc="BABEBAC8">
      <w:start w:val="1"/>
      <w:numFmt w:val="decimal"/>
      <w:lvlText w:val="%4."/>
      <w:lvlJc w:val="left"/>
      <w:pPr>
        <w:ind w:left="2880" w:hanging="360"/>
      </w:pPr>
    </w:lvl>
    <w:lvl w:ilvl="4" w:tplc="3FA2B13E">
      <w:start w:val="1"/>
      <w:numFmt w:val="lowerLetter"/>
      <w:lvlText w:val="%5."/>
      <w:lvlJc w:val="left"/>
      <w:pPr>
        <w:ind w:left="3600" w:hanging="360"/>
      </w:pPr>
    </w:lvl>
    <w:lvl w:ilvl="5" w:tplc="06CC23E4">
      <w:start w:val="1"/>
      <w:numFmt w:val="lowerRoman"/>
      <w:lvlText w:val="%6."/>
      <w:lvlJc w:val="right"/>
      <w:pPr>
        <w:ind w:left="4320" w:hanging="180"/>
      </w:pPr>
    </w:lvl>
    <w:lvl w:ilvl="6" w:tplc="47FE423E">
      <w:start w:val="1"/>
      <w:numFmt w:val="decimal"/>
      <w:lvlText w:val="%7."/>
      <w:lvlJc w:val="left"/>
      <w:pPr>
        <w:ind w:left="5040" w:hanging="360"/>
      </w:pPr>
    </w:lvl>
    <w:lvl w:ilvl="7" w:tplc="B92C44AE">
      <w:start w:val="1"/>
      <w:numFmt w:val="lowerLetter"/>
      <w:lvlText w:val="%8."/>
      <w:lvlJc w:val="left"/>
      <w:pPr>
        <w:ind w:left="5760" w:hanging="360"/>
      </w:pPr>
    </w:lvl>
    <w:lvl w:ilvl="8" w:tplc="58E486A8">
      <w:start w:val="1"/>
      <w:numFmt w:val="lowerRoman"/>
      <w:lvlText w:val="%9."/>
      <w:lvlJc w:val="right"/>
      <w:pPr>
        <w:ind w:left="6480" w:hanging="180"/>
      </w:pPr>
    </w:lvl>
  </w:abstractNum>
  <w:abstractNum w:abstractNumId="69" w15:restartNumberingAfterBreak="0">
    <w:nsid w:val="7B357AB1"/>
    <w:multiLevelType w:val="hybridMultilevel"/>
    <w:tmpl w:val="3C088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BBA95D3"/>
    <w:multiLevelType w:val="hybridMultilevel"/>
    <w:tmpl w:val="CEBE09EE"/>
    <w:lvl w:ilvl="0" w:tplc="5D088238">
      <w:start w:val="1"/>
      <w:numFmt w:val="bullet"/>
      <w:lvlText w:val=""/>
      <w:lvlJc w:val="left"/>
      <w:pPr>
        <w:ind w:left="720" w:hanging="360"/>
      </w:pPr>
      <w:rPr>
        <w:rFonts w:ascii="Symbol" w:hAnsi="Symbol" w:hint="default"/>
      </w:rPr>
    </w:lvl>
    <w:lvl w:ilvl="1" w:tplc="33B4CD94">
      <w:start w:val="1"/>
      <w:numFmt w:val="bullet"/>
      <w:lvlText w:val="o"/>
      <w:lvlJc w:val="left"/>
      <w:pPr>
        <w:ind w:left="1440" w:hanging="360"/>
      </w:pPr>
      <w:rPr>
        <w:rFonts w:ascii="Courier New" w:hAnsi="Courier New" w:hint="default"/>
      </w:rPr>
    </w:lvl>
    <w:lvl w:ilvl="2" w:tplc="659EC22C">
      <w:start w:val="1"/>
      <w:numFmt w:val="bullet"/>
      <w:lvlText w:val=""/>
      <w:lvlJc w:val="left"/>
      <w:pPr>
        <w:ind w:left="2160" w:hanging="360"/>
      </w:pPr>
      <w:rPr>
        <w:rFonts w:ascii="Wingdings" w:hAnsi="Wingdings" w:hint="default"/>
      </w:rPr>
    </w:lvl>
    <w:lvl w:ilvl="3" w:tplc="A90005AA">
      <w:start w:val="1"/>
      <w:numFmt w:val="bullet"/>
      <w:lvlText w:val=""/>
      <w:lvlJc w:val="left"/>
      <w:pPr>
        <w:ind w:left="2880" w:hanging="360"/>
      </w:pPr>
      <w:rPr>
        <w:rFonts w:ascii="Symbol" w:hAnsi="Symbol" w:hint="default"/>
      </w:rPr>
    </w:lvl>
    <w:lvl w:ilvl="4" w:tplc="A6BC01B2">
      <w:start w:val="1"/>
      <w:numFmt w:val="bullet"/>
      <w:lvlText w:val="o"/>
      <w:lvlJc w:val="left"/>
      <w:pPr>
        <w:ind w:left="3600" w:hanging="360"/>
      </w:pPr>
      <w:rPr>
        <w:rFonts w:ascii="Courier New" w:hAnsi="Courier New" w:hint="default"/>
      </w:rPr>
    </w:lvl>
    <w:lvl w:ilvl="5" w:tplc="4BF2D396">
      <w:start w:val="1"/>
      <w:numFmt w:val="bullet"/>
      <w:lvlText w:val=""/>
      <w:lvlJc w:val="left"/>
      <w:pPr>
        <w:ind w:left="4320" w:hanging="360"/>
      </w:pPr>
      <w:rPr>
        <w:rFonts w:ascii="Wingdings" w:hAnsi="Wingdings" w:hint="default"/>
      </w:rPr>
    </w:lvl>
    <w:lvl w:ilvl="6" w:tplc="CF86E554">
      <w:start w:val="1"/>
      <w:numFmt w:val="bullet"/>
      <w:lvlText w:val=""/>
      <w:lvlJc w:val="left"/>
      <w:pPr>
        <w:ind w:left="5040" w:hanging="360"/>
      </w:pPr>
      <w:rPr>
        <w:rFonts w:ascii="Symbol" w:hAnsi="Symbol" w:hint="default"/>
      </w:rPr>
    </w:lvl>
    <w:lvl w:ilvl="7" w:tplc="47C81E64">
      <w:start w:val="1"/>
      <w:numFmt w:val="bullet"/>
      <w:lvlText w:val="o"/>
      <w:lvlJc w:val="left"/>
      <w:pPr>
        <w:ind w:left="5760" w:hanging="360"/>
      </w:pPr>
      <w:rPr>
        <w:rFonts w:ascii="Courier New" w:hAnsi="Courier New" w:hint="default"/>
      </w:rPr>
    </w:lvl>
    <w:lvl w:ilvl="8" w:tplc="5EA8F000">
      <w:start w:val="1"/>
      <w:numFmt w:val="bullet"/>
      <w:lvlText w:val=""/>
      <w:lvlJc w:val="left"/>
      <w:pPr>
        <w:ind w:left="6480" w:hanging="360"/>
      </w:pPr>
      <w:rPr>
        <w:rFonts w:ascii="Wingdings" w:hAnsi="Wingdings" w:hint="default"/>
      </w:rPr>
    </w:lvl>
  </w:abstractNum>
  <w:num w:numId="1" w16cid:durableId="1435444355">
    <w:abstractNumId w:val="52"/>
  </w:num>
  <w:num w:numId="2" w16cid:durableId="1923106704">
    <w:abstractNumId w:val="0"/>
  </w:num>
  <w:num w:numId="3" w16cid:durableId="1632326178">
    <w:abstractNumId w:val="50"/>
  </w:num>
  <w:num w:numId="4" w16cid:durableId="1665931474">
    <w:abstractNumId w:val="25"/>
  </w:num>
  <w:num w:numId="5" w16cid:durableId="180245964">
    <w:abstractNumId w:val="33"/>
  </w:num>
  <w:num w:numId="6" w16cid:durableId="1237130767">
    <w:abstractNumId w:val="30"/>
  </w:num>
  <w:num w:numId="7" w16cid:durableId="630403698">
    <w:abstractNumId w:val="2"/>
  </w:num>
  <w:num w:numId="8" w16cid:durableId="1033849164">
    <w:abstractNumId w:val="48"/>
  </w:num>
  <w:num w:numId="9" w16cid:durableId="222568096">
    <w:abstractNumId w:val="9"/>
  </w:num>
  <w:num w:numId="10" w16cid:durableId="1688555050">
    <w:abstractNumId w:val="62"/>
  </w:num>
  <w:num w:numId="11" w16cid:durableId="710568237">
    <w:abstractNumId w:val="12"/>
  </w:num>
  <w:num w:numId="12" w16cid:durableId="2058967611">
    <w:abstractNumId w:val="36"/>
  </w:num>
  <w:num w:numId="13" w16cid:durableId="245921661">
    <w:abstractNumId w:val="49"/>
  </w:num>
  <w:num w:numId="14" w16cid:durableId="718825680">
    <w:abstractNumId w:val="37"/>
  </w:num>
  <w:num w:numId="15" w16cid:durableId="1188787226">
    <w:abstractNumId w:val="59"/>
  </w:num>
  <w:num w:numId="16" w16cid:durableId="1369447897">
    <w:abstractNumId w:val="22"/>
  </w:num>
  <w:num w:numId="17" w16cid:durableId="1710062950">
    <w:abstractNumId w:val="54"/>
  </w:num>
  <w:num w:numId="18" w16cid:durableId="905603917">
    <w:abstractNumId w:val="44"/>
  </w:num>
  <w:num w:numId="19" w16cid:durableId="793060563">
    <w:abstractNumId w:val="16"/>
  </w:num>
  <w:num w:numId="20" w16cid:durableId="1294404118">
    <w:abstractNumId w:val="70"/>
  </w:num>
  <w:num w:numId="21" w16cid:durableId="127939758">
    <w:abstractNumId w:val="29"/>
  </w:num>
  <w:num w:numId="22" w16cid:durableId="1819304446">
    <w:abstractNumId w:val="45"/>
  </w:num>
  <w:num w:numId="23" w16cid:durableId="249320174">
    <w:abstractNumId w:val="13"/>
  </w:num>
  <w:num w:numId="24" w16cid:durableId="716709342">
    <w:abstractNumId w:val="38"/>
  </w:num>
  <w:num w:numId="25" w16cid:durableId="1353801541">
    <w:abstractNumId w:val="41"/>
  </w:num>
  <w:num w:numId="26" w16cid:durableId="750934819">
    <w:abstractNumId w:val="61"/>
  </w:num>
  <w:num w:numId="27" w16cid:durableId="137115280">
    <w:abstractNumId w:val="34"/>
  </w:num>
  <w:num w:numId="28" w16cid:durableId="206140935">
    <w:abstractNumId w:val="7"/>
  </w:num>
  <w:num w:numId="29" w16cid:durableId="1310285214">
    <w:abstractNumId w:val="43"/>
  </w:num>
  <w:num w:numId="30" w16cid:durableId="1372613750">
    <w:abstractNumId w:val="35"/>
  </w:num>
  <w:num w:numId="31" w16cid:durableId="2142192013">
    <w:abstractNumId w:val="47"/>
  </w:num>
  <w:num w:numId="32" w16cid:durableId="227960270">
    <w:abstractNumId w:val="57"/>
  </w:num>
  <w:num w:numId="33" w16cid:durableId="1498887712">
    <w:abstractNumId w:val="32"/>
  </w:num>
  <w:num w:numId="34" w16cid:durableId="1009793895">
    <w:abstractNumId w:val="42"/>
  </w:num>
  <w:num w:numId="35" w16cid:durableId="1346051473">
    <w:abstractNumId w:val="17"/>
  </w:num>
  <w:num w:numId="36" w16cid:durableId="193735309">
    <w:abstractNumId w:val="10"/>
  </w:num>
  <w:num w:numId="37" w16cid:durableId="243150395">
    <w:abstractNumId w:val="24"/>
  </w:num>
  <w:num w:numId="38" w16cid:durableId="2089768552">
    <w:abstractNumId w:val="15"/>
  </w:num>
  <w:num w:numId="39" w16cid:durableId="1424183571">
    <w:abstractNumId w:val="19"/>
  </w:num>
  <w:num w:numId="40" w16cid:durableId="1861234048">
    <w:abstractNumId w:val="4"/>
  </w:num>
  <w:num w:numId="41" w16cid:durableId="631179351">
    <w:abstractNumId w:val="14"/>
  </w:num>
  <w:num w:numId="42" w16cid:durableId="1929077076">
    <w:abstractNumId w:val="46"/>
  </w:num>
  <w:num w:numId="43" w16cid:durableId="1933511700">
    <w:abstractNumId w:val="11"/>
  </w:num>
  <w:num w:numId="44" w16cid:durableId="1289970741">
    <w:abstractNumId w:val="26"/>
  </w:num>
  <w:num w:numId="45" w16cid:durableId="1501265084">
    <w:abstractNumId w:val="55"/>
  </w:num>
  <w:num w:numId="46" w16cid:durableId="722102345">
    <w:abstractNumId w:val="53"/>
  </w:num>
  <w:num w:numId="47" w16cid:durableId="115292973">
    <w:abstractNumId w:val="40"/>
  </w:num>
  <w:num w:numId="48" w16cid:durableId="746419278">
    <w:abstractNumId w:val="31"/>
  </w:num>
  <w:num w:numId="49" w16cid:durableId="828525693">
    <w:abstractNumId w:val="63"/>
  </w:num>
  <w:num w:numId="50" w16cid:durableId="2039700373">
    <w:abstractNumId w:val="27"/>
  </w:num>
  <w:num w:numId="51" w16cid:durableId="887955488">
    <w:abstractNumId w:val="58"/>
  </w:num>
  <w:num w:numId="52" w16cid:durableId="773285847">
    <w:abstractNumId w:val="20"/>
  </w:num>
  <w:num w:numId="53" w16cid:durableId="1807233815">
    <w:abstractNumId w:val="39"/>
  </w:num>
  <w:num w:numId="54" w16cid:durableId="1005744456">
    <w:abstractNumId w:val="5"/>
  </w:num>
  <w:num w:numId="55" w16cid:durableId="2025479116">
    <w:abstractNumId w:val="8"/>
  </w:num>
  <w:num w:numId="56" w16cid:durableId="183835255">
    <w:abstractNumId w:val="65"/>
  </w:num>
  <w:num w:numId="57" w16cid:durableId="316112360">
    <w:abstractNumId w:val="51"/>
  </w:num>
  <w:num w:numId="58" w16cid:durableId="1189487311">
    <w:abstractNumId w:val="64"/>
  </w:num>
  <w:num w:numId="59" w16cid:durableId="1159467008">
    <w:abstractNumId w:val="69"/>
  </w:num>
  <w:num w:numId="60" w16cid:durableId="754862108">
    <w:abstractNumId w:val="6"/>
  </w:num>
  <w:num w:numId="61" w16cid:durableId="2002469054">
    <w:abstractNumId w:val="66"/>
  </w:num>
  <w:num w:numId="62" w16cid:durableId="36979613">
    <w:abstractNumId w:val="28"/>
  </w:num>
  <w:num w:numId="63" w16cid:durableId="332878225">
    <w:abstractNumId w:val="60"/>
  </w:num>
  <w:num w:numId="64" w16cid:durableId="1713992555">
    <w:abstractNumId w:val="18"/>
  </w:num>
  <w:num w:numId="65" w16cid:durableId="1043140648">
    <w:abstractNumId w:val="67"/>
  </w:num>
  <w:num w:numId="66" w16cid:durableId="1029069829">
    <w:abstractNumId w:val="23"/>
  </w:num>
  <w:num w:numId="67" w16cid:durableId="2037537700">
    <w:abstractNumId w:val="3"/>
  </w:num>
  <w:num w:numId="68" w16cid:durableId="301272634">
    <w:abstractNumId w:val="68"/>
  </w:num>
  <w:num w:numId="69" w16cid:durableId="1489789426">
    <w:abstractNumId w:val="21"/>
  </w:num>
  <w:num w:numId="70" w16cid:durableId="1303657598">
    <w:abstractNumId w:val="56"/>
  </w:num>
  <w:num w:numId="71" w16cid:durableId="491721362">
    <w:abstractNumId w:val="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7E7"/>
    <w:rsid w:val="00000C50"/>
    <w:rsid w:val="00004744"/>
    <w:rsid w:val="00005409"/>
    <w:rsid w:val="000067E8"/>
    <w:rsid w:val="0000698B"/>
    <w:rsid w:val="00010D1E"/>
    <w:rsid w:val="00012A61"/>
    <w:rsid w:val="00016E1C"/>
    <w:rsid w:val="0002006D"/>
    <w:rsid w:val="000252F6"/>
    <w:rsid w:val="00026CD4"/>
    <w:rsid w:val="00027061"/>
    <w:rsid w:val="000304DA"/>
    <w:rsid w:val="00030512"/>
    <w:rsid w:val="00030860"/>
    <w:rsid w:val="000320EA"/>
    <w:rsid w:val="0003715D"/>
    <w:rsid w:val="000404FA"/>
    <w:rsid w:val="000450EC"/>
    <w:rsid w:val="00046206"/>
    <w:rsid w:val="00046CF2"/>
    <w:rsid w:val="000539C3"/>
    <w:rsid w:val="00060416"/>
    <w:rsid w:val="000608E1"/>
    <w:rsid w:val="00060F63"/>
    <w:rsid w:val="000621D5"/>
    <w:rsid w:val="00063FBE"/>
    <w:rsid w:val="0007289C"/>
    <w:rsid w:val="00072CDD"/>
    <w:rsid w:val="0007681B"/>
    <w:rsid w:val="00081C05"/>
    <w:rsid w:val="00084E58"/>
    <w:rsid w:val="000850C8"/>
    <w:rsid w:val="00085337"/>
    <w:rsid w:val="000873E4"/>
    <w:rsid w:val="00087F2C"/>
    <w:rsid w:val="000906D8"/>
    <w:rsid w:val="000908D4"/>
    <w:rsid w:val="000961A3"/>
    <w:rsid w:val="000A22DC"/>
    <w:rsid w:val="000A2893"/>
    <w:rsid w:val="000A4969"/>
    <w:rsid w:val="000A5F64"/>
    <w:rsid w:val="000A6097"/>
    <w:rsid w:val="000A6ABD"/>
    <w:rsid w:val="000A6D56"/>
    <w:rsid w:val="000A7AE0"/>
    <w:rsid w:val="000B27F5"/>
    <w:rsid w:val="000B3293"/>
    <w:rsid w:val="000B361E"/>
    <w:rsid w:val="000B409D"/>
    <w:rsid w:val="000B40D1"/>
    <w:rsid w:val="000B4B4E"/>
    <w:rsid w:val="000B519D"/>
    <w:rsid w:val="000B711B"/>
    <w:rsid w:val="000B7794"/>
    <w:rsid w:val="000C2BF6"/>
    <w:rsid w:val="000C46F8"/>
    <w:rsid w:val="000C7FC4"/>
    <w:rsid w:val="000D0788"/>
    <w:rsid w:val="000D5EAF"/>
    <w:rsid w:val="000D5F31"/>
    <w:rsid w:val="000D740E"/>
    <w:rsid w:val="000E6FD0"/>
    <w:rsid w:val="000F2418"/>
    <w:rsid w:val="000F25C0"/>
    <w:rsid w:val="000F566B"/>
    <w:rsid w:val="00101544"/>
    <w:rsid w:val="0010646A"/>
    <w:rsid w:val="001074AA"/>
    <w:rsid w:val="00108E8C"/>
    <w:rsid w:val="001104D1"/>
    <w:rsid w:val="001116E7"/>
    <w:rsid w:val="00112BDD"/>
    <w:rsid w:val="001161E9"/>
    <w:rsid w:val="001212B6"/>
    <w:rsid w:val="001234FA"/>
    <w:rsid w:val="00123DC5"/>
    <w:rsid w:val="00124BFF"/>
    <w:rsid w:val="00127B45"/>
    <w:rsid w:val="00130301"/>
    <w:rsid w:val="001308E2"/>
    <w:rsid w:val="00131589"/>
    <w:rsid w:val="00132B78"/>
    <w:rsid w:val="00136B77"/>
    <w:rsid w:val="0014398A"/>
    <w:rsid w:val="00143F8F"/>
    <w:rsid w:val="001561C0"/>
    <w:rsid w:val="00157022"/>
    <w:rsid w:val="00157DA0"/>
    <w:rsid w:val="0016014A"/>
    <w:rsid w:val="00160D33"/>
    <w:rsid w:val="00162EDD"/>
    <w:rsid w:val="00164445"/>
    <w:rsid w:val="001655E3"/>
    <w:rsid w:val="00166A6C"/>
    <w:rsid w:val="0016744A"/>
    <w:rsid w:val="00167E3E"/>
    <w:rsid w:val="00170507"/>
    <w:rsid w:val="0017192E"/>
    <w:rsid w:val="0017205D"/>
    <w:rsid w:val="0017604C"/>
    <w:rsid w:val="001762B4"/>
    <w:rsid w:val="00182D76"/>
    <w:rsid w:val="00182FD1"/>
    <w:rsid w:val="0019065F"/>
    <w:rsid w:val="00191CD7"/>
    <w:rsid w:val="00193DBE"/>
    <w:rsid w:val="001A34FA"/>
    <w:rsid w:val="001A3A67"/>
    <w:rsid w:val="001B4BD7"/>
    <w:rsid w:val="001B4D48"/>
    <w:rsid w:val="001B5954"/>
    <w:rsid w:val="001B59CF"/>
    <w:rsid w:val="001B7A2E"/>
    <w:rsid w:val="001C1DFC"/>
    <w:rsid w:val="001C20D6"/>
    <w:rsid w:val="001C2D1F"/>
    <w:rsid w:val="001C30DD"/>
    <w:rsid w:val="001C41FC"/>
    <w:rsid w:val="001C57AE"/>
    <w:rsid w:val="001C6F9F"/>
    <w:rsid w:val="001D38A7"/>
    <w:rsid w:val="001D4B24"/>
    <w:rsid w:val="001D52E6"/>
    <w:rsid w:val="001D5DD7"/>
    <w:rsid w:val="001D61D8"/>
    <w:rsid w:val="001E4401"/>
    <w:rsid w:val="001E471C"/>
    <w:rsid w:val="001E5AA7"/>
    <w:rsid w:val="001F1441"/>
    <w:rsid w:val="001F2869"/>
    <w:rsid w:val="001F42CB"/>
    <w:rsid w:val="00201FF0"/>
    <w:rsid w:val="0020246E"/>
    <w:rsid w:val="002054DC"/>
    <w:rsid w:val="0020575A"/>
    <w:rsid w:val="002119C2"/>
    <w:rsid w:val="00213AE2"/>
    <w:rsid w:val="00214D88"/>
    <w:rsid w:val="00221684"/>
    <w:rsid w:val="00222AAA"/>
    <w:rsid w:val="00223D3E"/>
    <w:rsid w:val="00224DD4"/>
    <w:rsid w:val="00224F7D"/>
    <w:rsid w:val="002274ED"/>
    <w:rsid w:val="00230474"/>
    <w:rsid w:val="00231125"/>
    <w:rsid w:val="0024364F"/>
    <w:rsid w:val="002471D6"/>
    <w:rsid w:val="0025070C"/>
    <w:rsid w:val="00251EA8"/>
    <w:rsid w:val="00255217"/>
    <w:rsid w:val="00256C63"/>
    <w:rsid w:val="00257AF5"/>
    <w:rsid w:val="00257BFC"/>
    <w:rsid w:val="00261039"/>
    <w:rsid w:val="00262AA0"/>
    <w:rsid w:val="002659D7"/>
    <w:rsid w:val="00265CE8"/>
    <w:rsid w:val="00265E74"/>
    <w:rsid w:val="002703BE"/>
    <w:rsid w:val="00271A5E"/>
    <w:rsid w:val="00272CE4"/>
    <w:rsid w:val="002757B1"/>
    <w:rsid w:val="00276B1D"/>
    <w:rsid w:val="002777F0"/>
    <w:rsid w:val="00277F47"/>
    <w:rsid w:val="00283746"/>
    <w:rsid w:val="0028401B"/>
    <w:rsid w:val="00284D92"/>
    <w:rsid w:val="00284E4D"/>
    <w:rsid w:val="00286AC0"/>
    <w:rsid w:val="00291825"/>
    <w:rsid w:val="00292FDC"/>
    <w:rsid w:val="00293048"/>
    <w:rsid w:val="0029550D"/>
    <w:rsid w:val="00297024"/>
    <w:rsid w:val="0029736A"/>
    <w:rsid w:val="00297969"/>
    <w:rsid w:val="002A0C73"/>
    <w:rsid w:val="002A1242"/>
    <w:rsid w:val="002B18DD"/>
    <w:rsid w:val="002B629A"/>
    <w:rsid w:val="002B788E"/>
    <w:rsid w:val="002B7C50"/>
    <w:rsid w:val="002B7F5B"/>
    <w:rsid w:val="002C0328"/>
    <w:rsid w:val="002C0AC1"/>
    <w:rsid w:val="002C2A4F"/>
    <w:rsid w:val="002C515A"/>
    <w:rsid w:val="002D1B8F"/>
    <w:rsid w:val="002D2939"/>
    <w:rsid w:val="002D415F"/>
    <w:rsid w:val="002D57D7"/>
    <w:rsid w:val="002D5838"/>
    <w:rsid w:val="002D5F80"/>
    <w:rsid w:val="002E0542"/>
    <w:rsid w:val="002E1C92"/>
    <w:rsid w:val="002E463F"/>
    <w:rsid w:val="002F11A7"/>
    <w:rsid w:val="002F1736"/>
    <w:rsid w:val="00300132"/>
    <w:rsid w:val="003012DC"/>
    <w:rsid w:val="00304782"/>
    <w:rsid w:val="003060F5"/>
    <w:rsid w:val="00306A61"/>
    <w:rsid w:val="00310FDB"/>
    <w:rsid w:val="00311A2F"/>
    <w:rsid w:val="003207DA"/>
    <w:rsid w:val="00326259"/>
    <w:rsid w:val="00331919"/>
    <w:rsid w:val="00334BD3"/>
    <w:rsid w:val="003401E4"/>
    <w:rsid w:val="00342190"/>
    <w:rsid w:val="00342DB9"/>
    <w:rsid w:val="00345BC9"/>
    <w:rsid w:val="003460C1"/>
    <w:rsid w:val="003512AC"/>
    <w:rsid w:val="00354030"/>
    <w:rsid w:val="003554FC"/>
    <w:rsid w:val="00357AC8"/>
    <w:rsid w:val="0036081C"/>
    <w:rsid w:val="00360C5C"/>
    <w:rsid w:val="00362E2C"/>
    <w:rsid w:val="003634B0"/>
    <w:rsid w:val="003640AD"/>
    <w:rsid w:val="00366643"/>
    <w:rsid w:val="00366DEE"/>
    <w:rsid w:val="00366F3F"/>
    <w:rsid w:val="003674A9"/>
    <w:rsid w:val="0037272A"/>
    <w:rsid w:val="003735AC"/>
    <w:rsid w:val="00373A57"/>
    <w:rsid w:val="00376158"/>
    <w:rsid w:val="0037633B"/>
    <w:rsid w:val="00381A42"/>
    <w:rsid w:val="00381FC4"/>
    <w:rsid w:val="00386E2C"/>
    <w:rsid w:val="00392B1E"/>
    <w:rsid w:val="003971D2"/>
    <w:rsid w:val="00397266"/>
    <w:rsid w:val="00397B7A"/>
    <w:rsid w:val="003A2053"/>
    <w:rsid w:val="003A3C32"/>
    <w:rsid w:val="003A41BB"/>
    <w:rsid w:val="003A4D43"/>
    <w:rsid w:val="003A71D5"/>
    <w:rsid w:val="003B0C55"/>
    <w:rsid w:val="003B43FD"/>
    <w:rsid w:val="003B5EAC"/>
    <w:rsid w:val="003B6E7D"/>
    <w:rsid w:val="003B6ED4"/>
    <w:rsid w:val="003C3AEC"/>
    <w:rsid w:val="003C5B7C"/>
    <w:rsid w:val="003C721F"/>
    <w:rsid w:val="003C768A"/>
    <w:rsid w:val="003C7DFB"/>
    <w:rsid w:val="003D069D"/>
    <w:rsid w:val="003D1B43"/>
    <w:rsid w:val="003D2854"/>
    <w:rsid w:val="003D425E"/>
    <w:rsid w:val="003D7217"/>
    <w:rsid w:val="003E1466"/>
    <w:rsid w:val="003E1C79"/>
    <w:rsid w:val="003E1CC1"/>
    <w:rsid w:val="003E39A7"/>
    <w:rsid w:val="003F3B64"/>
    <w:rsid w:val="003F610A"/>
    <w:rsid w:val="003F65AC"/>
    <w:rsid w:val="00400DF6"/>
    <w:rsid w:val="004018FF"/>
    <w:rsid w:val="004031C6"/>
    <w:rsid w:val="0040397B"/>
    <w:rsid w:val="0040691C"/>
    <w:rsid w:val="00407719"/>
    <w:rsid w:val="00407F87"/>
    <w:rsid w:val="004122F4"/>
    <w:rsid w:val="0041433B"/>
    <w:rsid w:val="00417468"/>
    <w:rsid w:val="00423871"/>
    <w:rsid w:val="00424BDB"/>
    <w:rsid w:val="00431CCA"/>
    <w:rsid w:val="00435C34"/>
    <w:rsid w:val="00437C09"/>
    <w:rsid w:val="00440074"/>
    <w:rsid w:val="004406FF"/>
    <w:rsid w:val="004472D3"/>
    <w:rsid w:val="00447723"/>
    <w:rsid w:val="004505F4"/>
    <w:rsid w:val="00451B4F"/>
    <w:rsid w:val="00451F9D"/>
    <w:rsid w:val="004528A8"/>
    <w:rsid w:val="00457C82"/>
    <w:rsid w:val="004602E3"/>
    <w:rsid w:val="004605AC"/>
    <w:rsid w:val="00463CA7"/>
    <w:rsid w:val="00464D73"/>
    <w:rsid w:val="00466452"/>
    <w:rsid w:val="00471117"/>
    <w:rsid w:val="004841DA"/>
    <w:rsid w:val="00485406"/>
    <w:rsid w:val="00485D10"/>
    <w:rsid w:val="00486D28"/>
    <w:rsid w:val="00487775"/>
    <w:rsid w:val="004879A0"/>
    <w:rsid w:val="00491594"/>
    <w:rsid w:val="00493274"/>
    <w:rsid w:val="00494664"/>
    <w:rsid w:val="004948BF"/>
    <w:rsid w:val="00495B9E"/>
    <w:rsid w:val="004A0681"/>
    <w:rsid w:val="004A2061"/>
    <w:rsid w:val="004A29CC"/>
    <w:rsid w:val="004A5165"/>
    <w:rsid w:val="004A65AA"/>
    <w:rsid w:val="004A69E0"/>
    <w:rsid w:val="004B22DB"/>
    <w:rsid w:val="004B6CC2"/>
    <w:rsid w:val="004C3DE0"/>
    <w:rsid w:val="004C46F3"/>
    <w:rsid w:val="004C5AA0"/>
    <w:rsid w:val="004C79F5"/>
    <w:rsid w:val="004D17E7"/>
    <w:rsid w:val="004D28D5"/>
    <w:rsid w:val="004D3A18"/>
    <w:rsid w:val="004D3E02"/>
    <w:rsid w:val="004D5D8F"/>
    <w:rsid w:val="004D656E"/>
    <w:rsid w:val="004D7F51"/>
    <w:rsid w:val="004E1D0E"/>
    <w:rsid w:val="004E1F02"/>
    <w:rsid w:val="004E25A1"/>
    <w:rsid w:val="004E270C"/>
    <w:rsid w:val="004E2DB1"/>
    <w:rsid w:val="004E5C32"/>
    <w:rsid w:val="004E6EFA"/>
    <w:rsid w:val="004F15C3"/>
    <w:rsid w:val="004F2D05"/>
    <w:rsid w:val="004F31E6"/>
    <w:rsid w:val="004F355F"/>
    <w:rsid w:val="004F39F6"/>
    <w:rsid w:val="004F4E0C"/>
    <w:rsid w:val="004F719D"/>
    <w:rsid w:val="004F7508"/>
    <w:rsid w:val="00502698"/>
    <w:rsid w:val="005053C7"/>
    <w:rsid w:val="00506213"/>
    <w:rsid w:val="00510A9B"/>
    <w:rsid w:val="00512DB2"/>
    <w:rsid w:val="00516B21"/>
    <w:rsid w:val="0052054C"/>
    <w:rsid w:val="00524379"/>
    <w:rsid w:val="00530663"/>
    <w:rsid w:val="0053174A"/>
    <w:rsid w:val="00532726"/>
    <w:rsid w:val="005339DF"/>
    <w:rsid w:val="00535F55"/>
    <w:rsid w:val="00537A3F"/>
    <w:rsid w:val="00541F47"/>
    <w:rsid w:val="0054517F"/>
    <w:rsid w:val="00546275"/>
    <w:rsid w:val="00546717"/>
    <w:rsid w:val="00547242"/>
    <w:rsid w:val="00551FAA"/>
    <w:rsid w:val="0055278A"/>
    <w:rsid w:val="005546C7"/>
    <w:rsid w:val="00555D53"/>
    <w:rsid w:val="00556831"/>
    <w:rsid w:val="00557A1A"/>
    <w:rsid w:val="0056272A"/>
    <w:rsid w:val="00563227"/>
    <w:rsid w:val="00563419"/>
    <w:rsid w:val="005638C0"/>
    <w:rsid w:val="00563E74"/>
    <w:rsid w:val="0057375E"/>
    <w:rsid w:val="00574AB6"/>
    <w:rsid w:val="00576822"/>
    <w:rsid w:val="00577911"/>
    <w:rsid w:val="00581811"/>
    <w:rsid w:val="00596A3E"/>
    <w:rsid w:val="00596ECB"/>
    <w:rsid w:val="005A0328"/>
    <w:rsid w:val="005A6E56"/>
    <w:rsid w:val="005A7301"/>
    <w:rsid w:val="005A7674"/>
    <w:rsid w:val="005A774B"/>
    <w:rsid w:val="005A7836"/>
    <w:rsid w:val="005B14FB"/>
    <w:rsid w:val="005B6572"/>
    <w:rsid w:val="005B711D"/>
    <w:rsid w:val="005C001B"/>
    <w:rsid w:val="005C1FC2"/>
    <w:rsid w:val="005C34ED"/>
    <w:rsid w:val="005C4B9B"/>
    <w:rsid w:val="005C4DDB"/>
    <w:rsid w:val="005D264A"/>
    <w:rsid w:val="005D2765"/>
    <w:rsid w:val="005D2DD6"/>
    <w:rsid w:val="005D3F40"/>
    <w:rsid w:val="005D4DBD"/>
    <w:rsid w:val="005D77BB"/>
    <w:rsid w:val="005D79F3"/>
    <w:rsid w:val="005E1389"/>
    <w:rsid w:val="005E392F"/>
    <w:rsid w:val="005E3E8E"/>
    <w:rsid w:val="005F3BFF"/>
    <w:rsid w:val="005F485C"/>
    <w:rsid w:val="005F7494"/>
    <w:rsid w:val="005F7E6C"/>
    <w:rsid w:val="00601FD0"/>
    <w:rsid w:val="0060314F"/>
    <w:rsid w:val="00604472"/>
    <w:rsid w:val="00604655"/>
    <w:rsid w:val="00607CFC"/>
    <w:rsid w:val="00611249"/>
    <w:rsid w:val="00615436"/>
    <w:rsid w:val="00617342"/>
    <w:rsid w:val="00620778"/>
    <w:rsid w:val="006214F3"/>
    <w:rsid w:val="00622A1C"/>
    <w:rsid w:val="0062631C"/>
    <w:rsid w:val="006265B9"/>
    <w:rsid w:val="00631BC4"/>
    <w:rsid w:val="00634C76"/>
    <w:rsid w:val="006352C7"/>
    <w:rsid w:val="006356D0"/>
    <w:rsid w:val="00636B4B"/>
    <w:rsid w:val="0063716A"/>
    <w:rsid w:val="00641CB2"/>
    <w:rsid w:val="0064250B"/>
    <w:rsid w:val="00645647"/>
    <w:rsid w:val="0064627D"/>
    <w:rsid w:val="00646389"/>
    <w:rsid w:val="00646604"/>
    <w:rsid w:val="006471C6"/>
    <w:rsid w:val="006473AC"/>
    <w:rsid w:val="00647CE5"/>
    <w:rsid w:val="00651152"/>
    <w:rsid w:val="0065174B"/>
    <w:rsid w:val="00653054"/>
    <w:rsid w:val="006530D0"/>
    <w:rsid w:val="0065316C"/>
    <w:rsid w:val="0065365A"/>
    <w:rsid w:val="006574F6"/>
    <w:rsid w:val="00657D7D"/>
    <w:rsid w:val="006609AC"/>
    <w:rsid w:val="0066163A"/>
    <w:rsid w:val="0066296B"/>
    <w:rsid w:val="0067193C"/>
    <w:rsid w:val="00671CC3"/>
    <w:rsid w:val="00674E71"/>
    <w:rsid w:val="0067620A"/>
    <w:rsid w:val="00676B82"/>
    <w:rsid w:val="00682963"/>
    <w:rsid w:val="00684009"/>
    <w:rsid w:val="006918E0"/>
    <w:rsid w:val="006925AD"/>
    <w:rsid w:val="006964E3"/>
    <w:rsid w:val="00697D3C"/>
    <w:rsid w:val="006A1206"/>
    <w:rsid w:val="006A1527"/>
    <w:rsid w:val="006A2977"/>
    <w:rsid w:val="006A5649"/>
    <w:rsid w:val="006A57FB"/>
    <w:rsid w:val="006A7717"/>
    <w:rsid w:val="006B3799"/>
    <w:rsid w:val="006B7524"/>
    <w:rsid w:val="006C6D2B"/>
    <w:rsid w:val="006D3DF9"/>
    <w:rsid w:val="006D4AC1"/>
    <w:rsid w:val="006D4D36"/>
    <w:rsid w:val="006D7CF2"/>
    <w:rsid w:val="006E012A"/>
    <w:rsid w:val="006E0900"/>
    <w:rsid w:val="006E0D8B"/>
    <w:rsid w:val="006E2393"/>
    <w:rsid w:val="006E2854"/>
    <w:rsid w:val="006E2C41"/>
    <w:rsid w:val="006E30A6"/>
    <w:rsid w:val="006E3644"/>
    <w:rsid w:val="006E3ACD"/>
    <w:rsid w:val="006E79B9"/>
    <w:rsid w:val="006EB82C"/>
    <w:rsid w:val="006F049D"/>
    <w:rsid w:val="006F31C1"/>
    <w:rsid w:val="006F3685"/>
    <w:rsid w:val="006F3735"/>
    <w:rsid w:val="006F3C81"/>
    <w:rsid w:val="00700812"/>
    <w:rsid w:val="00702EC1"/>
    <w:rsid w:val="0070634F"/>
    <w:rsid w:val="007077A6"/>
    <w:rsid w:val="00713BB8"/>
    <w:rsid w:val="00716477"/>
    <w:rsid w:val="007204CB"/>
    <w:rsid w:val="00722324"/>
    <w:rsid w:val="0072373A"/>
    <w:rsid w:val="007252E4"/>
    <w:rsid w:val="007317C3"/>
    <w:rsid w:val="00732FD6"/>
    <w:rsid w:val="00735C60"/>
    <w:rsid w:val="00736BD1"/>
    <w:rsid w:val="00737F62"/>
    <w:rsid w:val="00740135"/>
    <w:rsid w:val="00743042"/>
    <w:rsid w:val="00750C8B"/>
    <w:rsid w:val="007522FD"/>
    <w:rsid w:val="0075457E"/>
    <w:rsid w:val="00755AF4"/>
    <w:rsid w:val="00756388"/>
    <w:rsid w:val="00757947"/>
    <w:rsid w:val="00757B85"/>
    <w:rsid w:val="00761B0F"/>
    <w:rsid w:val="00765307"/>
    <w:rsid w:val="00766800"/>
    <w:rsid w:val="00770748"/>
    <w:rsid w:val="007712FB"/>
    <w:rsid w:val="00771CF9"/>
    <w:rsid w:val="0077275D"/>
    <w:rsid w:val="007738F3"/>
    <w:rsid w:val="007741F1"/>
    <w:rsid w:val="00777781"/>
    <w:rsid w:val="00777C95"/>
    <w:rsid w:val="00777F90"/>
    <w:rsid w:val="007822BC"/>
    <w:rsid w:val="00784AA5"/>
    <w:rsid w:val="00784F60"/>
    <w:rsid w:val="00793A60"/>
    <w:rsid w:val="007A03FD"/>
    <w:rsid w:val="007A1D27"/>
    <w:rsid w:val="007A32C9"/>
    <w:rsid w:val="007A695A"/>
    <w:rsid w:val="007A6E21"/>
    <w:rsid w:val="007A749F"/>
    <w:rsid w:val="007A7BAB"/>
    <w:rsid w:val="007A7BCE"/>
    <w:rsid w:val="007B12DC"/>
    <w:rsid w:val="007B3BF6"/>
    <w:rsid w:val="007B48EE"/>
    <w:rsid w:val="007B62B1"/>
    <w:rsid w:val="007B6372"/>
    <w:rsid w:val="007C1E91"/>
    <w:rsid w:val="007C6225"/>
    <w:rsid w:val="007C6AF9"/>
    <w:rsid w:val="007D011F"/>
    <w:rsid w:val="007D0815"/>
    <w:rsid w:val="007D17A3"/>
    <w:rsid w:val="007D1E0C"/>
    <w:rsid w:val="007D1E38"/>
    <w:rsid w:val="007D29ED"/>
    <w:rsid w:val="007D68DE"/>
    <w:rsid w:val="007D6F3F"/>
    <w:rsid w:val="007D76FC"/>
    <w:rsid w:val="007E06A1"/>
    <w:rsid w:val="007E4FE5"/>
    <w:rsid w:val="007E664F"/>
    <w:rsid w:val="007F07A7"/>
    <w:rsid w:val="007F1327"/>
    <w:rsid w:val="007F1F48"/>
    <w:rsid w:val="007F3367"/>
    <w:rsid w:val="007F509C"/>
    <w:rsid w:val="007F50A2"/>
    <w:rsid w:val="007F687C"/>
    <w:rsid w:val="007F731F"/>
    <w:rsid w:val="007F7356"/>
    <w:rsid w:val="007F76A7"/>
    <w:rsid w:val="00800406"/>
    <w:rsid w:val="00800FFE"/>
    <w:rsid w:val="00801E2D"/>
    <w:rsid w:val="00802FAB"/>
    <w:rsid w:val="0080631D"/>
    <w:rsid w:val="008067A4"/>
    <w:rsid w:val="00806D9C"/>
    <w:rsid w:val="00810850"/>
    <w:rsid w:val="008148C4"/>
    <w:rsid w:val="00815371"/>
    <w:rsid w:val="00822D32"/>
    <w:rsid w:val="008240EA"/>
    <w:rsid w:val="00832089"/>
    <w:rsid w:val="00832258"/>
    <w:rsid w:val="0083231D"/>
    <w:rsid w:val="008349F8"/>
    <w:rsid w:val="00837783"/>
    <w:rsid w:val="0084360B"/>
    <w:rsid w:val="00847197"/>
    <w:rsid w:val="008504F0"/>
    <w:rsid w:val="00852504"/>
    <w:rsid w:val="008613FD"/>
    <w:rsid w:val="00861B5F"/>
    <w:rsid w:val="00862391"/>
    <w:rsid w:val="00863111"/>
    <w:rsid w:val="00865F43"/>
    <w:rsid w:val="0086661C"/>
    <w:rsid w:val="00870764"/>
    <w:rsid w:val="00871E12"/>
    <w:rsid w:val="0087317B"/>
    <w:rsid w:val="00873A6F"/>
    <w:rsid w:val="0087539A"/>
    <w:rsid w:val="00875AE7"/>
    <w:rsid w:val="0087780B"/>
    <w:rsid w:val="008818B8"/>
    <w:rsid w:val="00881CD5"/>
    <w:rsid w:val="0088304C"/>
    <w:rsid w:val="008859BD"/>
    <w:rsid w:val="00890155"/>
    <w:rsid w:val="00890FF0"/>
    <w:rsid w:val="00891408"/>
    <w:rsid w:val="0089189F"/>
    <w:rsid w:val="0089548C"/>
    <w:rsid w:val="00895B91"/>
    <w:rsid w:val="0089679D"/>
    <w:rsid w:val="008A1AF3"/>
    <w:rsid w:val="008A314F"/>
    <w:rsid w:val="008A35D3"/>
    <w:rsid w:val="008A3855"/>
    <w:rsid w:val="008A4207"/>
    <w:rsid w:val="008A5A7D"/>
    <w:rsid w:val="008B0D7E"/>
    <w:rsid w:val="008B4F18"/>
    <w:rsid w:val="008B503E"/>
    <w:rsid w:val="008B6684"/>
    <w:rsid w:val="008B7F82"/>
    <w:rsid w:val="008C32D3"/>
    <w:rsid w:val="008C3B49"/>
    <w:rsid w:val="008C615B"/>
    <w:rsid w:val="008C6BBC"/>
    <w:rsid w:val="008C7250"/>
    <w:rsid w:val="008C77C4"/>
    <w:rsid w:val="008C7CAD"/>
    <w:rsid w:val="008D042F"/>
    <w:rsid w:val="008D060F"/>
    <w:rsid w:val="008D37F0"/>
    <w:rsid w:val="008D5692"/>
    <w:rsid w:val="008D5B6C"/>
    <w:rsid w:val="008D5E51"/>
    <w:rsid w:val="008E06FA"/>
    <w:rsid w:val="008E0879"/>
    <w:rsid w:val="008E3200"/>
    <w:rsid w:val="008F068A"/>
    <w:rsid w:val="008F0CA4"/>
    <w:rsid w:val="008F2516"/>
    <w:rsid w:val="008F39CD"/>
    <w:rsid w:val="008F4488"/>
    <w:rsid w:val="008F722B"/>
    <w:rsid w:val="009023EA"/>
    <w:rsid w:val="00905AD8"/>
    <w:rsid w:val="00906CDA"/>
    <w:rsid w:val="00907430"/>
    <w:rsid w:val="00911AD2"/>
    <w:rsid w:val="00912A21"/>
    <w:rsid w:val="009149AA"/>
    <w:rsid w:val="00915148"/>
    <w:rsid w:val="009154BE"/>
    <w:rsid w:val="0091681B"/>
    <w:rsid w:val="00919D9A"/>
    <w:rsid w:val="009231BB"/>
    <w:rsid w:val="009236C6"/>
    <w:rsid w:val="00931543"/>
    <w:rsid w:val="00937403"/>
    <w:rsid w:val="00940558"/>
    <w:rsid w:val="00942362"/>
    <w:rsid w:val="009447E3"/>
    <w:rsid w:val="009460DB"/>
    <w:rsid w:val="0095AE74"/>
    <w:rsid w:val="009603D8"/>
    <w:rsid w:val="00963294"/>
    <w:rsid w:val="00966342"/>
    <w:rsid w:val="00966BE9"/>
    <w:rsid w:val="00966D97"/>
    <w:rsid w:val="0096754F"/>
    <w:rsid w:val="0097061B"/>
    <w:rsid w:val="009715A3"/>
    <w:rsid w:val="00972F2E"/>
    <w:rsid w:val="009761E7"/>
    <w:rsid w:val="00983297"/>
    <w:rsid w:val="0098429D"/>
    <w:rsid w:val="009869D3"/>
    <w:rsid w:val="00986EC7"/>
    <w:rsid w:val="00987029"/>
    <w:rsid w:val="009910F2"/>
    <w:rsid w:val="00994677"/>
    <w:rsid w:val="009966BC"/>
    <w:rsid w:val="009A0DB8"/>
    <w:rsid w:val="009A2B01"/>
    <w:rsid w:val="009A3610"/>
    <w:rsid w:val="009A3966"/>
    <w:rsid w:val="009A72E3"/>
    <w:rsid w:val="009A7604"/>
    <w:rsid w:val="009B48F9"/>
    <w:rsid w:val="009B4DCC"/>
    <w:rsid w:val="009B55FF"/>
    <w:rsid w:val="009B6F0D"/>
    <w:rsid w:val="009B7488"/>
    <w:rsid w:val="009C045E"/>
    <w:rsid w:val="009C160B"/>
    <w:rsid w:val="009C1BE7"/>
    <w:rsid w:val="009C7A9C"/>
    <w:rsid w:val="009C7F20"/>
    <w:rsid w:val="009CAFB6"/>
    <w:rsid w:val="009D2665"/>
    <w:rsid w:val="009D2D22"/>
    <w:rsid w:val="009D427A"/>
    <w:rsid w:val="009E06AC"/>
    <w:rsid w:val="009E08A6"/>
    <w:rsid w:val="009E1AF1"/>
    <w:rsid w:val="009E1E66"/>
    <w:rsid w:val="009E4555"/>
    <w:rsid w:val="009E6695"/>
    <w:rsid w:val="009F3035"/>
    <w:rsid w:val="009F7B36"/>
    <w:rsid w:val="00A01930"/>
    <w:rsid w:val="00A0464D"/>
    <w:rsid w:val="00A06209"/>
    <w:rsid w:val="00A10DCC"/>
    <w:rsid w:val="00A136EF"/>
    <w:rsid w:val="00A13801"/>
    <w:rsid w:val="00A14DE7"/>
    <w:rsid w:val="00A1639E"/>
    <w:rsid w:val="00A17154"/>
    <w:rsid w:val="00A17634"/>
    <w:rsid w:val="00A20739"/>
    <w:rsid w:val="00A2480A"/>
    <w:rsid w:val="00A248B9"/>
    <w:rsid w:val="00A252A1"/>
    <w:rsid w:val="00A255D8"/>
    <w:rsid w:val="00A3038E"/>
    <w:rsid w:val="00A307C2"/>
    <w:rsid w:val="00A30D89"/>
    <w:rsid w:val="00A34680"/>
    <w:rsid w:val="00A40B8E"/>
    <w:rsid w:val="00A44619"/>
    <w:rsid w:val="00A4560F"/>
    <w:rsid w:val="00A462F1"/>
    <w:rsid w:val="00A46ECD"/>
    <w:rsid w:val="00A47A8D"/>
    <w:rsid w:val="00A47AFA"/>
    <w:rsid w:val="00A53207"/>
    <w:rsid w:val="00A56C57"/>
    <w:rsid w:val="00A570D0"/>
    <w:rsid w:val="00A5734E"/>
    <w:rsid w:val="00A60368"/>
    <w:rsid w:val="00A61A70"/>
    <w:rsid w:val="00A65C82"/>
    <w:rsid w:val="00A669F1"/>
    <w:rsid w:val="00A73900"/>
    <w:rsid w:val="00A73D55"/>
    <w:rsid w:val="00A80585"/>
    <w:rsid w:val="00A8108B"/>
    <w:rsid w:val="00A84289"/>
    <w:rsid w:val="00A86635"/>
    <w:rsid w:val="00A869C0"/>
    <w:rsid w:val="00A87B04"/>
    <w:rsid w:val="00A87C69"/>
    <w:rsid w:val="00A9047B"/>
    <w:rsid w:val="00A912F9"/>
    <w:rsid w:val="00A9245F"/>
    <w:rsid w:val="00A926B6"/>
    <w:rsid w:val="00A92B21"/>
    <w:rsid w:val="00A93D56"/>
    <w:rsid w:val="00A963CC"/>
    <w:rsid w:val="00A9666C"/>
    <w:rsid w:val="00A966D4"/>
    <w:rsid w:val="00AA3518"/>
    <w:rsid w:val="00AA7A66"/>
    <w:rsid w:val="00AB2429"/>
    <w:rsid w:val="00AB4DB9"/>
    <w:rsid w:val="00AB6A15"/>
    <w:rsid w:val="00AB6FD5"/>
    <w:rsid w:val="00AB7830"/>
    <w:rsid w:val="00AB7867"/>
    <w:rsid w:val="00AB7FB7"/>
    <w:rsid w:val="00AC0C6F"/>
    <w:rsid w:val="00AC3D70"/>
    <w:rsid w:val="00AC65DB"/>
    <w:rsid w:val="00AC6F39"/>
    <w:rsid w:val="00AD3602"/>
    <w:rsid w:val="00AD4DC8"/>
    <w:rsid w:val="00AD692B"/>
    <w:rsid w:val="00AD72CE"/>
    <w:rsid w:val="00AD7F58"/>
    <w:rsid w:val="00AE401A"/>
    <w:rsid w:val="00AE5606"/>
    <w:rsid w:val="00AE6339"/>
    <w:rsid w:val="00AE6AAE"/>
    <w:rsid w:val="00AF1969"/>
    <w:rsid w:val="00AF1A7F"/>
    <w:rsid w:val="00AF41A2"/>
    <w:rsid w:val="00AF7D49"/>
    <w:rsid w:val="00B00084"/>
    <w:rsid w:val="00B02318"/>
    <w:rsid w:val="00B02AF1"/>
    <w:rsid w:val="00B0613A"/>
    <w:rsid w:val="00B122FA"/>
    <w:rsid w:val="00B1380A"/>
    <w:rsid w:val="00B13BA5"/>
    <w:rsid w:val="00B1468C"/>
    <w:rsid w:val="00B22F95"/>
    <w:rsid w:val="00B250A8"/>
    <w:rsid w:val="00B265C1"/>
    <w:rsid w:val="00B26CE5"/>
    <w:rsid w:val="00B3082C"/>
    <w:rsid w:val="00B34F91"/>
    <w:rsid w:val="00B359E8"/>
    <w:rsid w:val="00B3766F"/>
    <w:rsid w:val="00B432AF"/>
    <w:rsid w:val="00B438A6"/>
    <w:rsid w:val="00B44436"/>
    <w:rsid w:val="00B4760C"/>
    <w:rsid w:val="00B509F4"/>
    <w:rsid w:val="00B50B27"/>
    <w:rsid w:val="00B524F9"/>
    <w:rsid w:val="00B53004"/>
    <w:rsid w:val="00B5591D"/>
    <w:rsid w:val="00B563F3"/>
    <w:rsid w:val="00B56C9A"/>
    <w:rsid w:val="00B63AA5"/>
    <w:rsid w:val="00B64D0C"/>
    <w:rsid w:val="00B652A5"/>
    <w:rsid w:val="00B674C9"/>
    <w:rsid w:val="00B710B1"/>
    <w:rsid w:val="00B725A6"/>
    <w:rsid w:val="00B72CD8"/>
    <w:rsid w:val="00B74C4F"/>
    <w:rsid w:val="00B74D13"/>
    <w:rsid w:val="00B74FA2"/>
    <w:rsid w:val="00B7673B"/>
    <w:rsid w:val="00B767E7"/>
    <w:rsid w:val="00B76BBF"/>
    <w:rsid w:val="00B8208D"/>
    <w:rsid w:val="00B82ECC"/>
    <w:rsid w:val="00B83511"/>
    <w:rsid w:val="00B85954"/>
    <w:rsid w:val="00B8799D"/>
    <w:rsid w:val="00B97726"/>
    <w:rsid w:val="00BA07C2"/>
    <w:rsid w:val="00BA12AA"/>
    <w:rsid w:val="00BA12EB"/>
    <w:rsid w:val="00BA1A15"/>
    <w:rsid w:val="00BA3A0A"/>
    <w:rsid w:val="00BA4EE3"/>
    <w:rsid w:val="00BA6AC7"/>
    <w:rsid w:val="00BA6D9C"/>
    <w:rsid w:val="00BA7D52"/>
    <w:rsid w:val="00BB0F2F"/>
    <w:rsid w:val="00BB2F43"/>
    <w:rsid w:val="00BB53C9"/>
    <w:rsid w:val="00BB5C4B"/>
    <w:rsid w:val="00BC0E7E"/>
    <w:rsid w:val="00BC2326"/>
    <w:rsid w:val="00BC3551"/>
    <w:rsid w:val="00BC3F97"/>
    <w:rsid w:val="00BC659C"/>
    <w:rsid w:val="00BC6DB9"/>
    <w:rsid w:val="00BD0A50"/>
    <w:rsid w:val="00BD2039"/>
    <w:rsid w:val="00BD24F5"/>
    <w:rsid w:val="00BD75C9"/>
    <w:rsid w:val="00BE02E5"/>
    <w:rsid w:val="00BE0957"/>
    <w:rsid w:val="00BE3254"/>
    <w:rsid w:val="00BE40D2"/>
    <w:rsid w:val="00BE58A3"/>
    <w:rsid w:val="00BE644D"/>
    <w:rsid w:val="00BF1B84"/>
    <w:rsid w:val="00BF3B70"/>
    <w:rsid w:val="00BF4BD6"/>
    <w:rsid w:val="00BF6ECE"/>
    <w:rsid w:val="00C00EDA"/>
    <w:rsid w:val="00C01105"/>
    <w:rsid w:val="00C02414"/>
    <w:rsid w:val="00C035EC"/>
    <w:rsid w:val="00C05435"/>
    <w:rsid w:val="00C1655A"/>
    <w:rsid w:val="00C16B85"/>
    <w:rsid w:val="00C205BC"/>
    <w:rsid w:val="00C208F7"/>
    <w:rsid w:val="00C20D1F"/>
    <w:rsid w:val="00C23731"/>
    <w:rsid w:val="00C27787"/>
    <w:rsid w:val="00C32671"/>
    <w:rsid w:val="00C35EB0"/>
    <w:rsid w:val="00C367A4"/>
    <w:rsid w:val="00C369AC"/>
    <w:rsid w:val="00C36D60"/>
    <w:rsid w:val="00C37205"/>
    <w:rsid w:val="00C40B6D"/>
    <w:rsid w:val="00C40EA3"/>
    <w:rsid w:val="00C44A59"/>
    <w:rsid w:val="00C46C7E"/>
    <w:rsid w:val="00C51F2C"/>
    <w:rsid w:val="00C5253C"/>
    <w:rsid w:val="00C529A8"/>
    <w:rsid w:val="00C569FD"/>
    <w:rsid w:val="00C5742C"/>
    <w:rsid w:val="00C64F73"/>
    <w:rsid w:val="00C67C58"/>
    <w:rsid w:val="00C75E26"/>
    <w:rsid w:val="00C83EC3"/>
    <w:rsid w:val="00C8450E"/>
    <w:rsid w:val="00C872CC"/>
    <w:rsid w:val="00C9052A"/>
    <w:rsid w:val="00C9084B"/>
    <w:rsid w:val="00C90C8F"/>
    <w:rsid w:val="00C920FD"/>
    <w:rsid w:val="00C936DA"/>
    <w:rsid w:val="00CA1A79"/>
    <w:rsid w:val="00CA30A9"/>
    <w:rsid w:val="00CA3E19"/>
    <w:rsid w:val="00CA48A3"/>
    <w:rsid w:val="00CA7441"/>
    <w:rsid w:val="00CB0EF8"/>
    <w:rsid w:val="00CB3FAA"/>
    <w:rsid w:val="00CB4153"/>
    <w:rsid w:val="00CB620F"/>
    <w:rsid w:val="00CB64F4"/>
    <w:rsid w:val="00CB7827"/>
    <w:rsid w:val="00CC1579"/>
    <w:rsid w:val="00CC5431"/>
    <w:rsid w:val="00CC65C6"/>
    <w:rsid w:val="00CD18CD"/>
    <w:rsid w:val="00CD20F8"/>
    <w:rsid w:val="00CD25B5"/>
    <w:rsid w:val="00CD2BD8"/>
    <w:rsid w:val="00CD3790"/>
    <w:rsid w:val="00CD3823"/>
    <w:rsid w:val="00CD6210"/>
    <w:rsid w:val="00CE3382"/>
    <w:rsid w:val="00CE4500"/>
    <w:rsid w:val="00CE661E"/>
    <w:rsid w:val="00CE6BC3"/>
    <w:rsid w:val="00CE75DC"/>
    <w:rsid w:val="00CE7AD4"/>
    <w:rsid w:val="00CF082D"/>
    <w:rsid w:val="00CF1D96"/>
    <w:rsid w:val="00CF3C2C"/>
    <w:rsid w:val="00CF4D98"/>
    <w:rsid w:val="00CF7D35"/>
    <w:rsid w:val="00CF7E2B"/>
    <w:rsid w:val="00D032DB"/>
    <w:rsid w:val="00D07403"/>
    <w:rsid w:val="00D07599"/>
    <w:rsid w:val="00D10108"/>
    <w:rsid w:val="00D1171C"/>
    <w:rsid w:val="00D1270F"/>
    <w:rsid w:val="00D16161"/>
    <w:rsid w:val="00D166DF"/>
    <w:rsid w:val="00D16DA2"/>
    <w:rsid w:val="00D17964"/>
    <w:rsid w:val="00D2098F"/>
    <w:rsid w:val="00D20ED3"/>
    <w:rsid w:val="00D213C6"/>
    <w:rsid w:val="00D21C63"/>
    <w:rsid w:val="00D22650"/>
    <w:rsid w:val="00D23276"/>
    <w:rsid w:val="00D23552"/>
    <w:rsid w:val="00D24708"/>
    <w:rsid w:val="00D27313"/>
    <w:rsid w:val="00D306A5"/>
    <w:rsid w:val="00D316A0"/>
    <w:rsid w:val="00D32E83"/>
    <w:rsid w:val="00D334DF"/>
    <w:rsid w:val="00D346D4"/>
    <w:rsid w:val="00D34DFD"/>
    <w:rsid w:val="00D35B77"/>
    <w:rsid w:val="00D36809"/>
    <w:rsid w:val="00D41B84"/>
    <w:rsid w:val="00D42398"/>
    <w:rsid w:val="00D43916"/>
    <w:rsid w:val="00D43C98"/>
    <w:rsid w:val="00D51563"/>
    <w:rsid w:val="00D52F19"/>
    <w:rsid w:val="00D53709"/>
    <w:rsid w:val="00D56F8C"/>
    <w:rsid w:val="00D57719"/>
    <w:rsid w:val="00D703F1"/>
    <w:rsid w:val="00D72A95"/>
    <w:rsid w:val="00D72B53"/>
    <w:rsid w:val="00D72B72"/>
    <w:rsid w:val="00D74AF6"/>
    <w:rsid w:val="00D75E23"/>
    <w:rsid w:val="00D76DDC"/>
    <w:rsid w:val="00D803FE"/>
    <w:rsid w:val="00D81D33"/>
    <w:rsid w:val="00D83772"/>
    <w:rsid w:val="00D85301"/>
    <w:rsid w:val="00D868B2"/>
    <w:rsid w:val="00D87CF0"/>
    <w:rsid w:val="00D92C70"/>
    <w:rsid w:val="00D92F96"/>
    <w:rsid w:val="00D94677"/>
    <w:rsid w:val="00DA0938"/>
    <w:rsid w:val="00DA0A20"/>
    <w:rsid w:val="00DA3D97"/>
    <w:rsid w:val="00DA42C2"/>
    <w:rsid w:val="00DA62EC"/>
    <w:rsid w:val="00DB3226"/>
    <w:rsid w:val="00DB4481"/>
    <w:rsid w:val="00DB6A9C"/>
    <w:rsid w:val="00DBD77E"/>
    <w:rsid w:val="00DC0775"/>
    <w:rsid w:val="00DC19F7"/>
    <w:rsid w:val="00DC207B"/>
    <w:rsid w:val="00DC3021"/>
    <w:rsid w:val="00DC555B"/>
    <w:rsid w:val="00DC5E8D"/>
    <w:rsid w:val="00DC681C"/>
    <w:rsid w:val="00DD495E"/>
    <w:rsid w:val="00DD54A1"/>
    <w:rsid w:val="00DD6106"/>
    <w:rsid w:val="00DD65DB"/>
    <w:rsid w:val="00DD66EA"/>
    <w:rsid w:val="00DD673E"/>
    <w:rsid w:val="00DD6D37"/>
    <w:rsid w:val="00DE147E"/>
    <w:rsid w:val="00DE3FEB"/>
    <w:rsid w:val="00DE6F8C"/>
    <w:rsid w:val="00DF242A"/>
    <w:rsid w:val="00DF7CC8"/>
    <w:rsid w:val="00E0023E"/>
    <w:rsid w:val="00E01209"/>
    <w:rsid w:val="00E04D34"/>
    <w:rsid w:val="00E062C5"/>
    <w:rsid w:val="00E068E7"/>
    <w:rsid w:val="00E11B9C"/>
    <w:rsid w:val="00E11C95"/>
    <w:rsid w:val="00E13593"/>
    <w:rsid w:val="00E138B1"/>
    <w:rsid w:val="00E22AF3"/>
    <w:rsid w:val="00E2388B"/>
    <w:rsid w:val="00E24104"/>
    <w:rsid w:val="00E26D8D"/>
    <w:rsid w:val="00E308C4"/>
    <w:rsid w:val="00E32257"/>
    <w:rsid w:val="00E40CB8"/>
    <w:rsid w:val="00E43209"/>
    <w:rsid w:val="00E43C34"/>
    <w:rsid w:val="00E47508"/>
    <w:rsid w:val="00E47B73"/>
    <w:rsid w:val="00E51676"/>
    <w:rsid w:val="00E53487"/>
    <w:rsid w:val="00E54425"/>
    <w:rsid w:val="00E55882"/>
    <w:rsid w:val="00E5592B"/>
    <w:rsid w:val="00E55A6C"/>
    <w:rsid w:val="00E60E2B"/>
    <w:rsid w:val="00E61F50"/>
    <w:rsid w:val="00E6390C"/>
    <w:rsid w:val="00E6582F"/>
    <w:rsid w:val="00E66E0E"/>
    <w:rsid w:val="00E6758A"/>
    <w:rsid w:val="00E73FED"/>
    <w:rsid w:val="00E74120"/>
    <w:rsid w:val="00E74C4A"/>
    <w:rsid w:val="00E86CE2"/>
    <w:rsid w:val="00E90669"/>
    <w:rsid w:val="00E92D4A"/>
    <w:rsid w:val="00E9360B"/>
    <w:rsid w:val="00E93739"/>
    <w:rsid w:val="00EA0780"/>
    <w:rsid w:val="00EA15D2"/>
    <w:rsid w:val="00EA1A34"/>
    <w:rsid w:val="00EA1FB5"/>
    <w:rsid w:val="00EA3462"/>
    <w:rsid w:val="00EA5965"/>
    <w:rsid w:val="00EA5EF3"/>
    <w:rsid w:val="00EA682A"/>
    <w:rsid w:val="00EB615F"/>
    <w:rsid w:val="00EC3151"/>
    <w:rsid w:val="00EC4963"/>
    <w:rsid w:val="00EC7C74"/>
    <w:rsid w:val="00ED444C"/>
    <w:rsid w:val="00ED5512"/>
    <w:rsid w:val="00ED6EB2"/>
    <w:rsid w:val="00EE11A5"/>
    <w:rsid w:val="00EE2C7A"/>
    <w:rsid w:val="00EE4957"/>
    <w:rsid w:val="00EF0142"/>
    <w:rsid w:val="00EF0C93"/>
    <w:rsid w:val="00EF2D8D"/>
    <w:rsid w:val="00EF6428"/>
    <w:rsid w:val="00EF6A34"/>
    <w:rsid w:val="00EF7FF1"/>
    <w:rsid w:val="00F0224D"/>
    <w:rsid w:val="00F05269"/>
    <w:rsid w:val="00F1134F"/>
    <w:rsid w:val="00F128C4"/>
    <w:rsid w:val="00F12943"/>
    <w:rsid w:val="00F15569"/>
    <w:rsid w:val="00F155B4"/>
    <w:rsid w:val="00F17318"/>
    <w:rsid w:val="00F230B6"/>
    <w:rsid w:val="00F23E9C"/>
    <w:rsid w:val="00F24E90"/>
    <w:rsid w:val="00F24FAF"/>
    <w:rsid w:val="00F26900"/>
    <w:rsid w:val="00F27216"/>
    <w:rsid w:val="00F31B0F"/>
    <w:rsid w:val="00F3315C"/>
    <w:rsid w:val="00F33269"/>
    <w:rsid w:val="00F34E4A"/>
    <w:rsid w:val="00F35DC9"/>
    <w:rsid w:val="00F3684D"/>
    <w:rsid w:val="00F369FB"/>
    <w:rsid w:val="00F40B81"/>
    <w:rsid w:val="00F4243D"/>
    <w:rsid w:val="00F42A46"/>
    <w:rsid w:val="00F46556"/>
    <w:rsid w:val="00F51A16"/>
    <w:rsid w:val="00F52321"/>
    <w:rsid w:val="00F5422A"/>
    <w:rsid w:val="00F5473D"/>
    <w:rsid w:val="00F54930"/>
    <w:rsid w:val="00F55800"/>
    <w:rsid w:val="00F60895"/>
    <w:rsid w:val="00F61685"/>
    <w:rsid w:val="00F61777"/>
    <w:rsid w:val="00F67904"/>
    <w:rsid w:val="00F72E8E"/>
    <w:rsid w:val="00F74504"/>
    <w:rsid w:val="00F75D93"/>
    <w:rsid w:val="00F7767D"/>
    <w:rsid w:val="00F77830"/>
    <w:rsid w:val="00F77E12"/>
    <w:rsid w:val="00F81CFB"/>
    <w:rsid w:val="00F8248A"/>
    <w:rsid w:val="00F84244"/>
    <w:rsid w:val="00F92EBB"/>
    <w:rsid w:val="00F92FE4"/>
    <w:rsid w:val="00F930A9"/>
    <w:rsid w:val="00F95179"/>
    <w:rsid w:val="00F96930"/>
    <w:rsid w:val="00FA0F31"/>
    <w:rsid w:val="00FA1C8A"/>
    <w:rsid w:val="00FA3ED8"/>
    <w:rsid w:val="00FA6A26"/>
    <w:rsid w:val="00FA7048"/>
    <w:rsid w:val="00FA7970"/>
    <w:rsid w:val="00FB1F91"/>
    <w:rsid w:val="00FB2F87"/>
    <w:rsid w:val="00FB3F1D"/>
    <w:rsid w:val="00FB3F59"/>
    <w:rsid w:val="00FB69FA"/>
    <w:rsid w:val="00FBD8AF"/>
    <w:rsid w:val="00FC6DA2"/>
    <w:rsid w:val="00FC777B"/>
    <w:rsid w:val="00FC7D41"/>
    <w:rsid w:val="00FD122A"/>
    <w:rsid w:val="00FD55C5"/>
    <w:rsid w:val="00FD57B9"/>
    <w:rsid w:val="00FD5B47"/>
    <w:rsid w:val="00FD64CA"/>
    <w:rsid w:val="00FD67B8"/>
    <w:rsid w:val="00FD6F17"/>
    <w:rsid w:val="00FE10C7"/>
    <w:rsid w:val="00FE1EFE"/>
    <w:rsid w:val="00FE2403"/>
    <w:rsid w:val="00FE2604"/>
    <w:rsid w:val="00FE2C8B"/>
    <w:rsid w:val="00FE35A6"/>
    <w:rsid w:val="00FE474A"/>
    <w:rsid w:val="00FE6564"/>
    <w:rsid w:val="00FF1578"/>
    <w:rsid w:val="00FF3572"/>
    <w:rsid w:val="00FF514B"/>
    <w:rsid w:val="00FF6316"/>
    <w:rsid w:val="00FF72BF"/>
    <w:rsid w:val="00FF77A5"/>
    <w:rsid w:val="01160E4A"/>
    <w:rsid w:val="0123F920"/>
    <w:rsid w:val="013C7BA9"/>
    <w:rsid w:val="014A38C0"/>
    <w:rsid w:val="016F62C7"/>
    <w:rsid w:val="01CEDAB4"/>
    <w:rsid w:val="01DEC580"/>
    <w:rsid w:val="02009F28"/>
    <w:rsid w:val="02047507"/>
    <w:rsid w:val="02168CE2"/>
    <w:rsid w:val="021C3852"/>
    <w:rsid w:val="023A7702"/>
    <w:rsid w:val="02507DD8"/>
    <w:rsid w:val="025AA6BA"/>
    <w:rsid w:val="025C8CA9"/>
    <w:rsid w:val="0260E471"/>
    <w:rsid w:val="02644954"/>
    <w:rsid w:val="026A8F8D"/>
    <w:rsid w:val="0294A17F"/>
    <w:rsid w:val="02ABB727"/>
    <w:rsid w:val="02C10EF4"/>
    <w:rsid w:val="02C60637"/>
    <w:rsid w:val="02E7F9CB"/>
    <w:rsid w:val="030B4ADC"/>
    <w:rsid w:val="03246BBA"/>
    <w:rsid w:val="0326FC7A"/>
    <w:rsid w:val="0331A62B"/>
    <w:rsid w:val="03333312"/>
    <w:rsid w:val="034F06C3"/>
    <w:rsid w:val="034FFC75"/>
    <w:rsid w:val="0351752D"/>
    <w:rsid w:val="0374CD9C"/>
    <w:rsid w:val="038A866A"/>
    <w:rsid w:val="039905D7"/>
    <w:rsid w:val="03A6DA6C"/>
    <w:rsid w:val="03B1459E"/>
    <w:rsid w:val="03C669AA"/>
    <w:rsid w:val="03C7C32D"/>
    <w:rsid w:val="03CD9D6B"/>
    <w:rsid w:val="03D0C81D"/>
    <w:rsid w:val="03D762C0"/>
    <w:rsid w:val="03E76ACB"/>
    <w:rsid w:val="03F72343"/>
    <w:rsid w:val="03FAE4B1"/>
    <w:rsid w:val="0400EEDD"/>
    <w:rsid w:val="04248CF3"/>
    <w:rsid w:val="04279E8E"/>
    <w:rsid w:val="042DFECB"/>
    <w:rsid w:val="0433F603"/>
    <w:rsid w:val="04370EE9"/>
    <w:rsid w:val="04538652"/>
    <w:rsid w:val="0469DC1F"/>
    <w:rsid w:val="047AFE96"/>
    <w:rsid w:val="047E2925"/>
    <w:rsid w:val="04858AE4"/>
    <w:rsid w:val="04BE8D5B"/>
    <w:rsid w:val="04EAB959"/>
    <w:rsid w:val="04EDF659"/>
    <w:rsid w:val="04EE6E3F"/>
    <w:rsid w:val="04FA84F7"/>
    <w:rsid w:val="053AE852"/>
    <w:rsid w:val="054AFCDB"/>
    <w:rsid w:val="054EFC47"/>
    <w:rsid w:val="05657A41"/>
    <w:rsid w:val="056653DB"/>
    <w:rsid w:val="0590982C"/>
    <w:rsid w:val="05909DB7"/>
    <w:rsid w:val="059FD398"/>
    <w:rsid w:val="05A3F994"/>
    <w:rsid w:val="05C3E727"/>
    <w:rsid w:val="05CC7FE8"/>
    <w:rsid w:val="05E456E9"/>
    <w:rsid w:val="05E7DE94"/>
    <w:rsid w:val="05F596D4"/>
    <w:rsid w:val="05FA71FF"/>
    <w:rsid w:val="05FCBE56"/>
    <w:rsid w:val="05FD1449"/>
    <w:rsid w:val="061F2064"/>
    <w:rsid w:val="06351EAB"/>
    <w:rsid w:val="063B05B9"/>
    <w:rsid w:val="06456290"/>
    <w:rsid w:val="0695E222"/>
    <w:rsid w:val="06A728FC"/>
    <w:rsid w:val="06BC3E33"/>
    <w:rsid w:val="06D3ADA2"/>
    <w:rsid w:val="06D3D620"/>
    <w:rsid w:val="06D97ABF"/>
    <w:rsid w:val="06E2ABD3"/>
    <w:rsid w:val="06E51092"/>
    <w:rsid w:val="06EE47A9"/>
    <w:rsid w:val="07012A61"/>
    <w:rsid w:val="070E90A3"/>
    <w:rsid w:val="071ADE36"/>
    <w:rsid w:val="074D6A4C"/>
    <w:rsid w:val="07607386"/>
    <w:rsid w:val="0761298D"/>
    <w:rsid w:val="077B8D55"/>
    <w:rsid w:val="078E90A8"/>
    <w:rsid w:val="079233AA"/>
    <w:rsid w:val="079BF2B4"/>
    <w:rsid w:val="079CC970"/>
    <w:rsid w:val="07C09815"/>
    <w:rsid w:val="07D6F470"/>
    <w:rsid w:val="07D8696A"/>
    <w:rsid w:val="07E16BD7"/>
    <w:rsid w:val="07EEEE51"/>
    <w:rsid w:val="07F7628D"/>
    <w:rsid w:val="0801ECAF"/>
    <w:rsid w:val="080D57BD"/>
    <w:rsid w:val="080E638D"/>
    <w:rsid w:val="083B78E7"/>
    <w:rsid w:val="08433330"/>
    <w:rsid w:val="08627A67"/>
    <w:rsid w:val="08743FB8"/>
    <w:rsid w:val="08754767"/>
    <w:rsid w:val="0883740B"/>
    <w:rsid w:val="08A211B9"/>
    <w:rsid w:val="08B46458"/>
    <w:rsid w:val="08BF3BCB"/>
    <w:rsid w:val="08C773F2"/>
    <w:rsid w:val="08E6A3AC"/>
    <w:rsid w:val="08F05D71"/>
    <w:rsid w:val="08F3D3A6"/>
    <w:rsid w:val="08FD2E3C"/>
    <w:rsid w:val="09109AB3"/>
    <w:rsid w:val="091F56B0"/>
    <w:rsid w:val="092A032C"/>
    <w:rsid w:val="092DB4E0"/>
    <w:rsid w:val="09316E31"/>
    <w:rsid w:val="09429930"/>
    <w:rsid w:val="09589C18"/>
    <w:rsid w:val="096AA906"/>
    <w:rsid w:val="096E7D07"/>
    <w:rsid w:val="09797CA9"/>
    <w:rsid w:val="097F2544"/>
    <w:rsid w:val="0982F632"/>
    <w:rsid w:val="09902BB4"/>
    <w:rsid w:val="09A26574"/>
    <w:rsid w:val="09B18E5B"/>
    <w:rsid w:val="09CC381A"/>
    <w:rsid w:val="09CED331"/>
    <w:rsid w:val="09D2A5FA"/>
    <w:rsid w:val="09DBD015"/>
    <w:rsid w:val="09F78394"/>
    <w:rsid w:val="09FA8EF7"/>
    <w:rsid w:val="09FDF2D4"/>
    <w:rsid w:val="0A166839"/>
    <w:rsid w:val="0A38B91F"/>
    <w:rsid w:val="0A42CF67"/>
    <w:rsid w:val="0A436537"/>
    <w:rsid w:val="0A4F73D5"/>
    <w:rsid w:val="0A619F7F"/>
    <w:rsid w:val="0A6AEAF4"/>
    <w:rsid w:val="0A6D9BEA"/>
    <w:rsid w:val="0A74BD59"/>
    <w:rsid w:val="0A943180"/>
    <w:rsid w:val="0A9831E0"/>
    <w:rsid w:val="0AA129C2"/>
    <w:rsid w:val="0AAC1729"/>
    <w:rsid w:val="0AB2ECCB"/>
    <w:rsid w:val="0AB7DED8"/>
    <w:rsid w:val="0AD73241"/>
    <w:rsid w:val="0ADD7ECD"/>
    <w:rsid w:val="0AE29D80"/>
    <w:rsid w:val="0B1FFD01"/>
    <w:rsid w:val="0B433919"/>
    <w:rsid w:val="0B4375A4"/>
    <w:rsid w:val="0B4548A2"/>
    <w:rsid w:val="0B551FC9"/>
    <w:rsid w:val="0B6D2443"/>
    <w:rsid w:val="0B8B0CA8"/>
    <w:rsid w:val="0B8EE0C6"/>
    <w:rsid w:val="0B97A4AB"/>
    <w:rsid w:val="0BA02E40"/>
    <w:rsid w:val="0BBF892A"/>
    <w:rsid w:val="0BC25A6A"/>
    <w:rsid w:val="0BD91B64"/>
    <w:rsid w:val="0BDDD52B"/>
    <w:rsid w:val="0BF043E7"/>
    <w:rsid w:val="0C227B78"/>
    <w:rsid w:val="0C298F4B"/>
    <w:rsid w:val="0C2BFAB7"/>
    <w:rsid w:val="0C3259C4"/>
    <w:rsid w:val="0C3F678A"/>
    <w:rsid w:val="0C50CB4A"/>
    <w:rsid w:val="0C7AD22F"/>
    <w:rsid w:val="0C802DC1"/>
    <w:rsid w:val="0C843BF0"/>
    <w:rsid w:val="0C876E56"/>
    <w:rsid w:val="0C9E68FD"/>
    <w:rsid w:val="0CA473E1"/>
    <w:rsid w:val="0CA66DC6"/>
    <w:rsid w:val="0CA7572E"/>
    <w:rsid w:val="0CB14A8D"/>
    <w:rsid w:val="0CB502BE"/>
    <w:rsid w:val="0CC7D551"/>
    <w:rsid w:val="0CC84592"/>
    <w:rsid w:val="0CC9FF48"/>
    <w:rsid w:val="0CCCA774"/>
    <w:rsid w:val="0CCD2D28"/>
    <w:rsid w:val="0CEA6461"/>
    <w:rsid w:val="0D12BD2B"/>
    <w:rsid w:val="0D2087DD"/>
    <w:rsid w:val="0D482F17"/>
    <w:rsid w:val="0D5BB92E"/>
    <w:rsid w:val="0D5F4749"/>
    <w:rsid w:val="0D68772C"/>
    <w:rsid w:val="0D6B8915"/>
    <w:rsid w:val="0D6F5899"/>
    <w:rsid w:val="0D70FD16"/>
    <w:rsid w:val="0D72153A"/>
    <w:rsid w:val="0DA28C07"/>
    <w:rsid w:val="0DA6D34C"/>
    <w:rsid w:val="0DAE7FBA"/>
    <w:rsid w:val="0DBB00B3"/>
    <w:rsid w:val="0DC338E6"/>
    <w:rsid w:val="0DED1A9D"/>
    <w:rsid w:val="0E003163"/>
    <w:rsid w:val="0E02911E"/>
    <w:rsid w:val="0E03BBCF"/>
    <w:rsid w:val="0E2F3D43"/>
    <w:rsid w:val="0E347F09"/>
    <w:rsid w:val="0E508F64"/>
    <w:rsid w:val="0E61F0A3"/>
    <w:rsid w:val="0E68E181"/>
    <w:rsid w:val="0E727162"/>
    <w:rsid w:val="0E83E1FC"/>
    <w:rsid w:val="0E8477BC"/>
    <w:rsid w:val="0E97CBC7"/>
    <w:rsid w:val="0EA78511"/>
    <w:rsid w:val="0EAD1B2C"/>
    <w:rsid w:val="0EB3B633"/>
    <w:rsid w:val="0ECF8602"/>
    <w:rsid w:val="0ED4BCAA"/>
    <w:rsid w:val="0ED71BE1"/>
    <w:rsid w:val="0EE2A64C"/>
    <w:rsid w:val="0EE584D5"/>
    <w:rsid w:val="0EED0DB9"/>
    <w:rsid w:val="0EF08F3F"/>
    <w:rsid w:val="0EF63780"/>
    <w:rsid w:val="0F0C40B9"/>
    <w:rsid w:val="0F11CEA2"/>
    <w:rsid w:val="0F25F2C9"/>
    <w:rsid w:val="0F3A1835"/>
    <w:rsid w:val="0F4409E9"/>
    <w:rsid w:val="0F4489F6"/>
    <w:rsid w:val="0F574107"/>
    <w:rsid w:val="0F5806D4"/>
    <w:rsid w:val="0F65A003"/>
    <w:rsid w:val="0F89FDB3"/>
    <w:rsid w:val="0F96A0EA"/>
    <w:rsid w:val="0F9CADFA"/>
    <w:rsid w:val="0F9DDE4C"/>
    <w:rsid w:val="0F9EA073"/>
    <w:rsid w:val="0FC3EDD9"/>
    <w:rsid w:val="0FC57488"/>
    <w:rsid w:val="0FC857ED"/>
    <w:rsid w:val="0FCD7437"/>
    <w:rsid w:val="0FE0E27C"/>
    <w:rsid w:val="0FE39788"/>
    <w:rsid w:val="100828D1"/>
    <w:rsid w:val="101504A7"/>
    <w:rsid w:val="102E2581"/>
    <w:rsid w:val="102E37A9"/>
    <w:rsid w:val="10302565"/>
    <w:rsid w:val="104C27D4"/>
    <w:rsid w:val="104D39B3"/>
    <w:rsid w:val="107AE4BD"/>
    <w:rsid w:val="107FA191"/>
    <w:rsid w:val="108A19C2"/>
    <w:rsid w:val="108EC351"/>
    <w:rsid w:val="10A90010"/>
    <w:rsid w:val="10AB1C4E"/>
    <w:rsid w:val="10B217F7"/>
    <w:rsid w:val="10B303D1"/>
    <w:rsid w:val="10B6C0D7"/>
    <w:rsid w:val="10BB852F"/>
    <w:rsid w:val="10D01F06"/>
    <w:rsid w:val="10DCA4B4"/>
    <w:rsid w:val="10DE0DC0"/>
    <w:rsid w:val="10EE3927"/>
    <w:rsid w:val="1109B94F"/>
    <w:rsid w:val="111CD788"/>
    <w:rsid w:val="112B2181"/>
    <w:rsid w:val="11394486"/>
    <w:rsid w:val="113D820F"/>
    <w:rsid w:val="11480F51"/>
    <w:rsid w:val="11B428E0"/>
    <w:rsid w:val="11BE2892"/>
    <w:rsid w:val="11C1271C"/>
    <w:rsid w:val="11D15130"/>
    <w:rsid w:val="11D7EDF8"/>
    <w:rsid w:val="11E28E7B"/>
    <w:rsid w:val="11E9BC26"/>
    <w:rsid w:val="120FA361"/>
    <w:rsid w:val="1210AB10"/>
    <w:rsid w:val="1219471E"/>
    <w:rsid w:val="121F217D"/>
    <w:rsid w:val="1222CF2F"/>
    <w:rsid w:val="1222E5A1"/>
    <w:rsid w:val="1243F323"/>
    <w:rsid w:val="12558B8F"/>
    <w:rsid w:val="1294E977"/>
    <w:rsid w:val="129E1999"/>
    <w:rsid w:val="129E93D3"/>
    <w:rsid w:val="12A9BA2C"/>
    <w:rsid w:val="12B864EB"/>
    <w:rsid w:val="12D22961"/>
    <w:rsid w:val="12D37C10"/>
    <w:rsid w:val="12F68394"/>
    <w:rsid w:val="13322BA2"/>
    <w:rsid w:val="133B1713"/>
    <w:rsid w:val="1354C65A"/>
    <w:rsid w:val="13839EB3"/>
    <w:rsid w:val="138BBA1D"/>
    <w:rsid w:val="13BAC41F"/>
    <w:rsid w:val="13D4389B"/>
    <w:rsid w:val="13DDA831"/>
    <w:rsid w:val="13EC9A0C"/>
    <w:rsid w:val="13F37C8C"/>
    <w:rsid w:val="140F4E77"/>
    <w:rsid w:val="14422B22"/>
    <w:rsid w:val="144509D3"/>
    <w:rsid w:val="14760F7D"/>
    <w:rsid w:val="147DA7B0"/>
    <w:rsid w:val="14836202"/>
    <w:rsid w:val="14A37D17"/>
    <w:rsid w:val="14B5231F"/>
    <w:rsid w:val="14D0D54C"/>
    <w:rsid w:val="14D52042"/>
    <w:rsid w:val="14D754D7"/>
    <w:rsid w:val="14F634DC"/>
    <w:rsid w:val="14FB78B2"/>
    <w:rsid w:val="1525E191"/>
    <w:rsid w:val="1534A288"/>
    <w:rsid w:val="15352C36"/>
    <w:rsid w:val="155335A0"/>
    <w:rsid w:val="15608559"/>
    <w:rsid w:val="1560B6ED"/>
    <w:rsid w:val="156AE671"/>
    <w:rsid w:val="15707E59"/>
    <w:rsid w:val="15826977"/>
    <w:rsid w:val="15A5B7CE"/>
    <w:rsid w:val="15AB8603"/>
    <w:rsid w:val="15B2CF5F"/>
    <w:rsid w:val="15B63D84"/>
    <w:rsid w:val="15B6C3D4"/>
    <w:rsid w:val="15BABE5D"/>
    <w:rsid w:val="15C31D64"/>
    <w:rsid w:val="15DF6209"/>
    <w:rsid w:val="15E60701"/>
    <w:rsid w:val="1601FC44"/>
    <w:rsid w:val="1602F907"/>
    <w:rsid w:val="16098665"/>
    <w:rsid w:val="1615942E"/>
    <w:rsid w:val="161C1A8C"/>
    <w:rsid w:val="1637685D"/>
    <w:rsid w:val="1658E185"/>
    <w:rsid w:val="16597FF0"/>
    <w:rsid w:val="1660AC6A"/>
    <w:rsid w:val="1684DFC3"/>
    <w:rsid w:val="169A2105"/>
    <w:rsid w:val="169DD227"/>
    <w:rsid w:val="169DFF55"/>
    <w:rsid w:val="16C0F158"/>
    <w:rsid w:val="16D9CB49"/>
    <w:rsid w:val="16DDD0EF"/>
    <w:rsid w:val="16E0ABA9"/>
    <w:rsid w:val="170856A3"/>
    <w:rsid w:val="1717D5BC"/>
    <w:rsid w:val="1720986B"/>
    <w:rsid w:val="17259484"/>
    <w:rsid w:val="173C1B19"/>
    <w:rsid w:val="1747849A"/>
    <w:rsid w:val="17547826"/>
    <w:rsid w:val="1757CFE5"/>
    <w:rsid w:val="175A436D"/>
    <w:rsid w:val="175B72C2"/>
    <w:rsid w:val="176D70DF"/>
    <w:rsid w:val="1770065D"/>
    <w:rsid w:val="17767747"/>
    <w:rsid w:val="178C41FB"/>
    <w:rsid w:val="178F0958"/>
    <w:rsid w:val="1794F745"/>
    <w:rsid w:val="179530F6"/>
    <w:rsid w:val="17A19A9A"/>
    <w:rsid w:val="17B52E7F"/>
    <w:rsid w:val="17CAD3AF"/>
    <w:rsid w:val="17D6BF15"/>
    <w:rsid w:val="17F20BE3"/>
    <w:rsid w:val="17F4FE85"/>
    <w:rsid w:val="180BC4DA"/>
    <w:rsid w:val="1833FF03"/>
    <w:rsid w:val="1842099C"/>
    <w:rsid w:val="1842206A"/>
    <w:rsid w:val="18658688"/>
    <w:rsid w:val="188DBF81"/>
    <w:rsid w:val="18949ABD"/>
    <w:rsid w:val="1895BB50"/>
    <w:rsid w:val="18B1B932"/>
    <w:rsid w:val="18B80F99"/>
    <w:rsid w:val="18C3944A"/>
    <w:rsid w:val="18DB69FF"/>
    <w:rsid w:val="18EBD24A"/>
    <w:rsid w:val="19200406"/>
    <w:rsid w:val="1929BB60"/>
    <w:rsid w:val="192D6EE4"/>
    <w:rsid w:val="1988B91D"/>
    <w:rsid w:val="19B43B89"/>
    <w:rsid w:val="19BE5356"/>
    <w:rsid w:val="19C516A8"/>
    <w:rsid w:val="19C8BEC2"/>
    <w:rsid w:val="19D225CD"/>
    <w:rsid w:val="19E26886"/>
    <w:rsid w:val="19E335B9"/>
    <w:rsid w:val="19F2D9C5"/>
    <w:rsid w:val="19F80435"/>
    <w:rsid w:val="1A093A03"/>
    <w:rsid w:val="1A1404D2"/>
    <w:rsid w:val="1A25E597"/>
    <w:rsid w:val="1A2D50E4"/>
    <w:rsid w:val="1A331411"/>
    <w:rsid w:val="1A332E01"/>
    <w:rsid w:val="1A3B0B7D"/>
    <w:rsid w:val="1A4998BD"/>
    <w:rsid w:val="1A4EAD00"/>
    <w:rsid w:val="1A5BF28F"/>
    <w:rsid w:val="1A5E3507"/>
    <w:rsid w:val="1A6544E9"/>
    <w:rsid w:val="1A6820DE"/>
    <w:rsid w:val="1A68587E"/>
    <w:rsid w:val="1A873D7B"/>
    <w:rsid w:val="1A8AAC74"/>
    <w:rsid w:val="1A8AF010"/>
    <w:rsid w:val="1A90AD51"/>
    <w:rsid w:val="1A9D95C9"/>
    <w:rsid w:val="1A9EB136"/>
    <w:rsid w:val="1ABF20B4"/>
    <w:rsid w:val="1ACCD101"/>
    <w:rsid w:val="1ACCE28C"/>
    <w:rsid w:val="1ACD96D7"/>
    <w:rsid w:val="1AE3354A"/>
    <w:rsid w:val="1AEB4026"/>
    <w:rsid w:val="1B099874"/>
    <w:rsid w:val="1B18FD77"/>
    <w:rsid w:val="1B1F4A77"/>
    <w:rsid w:val="1B3195FB"/>
    <w:rsid w:val="1B34460A"/>
    <w:rsid w:val="1B546B49"/>
    <w:rsid w:val="1B6281FD"/>
    <w:rsid w:val="1B6CE4B9"/>
    <w:rsid w:val="1B7AB199"/>
    <w:rsid w:val="1B7BBECC"/>
    <w:rsid w:val="1B9C449B"/>
    <w:rsid w:val="1BB23920"/>
    <w:rsid w:val="1BD42330"/>
    <w:rsid w:val="1BD50AAD"/>
    <w:rsid w:val="1BEF08DA"/>
    <w:rsid w:val="1BFE6BCB"/>
    <w:rsid w:val="1C064ACF"/>
    <w:rsid w:val="1C275BE5"/>
    <w:rsid w:val="1C2845E6"/>
    <w:rsid w:val="1C35F504"/>
    <w:rsid w:val="1C5D67F8"/>
    <w:rsid w:val="1C619266"/>
    <w:rsid w:val="1C661D72"/>
    <w:rsid w:val="1C725DD4"/>
    <w:rsid w:val="1CA44ECB"/>
    <w:rsid w:val="1CA48684"/>
    <w:rsid w:val="1CAE7767"/>
    <w:rsid w:val="1CB73C67"/>
    <w:rsid w:val="1CBA3B65"/>
    <w:rsid w:val="1CBB6C7D"/>
    <w:rsid w:val="1CCE11F4"/>
    <w:rsid w:val="1CFD1444"/>
    <w:rsid w:val="1D001A20"/>
    <w:rsid w:val="1D282578"/>
    <w:rsid w:val="1D302E28"/>
    <w:rsid w:val="1D3D515F"/>
    <w:rsid w:val="1D3E20FC"/>
    <w:rsid w:val="1D4CFDA2"/>
    <w:rsid w:val="1D6D633E"/>
    <w:rsid w:val="1D7AA6CE"/>
    <w:rsid w:val="1D9C0FCC"/>
    <w:rsid w:val="1DB38FC1"/>
    <w:rsid w:val="1DCB4679"/>
    <w:rsid w:val="1DD4B60F"/>
    <w:rsid w:val="1DD7CA0D"/>
    <w:rsid w:val="1DDB07AA"/>
    <w:rsid w:val="1DDB35F6"/>
    <w:rsid w:val="1DE302A8"/>
    <w:rsid w:val="1DF06F38"/>
    <w:rsid w:val="1E0A40F4"/>
    <w:rsid w:val="1E18B2D4"/>
    <w:rsid w:val="1E1AEE14"/>
    <w:rsid w:val="1E3BB98B"/>
    <w:rsid w:val="1E478148"/>
    <w:rsid w:val="1E64067A"/>
    <w:rsid w:val="1E674559"/>
    <w:rsid w:val="1E6C7158"/>
    <w:rsid w:val="1E6E140E"/>
    <w:rsid w:val="1E966205"/>
    <w:rsid w:val="1E990E2D"/>
    <w:rsid w:val="1E99A203"/>
    <w:rsid w:val="1E9B6E03"/>
    <w:rsid w:val="1E9D743E"/>
    <w:rsid w:val="1E9EC459"/>
    <w:rsid w:val="1EB509DB"/>
    <w:rsid w:val="1EB58437"/>
    <w:rsid w:val="1EC19DE5"/>
    <w:rsid w:val="1EC5BE83"/>
    <w:rsid w:val="1ECAA7E8"/>
    <w:rsid w:val="1ED05138"/>
    <w:rsid w:val="1EE0E0F3"/>
    <w:rsid w:val="1F02EC93"/>
    <w:rsid w:val="1F090217"/>
    <w:rsid w:val="1F1BBA5D"/>
    <w:rsid w:val="1F5D0A24"/>
    <w:rsid w:val="1F7DA451"/>
    <w:rsid w:val="1F95561A"/>
    <w:rsid w:val="1F9671D3"/>
    <w:rsid w:val="1FCAEE2D"/>
    <w:rsid w:val="1FE79D32"/>
    <w:rsid w:val="1FF714EB"/>
    <w:rsid w:val="1FFC530D"/>
    <w:rsid w:val="20119A43"/>
    <w:rsid w:val="203B4067"/>
    <w:rsid w:val="203CE95C"/>
    <w:rsid w:val="204433D0"/>
    <w:rsid w:val="20556DBD"/>
    <w:rsid w:val="205E56FC"/>
    <w:rsid w:val="20C078A0"/>
    <w:rsid w:val="20C5E5D0"/>
    <w:rsid w:val="20F81AA2"/>
    <w:rsid w:val="210655D6"/>
    <w:rsid w:val="2109ACC4"/>
    <w:rsid w:val="210AE256"/>
    <w:rsid w:val="21296F75"/>
    <w:rsid w:val="214B2ED1"/>
    <w:rsid w:val="215CA018"/>
    <w:rsid w:val="21628D98"/>
    <w:rsid w:val="216B41B4"/>
    <w:rsid w:val="21863852"/>
    <w:rsid w:val="219EBC75"/>
    <w:rsid w:val="21A2029F"/>
    <w:rsid w:val="21A2C3AD"/>
    <w:rsid w:val="21D51C6D"/>
    <w:rsid w:val="21DCF6A7"/>
    <w:rsid w:val="21DD3A48"/>
    <w:rsid w:val="21E1C7AF"/>
    <w:rsid w:val="21E408D2"/>
    <w:rsid w:val="21ED3DAD"/>
    <w:rsid w:val="221B03B9"/>
    <w:rsid w:val="2227CED1"/>
    <w:rsid w:val="222C7F53"/>
    <w:rsid w:val="2239F3F8"/>
    <w:rsid w:val="223F574C"/>
    <w:rsid w:val="227F5A4D"/>
    <w:rsid w:val="229DDF07"/>
    <w:rsid w:val="22CAFA5E"/>
    <w:rsid w:val="22D22D86"/>
    <w:rsid w:val="22E9711E"/>
    <w:rsid w:val="2303851B"/>
    <w:rsid w:val="2304C2B0"/>
    <w:rsid w:val="2312C5B4"/>
    <w:rsid w:val="231701B2"/>
    <w:rsid w:val="232E7B79"/>
    <w:rsid w:val="233B799B"/>
    <w:rsid w:val="23416705"/>
    <w:rsid w:val="234E9EE4"/>
    <w:rsid w:val="2363471F"/>
    <w:rsid w:val="23932F12"/>
    <w:rsid w:val="23944EDB"/>
    <w:rsid w:val="239C233C"/>
    <w:rsid w:val="23C622AF"/>
    <w:rsid w:val="23D8B98D"/>
    <w:rsid w:val="23EE37CC"/>
    <w:rsid w:val="23F565E3"/>
    <w:rsid w:val="23F8CBBB"/>
    <w:rsid w:val="24041FAD"/>
    <w:rsid w:val="240DF20F"/>
    <w:rsid w:val="24200847"/>
    <w:rsid w:val="2425B53C"/>
    <w:rsid w:val="2425DC14"/>
    <w:rsid w:val="2428492A"/>
    <w:rsid w:val="243B53B2"/>
    <w:rsid w:val="243DED88"/>
    <w:rsid w:val="2463366B"/>
    <w:rsid w:val="247CDF19"/>
    <w:rsid w:val="24828E91"/>
    <w:rsid w:val="249BC777"/>
    <w:rsid w:val="24B9F8B5"/>
    <w:rsid w:val="24C27DD2"/>
    <w:rsid w:val="24D2E261"/>
    <w:rsid w:val="24E8E781"/>
    <w:rsid w:val="24E9EED2"/>
    <w:rsid w:val="24F40BAD"/>
    <w:rsid w:val="24FEFA49"/>
    <w:rsid w:val="24FF3429"/>
    <w:rsid w:val="25015326"/>
    <w:rsid w:val="2501B258"/>
    <w:rsid w:val="25050B5E"/>
    <w:rsid w:val="250BAADB"/>
    <w:rsid w:val="2513D7E1"/>
    <w:rsid w:val="25174527"/>
    <w:rsid w:val="2519D5D7"/>
    <w:rsid w:val="25272875"/>
    <w:rsid w:val="2550358F"/>
    <w:rsid w:val="2552FE74"/>
    <w:rsid w:val="259ECC9C"/>
    <w:rsid w:val="25A147EF"/>
    <w:rsid w:val="25A53AE1"/>
    <w:rsid w:val="25A6E035"/>
    <w:rsid w:val="25B216EF"/>
    <w:rsid w:val="25B50C87"/>
    <w:rsid w:val="25C8D68E"/>
    <w:rsid w:val="25D6E144"/>
    <w:rsid w:val="25D9E541"/>
    <w:rsid w:val="25DBE55C"/>
    <w:rsid w:val="25E50B59"/>
    <w:rsid w:val="25F7A896"/>
    <w:rsid w:val="2604E4A3"/>
    <w:rsid w:val="26136447"/>
    <w:rsid w:val="2628B027"/>
    <w:rsid w:val="26491099"/>
    <w:rsid w:val="264D0FD6"/>
    <w:rsid w:val="2663634D"/>
    <w:rsid w:val="267556D0"/>
    <w:rsid w:val="269F635A"/>
    <w:rsid w:val="269F8F6C"/>
    <w:rsid w:val="26A34F9A"/>
    <w:rsid w:val="26C5DEB5"/>
    <w:rsid w:val="26EBE29D"/>
    <w:rsid w:val="26FE80EC"/>
    <w:rsid w:val="26FF6E09"/>
    <w:rsid w:val="273B9804"/>
    <w:rsid w:val="275A96BD"/>
    <w:rsid w:val="2760306F"/>
    <w:rsid w:val="276D043A"/>
    <w:rsid w:val="27736CC6"/>
    <w:rsid w:val="2786F697"/>
    <w:rsid w:val="279C907C"/>
    <w:rsid w:val="27A26EE2"/>
    <w:rsid w:val="27A2D670"/>
    <w:rsid w:val="27A446CF"/>
    <w:rsid w:val="27A80141"/>
    <w:rsid w:val="27E7E077"/>
    <w:rsid w:val="27EB2C38"/>
    <w:rsid w:val="27F6A61E"/>
    <w:rsid w:val="27FFC1DE"/>
    <w:rsid w:val="2829CB74"/>
    <w:rsid w:val="284909BF"/>
    <w:rsid w:val="285045B4"/>
    <w:rsid w:val="2850C388"/>
    <w:rsid w:val="28600685"/>
    <w:rsid w:val="287AB612"/>
    <w:rsid w:val="28803B16"/>
    <w:rsid w:val="289D0D40"/>
    <w:rsid w:val="289E0875"/>
    <w:rsid w:val="28C18FBB"/>
    <w:rsid w:val="28DDA04B"/>
    <w:rsid w:val="28E6DBEF"/>
    <w:rsid w:val="291F9B23"/>
    <w:rsid w:val="29249D40"/>
    <w:rsid w:val="29435394"/>
    <w:rsid w:val="2944C759"/>
    <w:rsid w:val="29659F05"/>
    <w:rsid w:val="2968CC67"/>
    <w:rsid w:val="29822890"/>
    <w:rsid w:val="298240E8"/>
    <w:rsid w:val="298C5458"/>
    <w:rsid w:val="29AF06A6"/>
    <w:rsid w:val="29AF92EB"/>
    <w:rsid w:val="29B00D36"/>
    <w:rsid w:val="29D1DC21"/>
    <w:rsid w:val="29D25531"/>
    <w:rsid w:val="29F09BB6"/>
    <w:rsid w:val="29F3557E"/>
    <w:rsid w:val="2A033642"/>
    <w:rsid w:val="2A07F03E"/>
    <w:rsid w:val="2A091B7C"/>
    <w:rsid w:val="2A12F7D3"/>
    <w:rsid w:val="2A18D8A3"/>
    <w:rsid w:val="2A2CFF7F"/>
    <w:rsid w:val="2A45C791"/>
    <w:rsid w:val="2A53A87F"/>
    <w:rsid w:val="2A5639E4"/>
    <w:rsid w:val="2A6DC278"/>
    <w:rsid w:val="2A7535B5"/>
    <w:rsid w:val="2A7BF977"/>
    <w:rsid w:val="2A7FD79A"/>
    <w:rsid w:val="2A8395B4"/>
    <w:rsid w:val="2A96422A"/>
    <w:rsid w:val="2A97D8BE"/>
    <w:rsid w:val="2A9A51EF"/>
    <w:rsid w:val="2A9A6CDC"/>
    <w:rsid w:val="2AB5D3C7"/>
    <w:rsid w:val="2AC1B164"/>
    <w:rsid w:val="2AED6D30"/>
    <w:rsid w:val="2AF23B60"/>
    <w:rsid w:val="2AF23C1B"/>
    <w:rsid w:val="2AF46E0C"/>
    <w:rsid w:val="2B2D41E2"/>
    <w:rsid w:val="2B3795DF"/>
    <w:rsid w:val="2B3B0748"/>
    <w:rsid w:val="2B56FD6E"/>
    <w:rsid w:val="2B580B67"/>
    <w:rsid w:val="2B61DE2E"/>
    <w:rsid w:val="2B6D29A8"/>
    <w:rsid w:val="2B7E3480"/>
    <w:rsid w:val="2B954E2C"/>
    <w:rsid w:val="2B9F3109"/>
    <w:rsid w:val="2BAE6147"/>
    <w:rsid w:val="2BC6554C"/>
    <w:rsid w:val="2BD8F532"/>
    <w:rsid w:val="2BE8740F"/>
    <w:rsid w:val="2C20B3E1"/>
    <w:rsid w:val="2C220445"/>
    <w:rsid w:val="2C43AFF3"/>
    <w:rsid w:val="2C4F0C79"/>
    <w:rsid w:val="2C7C9E93"/>
    <w:rsid w:val="2CB509C5"/>
    <w:rsid w:val="2CB97F66"/>
    <w:rsid w:val="2CD50EB9"/>
    <w:rsid w:val="2CF0DD86"/>
    <w:rsid w:val="2D09E6E6"/>
    <w:rsid w:val="2D0F88FD"/>
    <w:rsid w:val="2D20FC44"/>
    <w:rsid w:val="2D2318EA"/>
    <w:rsid w:val="2D3FDF9F"/>
    <w:rsid w:val="2D484CD6"/>
    <w:rsid w:val="2D4D6CF0"/>
    <w:rsid w:val="2D4DA3E3"/>
    <w:rsid w:val="2D564512"/>
    <w:rsid w:val="2D60FC44"/>
    <w:rsid w:val="2D84CDFF"/>
    <w:rsid w:val="2D93A9B2"/>
    <w:rsid w:val="2D9625CD"/>
    <w:rsid w:val="2DBF0834"/>
    <w:rsid w:val="2DCCB56D"/>
    <w:rsid w:val="2DCF349E"/>
    <w:rsid w:val="2DD3049E"/>
    <w:rsid w:val="2DFCE7AB"/>
    <w:rsid w:val="2E06E9B4"/>
    <w:rsid w:val="2E101D9E"/>
    <w:rsid w:val="2E2E5E51"/>
    <w:rsid w:val="2E42C0F6"/>
    <w:rsid w:val="2E49A3C1"/>
    <w:rsid w:val="2E61E024"/>
    <w:rsid w:val="2E68C587"/>
    <w:rsid w:val="2E7266E0"/>
    <w:rsid w:val="2E7B487C"/>
    <w:rsid w:val="2EACF655"/>
    <w:rsid w:val="2EBBC67A"/>
    <w:rsid w:val="2ED45A74"/>
    <w:rsid w:val="2ED7FB47"/>
    <w:rsid w:val="2ED92C1B"/>
    <w:rsid w:val="2EF2BA5C"/>
    <w:rsid w:val="2F06A6A6"/>
    <w:rsid w:val="2F2CABCD"/>
    <w:rsid w:val="2F2ED2D0"/>
    <w:rsid w:val="2F5E06CE"/>
    <w:rsid w:val="2F8BBFBC"/>
    <w:rsid w:val="2F9FCBBF"/>
    <w:rsid w:val="2FB287DD"/>
    <w:rsid w:val="2FBA9A8B"/>
    <w:rsid w:val="2FDCA9F4"/>
    <w:rsid w:val="2FE33483"/>
    <w:rsid w:val="2FEDB268"/>
    <w:rsid w:val="2FFF7B51"/>
    <w:rsid w:val="300A5BDB"/>
    <w:rsid w:val="300EE541"/>
    <w:rsid w:val="30165C1C"/>
    <w:rsid w:val="301C2C03"/>
    <w:rsid w:val="30298C67"/>
    <w:rsid w:val="304B8E88"/>
    <w:rsid w:val="305025E5"/>
    <w:rsid w:val="305CD0F5"/>
    <w:rsid w:val="305DD9DB"/>
    <w:rsid w:val="305F9873"/>
    <w:rsid w:val="309A6815"/>
    <w:rsid w:val="309D7AB1"/>
    <w:rsid w:val="30CD6C9B"/>
    <w:rsid w:val="30E07300"/>
    <w:rsid w:val="30E94DC7"/>
    <w:rsid w:val="30EAC6DB"/>
    <w:rsid w:val="30EC08C8"/>
    <w:rsid w:val="30F5E2AC"/>
    <w:rsid w:val="31094BF6"/>
    <w:rsid w:val="3117250F"/>
    <w:rsid w:val="311B32BA"/>
    <w:rsid w:val="313EE49E"/>
    <w:rsid w:val="313EFB98"/>
    <w:rsid w:val="31566BC6"/>
    <w:rsid w:val="31641CCD"/>
    <w:rsid w:val="3167B090"/>
    <w:rsid w:val="3169F27E"/>
    <w:rsid w:val="316FA218"/>
    <w:rsid w:val="3173C25A"/>
    <w:rsid w:val="3190846A"/>
    <w:rsid w:val="3191F789"/>
    <w:rsid w:val="31A2FD1E"/>
    <w:rsid w:val="31AE15FE"/>
    <w:rsid w:val="31C6591F"/>
    <w:rsid w:val="31C69F76"/>
    <w:rsid w:val="31DEEE63"/>
    <w:rsid w:val="31EC1C31"/>
    <w:rsid w:val="320179D7"/>
    <w:rsid w:val="32049353"/>
    <w:rsid w:val="322C13CF"/>
    <w:rsid w:val="322C8FC6"/>
    <w:rsid w:val="3235CB12"/>
    <w:rsid w:val="324872DA"/>
    <w:rsid w:val="3277595E"/>
    <w:rsid w:val="327EA1E7"/>
    <w:rsid w:val="3282A228"/>
    <w:rsid w:val="32B35CBA"/>
    <w:rsid w:val="32BEE75F"/>
    <w:rsid w:val="32EE82E6"/>
    <w:rsid w:val="32F45DA2"/>
    <w:rsid w:val="332CCB97"/>
    <w:rsid w:val="3337CA53"/>
    <w:rsid w:val="3342DA29"/>
    <w:rsid w:val="3356824A"/>
    <w:rsid w:val="336A0F9B"/>
    <w:rsid w:val="338AFF51"/>
    <w:rsid w:val="3392DB7E"/>
    <w:rsid w:val="3395B401"/>
    <w:rsid w:val="339F7949"/>
    <w:rsid w:val="33CDEE90"/>
    <w:rsid w:val="33D840F9"/>
    <w:rsid w:val="33EE010D"/>
    <w:rsid w:val="33F64BC7"/>
    <w:rsid w:val="33FEDD9F"/>
    <w:rsid w:val="3404C402"/>
    <w:rsid w:val="340792D5"/>
    <w:rsid w:val="34110296"/>
    <w:rsid w:val="341936F2"/>
    <w:rsid w:val="341ABA4F"/>
    <w:rsid w:val="3423968A"/>
    <w:rsid w:val="342A62E0"/>
    <w:rsid w:val="343D71B1"/>
    <w:rsid w:val="34408897"/>
    <w:rsid w:val="344A84F6"/>
    <w:rsid w:val="344D4F8B"/>
    <w:rsid w:val="345CFD59"/>
    <w:rsid w:val="34816907"/>
    <w:rsid w:val="348ADFCE"/>
    <w:rsid w:val="34927131"/>
    <w:rsid w:val="34A9A86C"/>
    <w:rsid w:val="34AB3E5D"/>
    <w:rsid w:val="34AE171A"/>
    <w:rsid w:val="34CA7455"/>
    <w:rsid w:val="34CF7DC5"/>
    <w:rsid w:val="34D3F020"/>
    <w:rsid w:val="34DA7116"/>
    <w:rsid w:val="34DDF4BD"/>
    <w:rsid w:val="34E4C8B2"/>
    <w:rsid w:val="34FA6A65"/>
    <w:rsid w:val="34FD4C50"/>
    <w:rsid w:val="350DDBBB"/>
    <w:rsid w:val="35194A68"/>
    <w:rsid w:val="3525B787"/>
    <w:rsid w:val="35274AE4"/>
    <w:rsid w:val="3536E7E3"/>
    <w:rsid w:val="35453A05"/>
    <w:rsid w:val="354FCD3D"/>
    <w:rsid w:val="35697BD0"/>
    <w:rsid w:val="356CB4B1"/>
    <w:rsid w:val="357724DC"/>
    <w:rsid w:val="3579BFF7"/>
    <w:rsid w:val="3579E04B"/>
    <w:rsid w:val="357A9432"/>
    <w:rsid w:val="3588E9A9"/>
    <w:rsid w:val="35A48EF4"/>
    <w:rsid w:val="35F1A3A0"/>
    <w:rsid w:val="35FDB11A"/>
    <w:rsid w:val="3602DC4B"/>
    <w:rsid w:val="3615FC1B"/>
    <w:rsid w:val="3636EA7E"/>
    <w:rsid w:val="363FA188"/>
    <w:rsid w:val="364562D1"/>
    <w:rsid w:val="364A7A33"/>
    <w:rsid w:val="36559D7C"/>
    <w:rsid w:val="365FFAE8"/>
    <w:rsid w:val="36751CFD"/>
    <w:rsid w:val="367F6EAD"/>
    <w:rsid w:val="3695A8A9"/>
    <w:rsid w:val="3696D976"/>
    <w:rsid w:val="36B337CF"/>
    <w:rsid w:val="36E0E574"/>
    <w:rsid w:val="36EA58FE"/>
    <w:rsid w:val="36F1DE71"/>
    <w:rsid w:val="36FE3267"/>
    <w:rsid w:val="37085A9D"/>
    <w:rsid w:val="37189ADC"/>
    <w:rsid w:val="372DBC76"/>
    <w:rsid w:val="3762D8EA"/>
    <w:rsid w:val="37733722"/>
    <w:rsid w:val="37766E34"/>
    <w:rsid w:val="37771945"/>
    <w:rsid w:val="378B1359"/>
    <w:rsid w:val="378D6F61"/>
    <w:rsid w:val="3795E533"/>
    <w:rsid w:val="37B38B88"/>
    <w:rsid w:val="37B4206F"/>
    <w:rsid w:val="37B48D89"/>
    <w:rsid w:val="37D2229B"/>
    <w:rsid w:val="37D914BC"/>
    <w:rsid w:val="37E02FD2"/>
    <w:rsid w:val="37F132F2"/>
    <w:rsid w:val="38016E16"/>
    <w:rsid w:val="380C6B95"/>
    <w:rsid w:val="382A8266"/>
    <w:rsid w:val="383CBBE1"/>
    <w:rsid w:val="38402DBE"/>
    <w:rsid w:val="384D9932"/>
    <w:rsid w:val="384E4ABD"/>
    <w:rsid w:val="387F29A0"/>
    <w:rsid w:val="3897F3D5"/>
    <w:rsid w:val="389AA8C8"/>
    <w:rsid w:val="38A17E6E"/>
    <w:rsid w:val="38A84C6D"/>
    <w:rsid w:val="38A9508E"/>
    <w:rsid w:val="38B69C45"/>
    <w:rsid w:val="38E186E3"/>
    <w:rsid w:val="38F6C2F3"/>
    <w:rsid w:val="38FF9FC9"/>
    <w:rsid w:val="390280B6"/>
    <w:rsid w:val="39238038"/>
    <w:rsid w:val="392580A1"/>
    <w:rsid w:val="39445480"/>
    <w:rsid w:val="395378CB"/>
    <w:rsid w:val="39855EBC"/>
    <w:rsid w:val="399604E1"/>
    <w:rsid w:val="39A27AFC"/>
    <w:rsid w:val="39B03BF2"/>
    <w:rsid w:val="39D14E61"/>
    <w:rsid w:val="39D2DDD9"/>
    <w:rsid w:val="39E9A070"/>
    <w:rsid w:val="39F476D5"/>
    <w:rsid w:val="39FAC9F4"/>
    <w:rsid w:val="3A039398"/>
    <w:rsid w:val="3A14BF68"/>
    <w:rsid w:val="3A1DE493"/>
    <w:rsid w:val="3A2064B9"/>
    <w:rsid w:val="3A2C6328"/>
    <w:rsid w:val="3A33790F"/>
    <w:rsid w:val="3A3C22B6"/>
    <w:rsid w:val="3A516B21"/>
    <w:rsid w:val="3A72E8F3"/>
    <w:rsid w:val="3AB9C5ED"/>
    <w:rsid w:val="3ACF24BF"/>
    <w:rsid w:val="3ADE982B"/>
    <w:rsid w:val="3AF5D8A3"/>
    <w:rsid w:val="3AF94B94"/>
    <w:rsid w:val="3B02227F"/>
    <w:rsid w:val="3B04DA6C"/>
    <w:rsid w:val="3B0C1BFD"/>
    <w:rsid w:val="3B12FF1B"/>
    <w:rsid w:val="3B15B906"/>
    <w:rsid w:val="3B31A73D"/>
    <w:rsid w:val="3B37190E"/>
    <w:rsid w:val="3B46910A"/>
    <w:rsid w:val="3B50515C"/>
    <w:rsid w:val="3B5337BB"/>
    <w:rsid w:val="3B552FBB"/>
    <w:rsid w:val="3B69F1A0"/>
    <w:rsid w:val="3B797AD6"/>
    <w:rsid w:val="3B822E70"/>
    <w:rsid w:val="3B9C9274"/>
    <w:rsid w:val="3BB2249B"/>
    <w:rsid w:val="3BD6E11D"/>
    <w:rsid w:val="3BEB82E6"/>
    <w:rsid w:val="3C286552"/>
    <w:rsid w:val="3C382158"/>
    <w:rsid w:val="3C383867"/>
    <w:rsid w:val="3C55F4D9"/>
    <w:rsid w:val="3C5D06EF"/>
    <w:rsid w:val="3C6891BF"/>
    <w:rsid w:val="3C6D39E4"/>
    <w:rsid w:val="3C6FF230"/>
    <w:rsid w:val="3C82020E"/>
    <w:rsid w:val="3CB3C874"/>
    <w:rsid w:val="3CC54EEC"/>
    <w:rsid w:val="3CCCB715"/>
    <w:rsid w:val="3CE18751"/>
    <w:rsid w:val="3CF7C23F"/>
    <w:rsid w:val="3D1701EF"/>
    <w:rsid w:val="3D199013"/>
    <w:rsid w:val="3D224717"/>
    <w:rsid w:val="3D28C376"/>
    <w:rsid w:val="3D2ADF65"/>
    <w:rsid w:val="3D3437F7"/>
    <w:rsid w:val="3D60EA44"/>
    <w:rsid w:val="3D6EBEDE"/>
    <w:rsid w:val="3D73E79D"/>
    <w:rsid w:val="3D78A07A"/>
    <w:rsid w:val="3D9B9B82"/>
    <w:rsid w:val="3D9C5AA7"/>
    <w:rsid w:val="3D9D8A17"/>
    <w:rsid w:val="3DD43E7D"/>
    <w:rsid w:val="3DD4EA73"/>
    <w:rsid w:val="3DE7CB32"/>
    <w:rsid w:val="3DF619E9"/>
    <w:rsid w:val="3DF64AC3"/>
    <w:rsid w:val="3DFC6CF5"/>
    <w:rsid w:val="3E0D010E"/>
    <w:rsid w:val="3E2EA969"/>
    <w:rsid w:val="3E3102ED"/>
    <w:rsid w:val="3E379514"/>
    <w:rsid w:val="3E42D1D1"/>
    <w:rsid w:val="3E495ECD"/>
    <w:rsid w:val="3E64FB57"/>
    <w:rsid w:val="3E76CDF0"/>
    <w:rsid w:val="3E7C0702"/>
    <w:rsid w:val="3E896927"/>
    <w:rsid w:val="3E916384"/>
    <w:rsid w:val="3EA17CDD"/>
    <w:rsid w:val="3EA85673"/>
    <w:rsid w:val="3EC0F4D6"/>
    <w:rsid w:val="3EC9EF45"/>
    <w:rsid w:val="3ECE1A70"/>
    <w:rsid w:val="3EE48A74"/>
    <w:rsid w:val="3EEB1EBF"/>
    <w:rsid w:val="3EEB2261"/>
    <w:rsid w:val="3EF11A17"/>
    <w:rsid w:val="3F09B9E2"/>
    <w:rsid w:val="3F1E9F01"/>
    <w:rsid w:val="3F2205A7"/>
    <w:rsid w:val="3F61F4D8"/>
    <w:rsid w:val="3F71962D"/>
    <w:rsid w:val="3F9216B0"/>
    <w:rsid w:val="3F959B8F"/>
    <w:rsid w:val="3FA91E53"/>
    <w:rsid w:val="3FB81AB5"/>
    <w:rsid w:val="3FCDBDFB"/>
    <w:rsid w:val="3FD18A64"/>
    <w:rsid w:val="3FD21A40"/>
    <w:rsid w:val="3FDD83E8"/>
    <w:rsid w:val="3FE2D27D"/>
    <w:rsid w:val="3FEF8472"/>
    <w:rsid w:val="3FFA60D5"/>
    <w:rsid w:val="40103E2B"/>
    <w:rsid w:val="406C1862"/>
    <w:rsid w:val="408A9034"/>
    <w:rsid w:val="409D1908"/>
    <w:rsid w:val="40A81B47"/>
    <w:rsid w:val="40AA3B62"/>
    <w:rsid w:val="40AF733E"/>
    <w:rsid w:val="40FC94A7"/>
    <w:rsid w:val="410DAA2A"/>
    <w:rsid w:val="41164320"/>
    <w:rsid w:val="4117E3EE"/>
    <w:rsid w:val="4119182F"/>
    <w:rsid w:val="41210005"/>
    <w:rsid w:val="412853DF"/>
    <w:rsid w:val="41397EED"/>
    <w:rsid w:val="413D636B"/>
    <w:rsid w:val="413DC6C7"/>
    <w:rsid w:val="415073B4"/>
    <w:rsid w:val="41A6C741"/>
    <w:rsid w:val="41B20FF1"/>
    <w:rsid w:val="41C4E72F"/>
    <w:rsid w:val="41C5DC4B"/>
    <w:rsid w:val="41C7867F"/>
    <w:rsid w:val="41CDA8FC"/>
    <w:rsid w:val="41D1DD2A"/>
    <w:rsid w:val="41D248F9"/>
    <w:rsid w:val="41E07BFC"/>
    <w:rsid w:val="41EB2A1E"/>
    <w:rsid w:val="41F4991F"/>
    <w:rsid w:val="4239C32A"/>
    <w:rsid w:val="426C81FC"/>
    <w:rsid w:val="427FD9B3"/>
    <w:rsid w:val="42828DA4"/>
    <w:rsid w:val="4297D1F0"/>
    <w:rsid w:val="42BC87DF"/>
    <w:rsid w:val="42C384BE"/>
    <w:rsid w:val="42D0F252"/>
    <w:rsid w:val="42DAB076"/>
    <w:rsid w:val="42E20EE5"/>
    <w:rsid w:val="42E4E328"/>
    <w:rsid w:val="43098854"/>
    <w:rsid w:val="430F47D3"/>
    <w:rsid w:val="431304DB"/>
    <w:rsid w:val="4320391B"/>
    <w:rsid w:val="4337FD2A"/>
    <w:rsid w:val="434F840A"/>
    <w:rsid w:val="435A9224"/>
    <w:rsid w:val="435DA57A"/>
    <w:rsid w:val="437F4FD5"/>
    <w:rsid w:val="4380C2B0"/>
    <w:rsid w:val="43816B14"/>
    <w:rsid w:val="4384712F"/>
    <w:rsid w:val="438FB35F"/>
    <w:rsid w:val="43BE6DB4"/>
    <w:rsid w:val="43C1AC24"/>
    <w:rsid w:val="43C590A0"/>
    <w:rsid w:val="43E80C75"/>
    <w:rsid w:val="43EC846C"/>
    <w:rsid w:val="44010E5A"/>
    <w:rsid w:val="4404BF46"/>
    <w:rsid w:val="4414A26F"/>
    <w:rsid w:val="441DFE31"/>
    <w:rsid w:val="44334C50"/>
    <w:rsid w:val="4439BC44"/>
    <w:rsid w:val="4446F826"/>
    <w:rsid w:val="44632AB5"/>
    <w:rsid w:val="44632DFD"/>
    <w:rsid w:val="447CC607"/>
    <w:rsid w:val="449E4FA4"/>
    <w:rsid w:val="44BD07E4"/>
    <w:rsid w:val="44CF86B6"/>
    <w:rsid w:val="44E81852"/>
    <w:rsid w:val="4530B9C2"/>
    <w:rsid w:val="454CA3F7"/>
    <w:rsid w:val="456C2759"/>
    <w:rsid w:val="45732F91"/>
    <w:rsid w:val="45873B97"/>
    <w:rsid w:val="45ACB094"/>
    <w:rsid w:val="45B178CF"/>
    <w:rsid w:val="45D70BF5"/>
    <w:rsid w:val="45F75841"/>
    <w:rsid w:val="4612CDC0"/>
    <w:rsid w:val="461D4345"/>
    <w:rsid w:val="4629A8BF"/>
    <w:rsid w:val="46322638"/>
    <w:rsid w:val="463E5A59"/>
    <w:rsid w:val="464191BE"/>
    <w:rsid w:val="46529A0E"/>
    <w:rsid w:val="465DD31F"/>
    <w:rsid w:val="46617AF2"/>
    <w:rsid w:val="466B08AA"/>
    <w:rsid w:val="46849BBA"/>
    <w:rsid w:val="46916442"/>
    <w:rsid w:val="46B10FF9"/>
    <w:rsid w:val="46EBB3E5"/>
    <w:rsid w:val="470022DB"/>
    <w:rsid w:val="470086FE"/>
    <w:rsid w:val="470F05BD"/>
    <w:rsid w:val="47279615"/>
    <w:rsid w:val="47590047"/>
    <w:rsid w:val="476E39FA"/>
    <w:rsid w:val="47706F3E"/>
    <w:rsid w:val="477C8FA2"/>
    <w:rsid w:val="4783460C"/>
    <w:rsid w:val="478934AA"/>
    <w:rsid w:val="478B48AD"/>
    <w:rsid w:val="47AA773E"/>
    <w:rsid w:val="47AC3347"/>
    <w:rsid w:val="47AE09D1"/>
    <w:rsid w:val="47BCFC01"/>
    <w:rsid w:val="47D04BA9"/>
    <w:rsid w:val="47D45395"/>
    <w:rsid w:val="47D97FB4"/>
    <w:rsid w:val="47DD1653"/>
    <w:rsid w:val="47E9DD93"/>
    <w:rsid w:val="4809C3C3"/>
    <w:rsid w:val="4827099B"/>
    <w:rsid w:val="483CE37F"/>
    <w:rsid w:val="48545638"/>
    <w:rsid w:val="485573C2"/>
    <w:rsid w:val="48709A41"/>
    <w:rsid w:val="48797F71"/>
    <w:rsid w:val="488C380B"/>
    <w:rsid w:val="488E2BC7"/>
    <w:rsid w:val="4896F602"/>
    <w:rsid w:val="48AF576E"/>
    <w:rsid w:val="48AFC398"/>
    <w:rsid w:val="48CD1907"/>
    <w:rsid w:val="48D69614"/>
    <w:rsid w:val="49002A11"/>
    <w:rsid w:val="49095561"/>
    <w:rsid w:val="49293ABB"/>
    <w:rsid w:val="492AF528"/>
    <w:rsid w:val="493BF415"/>
    <w:rsid w:val="4957A7AF"/>
    <w:rsid w:val="4985527F"/>
    <w:rsid w:val="49855B76"/>
    <w:rsid w:val="49B57714"/>
    <w:rsid w:val="49CDE498"/>
    <w:rsid w:val="49E7F1CC"/>
    <w:rsid w:val="49ED573F"/>
    <w:rsid w:val="4A021E24"/>
    <w:rsid w:val="4A0901DB"/>
    <w:rsid w:val="4A10FAA4"/>
    <w:rsid w:val="4A212A0C"/>
    <w:rsid w:val="4A288766"/>
    <w:rsid w:val="4A3657A9"/>
    <w:rsid w:val="4A444173"/>
    <w:rsid w:val="4A5CD3BB"/>
    <w:rsid w:val="4A61A3D8"/>
    <w:rsid w:val="4A67E1A6"/>
    <w:rsid w:val="4A711AE7"/>
    <w:rsid w:val="4A751908"/>
    <w:rsid w:val="4A7D2A33"/>
    <w:rsid w:val="4A83F153"/>
    <w:rsid w:val="4AAA8F97"/>
    <w:rsid w:val="4AAD6F3D"/>
    <w:rsid w:val="4AD40655"/>
    <w:rsid w:val="4AE5C63C"/>
    <w:rsid w:val="4AEA1591"/>
    <w:rsid w:val="4AF460A1"/>
    <w:rsid w:val="4AF7A015"/>
    <w:rsid w:val="4B13CB83"/>
    <w:rsid w:val="4B1EAEF3"/>
    <w:rsid w:val="4B39D9F4"/>
    <w:rsid w:val="4B3DC222"/>
    <w:rsid w:val="4B447B5C"/>
    <w:rsid w:val="4B47214D"/>
    <w:rsid w:val="4B4C5DA2"/>
    <w:rsid w:val="4B5D1F0E"/>
    <w:rsid w:val="4B5EC21B"/>
    <w:rsid w:val="4B662E06"/>
    <w:rsid w:val="4B69B5BC"/>
    <w:rsid w:val="4B7A3BBB"/>
    <w:rsid w:val="4BC2C3A7"/>
    <w:rsid w:val="4BC830EC"/>
    <w:rsid w:val="4BF17BFF"/>
    <w:rsid w:val="4BF3672B"/>
    <w:rsid w:val="4BF705E2"/>
    <w:rsid w:val="4BF91A8A"/>
    <w:rsid w:val="4C0420AB"/>
    <w:rsid w:val="4C052A2D"/>
    <w:rsid w:val="4C08FE90"/>
    <w:rsid w:val="4C29FA5D"/>
    <w:rsid w:val="4C31C9F7"/>
    <w:rsid w:val="4C3B8F22"/>
    <w:rsid w:val="4C404C6F"/>
    <w:rsid w:val="4C6E9C0D"/>
    <w:rsid w:val="4C70060A"/>
    <w:rsid w:val="4C76F2F6"/>
    <w:rsid w:val="4C805F0C"/>
    <w:rsid w:val="4C8DC9DE"/>
    <w:rsid w:val="4CB91942"/>
    <w:rsid w:val="4CCF55B9"/>
    <w:rsid w:val="4CE80BE2"/>
    <w:rsid w:val="4D000E15"/>
    <w:rsid w:val="4D0E1A5D"/>
    <w:rsid w:val="4D17378C"/>
    <w:rsid w:val="4D201A24"/>
    <w:rsid w:val="4D36CFF8"/>
    <w:rsid w:val="4D434DD2"/>
    <w:rsid w:val="4D437A24"/>
    <w:rsid w:val="4D4AADF6"/>
    <w:rsid w:val="4D58944C"/>
    <w:rsid w:val="4D77FD18"/>
    <w:rsid w:val="4D7ADF05"/>
    <w:rsid w:val="4D82054C"/>
    <w:rsid w:val="4D993353"/>
    <w:rsid w:val="4D99B952"/>
    <w:rsid w:val="4DB2FA06"/>
    <w:rsid w:val="4DB3CE57"/>
    <w:rsid w:val="4DCE3AAF"/>
    <w:rsid w:val="4DE3A29F"/>
    <w:rsid w:val="4DFA22F2"/>
    <w:rsid w:val="4E02651F"/>
    <w:rsid w:val="4E0514C6"/>
    <w:rsid w:val="4E15A6E0"/>
    <w:rsid w:val="4E1A6935"/>
    <w:rsid w:val="4E35440F"/>
    <w:rsid w:val="4E36FBEA"/>
    <w:rsid w:val="4E4D94E5"/>
    <w:rsid w:val="4E4E3F1B"/>
    <w:rsid w:val="4E5B1BA3"/>
    <w:rsid w:val="4E5BFD1B"/>
    <w:rsid w:val="4E5D0937"/>
    <w:rsid w:val="4E8A5FAC"/>
    <w:rsid w:val="4E93DA9D"/>
    <w:rsid w:val="4E98D1CE"/>
    <w:rsid w:val="4EAFEF40"/>
    <w:rsid w:val="4EC3BC25"/>
    <w:rsid w:val="4EC3CA3F"/>
    <w:rsid w:val="4EC7F13B"/>
    <w:rsid w:val="4EE34E11"/>
    <w:rsid w:val="4EEC0C9F"/>
    <w:rsid w:val="4F3845D1"/>
    <w:rsid w:val="4F4C3EC4"/>
    <w:rsid w:val="4F4F651E"/>
    <w:rsid w:val="4F74CB66"/>
    <w:rsid w:val="4F81C7D9"/>
    <w:rsid w:val="4F8809C7"/>
    <w:rsid w:val="4F96A521"/>
    <w:rsid w:val="4F981207"/>
    <w:rsid w:val="4FAB5434"/>
    <w:rsid w:val="4FC46089"/>
    <w:rsid w:val="4FCE03B1"/>
    <w:rsid w:val="4FD94638"/>
    <w:rsid w:val="4FDDFFA0"/>
    <w:rsid w:val="501A0A32"/>
    <w:rsid w:val="501E6955"/>
    <w:rsid w:val="502E3E1A"/>
    <w:rsid w:val="503403D9"/>
    <w:rsid w:val="503A954B"/>
    <w:rsid w:val="503CC75C"/>
    <w:rsid w:val="50534DBA"/>
    <w:rsid w:val="5072BBE4"/>
    <w:rsid w:val="5075278F"/>
    <w:rsid w:val="50836024"/>
    <w:rsid w:val="50A87839"/>
    <w:rsid w:val="50AC1712"/>
    <w:rsid w:val="50BA0C50"/>
    <w:rsid w:val="50DA8227"/>
    <w:rsid w:val="50E6F574"/>
    <w:rsid w:val="50FDAB43"/>
    <w:rsid w:val="5104F48E"/>
    <w:rsid w:val="5109B2B9"/>
    <w:rsid w:val="51123D26"/>
    <w:rsid w:val="511A16FC"/>
    <w:rsid w:val="511FE6F3"/>
    <w:rsid w:val="51474BAE"/>
    <w:rsid w:val="5154479C"/>
    <w:rsid w:val="518CCFB6"/>
    <w:rsid w:val="51B39E32"/>
    <w:rsid w:val="51B5174A"/>
    <w:rsid w:val="51BD0561"/>
    <w:rsid w:val="51D1F806"/>
    <w:rsid w:val="51D88043"/>
    <w:rsid w:val="51ED50D2"/>
    <w:rsid w:val="5201EC29"/>
    <w:rsid w:val="521627AE"/>
    <w:rsid w:val="522CBABC"/>
    <w:rsid w:val="524A22C1"/>
    <w:rsid w:val="52656268"/>
    <w:rsid w:val="526A39D6"/>
    <w:rsid w:val="5272987C"/>
    <w:rsid w:val="52748AF0"/>
    <w:rsid w:val="52821AE6"/>
    <w:rsid w:val="5282EF78"/>
    <w:rsid w:val="5283913B"/>
    <w:rsid w:val="529B1D4E"/>
    <w:rsid w:val="52A1CF9B"/>
    <w:rsid w:val="52D1B077"/>
    <w:rsid w:val="52D56B9C"/>
    <w:rsid w:val="52D99FDF"/>
    <w:rsid w:val="52EA7CDF"/>
    <w:rsid w:val="5330446B"/>
    <w:rsid w:val="533AA973"/>
    <w:rsid w:val="534454D5"/>
    <w:rsid w:val="534F5CE9"/>
    <w:rsid w:val="5352A93C"/>
    <w:rsid w:val="535CD09A"/>
    <w:rsid w:val="537A2EF7"/>
    <w:rsid w:val="539417A2"/>
    <w:rsid w:val="5394F66B"/>
    <w:rsid w:val="53AC8189"/>
    <w:rsid w:val="53F71693"/>
    <w:rsid w:val="54175832"/>
    <w:rsid w:val="5417621C"/>
    <w:rsid w:val="5431B458"/>
    <w:rsid w:val="54321E4C"/>
    <w:rsid w:val="54575014"/>
    <w:rsid w:val="5467FBF9"/>
    <w:rsid w:val="546DE04C"/>
    <w:rsid w:val="547B4E7E"/>
    <w:rsid w:val="548E6752"/>
    <w:rsid w:val="548F46E3"/>
    <w:rsid w:val="54BF35E5"/>
    <w:rsid w:val="54F77F60"/>
    <w:rsid w:val="550A4972"/>
    <w:rsid w:val="550F9454"/>
    <w:rsid w:val="55120532"/>
    <w:rsid w:val="5515E4DD"/>
    <w:rsid w:val="551D0920"/>
    <w:rsid w:val="5522DCB7"/>
    <w:rsid w:val="555576F5"/>
    <w:rsid w:val="55580CB0"/>
    <w:rsid w:val="556198B9"/>
    <w:rsid w:val="5566EEA4"/>
    <w:rsid w:val="557320E7"/>
    <w:rsid w:val="559E797D"/>
    <w:rsid w:val="55B106B0"/>
    <w:rsid w:val="55B66BC2"/>
    <w:rsid w:val="55C62C8E"/>
    <w:rsid w:val="55CCF2E6"/>
    <w:rsid w:val="55F43408"/>
    <w:rsid w:val="560C1929"/>
    <w:rsid w:val="56104604"/>
    <w:rsid w:val="56141E68"/>
    <w:rsid w:val="5631F464"/>
    <w:rsid w:val="5682B8BD"/>
    <w:rsid w:val="568A25FA"/>
    <w:rsid w:val="568BD097"/>
    <w:rsid w:val="568DDBC5"/>
    <w:rsid w:val="5699F101"/>
    <w:rsid w:val="56BC1F91"/>
    <w:rsid w:val="56FF89D1"/>
    <w:rsid w:val="570A149D"/>
    <w:rsid w:val="571C8D2A"/>
    <w:rsid w:val="572B7CF9"/>
    <w:rsid w:val="574F4407"/>
    <w:rsid w:val="575E4C7C"/>
    <w:rsid w:val="575F7924"/>
    <w:rsid w:val="576D2371"/>
    <w:rsid w:val="577679FA"/>
    <w:rsid w:val="5779D7FC"/>
    <w:rsid w:val="57C631A8"/>
    <w:rsid w:val="5805A254"/>
    <w:rsid w:val="5813E447"/>
    <w:rsid w:val="582ABB28"/>
    <w:rsid w:val="58367DC5"/>
    <w:rsid w:val="58393EA1"/>
    <w:rsid w:val="58642AA2"/>
    <w:rsid w:val="58A1A63F"/>
    <w:rsid w:val="59270B26"/>
    <w:rsid w:val="593350FB"/>
    <w:rsid w:val="5943B981"/>
    <w:rsid w:val="598173D4"/>
    <w:rsid w:val="599B7652"/>
    <w:rsid w:val="599FFFC9"/>
    <w:rsid w:val="59A4B2D6"/>
    <w:rsid w:val="59AF1033"/>
    <w:rsid w:val="59E1E11D"/>
    <w:rsid w:val="59F61423"/>
    <w:rsid w:val="5A054014"/>
    <w:rsid w:val="5A0F9274"/>
    <w:rsid w:val="5A1A8F7D"/>
    <w:rsid w:val="5A1ABD0A"/>
    <w:rsid w:val="5A395879"/>
    <w:rsid w:val="5A52D1F6"/>
    <w:rsid w:val="5A56597D"/>
    <w:rsid w:val="5A57AA19"/>
    <w:rsid w:val="5A59A615"/>
    <w:rsid w:val="5A67AD78"/>
    <w:rsid w:val="5A70EC37"/>
    <w:rsid w:val="5A91F665"/>
    <w:rsid w:val="5A9725CD"/>
    <w:rsid w:val="5AA89864"/>
    <w:rsid w:val="5AA8E4E0"/>
    <w:rsid w:val="5AB47785"/>
    <w:rsid w:val="5AD7972F"/>
    <w:rsid w:val="5ADD5DA4"/>
    <w:rsid w:val="5AFA1174"/>
    <w:rsid w:val="5B06E602"/>
    <w:rsid w:val="5B083F4F"/>
    <w:rsid w:val="5B0E6BC0"/>
    <w:rsid w:val="5B46AC09"/>
    <w:rsid w:val="5B4DEE1D"/>
    <w:rsid w:val="5B621817"/>
    <w:rsid w:val="5B6DC47B"/>
    <w:rsid w:val="5B6E72AD"/>
    <w:rsid w:val="5B7D0FE5"/>
    <w:rsid w:val="5B931217"/>
    <w:rsid w:val="5BB08A25"/>
    <w:rsid w:val="5BB0EBC9"/>
    <w:rsid w:val="5BBA6571"/>
    <w:rsid w:val="5BF56418"/>
    <w:rsid w:val="5BF5B9EF"/>
    <w:rsid w:val="5BFD5C60"/>
    <w:rsid w:val="5C0DC239"/>
    <w:rsid w:val="5C1CBE31"/>
    <w:rsid w:val="5C484CCE"/>
    <w:rsid w:val="5C4D0F7D"/>
    <w:rsid w:val="5C521AF4"/>
    <w:rsid w:val="5CB970BF"/>
    <w:rsid w:val="5CE2633D"/>
    <w:rsid w:val="5CED399F"/>
    <w:rsid w:val="5CF079A3"/>
    <w:rsid w:val="5CF3C8CD"/>
    <w:rsid w:val="5D08A85C"/>
    <w:rsid w:val="5D0C57BA"/>
    <w:rsid w:val="5D2B29CA"/>
    <w:rsid w:val="5D573AB7"/>
    <w:rsid w:val="5D5C3EB1"/>
    <w:rsid w:val="5D8C8835"/>
    <w:rsid w:val="5D8CD587"/>
    <w:rsid w:val="5D8D3C5C"/>
    <w:rsid w:val="5D952153"/>
    <w:rsid w:val="5D95F67F"/>
    <w:rsid w:val="5DA49118"/>
    <w:rsid w:val="5DB506FB"/>
    <w:rsid w:val="5DC6F9D5"/>
    <w:rsid w:val="5DDD97D7"/>
    <w:rsid w:val="5DE4658E"/>
    <w:rsid w:val="5E12DC2B"/>
    <w:rsid w:val="5E27A66A"/>
    <w:rsid w:val="5E302A81"/>
    <w:rsid w:val="5E32840E"/>
    <w:rsid w:val="5E3E5EBB"/>
    <w:rsid w:val="5E7059ED"/>
    <w:rsid w:val="5E82C10A"/>
    <w:rsid w:val="5E990E74"/>
    <w:rsid w:val="5E9DC7FC"/>
    <w:rsid w:val="5EA72273"/>
    <w:rsid w:val="5EB2BFEE"/>
    <w:rsid w:val="5EB652DF"/>
    <w:rsid w:val="5EBB736E"/>
    <w:rsid w:val="5EC15735"/>
    <w:rsid w:val="5EDE4237"/>
    <w:rsid w:val="5EF004D0"/>
    <w:rsid w:val="5EFD45A8"/>
    <w:rsid w:val="5F0F5741"/>
    <w:rsid w:val="5F2622A9"/>
    <w:rsid w:val="5F341D36"/>
    <w:rsid w:val="5F40E450"/>
    <w:rsid w:val="5F57E21F"/>
    <w:rsid w:val="5F5CA6CE"/>
    <w:rsid w:val="5F642F89"/>
    <w:rsid w:val="5F6CBE2D"/>
    <w:rsid w:val="5F724167"/>
    <w:rsid w:val="5F7E9AA5"/>
    <w:rsid w:val="5F96427A"/>
    <w:rsid w:val="5F96BCB8"/>
    <w:rsid w:val="5F97673E"/>
    <w:rsid w:val="5FB0DB59"/>
    <w:rsid w:val="5FB1D79D"/>
    <w:rsid w:val="5FB72849"/>
    <w:rsid w:val="5FC1F6F7"/>
    <w:rsid w:val="5FD82DE2"/>
    <w:rsid w:val="5FDF5550"/>
    <w:rsid w:val="5FF3595A"/>
    <w:rsid w:val="6016359F"/>
    <w:rsid w:val="6056A255"/>
    <w:rsid w:val="606B8DC8"/>
    <w:rsid w:val="606CDF7B"/>
    <w:rsid w:val="6072C237"/>
    <w:rsid w:val="6077A7B5"/>
    <w:rsid w:val="60836F61"/>
    <w:rsid w:val="608C2DC1"/>
    <w:rsid w:val="609751C8"/>
    <w:rsid w:val="60B73C40"/>
    <w:rsid w:val="60E58A16"/>
    <w:rsid w:val="60E658DC"/>
    <w:rsid w:val="60FED663"/>
    <w:rsid w:val="610C883F"/>
    <w:rsid w:val="611BD987"/>
    <w:rsid w:val="61448976"/>
    <w:rsid w:val="6159DCC9"/>
    <w:rsid w:val="6164035E"/>
    <w:rsid w:val="6170C757"/>
    <w:rsid w:val="617EC525"/>
    <w:rsid w:val="6181806A"/>
    <w:rsid w:val="618AED6B"/>
    <w:rsid w:val="61910955"/>
    <w:rsid w:val="61A42FB0"/>
    <w:rsid w:val="61A71D68"/>
    <w:rsid w:val="61B7FD61"/>
    <w:rsid w:val="61EDAA44"/>
    <w:rsid w:val="61F0D105"/>
    <w:rsid w:val="61FE84D9"/>
    <w:rsid w:val="62046D16"/>
    <w:rsid w:val="62248A68"/>
    <w:rsid w:val="622E9D2B"/>
    <w:rsid w:val="62431DCA"/>
    <w:rsid w:val="6264C4E8"/>
    <w:rsid w:val="626F08B9"/>
    <w:rsid w:val="6289FE0D"/>
    <w:rsid w:val="62A63271"/>
    <w:rsid w:val="62A75C5E"/>
    <w:rsid w:val="62BBF5B8"/>
    <w:rsid w:val="62C17D01"/>
    <w:rsid w:val="62C50E26"/>
    <w:rsid w:val="62C6DCBA"/>
    <w:rsid w:val="62CFACD1"/>
    <w:rsid w:val="62D70802"/>
    <w:rsid w:val="62E90599"/>
    <w:rsid w:val="62F0ADF3"/>
    <w:rsid w:val="62FDAD75"/>
    <w:rsid w:val="63058236"/>
    <w:rsid w:val="6305B252"/>
    <w:rsid w:val="6314BD42"/>
    <w:rsid w:val="6317522B"/>
    <w:rsid w:val="6318C956"/>
    <w:rsid w:val="631F2F2E"/>
    <w:rsid w:val="6325911C"/>
    <w:rsid w:val="634A7BFD"/>
    <w:rsid w:val="63605F99"/>
    <w:rsid w:val="636496A7"/>
    <w:rsid w:val="636AAAF5"/>
    <w:rsid w:val="636E1DE5"/>
    <w:rsid w:val="639B62C4"/>
    <w:rsid w:val="63BA045D"/>
    <w:rsid w:val="63C4D572"/>
    <w:rsid w:val="63DE279B"/>
    <w:rsid w:val="63F91100"/>
    <w:rsid w:val="64007936"/>
    <w:rsid w:val="640D62BF"/>
    <w:rsid w:val="640DF9FD"/>
    <w:rsid w:val="64102858"/>
    <w:rsid w:val="6453CA67"/>
    <w:rsid w:val="6469DDBB"/>
    <w:rsid w:val="6471C8AC"/>
    <w:rsid w:val="6472A01C"/>
    <w:rsid w:val="6473E109"/>
    <w:rsid w:val="648D6F39"/>
    <w:rsid w:val="64A0B8C3"/>
    <w:rsid w:val="64AACCD6"/>
    <w:rsid w:val="64C26B5E"/>
    <w:rsid w:val="653AE675"/>
    <w:rsid w:val="653C89B1"/>
    <w:rsid w:val="6540CBC7"/>
    <w:rsid w:val="654277AA"/>
    <w:rsid w:val="65479510"/>
    <w:rsid w:val="654C8A10"/>
    <w:rsid w:val="654DF603"/>
    <w:rsid w:val="658BB03A"/>
    <w:rsid w:val="6593707C"/>
    <w:rsid w:val="65A69EB2"/>
    <w:rsid w:val="65B5596D"/>
    <w:rsid w:val="65B71740"/>
    <w:rsid w:val="65B745EC"/>
    <w:rsid w:val="65D41B0C"/>
    <w:rsid w:val="65E0C9E1"/>
    <w:rsid w:val="660F242C"/>
    <w:rsid w:val="66230510"/>
    <w:rsid w:val="664ECE5A"/>
    <w:rsid w:val="66568FC9"/>
    <w:rsid w:val="666A3F2C"/>
    <w:rsid w:val="669F984B"/>
    <w:rsid w:val="66AC49C2"/>
    <w:rsid w:val="66B34710"/>
    <w:rsid w:val="66CB7CF1"/>
    <w:rsid w:val="66D9410C"/>
    <w:rsid w:val="66DDD7A6"/>
    <w:rsid w:val="66E16F14"/>
    <w:rsid w:val="67020824"/>
    <w:rsid w:val="67126442"/>
    <w:rsid w:val="67175862"/>
    <w:rsid w:val="67177220"/>
    <w:rsid w:val="671786DE"/>
    <w:rsid w:val="671EFE84"/>
    <w:rsid w:val="672DC852"/>
    <w:rsid w:val="6734E340"/>
    <w:rsid w:val="673C0B9A"/>
    <w:rsid w:val="675BFC38"/>
    <w:rsid w:val="678E240C"/>
    <w:rsid w:val="6798B207"/>
    <w:rsid w:val="67A51AF4"/>
    <w:rsid w:val="67BE8412"/>
    <w:rsid w:val="67C7C182"/>
    <w:rsid w:val="67CE561E"/>
    <w:rsid w:val="67E16BB4"/>
    <w:rsid w:val="681A0DB7"/>
    <w:rsid w:val="683514F1"/>
    <w:rsid w:val="6838BE50"/>
    <w:rsid w:val="68650406"/>
    <w:rsid w:val="6890956A"/>
    <w:rsid w:val="689E2952"/>
    <w:rsid w:val="68B038D2"/>
    <w:rsid w:val="68CC0671"/>
    <w:rsid w:val="68D611C6"/>
    <w:rsid w:val="68D6EE7E"/>
    <w:rsid w:val="68D9AB69"/>
    <w:rsid w:val="68F99719"/>
    <w:rsid w:val="691898E4"/>
    <w:rsid w:val="69305E69"/>
    <w:rsid w:val="6940BAD6"/>
    <w:rsid w:val="6958FEBF"/>
    <w:rsid w:val="695AADF6"/>
    <w:rsid w:val="6971B495"/>
    <w:rsid w:val="6975D148"/>
    <w:rsid w:val="6999E16E"/>
    <w:rsid w:val="699D4F3E"/>
    <w:rsid w:val="69C03ECE"/>
    <w:rsid w:val="69C1F419"/>
    <w:rsid w:val="69D515A1"/>
    <w:rsid w:val="69DA5E86"/>
    <w:rsid w:val="69EEF00E"/>
    <w:rsid w:val="69F77F65"/>
    <w:rsid w:val="69FFF9E0"/>
    <w:rsid w:val="6A0FC04B"/>
    <w:rsid w:val="6A25771C"/>
    <w:rsid w:val="6A573DB6"/>
    <w:rsid w:val="6A605CBB"/>
    <w:rsid w:val="6A65AB5F"/>
    <w:rsid w:val="6A894651"/>
    <w:rsid w:val="6A960B09"/>
    <w:rsid w:val="6ABD3AFB"/>
    <w:rsid w:val="6AC573FA"/>
    <w:rsid w:val="6AD9F979"/>
    <w:rsid w:val="6AE66A0F"/>
    <w:rsid w:val="6AECAA11"/>
    <w:rsid w:val="6AFD879F"/>
    <w:rsid w:val="6B0E3F7C"/>
    <w:rsid w:val="6B190562"/>
    <w:rsid w:val="6B324F0B"/>
    <w:rsid w:val="6B3E43C4"/>
    <w:rsid w:val="6B48E1D0"/>
    <w:rsid w:val="6B5F679C"/>
    <w:rsid w:val="6BA1C5F8"/>
    <w:rsid w:val="6BB48F2E"/>
    <w:rsid w:val="6BB97743"/>
    <w:rsid w:val="6BB9CF42"/>
    <w:rsid w:val="6BBCD1CA"/>
    <w:rsid w:val="6BC8E0BF"/>
    <w:rsid w:val="6BCD4245"/>
    <w:rsid w:val="6BD87AD9"/>
    <w:rsid w:val="6BE43888"/>
    <w:rsid w:val="6BF471A9"/>
    <w:rsid w:val="6BF6A52F"/>
    <w:rsid w:val="6BF8FA37"/>
    <w:rsid w:val="6C03EA66"/>
    <w:rsid w:val="6C2DA886"/>
    <w:rsid w:val="6C9492C3"/>
    <w:rsid w:val="6CA31208"/>
    <w:rsid w:val="6CAB2EE9"/>
    <w:rsid w:val="6CBCDCFC"/>
    <w:rsid w:val="6CC27669"/>
    <w:rsid w:val="6CCB63F3"/>
    <w:rsid w:val="6D357DF7"/>
    <w:rsid w:val="6D3B7210"/>
    <w:rsid w:val="6D5DFF19"/>
    <w:rsid w:val="6D6B5CB3"/>
    <w:rsid w:val="6D759C99"/>
    <w:rsid w:val="6D7D3652"/>
    <w:rsid w:val="6DA0188B"/>
    <w:rsid w:val="6DA77FDC"/>
    <w:rsid w:val="6DAE2B26"/>
    <w:rsid w:val="6DBC6D23"/>
    <w:rsid w:val="6DBE05B0"/>
    <w:rsid w:val="6DE2C792"/>
    <w:rsid w:val="6DF03D8A"/>
    <w:rsid w:val="6DF4C03B"/>
    <w:rsid w:val="6DF6E2AC"/>
    <w:rsid w:val="6E014B11"/>
    <w:rsid w:val="6E0D729D"/>
    <w:rsid w:val="6E0DC1D8"/>
    <w:rsid w:val="6E0E9B22"/>
    <w:rsid w:val="6E112181"/>
    <w:rsid w:val="6E31E51E"/>
    <w:rsid w:val="6E6F7271"/>
    <w:rsid w:val="6E8C39D9"/>
    <w:rsid w:val="6E912559"/>
    <w:rsid w:val="6E93E7BB"/>
    <w:rsid w:val="6EC4AC7F"/>
    <w:rsid w:val="6EC51F03"/>
    <w:rsid w:val="6EE54CB1"/>
    <w:rsid w:val="6F009E80"/>
    <w:rsid w:val="6F23A362"/>
    <w:rsid w:val="6F266D85"/>
    <w:rsid w:val="6F2DEBAD"/>
    <w:rsid w:val="6F4E52ED"/>
    <w:rsid w:val="6F532491"/>
    <w:rsid w:val="6F543582"/>
    <w:rsid w:val="6F71CC25"/>
    <w:rsid w:val="6F76EF8A"/>
    <w:rsid w:val="6F831ADD"/>
    <w:rsid w:val="6F86183D"/>
    <w:rsid w:val="6F8A2666"/>
    <w:rsid w:val="6FC8FB88"/>
    <w:rsid w:val="6FEBAE1E"/>
    <w:rsid w:val="6FEEAA2A"/>
    <w:rsid w:val="6FF386C7"/>
    <w:rsid w:val="6FFE2396"/>
    <w:rsid w:val="702FE757"/>
    <w:rsid w:val="703D10E2"/>
    <w:rsid w:val="703F318D"/>
    <w:rsid w:val="70429321"/>
    <w:rsid w:val="7044DDB1"/>
    <w:rsid w:val="7054BB3D"/>
    <w:rsid w:val="705B9A2D"/>
    <w:rsid w:val="70712E4E"/>
    <w:rsid w:val="7072A4B5"/>
    <w:rsid w:val="709C4FF2"/>
    <w:rsid w:val="709E4327"/>
    <w:rsid w:val="70D1AD4D"/>
    <w:rsid w:val="70D83CE9"/>
    <w:rsid w:val="70EBA7D3"/>
    <w:rsid w:val="70F8852A"/>
    <w:rsid w:val="70FABE9D"/>
    <w:rsid w:val="71095801"/>
    <w:rsid w:val="7111BAAB"/>
    <w:rsid w:val="711E263B"/>
    <w:rsid w:val="7122C3F5"/>
    <w:rsid w:val="71382623"/>
    <w:rsid w:val="713C57B8"/>
    <w:rsid w:val="713EBEE2"/>
    <w:rsid w:val="714B41C8"/>
    <w:rsid w:val="71BD8010"/>
    <w:rsid w:val="71DEA0C1"/>
    <w:rsid w:val="71E2E5DC"/>
    <w:rsid w:val="71E536ED"/>
    <w:rsid w:val="720C640B"/>
    <w:rsid w:val="720E9949"/>
    <w:rsid w:val="72303250"/>
    <w:rsid w:val="723ABFF3"/>
    <w:rsid w:val="723CD9DD"/>
    <w:rsid w:val="72591A01"/>
    <w:rsid w:val="725D1CE1"/>
    <w:rsid w:val="726449AF"/>
    <w:rsid w:val="726EDBD6"/>
    <w:rsid w:val="729D3822"/>
    <w:rsid w:val="72A3931E"/>
    <w:rsid w:val="72B1560D"/>
    <w:rsid w:val="72BF5982"/>
    <w:rsid w:val="72E50FB5"/>
    <w:rsid w:val="72F7E038"/>
    <w:rsid w:val="72FEA4E9"/>
    <w:rsid w:val="730746A3"/>
    <w:rsid w:val="731B624C"/>
    <w:rsid w:val="731BB7A5"/>
    <w:rsid w:val="73496DCC"/>
    <w:rsid w:val="734F82BD"/>
    <w:rsid w:val="73544D5A"/>
    <w:rsid w:val="73652CE0"/>
    <w:rsid w:val="736A43B0"/>
    <w:rsid w:val="736A5F65"/>
    <w:rsid w:val="7378D07A"/>
    <w:rsid w:val="7386D9DE"/>
    <w:rsid w:val="73A0894A"/>
    <w:rsid w:val="73BDDA6B"/>
    <w:rsid w:val="740A6668"/>
    <w:rsid w:val="740DB23F"/>
    <w:rsid w:val="742E32C9"/>
    <w:rsid w:val="743B2C4B"/>
    <w:rsid w:val="7452B657"/>
    <w:rsid w:val="749A6718"/>
    <w:rsid w:val="749C1446"/>
    <w:rsid w:val="74A22CED"/>
    <w:rsid w:val="74AE175C"/>
    <w:rsid w:val="74B594D4"/>
    <w:rsid w:val="74B651D0"/>
    <w:rsid w:val="74C09708"/>
    <w:rsid w:val="74C16418"/>
    <w:rsid w:val="74DF489A"/>
    <w:rsid w:val="74EB97E8"/>
    <w:rsid w:val="74F52849"/>
    <w:rsid w:val="7505DDFC"/>
    <w:rsid w:val="7508D1BB"/>
    <w:rsid w:val="750F237B"/>
    <w:rsid w:val="7510BFE1"/>
    <w:rsid w:val="75257EA3"/>
    <w:rsid w:val="7526DCD9"/>
    <w:rsid w:val="752C1A45"/>
    <w:rsid w:val="7530DAF4"/>
    <w:rsid w:val="7535CA95"/>
    <w:rsid w:val="755E3F04"/>
    <w:rsid w:val="756704F8"/>
    <w:rsid w:val="757A4DD7"/>
    <w:rsid w:val="75824D59"/>
    <w:rsid w:val="75853D47"/>
    <w:rsid w:val="758AEA7D"/>
    <w:rsid w:val="759A0B8D"/>
    <w:rsid w:val="75DB5123"/>
    <w:rsid w:val="75DE76A1"/>
    <w:rsid w:val="75F01DFA"/>
    <w:rsid w:val="7618453D"/>
    <w:rsid w:val="76220AAD"/>
    <w:rsid w:val="76284880"/>
    <w:rsid w:val="762CC499"/>
    <w:rsid w:val="7637419D"/>
    <w:rsid w:val="7647D138"/>
    <w:rsid w:val="764E2474"/>
    <w:rsid w:val="764F01D2"/>
    <w:rsid w:val="766459FB"/>
    <w:rsid w:val="7685E656"/>
    <w:rsid w:val="768B9256"/>
    <w:rsid w:val="769773C1"/>
    <w:rsid w:val="7698A896"/>
    <w:rsid w:val="76990219"/>
    <w:rsid w:val="76CEAF40"/>
    <w:rsid w:val="76EB337D"/>
    <w:rsid w:val="77042CB2"/>
    <w:rsid w:val="7707D51D"/>
    <w:rsid w:val="774E7445"/>
    <w:rsid w:val="7772A764"/>
    <w:rsid w:val="77860C3A"/>
    <w:rsid w:val="778A3829"/>
    <w:rsid w:val="778C6868"/>
    <w:rsid w:val="7796D6E1"/>
    <w:rsid w:val="77A677FE"/>
    <w:rsid w:val="77C85118"/>
    <w:rsid w:val="77CD378D"/>
    <w:rsid w:val="77CFCA48"/>
    <w:rsid w:val="77ED232C"/>
    <w:rsid w:val="78018ECB"/>
    <w:rsid w:val="7814CFD0"/>
    <w:rsid w:val="7824AB7A"/>
    <w:rsid w:val="784A5B0A"/>
    <w:rsid w:val="78634FAE"/>
    <w:rsid w:val="789D6EC3"/>
    <w:rsid w:val="78A98C31"/>
    <w:rsid w:val="78AECDFD"/>
    <w:rsid w:val="78BE9828"/>
    <w:rsid w:val="78CE656C"/>
    <w:rsid w:val="78D734D3"/>
    <w:rsid w:val="79182BD3"/>
    <w:rsid w:val="7927C620"/>
    <w:rsid w:val="793B6681"/>
    <w:rsid w:val="7940C2F2"/>
    <w:rsid w:val="79413754"/>
    <w:rsid w:val="79430DD7"/>
    <w:rsid w:val="794E4DAD"/>
    <w:rsid w:val="79608EFD"/>
    <w:rsid w:val="796405F8"/>
    <w:rsid w:val="797F8375"/>
    <w:rsid w:val="7986FE21"/>
    <w:rsid w:val="798C0BC2"/>
    <w:rsid w:val="798CF4A3"/>
    <w:rsid w:val="79B726E6"/>
    <w:rsid w:val="79BC7149"/>
    <w:rsid w:val="79D26DB9"/>
    <w:rsid w:val="79DDA14B"/>
    <w:rsid w:val="79E2FD87"/>
    <w:rsid w:val="79E84580"/>
    <w:rsid w:val="7A016405"/>
    <w:rsid w:val="7A03B170"/>
    <w:rsid w:val="7A0477AA"/>
    <w:rsid w:val="7A2CA9B6"/>
    <w:rsid w:val="7A403933"/>
    <w:rsid w:val="7A559195"/>
    <w:rsid w:val="7A66F228"/>
    <w:rsid w:val="7A811ED7"/>
    <w:rsid w:val="7A982B98"/>
    <w:rsid w:val="7A9F4560"/>
    <w:rsid w:val="7AA1EE05"/>
    <w:rsid w:val="7ABD8C07"/>
    <w:rsid w:val="7AE6FDB5"/>
    <w:rsid w:val="7AED4993"/>
    <w:rsid w:val="7B0F3D5A"/>
    <w:rsid w:val="7B1992D2"/>
    <w:rsid w:val="7B27E20C"/>
    <w:rsid w:val="7B28C3CD"/>
    <w:rsid w:val="7B2F9ABB"/>
    <w:rsid w:val="7B391CE2"/>
    <w:rsid w:val="7B40E5ED"/>
    <w:rsid w:val="7B600AEB"/>
    <w:rsid w:val="7B6A9635"/>
    <w:rsid w:val="7B6E3D8F"/>
    <w:rsid w:val="7B745D66"/>
    <w:rsid w:val="7B9EFD60"/>
    <w:rsid w:val="7BA779BE"/>
    <w:rsid w:val="7BCA99F4"/>
    <w:rsid w:val="7BD0FC54"/>
    <w:rsid w:val="7BEA2F52"/>
    <w:rsid w:val="7BF6A2D3"/>
    <w:rsid w:val="7C093D37"/>
    <w:rsid w:val="7C0C4343"/>
    <w:rsid w:val="7C0E789D"/>
    <w:rsid w:val="7C379FC0"/>
    <w:rsid w:val="7C4DB88E"/>
    <w:rsid w:val="7C541D6F"/>
    <w:rsid w:val="7C5E7C6E"/>
    <w:rsid w:val="7C62960D"/>
    <w:rsid w:val="7C68021E"/>
    <w:rsid w:val="7C8B9020"/>
    <w:rsid w:val="7C8EAC7F"/>
    <w:rsid w:val="7CACD60D"/>
    <w:rsid w:val="7CB411FA"/>
    <w:rsid w:val="7CD35B55"/>
    <w:rsid w:val="7CDA145B"/>
    <w:rsid w:val="7CFB4CCA"/>
    <w:rsid w:val="7D1829DB"/>
    <w:rsid w:val="7D23ABE6"/>
    <w:rsid w:val="7D26552D"/>
    <w:rsid w:val="7D5B53BD"/>
    <w:rsid w:val="7D8D75A3"/>
    <w:rsid w:val="7D8EBC6F"/>
    <w:rsid w:val="7DB28C2A"/>
    <w:rsid w:val="7DC7E0A5"/>
    <w:rsid w:val="7DC8F421"/>
    <w:rsid w:val="7E17E146"/>
    <w:rsid w:val="7E5DF02B"/>
    <w:rsid w:val="7E7AC82E"/>
    <w:rsid w:val="7E865222"/>
    <w:rsid w:val="7E994EEF"/>
    <w:rsid w:val="7EABA50B"/>
    <w:rsid w:val="7EADA699"/>
    <w:rsid w:val="7EB749FA"/>
    <w:rsid w:val="7EB9DA2E"/>
    <w:rsid w:val="7ECBD54A"/>
    <w:rsid w:val="7ED1B7C6"/>
    <w:rsid w:val="7ED33282"/>
    <w:rsid w:val="7EDBA05C"/>
    <w:rsid w:val="7EE3AA59"/>
    <w:rsid w:val="7EF9C3FB"/>
    <w:rsid w:val="7F0576FB"/>
    <w:rsid w:val="7F069E7C"/>
    <w:rsid w:val="7F0AA993"/>
    <w:rsid w:val="7F3F0D69"/>
    <w:rsid w:val="7F47D3E9"/>
    <w:rsid w:val="7F517091"/>
    <w:rsid w:val="7F5CCE75"/>
    <w:rsid w:val="7F67D409"/>
    <w:rsid w:val="7F6CA19B"/>
    <w:rsid w:val="7F7B389C"/>
    <w:rsid w:val="7F7C8F18"/>
    <w:rsid w:val="7F889144"/>
    <w:rsid w:val="7F9CDFD2"/>
    <w:rsid w:val="7FAE4AAA"/>
    <w:rsid w:val="7FBF4B6F"/>
    <w:rsid w:val="7FC2CA4A"/>
    <w:rsid w:val="7FD2D9C2"/>
    <w:rsid w:val="7FD56671"/>
    <w:rsid w:val="7FFEDB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934A0"/>
  <w15:chartTrackingRefBased/>
  <w15:docId w15:val="{A94512E7-1EB9-4211-BE07-3847471AB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274"/>
  </w:style>
  <w:style w:type="paragraph" w:styleId="Heading1">
    <w:name w:val="heading 1"/>
    <w:basedOn w:val="Normal"/>
    <w:next w:val="Normal"/>
    <w:link w:val="Heading1Char"/>
    <w:uiPriority w:val="9"/>
    <w:qFormat/>
    <w:rsid w:val="00B767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767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40B8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40B81"/>
    <w:pPr>
      <w:keepNext/>
      <w:keepLines/>
      <w:spacing w:before="40" w:after="0"/>
      <w:outlineLvl w:val="3"/>
    </w:pPr>
    <w:rPr>
      <w:rFonts w:asciiTheme="majorHAnsi" w:eastAsiaTheme="majorEastAsia" w:hAnsiTheme="majorHAnsi" w:cstheme="majorBidi"/>
      <w:i/>
      <w:iC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7E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767E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767E7"/>
    <w:pPr>
      <w:ind w:left="720"/>
      <w:contextualSpacing/>
    </w:pPr>
  </w:style>
  <w:style w:type="paragraph" w:styleId="FootnoteText">
    <w:name w:val="footnote text"/>
    <w:basedOn w:val="Normal"/>
    <w:link w:val="FootnoteTextChar"/>
    <w:uiPriority w:val="99"/>
    <w:semiHidden/>
    <w:unhideWhenUsed/>
    <w:rsid w:val="00B767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67E7"/>
    <w:rPr>
      <w:sz w:val="20"/>
      <w:szCs w:val="20"/>
    </w:rPr>
  </w:style>
  <w:style w:type="character" w:styleId="FootnoteReference">
    <w:name w:val="footnote reference"/>
    <w:basedOn w:val="DefaultParagraphFont"/>
    <w:uiPriority w:val="99"/>
    <w:unhideWhenUsed/>
    <w:rsid w:val="00B767E7"/>
    <w:rPr>
      <w:vertAlign w:val="superscript"/>
    </w:rPr>
  </w:style>
  <w:style w:type="character" w:styleId="Hyperlink">
    <w:name w:val="Hyperlink"/>
    <w:basedOn w:val="DefaultParagraphFont"/>
    <w:uiPriority w:val="99"/>
    <w:unhideWhenUsed/>
    <w:rsid w:val="00B767E7"/>
    <w:rPr>
      <w:color w:val="0563C1" w:themeColor="hyperlink"/>
      <w:u w:val="single"/>
    </w:rPr>
  </w:style>
  <w:style w:type="character" w:styleId="UnresolvedMention">
    <w:name w:val="Unresolved Mention"/>
    <w:basedOn w:val="DefaultParagraphFont"/>
    <w:uiPriority w:val="99"/>
    <w:semiHidden/>
    <w:unhideWhenUsed/>
    <w:rsid w:val="00B767E7"/>
    <w:rPr>
      <w:color w:val="605E5C"/>
      <w:shd w:val="clear" w:color="auto" w:fill="E1DFDD"/>
    </w:rPr>
  </w:style>
  <w:style w:type="paragraph" w:styleId="NormalWeb">
    <w:name w:val="Normal (Web)"/>
    <w:basedOn w:val="Normal"/>
    <w:uiPriority w:val="99"/>
    <w:unhideWhenUsed/>
    <w:rsid w:val="00D4239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D41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741F1"/>
    <w:pPr>
      <w:spacing w:after="0" w:line="240" w:lineRule="auto"/>
    </w:pPr>
  </w:style>
  <w:style w:type="paragraph" w:styleId="Subtitle">
    <w:name w:val="Subtitle"/>
    <w:basedOn w:val="Normal"/>
    <w:next w:val="Normal"/>
    <w:link w:val="SubtitleChar"/>
    <w:uiPriority w:val="11"/>
    <w:qFormat/>
    <w:rsid w:val="007741F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741F1"/>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F40B8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40B81"/>
    <w:rPr>
      <w:rFonts w:asciiTheme="majorHAnsi" w:eastAsiaTheme="majorEastAsia" w:hAnsiTheme="majorHAnsi" w:cstheme="majorBidi"/>
      <w:i/>
      <w:iCs/>
      <w:color w:val="2F5496" w:themeColor="accent1" w:themeShade="BF"/>
      <w:sz w:val="24"/>
    </w:rPr>
  </w:style>
  <w:style w:type="character" w:styleId="CommentReference">
    <w:name w:val="annotation reference"/>
    <w:basedOn w:val="DefaultParagraphFont"/>
    <w:uiPriority w:val="99"/>
    <w:semiHidden/>
    <w:unhideWhenUsed/>
    <w:rsid w:val="00777F90"/>
    <w:rPr>
      <w:sz w:val="16"/>
      <w:szCs w:val="16"/>
    </w:rPr>
  </w:style>
  <w:style w:type="paragraph" w:styleId="CommentText">
    <w:name w:val="annotation text"/>
    <w:basedOn w:val="Normal"/>
    <w:link w:val="CommentTextChar"/>
    <w:uiPriority w:val="99"/>
    <w:unhideWhenUsed/>
    <w:rsid w:val="00777F90"/>
    <w:pPr>
      <w:spacing w:line="240" w:lineRule="auto"/>
    </w:pPr>
    <w:rPr>
      <w:sz w:val="20"/>
      <w:szCs w:val="20"/>
    </w:rPr>
  </w:style>
  <w:style w:type="character" w:customStyle="1" w:styleId="CommentTextChar">
    <w:name w:val="Comment Text Char"/>
    <w:basedOn w:val="DefaultParagraphFont"/>
    <w:link w:val="CommentText"/>
    <w:uiPriority w:val="99"/>
    <w:rsid w:val="00777F90"/>
    <w:rPr>
      <w:sz w:val="20"/>
      <w:szCs w:val="20"/>
    </w:rPr>
  </w:style>
  <w:style w:type="paragraph" w:styleId="CommentSubject">
    <w:name w:val="annotation subject"/>
    <w:basedOn w:val="CommentText"/>
    <w:next w:val="CommentText"/>
    <w:link w:val="CommentSubjectChar"/>
    <w:uiPriority w:val="99"/>
    <w:semiHidden/>
    <w:unhideWhenUsed/>
    <w:rsid w:val="00777F90"/>
    <w:rPr>
      <w:b/>
      <w:bCs/>
    </w:rPr>
  </w:style>
  <w:style w:type="character" w:customStyle="1" w:styleId="CommentSubjectChar">
    <w:name w:val="Comment Subject Char"/>
    <w:basedOn w:val="CommentTextChar"/>
    <w:link w:val="CommentSubject"/>
    <w:uiPriority w:val="99"/>
    <w:semiHidden/>
    <w:rsid w:val="00777F90"/>
    <w:rPr>
      <w:b/>
      <w:bCs/>
      <w:sz w:val="20"/>
      <w:szCs w:val="20"/>
    </w:rPr>
  </w:style>
  <w:style w:type="character" w:styleId="Mention">
    <w:name w:val="Mention"/>
    <w:basedOn w:val="DefaultParagraphFont"/>
    <w:uiPriority w:val="99"/>
    <w:unhideWhenUsed/>
    <w:rsid w:val="00F81CFB"/>
    <w:rPr>
      <w:color w:val="2B579A"/>
      <w:shd w:val="clear" w:color="auto" w:fill="E1DFDD"/>
    </w:rPr>
  </w:style>
  <w:style w:type="paragraph" w:styleId="Header">
    <w:name w:val="header"/>
    <w:basedOn w:val="Normal"/>
    <w:link w:val="HeaderChar"/>
    <w:uiPriority w:val="99"/>
    <w:semiHidden/>
    <w:unhideWhenUsed/>
    <w:rsid w:val="00124B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24BFF"/>
  </w:style>
  <w:style w:type="paragraph" w:styleId="Footer">
    <w:name w:val="footer"/>
    <w:basedOn w:val="Normal"/>
    <w:link w:val="FooterChar"/>
    <w:uiPriority w:val="99"/>
    <w:semiHidden/>
    <w:unhideWhenUsed/>
    <w:rsid w:val="00124BF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24BFF"/>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ndnoteReference">
    <w:name w:val="end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59469">
      <w:bodyDiv w:val="1"/>
      <w:marLeft w:val="0"/>
      <w:marRight w:val="0"/>
      <w:marTop w:val="0"/>
      <w:marBottom w:val="0"/>
      <w:divBdr>
        <w:top w:val="none" w:sz="0" w:space="0" w:color="auto"/>
        <w:left w:val="none" w:sz="0" w:space="0" w:color="auto"/>
        <w:bottom w:val="none" w:sz="0" w:space="0" w:color="auto"/>
        <w:right w:val="none" w:sz="0" w:space="0" w:color="auto"/>
      </w:divBdr>
    </w:div>
    <w:div w:id="14115504">
      <w:bodyDiv w:val="1"/>
      <w:marLeft w:val="0"/>
      <w:marRight w:val="0"/>
      <w:marTop w:val="0"/>
      <w:marBottom w:val="0"/>
      <w:divBdr>
        <w:top w:val="none" w:sz="0" w:space="0" w:color="auto"/>
        <w:left w:val="none" w:sz="0" w:space="0" w:color="auto"/>
        <w:bottom w:val="none" w:sz="0" w:space="0" w:color="auto"/>
        <w:right w:val="none" w:sz="0" w:space="0" w:color="auto"/>
      </w:divBdr>
      <w:divsChild>
        <w:div w:id="1601330633">
          <w:marLeft w:val="259"/>
          <w:marRight w:val="0"/>
          <w:marTop w:val="0"/>
          <w:marBottom w:val="0"/>
          <w:divBdr>
            <w:top w:val="none" w:sz="0" w:space="0" w:color="auto"/>
            <w:left w:val="none" w:sz="0" w:space="0" w:color="auto"/>
            <w:bottom w:val="none" w:sz="0" w:space="0" w:color="auto"/>
            <w:right w:val="none" w:sz="0" w:space="0" w:color="auto"/>
          </w:divBdr>
        </w:div>
      </w:divsChild>
    </w:div>
    <w:div w:id="16734002">
      <w:bodyDiv w:val="1"/>
      <w:marLeft w:val="0"/>
      <w:marRight w:val="0"/>
      <w:marTop w:val="0"/>
      <w:marBottom w:val="0"/>
      <w:divBdr>
        <w:top w:val="none" w:sz="0" w:space="0" w:color="auto"/>
        <w:left w:val="none" w:sz="0" w:space="0" w:color="auto"/>
        <w:bottom w:val="none" w:sz="0" w:space="0" w:color="auto"/>
        <w:right w:val="none" w:sz="0" w:space="0" w:color="auto"/>
      </w:divBdr>
    </w:div>
    <w:div w:id="30692372">
      <w:bodyDiv w:val="1"/>
      <w:marLeft w:val="0"/>
      <w:marRight w:val="0"/>
      <w:marTop w:val="0"/>
      <w:marBottom w:val="0"/>
      <w:divBdr>
        <w:top w:val="none" w:sz="0" w:space="0" w:color="auto"/>
        <w:left w:val="none" w:sz="0" w:space="0" w:color="auto"/>
        <w:bottom w:val="none" w:sz="0" w:space="0" w:color="auto"/>
        <w:right w:val="none" w:sz="0" w:space="0" w:color="auto"/>
      </w:divBdr>
      <w:divsChild>
        <w:div w:id="1077289209">
          <w:marLeft w:val="994"/>
          <w:marRight w:val="0"/>
          <w:marTop w:val="0"/>
          <w:marBottom w:val="120"/>
          <w:divBdr>
            <w:top w:val="none" w:sz="0" w:space="0" w:color="auto"/>
            <w:left w:val="none" w:sz="0" w:space="0" w:color="auto"/>
            <w:bottom w:val="none" w:sz="0" w:space="0" w:color="auto"/>
            <w:right w:val="none" w:sz="0" w:space="0" w:color="auto"/>
          </w:divBdr>
        </w:div>
      </w:divsChild>
    </w:div>
    <w:div w:id="61492627">
      <w:bodyDiv w:val="1"/>
      <w:marLeft w:val="0"/>
      <w:marRight w:val="0"/>
      <w:marTop w:val="0"/>
      <w:marBottom w:val="0"/>
      <w:divBdr>
        <w:top w:val="none" w:sz="0" w:space="0" w:color="auto"/>
        <w:left w:val="none" w:sz="0" w:space="0" w:color="auto"/>
        <w:bottom w:val="none" w:sz="0" w:space="0" w:color="auto"/>
        <w:right w:val="none" w:sz="0" w:space="0" w:color="auto"/>
      </w:divBdr>
      <w:divsChild>
        <w:div w:id="750346697">
          <w:marLeft w:val="259"/>
          <w:marRight w:val="0"/>
          <w:marTop w:val="0"/>
          <w:marBottom w:val="0"/>
          <w:divBdr>
            <w:top w:val="none" w:sz="0" w:space="0" w:color="auto"/>
            <w:left w:val="none" w:sz="0" w:space="0" w:color="auto"/>
            <w:bottom w:val="none" w:sz="0" w:space="0" w:color="auto"/>
            <w:right w:val="none" w:sz="0" w:space="0" w:color="auto"/>
          </w:divBdr>
        </w:div>
      </w:divsChild>
    </w:div>
    <w:div w:id="62459347">
      <w:bodyDiv w:val="1"/>
      <w:marLeft w:val="0"/>
      <w:marRight w:val="0"/>
      <w:marTop w:val="0"/>
      <w:marBottom w:val="0"/>
      <w:divBdr>
        <w:top w:val="none" w:sz="0" w:space="0" w:color="auto"/>
        <w:left w:val="none" w:sz="0" w:space="0" w:color="auto"/>
        <w:bottom w:val="none" w:sz="0" w:space="0" w:color="auto"/>
        <w:right w:val="none" w:sz="0" w:space="0" w:color="auto"/>
      </w:divBdr>
    </w:div>
    <w:div w:id="66268064">
      <w:bodyDiv w:val="1"/>
      <w:marLeft w:val="0"/>
      <w:marRight w:val="0"/>
      <w:marTop w:val="0"/>
      <w:marBottom w:val="0"/>
      <w:divBdr>
        <w:top w:val="none" w:sz="0" w:space="0" w:color="auto"/>
        <w:left w:val="none" w:sz="0" w:space="0" w:color="auto"/>
        <w:bottom w:val="none" w:sz="0" w:space="0" w:color="auto"/>
        <w:right w:val="none" w:sz="0" w:space="0" w:color="auto"/>
      </w:divBdr>
    </w:div>
    <w:div w:id="70541392">
      <w:bodyDiv w:val="1"/>
      <w:marLeft w:val="0"/>
      <w:marRight w:val="0"/>
      <w:marTop w:val="0"/>
      <w:marBottom w:val="0"/>
      <w:divBdr>
        <w:top w:val="none" w:sz="0" w:space="0" w:color="auto"/>
        <w:left w:val="none" w:sz="0" w:space="0" w:color="auto"/>
        <w:bottom w:val="none" w:sz="0" w:space="0" w:color="auto"/>
        <w:right w:val="none" w:sz="0" w:space="0" w:color="auto"/>
      </w:divBdr>
    </w:div>
    <w:div w:id="73431530">
      <w:bodyDiv w:val="1"/>
      <w:marLeft w:val="0"/>
      <w:marRight w:val="0"/>
      <w:marTop w:val="0"/>
      <w:marBottom w:val="0"/>
      <w:divBdr>
        <w:top w:val="none" w:sz="0" w:space="0" w:color="auto"/>
        <w:left w:val="none" w:sz="0" w:space="0" w:color="auto"/>
        <w:bottom w:val="none" w:sz="0" w:space="0" w:color="auto"/>
        <w:right w:val="none" w:sz="0" w:space="0" w:color="auto"/>
      </w:divBdr>
      <w:divsChild>
        <w:div w:id="1436098355">
          <w:marLeft w:val="446"/>
          <w:marRight w:val="0"/>
          <w:marTop w:val="0"/>
          <w:marBottom w:val="240"/>
          <w:divBdr>
            <w:top w:val="none" w:sz="0" w:space="0" w:color="auto"/>
            <w:left w:val="none" w:sz="0" w:space="0" w:color="auto"/>
            <w:bottom w:val="none" w:sz="0" w:space="0" w:color="auto"/>
            <w:right w:val="none" w:sz="0" w:space="0" w:color="auto"/>
          </w:divBdr>
        </w:div>
      </w:divsChild>
    </w:div>
    <w:div w:id="77293163">
      <w:bodyDiv w:val="1"/>
      <w:marLeft w:val="0"/>
      <w:marRight w:val="0"/>
      <w:marTop w:val="0"/>
      <w:marBottom w:val="0"/>
      <w:divBdr>
        <w:top w:val="none" w:sz="0" w:space="0" w:color="auto"/>
        <w:left w:val="none" w:sz="0" w:space="0" w:color="auto"/>
        <w:bottom w:val="none" w:sz="0" w:space="0" w:color="auto"/>
        <w:right w:val="none" w:sz="0" w:space="0" w:color="auto"/>
      </w:divBdr>
      <w:divsChild>
        <w:div w:id="495002023">
          <w:marLeft w:val="446"/>
          <w:marRight w:val="0"/>
          <w:marTop w:val="0"/>
          <w:marBottom w:val="240"/>
          <w:divBdr>
            <w:top w:val="none" w:sz="0" w:space="0" w:color="auto"/>
            <w:left w:val="none" w:sz="0" w:space="0" w:color="auto"/>
            <w:bottom w:val="none" w:sz="0" w:space="0" w:color="auto"/>
            <w:right w:val="none" w:sz="0" w:space="0" w:color="auto"/>
          </w:divBdr>
        </w:div>
      </w:divsChild>
    </w:div>
    <w:div w:id="85005097">
      <w:bodyDiv w:val="1"/>
      <w:marLeft w:val="0"/>
      <w:marRight w:val="0"/>
      <w:marTop w:val="0"/>
      <w:marBottom w:val="0"/>
      <w:divBdr>
        <w:top w:val="none" w:sz="0" w:space="0" w:color="auto"/>
        <w:left w:val="none" w:sz="0" w:space="0" w:color="auto"/>
        <w:bottom w:val="none" w:sz="0" w:space="0" w:color="auto"/>
        <w:right w:val="none" w:sz="0" w:space="0" w:color="auto"/>
      </w:divBdr>
      <w:divsChild>
        <w:div w:id="2081170958">
          <w:marLeft w:val="979"/>
          <w:marRight w:val="0"/>
          <w:marTop w:val="120"/>
          <w:marBottom w:val="0"/>
          <w:divBdr>
            <w:top w:val="none" w:sz="0" w:space="0" w:color="auto"/>
            <w:left w:val="none" w:sz="0" w:space="0" w:color="auto"/>
            <w:bottom w:val="none" w:sz="0" w:space="0" w:color="auto"/>
            <w:right w:val="none" w:sz="0" w:space="0" w:color="auto"/>
          </w:divBdr>
        </w:div>
      </w:divsChild>
    </w:div>
    <w:div w:id="92674386">
      <w:bodyDiv w:val="1"/>
      <w:marLeft w:val="0"/>
      <w:marRight w:val="0"/>
      <w:marTop w:val="0"/>
      <w:marBottom w:val="0"/>
      <w:divBdr>
        <w:top w:val="none" w:sz="0" w:space="0" w:color="auto"/>
        <w:left w:val="none" w:sz="0" w:space="0" w:color="auto"/>
        <w:bottom w:val="none" w:sz="0" w:space="0" w:color="auto"/>
        <w:right w:val="none" w:sz="0" w:space="0" w:color="auto"/>
      </w:divBdr>
      <w:divsChild>
        <w:div w:id="1907177793">
          <w:marLeft w:val="547"/>
          <w:marRight w:val="0"/>
          <w:marTop w:val="120"/>
          <w:marBottom w:val="0"/>
          <w:divBdr>
            <w:top w:val="none" w:sz="0" w:space="0" w:color="auto"/>
            <w:left w:val="none" w:sz="0" w:space="0" w:color="auto"/>
            <w:bottom w:val="none" w:sz="0" w:space="0" w:color="auto"/>
            <w:right w:val="none" w:sz="0" w:space="0" w:color="auto"/>
          </w:divBdr>
        </w:div>
      </w:divsChild>
    </w:div>
    <w:div w:id="100152218">
      <w:bodyDiv w:val="1"/>
      <w:marLeft w:val="0"/>
      <w:marRight w:val="0"/>
      <w:marTop w:val="0"/>
      <w:marBottom w:val="0"/>
      <w:divBdr>
        <w:top w:val="none" w:sz="0" w:space="0" w:color="auto"/>
        <w:left w:val="none" w:sz="0" w:space="0" w:color="auto"/>
        <w:bottom w:val="none" w:sz="0" w:space="0" w:color="auto"/>
        <w:right w:val="none" w:sz="0" w:space="0" w:color="auto"/>
      </w:divBdr>
    </w:div>
    <w:div w:id="116803963">
      <w:bodyDiv w:val="1"/>
      <w:marLeft w:val="0"/>
      <w:marRight w:val="0"/>
      <w:marTop w:val="0"/>
      <w:marBottom w:val="0"/>
      <w:divBdr>
        <w:top w:val="none" w:sz="0" w:space="0" w:color="auto"/>
        <w:left w:val="none" w:sz="0" w:space="0" w:color="auto"/>
        <w:bottom w:val="none" w:sz="0" w:space="0" w:color="auto"/>
        <w:right w:val="none" w:sz="0" w:space="0" w:color="auto"/>
      </w:divBdr>
    </w:div>
    <w:div w:id="149564159">
      <w:bodyDiv w:val="1"/>
      <w:marLeft w:val="0"/>
      <w:marRight w:val="0"/>
      <w:marTop w:val="0"/>
      <w:marBottom w:val="0"/>
      <w:divBdr>
        <w:top w:val="none" w:sz="0" w:space="0" w:color="auto"/>
        <w:left w:val="none" w:sz="0" w:space="0" w:color="auto"/>
        <w:bottom w:val="none" w:sz="0" w:space="0" w:color="auto"/>
        <w:right w:val="none" w:sz="0" w:space="0" w:color="auto"/>
      </w:divBdr>
      <w:divsChild>
        <w:div w:id="845173232">
          <w:marLeft w:val="274"/>
          <w:marRight w:val="0"/>
          <w:marTop w:val="0"/>
          <w:marBottom w:val="120"/>
          <w:divBdr>
            <w:top w:val="none" w:sz="0" w:space="0" w:color="auto"/>
            <w:left w:val="none" w:sz="0" w:space="0" w:color="auto"/>
            <w:bottom w:val="none" w:sz="0" w:space="0" w:color="auto"/>
            <w:right w:val="none" w:sz="0" w:space="0" w:color="auto"/>
          </w:divBdr>
        </w:div>
      </w:divsChild>
    </w:div>
    <w:div w:id="151261099">
      <w:bodyDiv w:val="1"/>
      <w:marLeft w:val="0"/>
      <w:marRight w:val="0"/>
      <w:marTop w:val="0"/>
      <w:marBottom w:val="0"/>
      <w:divBdr>
        <w:top w:val="none" w:sz="0" w:space="0" w:color="auto"/>
        <w:left w:val="none" w:sz="0" w:space="0" w:color="auto"/>
        <w:bottom w:val="none" w:sz="0" w:space="0" w:color="auto"/>
        <w:right w:val="none" w:sz="0" w:space="0" w:color="auto"/>
      </w:divBdr>
      <w:divsChild>
        <w:div w:id="1809666641">
          <w:marLeft w:val="446"/>
          <w:marRight w:val="0"/>
          <w:marTop w:val="120"/>
          <w:marBottom w:val="0"/>
          <w:divBdr>
            <w:top w:val="none" w:sz="0" w:space="0" w:color="auto"/>
            <w:left w:val="none" w:sz="0" w:space="0" w:color="auto"/>
            <w:bottom w:val="none" w:sz="0" w:space="0" w:color="auto"/>
            <w:right w:val="none" w:sz="0" w:space="0" w:color="auto"/>
          </w:divBdr>
        </w:div>
      </w:divsChild>
    </w:div>
    <w:div w:id="166946507">
      <w:bodyDiv w:val="1"/>
      <w:marLeft w:val="0"/>
      <w:marRight w:val="0"/>
      <w:marTop w:val="0"/>
      <w:marBottom w:val="0"/>
      <w:divBdr>
        <w:top w:val="none" w:sz="0" w:space="0" w:color="auto"/>
        <w:left w:val="none" w:sz="0" w:space="0" w:color="auto"/>
        <w:bottom w:val="none" w:sz="0" w:space="0" w:color="auto"/>
        <w:right w:val="none" w:sz="0" w:space="0" w:color="auto"/>
      </w:divBdr>
      <w:divsChild>
        <w:div w:id="1963683438">
          <w:marLeft w:val="446"/>
          <w:marRight w:val="0"/>
          <w:marTop w:val="0"/>
          <w:marBottom w:val="0"/>
          <w:divBdr>
            <w:top w:val="none" w:sz="0" w:space="0" w:color="auto"/>
            <w:left w:val="none" w:sz="0" w:space="0" w:color="auto"/>
            <w:bottom w:val="none" w:sz="0" w:space="0" w:color="auto"/>
            <w:right w:val="none" w:sz="0" w:space="0" w:color="auto"/>
          </w:divBdr>
        </w:div>
      </w:divsChild>
    </w:div>
    <w:div w:id="177155830">
      <w:bodyDiv w:val="1"/>
      <w:marLeft w:val="0"/>
      <w:marRight w:val="0"/>
      <w:marTop w:val="0"/>
      <w:marBottom w:val="0"/>
      <w:divBdr>
        <w:top w:val="none" w:sz="0" w:space="0" w:color="auto"/>
        <w:left w:val="none" w:sz="0" w:space="0" w:color="auto"/>
        <w:bottom w:val="none" w:sz="0" w:space="0" w:color="auto"/>
        <w:right w:val="none" w:sz="0" w:space="0" w:color="auto"/>
      </w:divBdr>
    </w:div>
    <w:div w:id="181629986">
      <w:bodyDiv w:val="1"/>
      <w:marLeft w:val="0"/>
      <w:marRight w:val="0"/>
      <w:marTop w:val="0"/>
      <w:marBottom w:val="0"/>
      <w:divBdr>
        <w:top w:val="none" w:sz="0" w:space="0" w:color="auto"/>
        <w:left w:val="none" w:sz="0" w:space="0" w:color="auto"/>
        <w:bottom w:val="none" w:sz="0" w:space="0" w:color="auto"/>
        <w:right w:val="none" w:sz="0" w:space="0" w:color="auto"/>
      </w:divBdr>
    </w:div>
    <w:div w:id="189684615">
      <w:bodyDiv w:val="1"/>
      <w:marLeft w:val="0"/>
      <w:marRight w:val="0"/>
      <w:marTop w:val="0"/>
      <w:marBottom w:val="0"/>
      <w:divBdr>
        <w:top w:val="none" w:sz="0" w:space="0" w:color="auto"/>
        <w:left w:val="none" w:sz="0" w:space="0" w:color="auto"/>
        <w:bottom w:val="none" w:sz="0" w:space="0" w:color="auto"/>
        <w:right w:val="none" w:sz="0" w:space="0" w:color="auto"/>
      </w:divBdr>
    </w:div>
    <w:div w:id="204415131">
      <w:bodyDiv w:val="1"/>
      <w:marLeft w:val="0"/>
      <w:marRight w:val="0"/>
      <w:marTop w:val="0"/>
      <w:marBottom w:val="0"/>
      <w:divBdr>
        <w:top w:val="none" w:sz="0" w:space="0" w:color="auto"/>
        <w:left w:val="none" w:sz="0" w:space="0" w:color="auto"/>
        <w:bottom w:val="none" w:sz="0" w:space="0" w:color="auto"/>
        <w:right w:val="none" w:sz="0" w:space="0" w:color="auto"/>
      </w:divBdr>
    </w:div>
    <w:div w:id="248394147">
      <w:bodyDiv w:val="1"/>
      <w:marLeft w:val="0"/>
      <w:marRight w:val="0"/>
      <w:marTop w:val="0"/>
      <w:marBottom w:val="0"/>
      <w:divBdr>
        <w:top w:val="none" w:sz="0" w:space="0" w:color="auto"/>
        <w:left w:val="none" w:sz="0" w:space="0" w:color="auto"/>
        <w:bottom w:val="none" w:sz="0" w:space="0" w:color="auto"/>
        <w:right w:val="none" w:sz="0" w:space="0" w:color="auto"/>
      </w:divBdr>
    </w:div>
    <w:div w:id="255793177">
      <w:bodyDiv w:val="1"/>
      <w:marLeft w:val="0"/>
      <w:marRight w:val="0"/>
      <w:marTop w:val="0"/>
      <w:marBottom w:val="0"/>
      <w:divBdr>
        <w:top w:val="none" w:sz="0" w:space="0" w:color="auto"/>
        <w:left w:val="none" w:sz="0" w:space="0" w:color="auto"/>
        <w:bottom w:val="none" w:sz="0" w:space="0" w:color="auto"/>
        <w:right w:val="none" w:sz="0" w:space="0" w:color="auto"/>
      </w:divBdr>
    </w:div>
    <w:div w:id="261576552">
      <w:bodyDiv w:val="1"/>
      <w:marLeft w:val="0"/>
      <w:marRight w:val="0"/>
      <w:marTop w:val="0"/>
      <w:marBottom w:val="0"/>
      <w:divBdr>
        <w:top w:val="none" w:sz="0" w:space="0" w:color="auto"/>
        <w:left w:val="none" w:sz="0" w:space="0" w:color="auto"/>
        <w:bottom w:val="none" w:sz="0" w:space="0" w:color="auto"/>
        <w:right w:val="none" w:sz="0" w:space="0" w:color="auto"/>
      </w:divBdr>
      <w:divsChild>
        <w:div w:id="179202873">
          <w:marLeft w:val="446"/>
          <w:marRight w:val="0"/>
          <w:marTop w:val="120"/>
          <w:marBottom w:val="0"/>
          <w:divBdr>
            <w:top w:val="none" w:sz="0" w:space="0" w:color="auto"/>
            <w:left w:val="none" w:sz="0" w:space="0" w:color="auto"/>
            <w:bottom w:val="none" w:sz="0" w:space="0" w:color="auto"/>
            <w:right w:val="none" w:sz="0" w:space="0" w:color="auto"/>
          </w:divBdr>
        </w:div>
      </w:divsChild>
    </w:div>
    <w:div w:id="274607029">
      <w:bodyDiv w:val="1"/>
      <w:marLeft w:val="0"/>
      <w:marRight w:val="0"/>
      <w:marTop w:val="0"/>
      <w:marBottom w:val="0"/>
      <w:divBdr>
        <w:top w:val="none" w:sz="0" w:space="0" w:color="auto"/>
        <w:left w:val="none" w:sz="0" w:space="0" w:color="auto"/>
        <w:bottom w:val="none" w:sz="0" w:space="0" w:color="auto"/>
        <w:right w:val="none" w:sz="0" w:space="0" w:color="auto"/>
      </w:divBdr>
      <w:divsChild>
        <w:div w:id="1315136369">
          <w:marLeft w:val="259"/>
          <w:marRight w:val="0"/>
          <w:marTop w:val="0"/>
          <w:marBottom w:val="0"/>
          <w:divBdr>
            <w:top w:val="none" w:sz="0" w:space="0" w:color="auto"/>
            <w:left w:val="none" w:sz="0" w:space="0" w:color="auto"/>
            <w:bottom w:val="none" w:sz="0" w:space="0" w:color="auto"/>
            <w:right w:val="none" w:sz="0" w:space="0" w:color="auto"/>
          </w:divBdr>
        </w:div>
      </w:divsChild>
    </w:div>
    <w:div w:id="279411484">
      <w:bodyDiv w:val="1"/>
      <w:marLeft w:val="0"/>
      <w:marRight w:val="0"/>
      <w:marTop w:val="0"/>
      <w:marBottom w:val="0"/>
      <w:divBdr>
        <w:top w:val="none" w:sz="0" w:space="0" w:color="auto"/>
        <w:left w:val="none" w:sz="0" w:space="0" w:color="auto"/>
        <w:bottom w:val="none" w:sz="0" w:space="0" w:color="auto"/>
        <w:right w:val="none" w:sz="0" w:space="0" w:color="auto"/>
      </w:divBdr>
      <w:divsChild>
        <w:div w:id="1983851000">
          <w:marLeft w:val="259"/>
          <w:marRight w:val="0"/>
          <w:marTop w:val="0"/>
          <w:marBottom w:val="0"/>
          <w:divBdr>
            <w:top w:val="none" w:sz="0" w:space="0" w:color="auto"/>
            <w:left w:val="none" w:sz="0" w:space="0" w:color="auto"/>
            <w:bottom w:val="none" w:sz="0" w:space="0" w:color="auto"/>
            <w:right w:val="none" w:sz="0" w:space="0" w:color="auto"/>
          </w:divBdr>
        </w:div>
      </w:divsChild>
    </w:div>
    <w:div w:id="340745505">
      <w:bodyDiv w:val="1"/>
      <w:marLeft w:val="0"/>
      <w:marRight w:val="0"/>
      <w:marTop w:val="0"/>
      <w:marBottom w:val="0"/>
      <w:divBdr>
        <w:top w:val="none" w:sz="0" w:space="0" w:color="auto"/>
        <w:left w:val="none" w:sz="0" w:space="0" w:color="auto"/>
        <w:bottom w:val="none" w:sz="0" w:space="0" w:color="auto"/>
        <w:right w:val="none" w:sz="0" w:space="0" w:color="auto"/>
      </w:divBdr>
    </w:div>
    <w:div w:id="346757771">
      <w:bodyDiv w:val="1"/>
      <w:marLeft w:val="0"/>
      <w:marRight w:val="0"/>
      <w:marTop w:val="0"/>
      <w:marBottom w:val="0"/>
      <w:divBdr>
        <w:top w:val="none" w:sz="0" w:space="0" w:color="auto"/>
        <w:left w:val="none" w:sz="0" w:space="0" w:color="auto"/>
        <w:bottom w:val="none" w:sz="0" w:space="0" w:color="auto"/>
        <w:right w:val="none" w:sz="0" w:space="0" w:color="auto"/>
      </w:divBdr>
      <w:divsChild>
        <w:div w:id="890650022">
          <w:marLeft w:val="446"/>
          <w:marRight w:val="0"/>
          <w:marTop w:val="0"/>
          <w:marBottom w:val="0"/>
          <w:divBdr>
            <w:top w:val="none" w:sz="0" w:space="0" w:color="auto"/>
            <w:left w:val="none" w:sz="0" w:space="0" w:color="auto"/>
            <w:bottom w:val="none" w:sz="0" w:space="0" w:color="auto"/>
            <w:right w:val="none" w:sz="0" w:space="0" w:color="auto"/>
          </w:divBdr>
        </w:div>
      </w:divsChild>
    </w:div>
    <w:div w:id="381371138">
      <w:bodyDiv w:val="1"/>
      <w:marLeft w:val="0"/>
      <w:marRight w:val="0"/>
      <w:marTop w:val="0"/>
      <w:marBottom w:val="0"/>
      <w:divBdr>
        <w:top w:val="none" w:sz="0" w:space="0" w:color="auto"/>
        <w:left w:val="none" w:sz="0" w:space="0" w:color="auto"/>
        <w:bottom w:val="none" w:sz="0" w:space="0" w:color="auto"/>
        <w:right w:val="none" w:sz="0" w:space="0" w:color="auto"/>
      </w:divBdr>
    </w:div>
    <w:div w:id="397947099">
      <w:bodyDiv w:val="1"/>
      <w:marLeft w:val="0"/>
      <w:marRight w:val="0"/>
      <w:marTop w:val="0"/>
      <w:marBottom w:val="0"/>
      <w:divBdr>
        <w:top w:val="none" w:sz="0" w:space="0" w:color="auto"/>
        <w:left w:val="none" w:sz="0" w:space="0" w:color="auto"/>
        <w:bottom w:val="none" w:sz="0" w:space="0" w:color="auto"/>
        <w:right w:val="none" w:sz="0" w:space="0" w:color="auto"/>
      </w:divBdr>
    </w:div>
    <w:div w:id="410736108">
      <w:bodyDiv w:val="1"/>
      <w:marLeft w:val="0"/>
      <w:marRight w:val="0"/>
      <w:marTop w:val="0"/>
      <w:marBottom w:val="0"/>
      <w:divBdr>
        <w:top w:val="none" w:sz="0" w:space="0" w:color="auto"/>
        <w:left w:val="none" w:sz="0" w:space="0" w:color="auto"/>
        <w:bottom w:val="none" w:sz="0" w:space="0" w:color="auto"/>
        <w:right w:val="none" w:sz="0" w:space="0" w:color="auto"/>
      </w:divBdr>
      <w:divsChild>
        <w:div w:id="1591815442">
          <w:marLeft w:val="360"/>
          <w:marRight w:val="0"/>
          <w:marTop w:val="0"/>
          <w:marBottom w:val="40"/>
          <w:divBdr>
            <w:top w:val="none" w:sz="0" w:space="0" w:color="auto"/>
            <w:left w:val="none" w:sz="0" w:space="0" w:color="auto"/>
            <w:bottom w:val="none" w:sz="0" w:space="0" w:color="auto"/>
            <w:right w:val="none" w:sz="0" w:space="0" w:color="auto"/>
          </w:divBdr>
        </w:div>
      </w:divsChild>
    </w:div>
    <w:div w:id="417949556">
      <w:bodyDiv w:val="1"/>
      <w:marLeft w:val="0"/>
      <w:marRight w:val="0"/>
      <w:marTop w:val="0"/>
      <w:marBottom w:val="0"/>
      <w:divBdr>
        <w:top w:val="none" w:sz="0" w:space="0" w:color="auto"/>
        <w:left w:val="none" w:sz="0" w:space="0" w:color="auto"/>
        <w:bottom w:val="none" w:sz="0" w:space="0" w:color="auto"/>
        <w:right w:val="none" w:sz="0" w:space="0" w:color="auto"/>
      </w:divBdr>
      <w:divsChild>
        <w:div w:id="638387071">
          <w:marLeft w:val="979"/>
          <w:marRight w:val="0"/>
          <w:marTop w:val="120"/>
          <w:marBottom w:val="0"/>
          <w:divBdr>
            <w:top w:val="none" w:sz="0" w:space="0" w:color="auto"/>
            <w:left w:val="none" w:sz="0" w:space="0" w:color="auto"/>
            <w:bottom w:val="none" w:sz="0" w:space="0" w:color="auto"/>
            <w:right w:val="none" w:sz="0" w:space="0" w:color="auto"/>
          </w:divBdr>
        </w:div>
      </w:divsChild>
    </w:div>
    <w:div w:id="425343816">
      <w:bodyDiv w:val="1"/>
      <w:marLeft w:val="0"/>
      <w:marRight w:val="0"/>
      <w:marTop w:val="0"/>
      <w:marBottom w:val="0"/>
      <w:divBdr>
        <w:top w:val="none" w:sz="0" w:space="0" w:color="auto"/>
        <w:left w:val="none" w:sz="0" w:space="0" w:color="auto"/>
        <w:bottom w:val="none" w:sz="0" w:space="0" w:color="auto"/>
        <w:right w:val="none" w:sz="0" w:space="0" w:color="auto"/>
      </w:divBdr>
      <w:divsChild>
        <w:div w:id="898513331">
          <w:marLeft w:val="446"/>
          <w:marRight w:val="0"/>
          <w:marTop w:val="240"/>
          <w:marBottom w:val="0"/>
          <w:divBdr>
            <w:top w:val="none" w:sz="0" w:space="0" w:color="auto"/>
            <w:left w:val="none" w:sz="0" w:space="0" w:color="auto"/>
            <w:bottom w:val="none" w:sz="0" w:space="0" w:color="auto"/>
            <w:right w:val="none" w:sz="0" w:space="0" w:color="auto"/>
          </w:divBdr>
        </w:div>
      </w:divsChild>
    </w:div>
    <w:div w:id="440490009">
      <w:bodyDiv w:val="1"/>
      <w:marLeft w:val="0"/>
      <w:marRight w:val="0"/>
      <w:marTop w:val="0"/>
      <w:marBottom w:val="0"/>
      <w:divBdr>
        <w:top w:val="none" w:sz="0" w:space="0" w:color="auto"/>
        <w:left w:val="none" w:sz="0" w:space="0" w:color="auto"/>
        <w:bottom w:val="none" w:sz="0" w:space="0" w:color="auto"/>
        <w:right w:val="none" w:sz="0" w:space="0" w:color="auto"/>
      </w:divBdr>
      <w:divsChild>
        <w:div w:id="1180505927">
          <w:marLeft w:val="446"/>
          <w:marRight w:val="0"/>
          <w:marTop w:val="240"/>
          <w:marBottom w:val="0"/>
          <w:divBdr>
            <w:top w:val="none" w:sz="0" w:space="0" w:color="auto"/>
            <w:left w:val="none" w:sz="0" w:space="0" w:color="auto"/>
            <w:bottom w:val="none" w:sz="0" w:space="0" w:color="auto"/>
            <w:right w:val="none" w:sz="0" w:space="0" w:color="auto"/>
          </w:divBdr>
        </w:div>
      </w:divsChild>
    </w:div>
    <w:div w:id="446244456">
      <w:bodyDiv w:val="1"/>
      <w:marLeft w:val="0"/>
      <w:marRight w:val="0"/>
      <w:marTop w:val="0"/>
      <w:marBottom w:val="0"/>
      <w:divBdr>
        <w:top w:val="none" w:sz="0" w:space="0" w:color="auto"/>
        <w:left w:val="none" w:sz="0" w:space="0" w:color="auto"/>
        <w:bottom w:val="none" w:sz="0" w:space="0" w:color="auto"/>
        <w:right w:val="none" w:sz="0" w:space="0" w:color="auto"/>
      </w:divBdr>
      <w:divsChild>
        <w:div w:id="1681545176">
          <w:marLeft w:val="446"/>
          <w:marRight w:val="0"/>
          <w:marTop w:val="0"/>
          <w:marBottom w:val="40"/>
          <w:divBdr>
            <w:top w:val="none" w:sz="0" w:space="0" w:color="auto"/>
            <w:left w:val="none" w:sz="0" w:space="0" w:color="auto"/>
            <w:bottom w:val="none" w:sz="0" w:space="0" w:color="auto"/>
            <w:right w:val="none" w:sz="0" w:space="0" w:color="auto"/>
          </w:divBdr>
        </w:div>
      </w:divsChild>
    </w:div>
    <w:div w:id="447160969">
      <w:bodyDiv w:val="1"/>
      <w:marLeft w:val="0"/>
      <w:marRight w:val="0"/>
      <w:marTop w:val="0"/>
      <w:marBottom w:val="0"/>
      <w:divBdr>
        <w:top w:val="none" w:sz="0" w:space="0" w:color="auto"/>
        <w:left w:val="none" w:sz="0" w:space="0" w:color="auto"/>
        <w:bottom w:val="none" w:sz="0" w:space="0" w:color="auto"/>
        <w:right w:val="none" w:sz="0" w:space="0" w:color="auto"/>
      </w:divBdr>
      <w:divsChild>
        <w:div w:id="496656578">
          <w:marLeft w:val="1267"/>
          <w:marRight w:val="0"/>
          <w:marTop w:val="120"/>
          <w:marBottom w:val="0"/>
          <w:divBdr>
            <w:top w:val="none" w:sz="0" w:space="0" w:color="auto"/>
            <w:left w:val="none" w:sz="0" w:space="0" w:color="auto"/>
            <w:bottom w:val="none" w:sz="0" w:space="0" w:color="auto"/>
            <w:right w:val="none" w:sz="0" w:space="0" w:color="auto"/>
          </w:divBdr>
        </w:div>
      </w:divsChild>
    </w:div>
    <w:div w:id="457339578">
      <w:bodyDiv w:val="1"/>
      <w:marLeft w:val="0"/>
      <w:marRight w:val="0"/>
      <w:marTop w:val="0"/>
      <w:marBottom w:val="0"/>
      <w:divBdr>
        <w:top w:val="none" w:sz="0" w:space="0" w:color="auto"/>
        <w:left w:val="none" w:sz="0" w:space="0" w:color="auto"/>
        <w:bottom w:val="none" w:sz="0" w:space="0" w:color="auto"/>
        <w:right w:val="none" w:sz="0" w:space="0" w:color="auto"/>
      </w:divBdr>
    </w:div>
    <w:div w:id="483010847">
      <w:bodyDiv w:val="1"/>
      <w:marLeft w:val="0"/>
      <w:marRight w:val="0"/>
      <w:marTop w:val="0"/>
      <w:marBottom w:val="0"/>
      <w:divBdr>
        <w:top w:val="none" w:sz="0" w:space="0" w:color="auto"/>
        <w:left w:val="none" w:sz="0" w:space="0" w:color="auto"/>
        <w:bottom w:val="none" w:sz="0" w:space="0" w:color="auto"/>
        <w:right w:val="none" w:sz="0" w:space="0" w:color="auto"/>
      </w:divBdr>
    </w:div>
    <w:div w:id="490873015">
      <w:bodyDiv w:val="1"/>
      <w:marLeft w:val="0"/>
      <w:marRight w:val="0"/>
      <w:marTop w:val="0"/>
      <w:marBottom w:val="0"/>
      <w:divBdr>
        <w:top w:val="none" w:sz="0" w:space="0" w:color="auto"/>
        <w:left w:val="none" w:sz="0" w:space="0" w:color="auto"/>
        <w:bottom w:val="none" w:sz="0" w:space="0" w:color="auto"/>
        <w:right w:val="none" w:sz="0" w:space="0" w:color="auto"/>
      </w:divBdr>
      <w:divsChild>
        <w:div w:id="1971009107">
          <w:marLeft w:val="446"/>
          <w:marRight w:val="0"/>
          <w:marTop w:val="360"/>
          <w:marBottom w:val="0"/>
          <w:divBdr>
            <w:top w:val="none" w:sz="0" w:space="0" w:color="auto"/>
            <w:left w:val="none" w:sz="0" w:space="0" w:color="auto"/>
            <w:bottom w:val="none" w:sz="0" w:space="0" w:color="auto"/>
            <w:right w:val="none" w:sz="0" w:space="0" w:color="auto"/>
          </w:divBdr>
        </w:div>
      </w:divsChild>
    </w:div>
    <w:div w:id="493496882">
      <w:bodyDiv w:val="1"/>
      <w:marLeft w:val="0"/>
      <w:marRight w:val="0"/>
      <w:marTop w:val="0"/>
      <w:marBottom w:val="0"/>
      <w:divBdr>
        <w:top w:val="none" w:sz="0" w:space="0" w:color="auto"/>
        <w:left w:val="none" w:sz="0" w:space="0" w:color="auto"/>
        <w:bottom w:val="none" w:sz="0" w:space="0" w:color="auto"/>
        <w:right w:val="none" w:sz="0" w:space="0" w:color="auto"/>
      </w:divBdr>
      <w:divsChild>
        <w:div w:id="1675568508">
          <w:marLeft w:val="1166"/>
          <w:marRight w:val="0"/>
          <w:marTop w:val="120"/>
          <w:marBottom w:val="0"/>
          <w:divBdr>
            <w:top w:val="none" w:sz="0" w:space="0" w:color="auto"/>
            <w:left w:val="none" w:sz="0" w:space="0" w:color="auto"/>
            <w:bottom w:val="none" w:sz="0" w:space="0" w:color="auto"/>
            <w:right w:val="none" w:sz="0" w:space="0" w:color="auto"/>
          </w:divBdr>
        </w:div>
      </w:divsChild>
    </w:div>
    <w:div w:id="495075481">
      <w:bodyDiv w:val="1"/>
      <w:marLeft w:val="0"/>
      <w:marRight w:val="0"/>
      <w:marTop w:val="0"/>
      <w:marBottom w:val="0"/>
      <w:divBdr>
        <w:top w:val="none" w:sz="0" w:space="0" w:color="auto"/>
        <w:left w:val="none" w:sz="0" w:space="0" w:color="auto"/>
        <w:bottom w:val="none" w:sz="0" w:space="0" w:color="auto"/>
        <w:right w:val="none" w:sz="0" w:space="0" w:color="auto"/>
      </w:divBdr>
    </w:div>
    <w:div w:id="502480226">
      <w:bodyDiv w:val="1"/>
      <w:marLeft w:val="0"/>
      <w:marRight w:val="0"/>
      <w:marTop w:val="0"/>
      <w:marBottom w:val="0"/>
      <w:divBdr>
        <w:top w:val="none" w:sz="0" w:space="0" w:color="auto"/>
        <w:left w:val="none" w:sz="0" w:space="0" w:color="auto"/>
        <w:bottom w:val="none" w:sz="0" w:space="0" w:color="auto"/>
        <w:right w:val="none" w:sz="0" w:space="0" w:color="auto"/>
      </w:divBdr>
      <w:divsChild>
        <w:div w:id="415367806">
          <w:marLeft w:val="432"/>
          <w:marRight w:val="0"/>
          <w:marTop w:val="0"/>
          <w:marBottom w:val="0"/>
          <w:divBdr>
            <w:top w:val="none" w:sz="0" w:space="0" w:color="auto"/>
            <w:left w:val="none" w:sz="0" w:space="0" w:color="auto"/>
            <w:bottom w:val="none" w:sz="0" w:space="0" w:color="auto"/>
            <w:right w:val="none" w:sz="0" w:space="0" w:color="auto"/>
          </w:divBdr>
        </w:div>
      </w:divsChild>
    </w:div>
    <w:div w:id="510797550">
      <w:bodyDiv w:val="1"/>
      <w:marLeft w:val="0"/>
      <w:marRight w:val="0"/>
      <w:marTop w:val="0"/>
      <w:marBottom w:val="0"/>
      <w:divBdr>
        <w:top w:val="none" w:sz="0" w:space="0" w:color="auto"/>
        <w:left w:val="none" w:sz="0" w:space="0" w:color="auto"/>
        <w:bottom w:val="none" w:sz="0" w:space="0" w:color="auto"/>
        <w:right w:val="none" w:sz="0" w:space="0" w:color="auto"/>
      </w:divBdr>
      <w:divsChild>
        <w:div w:id="316106573">
          <w:marLeft w:val="979"/>
          <w:marRight w:val="0"/>
          <w:marTop w:val="120"/>
          <w:marBottom w:val="0"/>
          <w:divBdr>
            <w:top w:val="none" w:sz="0" w:space="0" w:color="auto"/>
            <w:left w:val="none" w:sz="0" w:space="0" w:color="auto"/>
            <w:bottom w:val="none" w:sz="0" w:space="0" w:color="auto"/>
            <w:right w:val="none" w:sz="0" w:space="0" w:color="auto"/>
          </w:divBdr>
        </w:div>
      </w:divsChild>
    </w:div>
    <w:div w:id="515576120">
      <w:bodyDiv w:val="1"/>
      <w:marLeft w:val="0"/>
      <w:marRight w:val="0"/>
      <w:marTop w:val="0"/>
      <w:marBottom w:val="0"/>
      <w:divBdr>
        <w:top w:val="none" w:sz="0" w:space="0" w:color="auto"/>
        <w:left w:val="none" w:sz="0" w:space="0" w:color="auto"/>
        <w:bottom w:val="none" w:sz="0" w:space="0" w:color="auto"/>
        <w:right w:val="none" w:sz="0" w:space="0" w:color="auto"/>
      </w:divBdr>
      <w:divsChild>
        <w:div w:id="1033505466">
          <w:marLeft w:val="274"/>
          <w:marRight w:val="0"/>
          <w:marTop w:val="0"/>
          <w:marBottom w:val="0"/>
          <w:divBdr>
            <w:top w:val="none" w:sz="0" w:space="0" w:color="auto"/>
            <w:left w:val="none" w:sz="0" w:space="0" w:color="auto"/>
            <w:bottom w:val="none" w:sz="0" w:space="0" w:color="auto"/>
            <w:right w:val="none" w:sz="0" w:space="0" w:color="auto"/>
          </w:divBdr>
        </w:div>
      </w:divsChild>
    </w:div>
    <w:div w:id="533538969">
      <w:bodyDiv w:val="1"/>
      <w:marLeft w:val="0"/>
      <w:marRight w:val="0"/>
      <w:marTop w:val="0"/>
      <w:marBottom w:val="0"/>
      <w:divBdr>
        <w:top w:val="none" w:sz="0" w:space="0" w:color="auto"/>
        <w:left w:val="none" w:sz="0" w:space="0" w:color="auto"/>
        <w:bottom w:val="none" w:sz="0" w:space="0" w:color="auto"/>
        <w:right w:val="none" w:sz="0" w:space="0" w:color="auto"/>
      </w:divBdr>
      <w:divsChild>
        <w:div w:id="1127772135">
          <w:marLeft w:val="547"/>
          <w:marRight w:val="0"/>
          <w:marTop w:val="120"/>
          <w:marBottom w:val="0"/>
          <w:divBdr>
            <w:top w:val="none" w:sz="0" w:space="0" w:color="auto"/>
            <w:left w:val="none" w:sz="0" w:space="0" w:color="auto"/>
            <w:bottom w:val="none" w:sz="0" w:space="0" w:color="auto"/>
            <w:right w:val="none" w:sz="0" w:space="0" w:color="auto"/>
          </w:divBdr>
        </w:div>
      </w:divsChild>
    </w:div>
    <w:div w:id="534470055">
      <w:bodyDiv w:val="1"/>
      <w:marLeft w:val="0"/>
      <w:marRight w:val="0"/>
      <w:marTop w:val="0"/>
      <w:marBottom w:val="0"/>
      <w:divBdr>
        <w:top w:val="none" w:sz="0" w:space="0" w:color="auto"/>
        <w:left w:val="none" w:sz="0" w:space="0" w:color="auto"/>
        <w:bottom w:val="none" w:sz="0" w:space="0" w:color="auto"/>
        <w:right w:val="none" w:sz="0" w:space="0" w:color="auto"/>
      </w:divBdr>
    </w:div>
    <w:div w:id="534852901">
      <w:bodyDiv w:val="1"/>
      <w:marLeft w:val="0"/>
      <w:marRight w:val="0"/>
      <w:marTop w:val="0"/>
      <w:marBottom w:val="0"/>
      <w:divBdr>
        <w:top w:val="none" w:sz="0" w:space="0" w:color="auto"/>
        <w:left w:val="none" w:sz="0" w:space="0" w:color="auto"/>
        <w:bottom w:val="none" w:sz="0" w:space="0" w:color="auto"/>
        <w:right w:val="none" w:sz="0" w:space="0" w:color="auto"/>
      </w:divBdr>
      <w:divsChild>
        <w:div w:id="2028948833">
          <w:marLeft w:val="1267"/>
          <w:marRight w:val="0"/>
          <w:marTop w:val="120"/>
          <w:marBottom w:val="0"/>
          <w:divBdr>
            <w:top w:val="none" w:sz="0" w:space="0" w:color="auto"/>
            <w:left w:val="none" w:sz="0" w:space="0" w:color="auto"/>
            <w:bottom w:val="none" w:sz="0" w:space="0" w:color="auto"/>
            <w:right w:val="none" w:sz="0" w:space="0" w:color="auto"/>
          </w:divBdr>
        </w:div>
      </w:divsChild>
    </w:div>
    <w:div w:id="608124058">
      <w:bodyDiv w:val="1"/>
      <w:marLeft w:val="0"/>
      <w:marRight w:val="0"/>
      <w:marTop w:val="0"/>
      <w:marBottom w:val="0"/>
      <w:divBdr>
        <w:top w:val="none" w:sz="0" w:space="0" w:color="auto"/>
        <w:left w:val="none" w:sz="0" w:space="0" w:color="auto"/>
        <w:bottom w:val="none" w:sz="0" w:space="0" w:color="auto"/>
        <w:right w:val="none" w:sz="0" w:space="0" w:color="auto"/>
      </w:divBdr>
      <w:divsChild>
        <w:div w:id="156191950">
          <w:marLeft w:val="1109"/>
          <w:marRight w:val="0"/>
          <w:marTop w:val="0"/>
          <w:marBottom w:val="40"/>
          <w:divBdr>
            <w:top w:val="none" w:sz="0" w:space="0" w:color="auto"/>
            <w:left w:val="none" w:sz="0" w:space="0" w:color="auto"/>
            <w:bottom w:val="none" w:sz="0" w:space="0" w:color="auto"/>
            <w:right w:val="none" w:sz="0" w:space="0" w:color="auto"/>
          </w:divBdr>
        </w:div>
      </w:divsChild>
    </w:div>
    <w:div w:id="614869476">
      <w:bodyDiv w:val="1"/>
      <w:marLeft w:val="0"/>
      <w:marRight w:val="0"/>
      <w:marTop w:val="0"/>
      <w:marBottom w:val="0"/>
      <w:divBdr>
        <w:top w:val="none" w:sz="0" w:space="0" w:color="auto"/>
        <w:left w:val="none" w:sz="0" w:space="0" w:color="auto"/>
        <w:bottom w:val="none" w:sz="0" w:space="0" w:color="auto"/>
        <w:right w:val="none" w:sz="0" w:space="0" w:color="auto"/>
      </w:divBdr>
      <w:divsChild>
        <w:div w:id="1226139366">
          <w:marLeft w:val="965"/>
          <w:marRight w:val="0"/>
          <w:marTop w:val="0"/>
          <w:marBottom w:val="0"/>
          <w:divBdr>
            <w:top w:val="none" w:sz="0" w:space="0" w:color="auto"/>
            <w:left w:val="none" w:sz="0" w:space="0" w:color="auto"/>
            <w:bottom w:val="none" w:sz="0" w:space="0" w:color="auto"/>
            <w:right w:val="none" w:sz="0" w:space="0" w:color="auto"/>
          </w:divBdr>
        </w:div>
      </w:divsChild>
    </w:div>
    <w:div w:id="688263081">
      <w:bodyDiv w:val="1"/>
      <w:marLeft w:val="0"/>
      <w:marRight w:val="0"/>
      <w:marTop w:val="0"/>
      <w:marBottom w:val="0"/>
      <w:divBdr>
        <w:top w:val="none" w:sz="0" w:space="0" w:color="auto"/>
        <w:left w:val="none" w:sz="0" w:space="0" w:color="auto"/>
        <w:bottom w:val="none" w:sz="0" w:space="0" w:color="auto"/>
        <w:right w:val="none" w:sz="0" w:space="0" w:color="auto"/>
      </w:divBdr>
    </w:div>
    <w:div w:id="693653187">
      <w:bodyDiv w:val="1"/>
      <w:marLeft w:val="0"/>
      <w:marRight w:val="0"/>
      <w:marTop w:val="0"/>
      <w:marBottom w:val="0"/>
      <w:divBdr>
        <w:top w:val="none" w:sz="0" w:space="0" w:color="auto"/>
        <w:left w:val="none" w:sz="0" w:space="0" w:color="auto"/>
        <w:bottom w:val="none" w:sz="0" w:space="0" w:color="auto"/>
        <w:right w:val="none" w:sz="0" w:space="0" w:color="auto"/>
      </w:divBdr>
    </w:div>
    <w:div w:id="718625134">
      <w:bodyDiv w:val="1"/>
      <w:marLeft w:val="0"/>
      <w:marRight w:val="0"/>
      <w:marTop w:val="0"/>
      <w:marBottom w:val="0"/>
      <w:divBdr>
        <w:top w:val="none" w:sz="0" w:space="0" w:color="auto"/>
        <w:left w:val="none" w:sz="0" w:space="0" w:color="auto"/>
        <w:bottom w:val="none" w:sz="0" w:space="0" w:color="auto"/>
        <w:right w:val="none" w:sz="0" w:space="0" w:color="auto"/>
      </w:divBdr>
    </w:div>
    <w:div w:id="726880234">
      <w:bodyDiv w:val="1"/>
      <w:marLeft w:val="0"/>
      <w:marRight w:val="0"/>
      <w:marTop w:val="0"/>
      <w:marBottom w:val="0"/>
      <w:divBdr>
        <w:top w:val="none" w:sz="0" w:space="0" w:color="auto"/>
        <w:left w:val="none" w:sz="0" w:space="0" w:color="auto"/>
        <w:bottom w:val="none" w:sz="0" w:space="0" w:color="auto"/>
        <w:right w:val="none" w:sz="0" w:space="0" w:color="auto"/>
      </w:divBdr>
    </w:div>
    <w:div w:id="728455376">
      <w:bodyDiv w:val="1"/>
      <w:marLeft w:val="0"/>
      <w:marRight w:val="0"/>
      <w:marTop w:val="0"/>
      <w:marBottom w:val="0"/>
      <w:divBdr>
        <w:top w:val="none" w:sz="0" w:space="0" w:color="auto"/>
        <w:left w:val="none" w:sz="0" w:space="0" w:color="auto"/>
        <w:bottom w:val="none" w:sz="0" w:space="0" w:color="auto"/>
        <w:right w:val="none" w:sz="0" w:space="0" w:color="auto"/>
      </w:divBdr>
    </w:div>
    <w:div w:id="741875245">
      <w:bodyDiv w:val="1"/>
      <w:marLeft w:val="0"/>
      <w:marRight w:val="0"/>
      <w:marTop w:val="0"/>
      <w:marBottom w:val="0"/>
      <w:divBdr>
        <w:top w:val="none" w:sz="0" w:space="0" w:color="auto"/>
        <w:left w:val="none" w:sz="0" w:space="0" w:color="auto"/>
        <w:bottom w:val="none" w:sz="0" w:space="0" w:color="auto"/>
        <w:right w:val="none" w:sz="0" w:space="0" w:color="auto"/>
      </w:divBdr>
    </w:div>
    <w:div w:id="745693098">
      <w:bodyDiv w:val="1"/>
      <w:marLeft w:val="0"/>
      <w:marRight w:val="0"/>
      <w:marTop w:val="0"/>
      <w:marBottom w:val="0"/>
      <w:divBdr>
        <w:top w:val="none" w:sz="0" w:space="0" w:color="auto"/>
        <w:left w:val="none" w:sz="0" w:space="0" w:color="auto"/>
        <w:bottom w:val="none" w:sz="0" w:space="0" w:color="auto"/>
        <w:right w:val="none" w:sz="0" w:space="0" w:color="auto"/>
      </w:divBdr>
    </w:div>
    <w:div w:id="765883323">
      <w:bodyDiv w:val="1"/>
      <w:marLeft w:val="0"/>
      <w:marRight w:val="0"/>
      <w:marTop w:val="0"/>
      <w:marBottom w:val="0"/>
      <w:divBdr>
        <w:top w:val="none" w:sz="0" w:space="0" w:color="auto"/>
        <w:left w:val="none" w:sz="0" w:space="0" w:color="auto"/>
        <w:bottom w:val="none" w:sz="0" w:space="0" w:color="auto"/>
        <w:right w:val="none" w:sz="0" w:space="0" w:color="auto"/>
      </w:divBdr>
    </w:div>
    <w:div w:id="774637711">
      <w:bodyDiv w:val="1"/>
      <w:marLeft w:val="0"/>
      <w:marRight w:val="0"/>
      <w:marTop w:val="0"/>
      <w:marBottom w:val="0"/>
      <w:divBdr>
        <w:top w:val="none" w:sz="0" w:space="0" w:color="auto"/>
        <w:left w:val="none" w:sz="0" w:space="0" w:color="auto"/>
        <w:bottom w:val="none" w:sz="0" w:space="0" w:color="auto"/>
        <w:right w:val="none" w:sz="0" w:space="0" w:color="auto"/>
      </w:divBdr>
      <w:divsChild>
        <w:div w:id="1463184960">
          <w:marLeft w:val="446"/>
          <w:marRight w:val="0"/>
          <w:marTop w:val="0"/>
          <w:marBottom w:val="0"/>
          <w:divBdr>
            <w:top w:val="none" w:sz="0" w:space="0" w:color="auto"/>
            <w:left w:val="none" w:sz="0" w:space="0" w:color="auto"/>
            <w:bottom w:val="none" w:sz="0" w:space="0" w:color="auto"/>
            <w:right w:val="none" w:sz="0" w:space="0" w:color="auto"/>
          </w:divBdr>
        </w:div>
      </w:divsChild>
    </w:div>
    <w:div w:id="780877532">
      <w:bodyDiv w:val="1"/>
      <w:marLeft w:val="0"/>
      <w:marRight w:val="0"/>
      <w:marTop w:val="0"/>
      <w:marBottom w:val="0"/>
      <w:divBdr>
        <w:top w:val="none" w:sz="0" w:space="0" w:color="auto"/>
        <w:left w:val="none" w:sz="0" w:space="0" w:color="auto"/>
        <w:bottom w:val="none" w:sz="0" w:space="0" w:color="auto"/>
        <w:right w:val="none" w:sz="0" w:space="0" w:color="auto"/>
      </w:divBdr>
      <w:divsChild>
        <w:div w:id="1784878062">
          <w:marLeft w:val="1166"/>
          <w:marRight w:val="0"/>
          <w:marTop w:val="0"/>
          <w:marBottom w:val="240"/>
          <w:divBdr>
            <w:top w:val="none" w:sz="0" w:space="0" w:color="auto"/>
            <w:left w:val="none" w:sz="0" w:space="0" w:color="auto"/>
            <w:bottom w:val="none" w:sz="0" w:space="0" w:color="auto"/>
            <w:right w:val="none" w:sz="0" w:space="0" w:color="auto"/>
          </w:divBdr>
        </w:div>
      </w:divsChild>
    </w:div>
    <w:div w:id="781535723">
      <w:bodyDiv w:val="1"/>
      <w:marLeft w:val="0"/>
      <w:marRight w:val="0"/>
      <w:marTop w:val="0"/>
      <w:marBottom w:val="0"/>
      <w:divBdr>
        <w:top w:val="none" w:sz="0" w:space="0" w:color="auto"/>
        <w:left w:val="none" w:sz="0" w:space="0" w:color="auto"/>
        <w:bottom w:val="none" w:sz="0" w:space="0" w:color="auto"/>
        <w:right w:val="none" w:sz="0" w:space="0" w:color="auto"/>
      </w:divBdr>
      <w:divsChild>
        <w:div w:id="650521811">
          <w:marLeft w:val="331"/>
          <w:marRight w:val="0"/>
          <w:marTop w:val="120"/>
          <w:marBottom w:val="0"/>
          <w:divBdr>
            <w:top w:val="none" w:sz="0" w:space="0" w:color="auto"/>
            <w:left w:val="none" w:sz="0" w:space="0" w:color="auto"/>
            <w:bottom w:val="none" w:sz="0" w:space="0" w:color="auto"/>
            <w:right w:val="none" w:sz="0" w:space="0" w:color="auto"/>
          </w:divBdr>
        </w:div>
      </w:divsChild>
    </w:div>
    <w:div w:id="799155971">
      <w:bodyDiv w:val="1"/>
      <w:marLeft w:val="0"/>
      <w:marRight w:val="0"/>
      <w:marTop w:val="0"/>
      <w:marBottom w:val="0"/>
      <w:divBdr>
        <w:top w:val="none" w:sz="0" w:space="0" w:color="auto"/>
        <w:left w:val="none" w:sz="0" w:space="0" w:color="auto"/>
        <w:bottom w:val="none" w:sz="0" w:space="0" w:color="auto"/>
        <w:right w:val="none" w:sz="0" w:space="0" w:color="auto"/>
      </w:divBdr>
      <w:divsChild>
        <w:div w:id="2002929720">
          <w:marLeft w:val="1166"/>
          <w:marRight w:val="0"/>
          <w:marTop w:val="120"/>
          <w:marBottom w:val="0"/>
          <w:divBdr>
            <w:top w:val="none" w:sz="0" w:space="0" w:color="auto"/>
            <w:left w:val="none" w:sz="0" w:space="0" w:color="auto"/>
            <w:bottom w:val="none" w:sz="0" w:space="0" w:color="auto"/>
            <w:right w:val="none" w:sz="0" w:space="0" w:color="auto"/>
          </w:divBdr>
        </w:div>
      </w:divsChild>
    </w:div>
    <w:div w:id="807819428">
      <w:bodyDiv w:val="1"/>
      <w:marLeft w:val="0"/>
      <w:marRight w:val="0"/>
      <w:marTop w:val="0"/>
      <w:marBottom w:val="0"/>
      <w:divBdr>
        <w:top w:val="none" w:sz="0" w:space="0" w:color="auto"/>
        <w:left w:val="none" w:sz="0" w:space="0" w:color="auto"/>
        <w:bottom w:val="none" w:sz="0" w:space="0" w:color="auto"/>
        <w:right w:val="none" w:sz="0" w:space="0" w:color="auto"/>
      </w:divBdr>
      <w:divsChild>
        <w:div w:id="580531181">
          <w:marLeft w:val="1267"/>
          <w:marRight w:val="0"/>
          <w:marTop w:val="120"/>
          <w:marBottom w:val="0"/>
          <w:divBdr>
            <w:top w:val="none" w:sz="0" w:space="0" w:color="auto"/>
            <w:left w:val="none" w:sz="0" w:space="0" w:color="auto"/>
            <w:bottom w:val="none" w:sz="0" w:space="0" w:color="auto"/>
            <w:right w:val="none" w:sz="0" w:space="0" w:color="auto"/>
          </w:divBdr>
        </w:div>
      </w:divsChild>
    </w:div>
    <w:div w:id="848763488">
      <w:bodyDiv w:val="1"/>
      <w:marLeft w:val="0"/>
      <w:marRight w:val="0"/>
      <w:marTop w:val="0"/>
      <w:marBottom w:val="0"/>
      <w:divBdr>
        <w:top w:val="none" w:sz="0" w:space="0" w:color="auto"/>
        <w:left w:val="none" w:sz="0" w:space="0" w:color="auto"/>
        <w:bottom w:val="none" w:sz="0" w:space="0" w:color="auto"/>
        <w:right w:val="none" w:sz="0" w:space="0" w:color="auto"/>
      </w:divBdr>
    </w:div>
    <w:div w:id="850031526">
      <w:bodyDiv w:val="1"/>
      <w:marLeft w:val="0"/>
      <w:marRight w:val="0"/>
      <w:marTop w:val="0"/>
      <w:marBottom w:val="0"/>
      <w:divBdr>
        <w:top w:val="none" w:sz="0" w:space="0" w:color="auto"/>
        <w:left w:val="none" w:sz="0" w:space="0" w:color="auto"/>
        <w:bottom w:val="none" w:sz="0" w:space="0" w:color="auto"/>
        <w:right w:val="none" w:sz="0" w:space="0" w:color="auto"/>
      </w:divBdr>
    </w:div>
    <w:div w:id="858079624">
      <w:bodyDiv w:val="1"/>
      <w:marLeft w:val="0"/>
      <w:marRight w:val="0"/>
      <w:marTop w:val="0"/>
      <w:marBottom w:val="0"/>
      <w:divBdr>
        <w:top w:val="none" w:sz="0" w:space="0" w:color="auto"/>
        <w:left w:val="none" w:sz="0" w:space="0" w:color="auto"/>
        <w:bottom w:val="none" w:sz="0" w:space="0" w:color="auto"/>
        <w:right w:val="none" w:sz="0" w:space="0" w:color="auto"/>
      </w:divBdr>
      <w:divsChild>
        <w:div w:id="145361351">
          <w:marLeft w:val="763"/>
          <w:marRight w:val="0"/>
          <w:marTop w:val="120"/>
          <w:marBottom w:val="0"/>
          <w:divBdr>
            <w:top w:val="none" w:sz="0" w:space="0" w:color="auto"/>
            <w:left w:val="none" w:sz="0" w:space="0" w:color="auto"/>
            <w:bottom w:val="none" w:sz="0" w:space="0" w:color="auto"/>
            <w:right w:val="none" w:sz="0" w:space="0" w:color="auto"/>
          </w:divBdr>
        </w:div>
      </w:divsChild>
    </w:div>
    <w:div w:id="859275237">
      <w:bodyDiv w:val="1"/>
      <w:marLeft w:val="0"/>
      <w:marRight w:val="0"/>
      <w:marTop w:val="0"/>
      <w:marBottom w:val="0"/>
      <w:divBdr>
        <w:top w:val="none" w:sz="0" w:space="0" w:color="auto"/>
        <w:left w:val="none" w:sz="0" w:space="0" w:color="auto"/>
        <w:bottom w:val="none" w:sz="0" w:space="0" w:color="auto"/>
        <w:right w:val="none" w:sz="0" w:space="0" w:color="auto"/>
      </w:divBdr>
    </w:div>
    <w:div w:id="876628471">
      <w:bodyDiv w:val="1"/>
      <w:marLeft w:val="0"/>
      <w:marRight w:val="0"/>
      <w:marTop w:val="0"/>
      <w:marBottom w:val="0"/>
      <w:divBdr>
        <w:top w:val="none" w:sz="0" w:space="0" w:color="auto"/>
        <w:left w:val="none" w:sz="0" w:space="0" w:color="auto"/>
        <w:bottom w:val="none" w:sz="0" w:space="0" w:color="auto"/>
        <w:right w:val="none" w:sz="0" w:space="0" w:color="auto"/>
      </w:divBdr>
      <w:divsChild>
        <w:div w:id="1486628107">
          <w:marLeft w:val="994"/>
          <w:marRight w:val="0"/>
          <w:marTop w:val="0"/>
          <w:marBottom w:val="0"/>
          <w:divBdr>
            <w:top w:val="none" w:sz="0" w:space="0" w:color="auto"/>
            <w:left w:val="none" w:sz="0" w:space="0" w:color="auto"/>
            <w:bottom w:val="none" w:sz="0" w:space="0" w:color="auto"/>
            <w:right w:val="none" w:sz="0" w:space="0" w:color="auto"/>
          </w:divBdr>
        </w:div>
      </w:divsChild>
    </w:div>
    <w:div w:id="888690291">
      <w:bodyDiv w:val="1"/>
      <w:marLeft w:val="0"/>
      <w:marRight w:val="0"/>
      <w:marTop w:val="0"/>
      <w:marBottom w:val="0"/>
      <w:divBdr>
        <w:top w:val="none" w:sz="0" w:space="0" w:color="auto"/>
        <w:left w:val="none" w:sz="0" w:space="0" w:color="auto"/>
        <w:bottom w:val="none" w:sz="0" w:space="0" w:color="auto"/>
        <w:right w:val="none" w:sz="0" w:space="0" w:color="auto"/>
      </w:divBdr>
      <w:divsChild>
        <w:div w:id="83453834">
          <w:marLeft w:val="446"/>
          <w:marRight w:val="0"/>
          <w:marTop w:val="0"/>
          <w:marBottom w:val="40"/>
          <w:divBdr>
            <w:top w:val="none" w:sz="0" w:space="0" w:color="auto"/>
            <w:left w:val="none" w:sz="0" w:space="0" w:color="auto"/>
            <w:bottom w:val="none" w:sz="0" w:space="0" w:color="auto"/>
            <w:right w:val="none" w:sz="0" w:space="0" w:color="auto"/>
          </w:divBdr>
        </w:div>
      </w:divsChild>
    </w:div>
    <w:div w:id="890044702">
      <w:bodyDiv w:val="1"/>
      <w:marLeft w:val="0"/>
      <w:marRight w:val="0"/>
      <w:marTop w:val="0"/>
      <w:marBottom w:val="0"/>
      <w:divBdr>
        <w:top w:val="none" w:sz="0" w:space="0" w:color="auto"/>
        <w:left w:val="none" w:sz="0" w:space="0" w:color="auto"/>
        <w:bottom w:val="none" w:sz="0" w:space="0" w:color="auto"/>
        <w:right w:val="none" w:sz="0" w:space="0" w:color="auto"/>
      </w:divBdr>
    </w:div>
    <w:div w:id="894895004">
      <w:bodyDiv w:val="1"/>
      <w:marLeft w:val="0"/>
      <w:marRight w:val="0"/>
      <w:marTop w:val="0"/>
      <w:marBottom w:val="0"/>
      <w:divBdr>
        <w:top w:val="none" w:sz="0" w:space="0" w:color="auto"/>
        <w:left w:val="none" w:sz="0" w:space="0" w:color="auto"/>
        <w:bottom w:val="none" w:sz="0" w:space="0" w:color="auto"/>
        <w:right w:val="none" w:sz="0" w:space="0" w:color="auto"/>
      </w:divBdr>
    </w:div>
    <w:div w:id="938373605">
      <w:bodyDiv w:val="1"/>
      <w:marLeft w:val="0"/>
      <w:marRight w:val="0"/>
      <w:marTop w:val="0"/>
      <w:marBottom w:val="0"/>
      <w:divBdr>
        <w:top w:val="none" w:sz="0" w:space="0" w:color="auto"/>
        <w:left w:val="none" w:sz="0" w:space="0" w:color="auto"/>
        <w:bottom w:val="none" w:sz="0" w:space="0" w:color="auto"/>
        <w:right w:val="none" w:sz="0" w:space="0" w:color="auto"/>
      </w:divBdr>
      <w:divsChild>
        <w:div w:id="225844324">
          <w:marLeft w:val="1166"/>
          <w:marRight w:val="0"/>
          <w:marTop w:val="0"/>
          <w:marBottom w:val="0"/>
          <w:divBdr>
            <w:top w:val="none" w:sz="0" w:space="0" w:color="auto"/>
            <w:left w:val="none" w:sz="0" w:space="0" w:color="auto"/>
            <w:bottom w:val="none" w:sz="0" w:space="0" w:color="auto"/>
            <w:right w:val="none" w:sz="0" w:space="0" w:color="auto"/>
          </w:divBdr>
        </w:div>
      </w:divsChild>
    </w:div>
    <w:div w:id="951594481">
      <w:bodyDiv w:val="1"/>
      <w:marLeft w:val="0"/>
      <w:marRight w:val="0"/>
      <w:marTop w:val="0"/>
      <w:marBottom w:val="0"/>
      <w:divBdr>
        <w:top w:val="none" w:sz="0" w:space="0" w:color="auto"/>
        <w:left w:val="none" w:sz="0" w:space="0" w:color="auto"/>
        <w:bottom w:val="none" w:sz="0" w:space="0" w:color="auto"/>
        <w:right w:val="none" w:sz="0" w:space="0" w:color="auto"/>
      </w:divBdr>
    </w:div>
    <w:div w:id="951862092">
      <w:bodyDiv w:val="1"/>
      <w:marLeft w:val="0"/>
      <w:marRight w:val="0"/>
      <w:marTop w:val="0"/>
      <w:marBottom w:val="0"/>
      <w:divBdr>
        <w:top w:val="none" w:sz="0" w:space="0" w:color="auto"/>
        <w:left w:val="none" w:sz="0" w:space="0" w:color="auto"/>
        <w:bottom w:val="none" w:sz="0" w:space="0" w:color="auto"/>
        <w:right w:val="none" w:sz="0" w:space="0" w:color="auto"/>
      </w:divBdr>
      <w:divsChild>
        <w:div w:id="97527015">
          <w:marLeft w:val="1166"/>
          <w:marRight w:val="0"/>
          <w:marTop w:val="0"/>
          <w:marBottom w:val="0"/>
          <w:divBdr>
            <w:top w:val="none" w:sz="0" w:space="0" w:color="auto"/>
            <w:left w:val="none" w:sz="0" w:space="0" w:color="auto"/>
            <w:bottom w:val="none" w:sz="0" w:space="0" w:color="auto"/>
            <w:right w:val="none" w:sz="0" w:space="0" w:color="auto"/>
          </w:divBdr>
        </w:div>
      </w:divsChild>
    </w:div>
    <w:div w:id="962466326">
      <w:bodyDiv w:val="1"/>
      <w:marLeft w:val="0"/>
      <w:marRight w:val="0"/>
      <w:marTop w:val="0"/>
      <w:marBottom w:val="0"/>
      <w:divBdr>
        <w:top w:val="none" w:sz="0" w:space="0" w:color="auto"/>
        <w:left w:val="none" w:sz="0" w:space="0" w:color="auto"/>
        <w:bottom w:val="none" w:sz="0" w:space="0" w:color="auto"/>
        <w:right w:val="none" w:sz="0" w:space="0" w:color="auto"/>
      </w:divBdr>
      <w:divsChild>
        <w:div w:id="987635409">
          <w:marLeft w:val="547"/>
          <w:marRight w:val="0"/>
          <w:marTop w:val="120"/>
          <w:marBottom w:val="0"/>
          <w:divBdr>
            <w:top w:val="none" w:sz="0" w:space="0" w:color="auto"/>
            <w:left w:val="none" w:sz="0" w:space="0" w:color="auto"/>
            <w:bottom w:val="none" w:sz="0" w:space="0" w:color="auto"/>
            <w:right w:val="none" w:sz="0" w:space="0" w:color="auto"/>
          </w:divBdr>
        </w:div>
      </w:divsChild>
    </w:div>
    <w:div w:id="966622714">
      <w:bodyDiv w:val="1"/>
      <w:marLeft w:val="0"/>
      <w:marRight w:val="0"/>
      <w:marTop w:val="0"/>
      <w:marBottom w:val="0"/>
      <w:divBdr>
        <w:top w:val="none" w:sz="0" w:space="0" w:color="auto"/>
        <w:left w:val="none" w:sz="0" w:space="0" w:color="auto"/>
        <w:bottom w:val="none" w:sz="0" w:space="0" w:color="auto"/>
        <w:right w:val="none" w:sz="0" w:space="0" w:color="auto"/>
      </w:divBdr>
    </w:div>
    <w:div w:id="970326594">
      <w:bodyDiv w:val="1"/>
      <w:marLeft w:val="0"/>
      <w:marRight w:val="0"/>
      <w:marTop w:val="0"/>
      <w:marBottom w:val="0"/>
      <w:divBdr>
        <w:top w:val="none" w:sz="0" w:space="0" w:color="auto"/>
        <w:left w:val="none" w:sz="0" w:space="0" w:color="auto"/>
        <w:bottom w:val="none" w:sz="0" w:space="0" w:color="auto"/>
        <w:right w:val="none" w:sz="0" w:space="0" w:color="auto"/>
      </w:divBdr>
    </w:div>
    <w:div w:id="970595652">
      <w:bodyDiv w:val="1"/>
      <w:marLeft w:val="0"/>
      <w:marRight w:val="0"/>
      <w:marTop w:val="0"/>
      <w:marBottom w:val="0"/>
      <w:divBdr>
        <w:top w:val="none" w:sz="0" w:space="0" w:color="auto"/>
        <w:left w:val="none" w:sz="0" w:space="0" w:color="auto"/>
        <w:bottom w:val="none" w:sz="0" w:space="0" w:color="auto"/>
        <w:right w:val="none" w:sz="0" w:space="0" w:color="auto"/>
      </w:divBdr>
      <w:divsChild>
        <w:div w:id="130947002">
          <w:marLeft w:val="259"/>
          <w:marRight w:val="0"/>
          <w:marTop w:val="0"/>
          <w:marBottom w:val="0"/>
          <w:divBdr>
            <w:top w:val="none" w:sz="0" w:space="0" w:color="auto"/>
            <w:left w:val="none" w:sz="0" w:space="0" w:color="auto"/>
            <w:bottom w:val="none" w:sz="0" w:space="0" w:color="auto"/>
            <w:right w:val="none" w:sz="0" w:space="0" w:color="auto"/>
          </w:divBdr>
        </w:div>
      </w:divsChild>
    </w:div>
    <w:div w:id="972098640">
      <w:bodyDiv w:val="1"/>
      <w:marLeft w:val="0"/>
      <w:marRight w:val="0"/>
      <w:marTop w:val="0"/>
      <w:marBottom w:val="0"/>
      <w:divBdr>
        <w:top w:val="none" w:sz="0" w:space="0" w:color="auto"/>
        <w:left w:val="none" w:sz="0" w:space="0" w:color="auto"/>
        <w:bottom w:val="none" w:sz="0" w:space="0" w:color="auto"/>
        <w:right w:val="none" w:sz="0" w:space="0" w:color="auto"/>
      </w:divBdr>
    </w:div>
    <w:div w:id="981664366">
      <w:bodyDiv w:val="1"/>
      <w:marLeft w:val="0"/>
      <w:marRight w:val="0"/>
      <w:marTop w:val="0"/>
      <w:marBottom w:val="0"/>
      <w:divBdr>
        <w:top w:val="none" w:sz="0" w:space="0" w:color="auto"/>
        <w:left w:val="none" w:sz="0" w:space="0" w:color="auto"/>
        <w:bottom w:val="none" w:sz="0" w:space="0" w:color="auto"/>
        <w:right w:val="none" w:sz="0" w:space="0" w:color="auto"/>
      </w:divBdr>
      <w:divsChild>
        <w:div w:id="1637680707">
          <w:marLeft w:val="446"/>
          <w:marRight w:val="0"/>
          <w:marTop w:val="360"/>
          <w:marBottom w:val="0"/>
          <w:divBdr>
            <w:top w:val="none" w:sz="0" w:space="0" w:color="auto"/>
            <w:left w:val="none" w:sz="0" w:space="0" w:color="auto"/>
            <w:bottom w:val="none" w:sz="0" w:space="0" w:color="auto"/>
            <w:right w:val="none" w:sz="0" w:space="0" w:color="auto"/>
          </w:divBdr>
        </w:div>
      </w:divsChild>
    </w:div>
    <w:div w:id="996612462">
      <w:bodyDiv w:val="1"/>
      <w:marLeft w:val="0"/>
      <w:marRight w:val="0"/>
      <w:marTop w:val="0"/>
      <w:marBottom w:val="0"/>
      <w:divBdr>
        <w:top w:val="none" w:sz="0" w:space="0" w:color="auto"/>
        <w:left w:val="none" w:sz="0" w:space="0" w:color="auto"/>
        <w:bottom w:val="none" w:sz="0" w:space="0" w:color="auto"/>
        <w:right w:val="none" w:sz="0" w:space="0" w:color="auto"/>
      </w:divBdr>
      <w:divsChild>
        <w:div w:id="1216046219">
          <w:marLeft w:val="446"/>
          <w:marRight w:val="0"/>
          <w:marTop w:val="0"/>
          <w:marBottom w:val="0"/>
          <w:divBdr>
            <w:top w:val="none" w:sz="0" w:space="0" w:color="auto"/>
            <w:left w:val="none" w:sz="0" w:space="0" w:color="auto"/>
            <w:bottom w:val="none" w:sz="0" w:space="0" w:color="auto"/>
            <w:right w:val="none" w:sz="0" w:space="0" w:color="auto"/>
          </w:divBdr>
        </w:div>
      </w:divsChild>
    </w:div>
    <w:div w:id="1028144343">
      <w:bodyDiv w:val="1"/>
      <w:marLeft w:val="0"/>
      <w:marRight w:val="0"/>
      <w:marTop w:val="0"/>
      <w:marBottom w:val="0"/>
      <w:divBdr>
        <w:top w:val="none" w:sz="0" w:space="0" w:color="auto"/>
        <w:left w:val="none" w:sz="0" w:space="0" w:color="auto"/>
        <w:bottom w:val="none" w:sz="0" w:space="0" w:color="auto"/>
        <w:right w:val="none" w:sz="0" w:space="0" w:color="auto"/>
      </w:divBdr>
      <w:divsChild>
        <w:div w:id="2085755834">
          <w:marLeft w:val="763"/>
          <w:marRight w:val="0"/>
          <w:marTop w:val="120"/>
          <w:marBottom w:val="0"/>
          <w:divBdr>
            <w:top w:val="none" w:sz="0" w:space="0" w:color="auto"/>
            <w:left w:val="none" w:sz="0" w:space="0" w:color="auto"/>
            <w:bottom w:val="none" w:sz="0" w:space="0" w:color="auto"/>
            <w:right w:val="none" w:sz="0" w:space="0" w:color="auto"/>
          </w:divBdr>
        </w:div>
      </w:divsChild>
    </w:div>
    <w:div w:id="1061488148">
      <w:bodyDiv w:val="1"/>
      <w:marLeft w:val="0"/>
      <w:marRight w:val="0"/>
      <w:marTop w:val="0"/>
      <w:marBottom w:val="0"/>
      <w:divBdr>
        <w:top w:val="none" w:sz="0" w:space="0" w:color="auto"/>
        <w:left w:val="none" w:sz="0" w:space="0" w:color="auto"/>
        <w:bottom w:val="none" w:sz="0" w:space="0" w:color="auto"/>
        <w:right w:val="none" w:sz="0" w:space="0" w:color="auto"/>
      </w:divBdr>
      <w:divsChild>
        <w:div w:id="717820434">
          <w:marLeft w:val="1166"/>
          <w:marRight w:val="0"/>
          <w:marTop w:val="0"/>
          <w:marBottom w:val="0"/>
          <w:divBdr>
            <w:top w:val="none" w:sz="0" w:space="0" w:color="auto"/>
            <w:left w:val="none" w:sz="0" w:space="0" w:color="auto"/>
            <w:bottom w:val="none" w:sz="0" w:space="0" w:color="auto"/>
            <w:right w:val="none" w:sz="0" w:space="0" w:color="auto"/>
          </w:divBdr>
        </w:div>
      </w:divsChild>
    </w:div>
    <w:div w:id="1090543271">
      <w:bodyDiv w:val="1"/>
      <w:marLeft w:val="0"/>
      <w:marRight w:val="0"/>
      <w:marTop w:val="0"/>
      <w:marBottom w:val="0"/>
      <w:divBdr>
        <w:top w:val="none" w:sz="0" w:space="0" w:color="auto"/>
        <w:left w:val="none" w:sz="0" w:space="0" w:color="auto"/>
        <w:bottom w:val="none" w:sz="0" w:space="0" w:color="auto"/>
        <w:right w:val="none" w:sz="0" w:space="0" w:color="auto"/>
      </w:divBdr>
    </w:div>
    <w:div w:id="1124468590">
      <w:bodyDiv w:val="1"/>
      <w:marLeft w:val="0"/>
      <w:marRight w:val="0"/>
      <w:marTop w:val="0"/>
      <w:marBottom w:val="0"/>
      <w:divBdr>
        <w:top w:val="none" w:sz="0" w:space="0" w:color="auto"/>
        <w:left w:val="none" w:sz="0" w:space="0" w:color="auto"/>
        <w:bottom w:val="none" w:sz="0" w:space="0" w:color="auto"/>
        <w:right w:val="none" w:sz="0" w:space="0" w:color="auto"/>
      </w:divBdr>
    </w:div>
    <w:div w:id="1132481346">
      <w:bodyDiv w:val="1"/>
      <w:marLeft w:val="0"/>
      <w:marRight w:val="0"/>
      <w:marTop w:val="0"/>
      <w:marBottom w:val="0"/>
      <w:divBdr>
        <w:top w:val="none" w:sz="0" w:space="0" w:color="auto"/>
        <w:left w:val="none" w:sz="0" w:space="0" w:color="auto"/>
        <w:bottom w:val="none" w:sz="0" w:space="0" w:color="auto"/>
        <w:right w:val="none" w:sz="0" w:space="0" w:color="auto"/>
      </w:divBdr>
      <w:divsChild>
        <w:div w:id="2126458595">
          <w:marLeft w:val="360"/>
          <w:marRight w:val="0"/>
          <w:marTop w:val="0"/>
          <w:marBottom w:val="40"/>
          <w:divBdr>
            <w:top w:val="none" w:sz="0" w:space="0" w:color="auto"/>
            <w:left w:val="none" w:sz="0" w:space="0" w:color="auto"/>
            <w:bottom w:val="none" w:sz="0" w:space="0" w:color="auto"/>
            <w:right w:val="none" w:sz="0" w:space="0" w:color="auto"/>
          </w:divBdr>
        </w:div>
      </w:divsChild>
    </w:div>
    <w:div w:id="1145707065">
      <w:bodyDiv w:val="1"/>
      <w:marLeft w:val="0"/>
      <w:marRight w:val="0"/>
      <w:marTop w:val="0"/>
      <w:marBottom w:val="0"/>
      <w:divBdr>
        <w:top w:val="none" w:sz="0" w:space="0" w:color="auto"/>
        <w:left w:val="none" w:sz="0" w:space="0" w:color="auto"/>
        <w:bottom w:val="none" w:sz="0" w:space="0" w:color="auto"/>
        <w:right w:val="none" w:sz="0" w:space="0" w:color="auto"/>
      </w:divBdr>
      <w:divsChild>
        <w:div w:id="603921995">
          <w:marLeft w:val="1267"/>
          <w:marRight w:val="0"/>
          <w:marTop w:val="120"/>
          <w:marBottom w:val="0"/>
          <w:divBdr>
            <w:top w:val="none" w:sz="0" w:space="0" w:color="auto"/>
            <w:left w:val="none" w:sz="0" w:space="0" w:color="auto"/>
            <w:bottom w:val="none" w:sz="0" w:space="0" w:color="auto"/>
            <w:right w:val="none" w:sz="0" w:space="0" w:color="auto"/>
          </w:divBdr>
        </w:div>
      </w:divsChild>
    </w:div>
    <w:div w:id="1146359784">
      <w:bodyDiv w:val="1"/>
      <w:marLeft w:val="0"/>
      <w:marRight w:val="0"/>
      <w:marTop w:val="0"/>
      <w:marBottom w:val="0"/>
      <w:divBdr>
        <w:top w:val="none" w:sz="0" w:space="0" w:color="auto"/>
        <w:left w:val="none" w:sz="0" w:space="0" w:color="auto"/>
        <w:bottom w:val="none" w:sz="0" w:space="0" w:color="auto"/>
        <w:right w:val="none" w:sz="0" w:space="0" w:color="auto"/>
      </w:divBdr>
    </w:div>
    <w:div w:id="1163817817">
      <w:bodyDiv w:val="1"/>
      <w:marLeft w:val="0"/>
      <w:marRight w:val="0"/>
      <w:marTop w:val="0"/>
      <w:marBottom w:val="0"/>
      <w:divBdr>
        <w:top w:val="none" w:sz="0" w:space="0" w:color="auto"/>
        <w:left w:val="none" w:sz="0" w:space="0" w:color="auto"/>
        <w:bottom w:val="none" w:sz="0" w:space="0" w:color="auto"/>
        <w:right w:val="none" w:sz="0" w:space="0" w:color="auto"/>
      </w:divBdr>
      <w:divsChild>
        <w:div w:id="2078673205">
          <w:marLeft w:val="360"/>
          <w:marRight w:val="0"/>
          <w:marTop w:val="0"/>
          <w:marBottom w:val="40"/>
          <w:divBdr>
            <w:top w:val="none" w:sz="0" w:space="0" w:color="auto"/>
            <w:left w:val="none" w:sz="0" w:space="0" w:color="auto"/>
            <w:bottom w:val="none" w:sz="0" w:space="0" w:color="auto"/>
            <w:right w:val="none" w:sz="0" w:space="0" w:color="auto"/>
          </w:divBdr>
        </w:div>
      </w:divsChild>
    </w:div>
    <w:div w:id="1164013235">
      <w:bodyDiv w:val="1"/>
      <w:marLeft w:val="0"/>
      <w:marRight w:val="0"/>
      <w:marTop w:val="0"/>
      <w:marBottom w:val="0"/>
      <w:divBdr>
        <w:top w:val="none" w:sz="0" w:space="0" w:color="auto"/>
        <w:left w:val="none" w:sz="0" w:space="0" w:color="auto"/>
        <w:bottom w:val="none" w:sz="0" w:space="0" w:color="auto"/>
        <w:right w:val="none" w:sz="0" w:space="0" w:color="auto"/>
      </w:divBdr>
      <w:divsChild>
        <w:div w:id="1803421878">
          <w:marLeft w:val="446"/>
          <w:marRight w:val="0"/>
          <w:marTop w:val="120"/>
          <w:marBottom w:val="0"/>
          <w:divBdr>
            <w:top w:val="none" w:sz="0" w:space="0" w:color="auto"/>
            <w:left w:val="none" w:sz="0" w:space="0" w:color="auto"/>
            <w:bottom w:val="none" w:sz="0" w:space="0" w:color="auto"/>
            <w:right w:val="none" w:sz="0" w:space="0" w:color="auto"/>
          </w:divBdr>
        </w:div>
      </w:divsChild>
    </w:div>
    <w:div w:id="1170681800">
      <w:bodyDiv w:val="1"/>
      <w:marLeft w:val="0"/>
      <w:marRight w:val="0"/>
      <w:marTop w:val="0"/>
      <w:marBottom w:val="0"/>
      <w:divBdr>
        <w:top w:val="none" w:sz="0" w:space="0" w:color="auto"/>
        <w:left w:val="none" w:sz="0" w:space="0" w:color="auto"/>
        <w:bottom w:val="none" w:sz="0" w:space="0" w:color="auto"/>
        <w:right w:val="none" w:sz="0" w:space="0" w:color="auto"/>
      </w:divBdr>
    </w:div>
    <w:div w:id="1177426202">
      <w:bodyDiv w:val="1"/>
      <w:marLeft w:val="0"/>
      <w:marRight w:val="0"/>
      <w:marTop w:val="0"/>
      <w:marBottom w:val="0"/>
      <w:divBdr>
        <w:top w:val="none" w:sz="0" w:space="0" w:color="auto"/>
        <w:left w:val="none" w:sz="0" w:space="0" w:color="auto"/>
        <w:bottom w:val="none" w:sz="0" w:space="0" w:color="auto"/>
        <w:right w:val="none" w:sz="0" w:space="0" w:color="auto"/>
      </w:divBdr>
    </w:div>
    <w:div w:id="1180237969">
      <w:bodyDiv w:val="1"/>
      <w:marLeft w:val="0"/>
      <w:marRight w:val="0"/>
      <w:marTop w:val="0"/>
      <w:marBottom w:val="0"/>
      <w:divBdr>
        <w:top w:val="none" w:sz="0" w:space="0" w:color="auto"/>
        <w:left w:val="none" w:sz="0" w:space="0" w:color="auto"/>
        <w:bottom w:val="none" w:sz="0" w:space="0" w:color="auto"/>
        <w:right w:val="none" w:sz="0" w:space="0" w:color="auto"/>
      </w:divBdr>
      <w:divsChild>
        <w:div w:id="393941048">
          <w:marLeft w:val="763"/>
          <w:marRight w:val="0"/>
          <w:marTop w:val="120"/>
          <w:marBottom w:val="0"/>
          <w:divBdr>
            <w:top w:val="none" w:sz="0" w:space="0" w:color="auto"/>
            <w:left w:val="none" w:sz="0" w:space="0" w:color="auto"/>
            <w:bottom w:val="none" w:sz="0" w:space="0" w:color="auto"/>
            <w:right w:val="none" w:sz="0" w:space="0" w:color="auto"/>
          </w:divBdr>
        </w:div>
      </w:divsChild>
    </w:div>
    <w:div w:id="1194615483">
      <w:bodyDiv w:val="1"/>
      <w:marLeft w:val="0"/>
      <w:marRight w:val="0"/>
      <w:marTop w:val="0"/>
      <w:marBottom w:val="0"/>
      <w:divBdr>
        <w:top w:val="none" w:sz="0" w:space="0" w:color="auto"/>
        <w:left w:val="none" w:sz="0" w:space="0" w:color="auto"/>
        <w:bottom w:val="none" w:sz="0" w:space="0" w:color="auto"/>
        <w:right w:val="none" w:sz="0" w:space="0" w:color="auto"/>
      </w:divBdr>
      <w:divsChild>
        <w:div w:id="286276747">
          <w:marLeft w:val="864"/>
          <w:marRight w:val="0"/>
          <w:marTop w:val="0"/>
          <w:marBottom w:val="40"/>
          <w:divBdr>
            <w:top w:val="none" w:sz="0" w:space="0" w:color="auto"/>
            <w:left w:val="none" w:sz="0" w:space="0" w:color="auto"/>
            <w:bottom w:val="none" w:sz="0" w:space="0" w:color="auto"/>
            <w:right w:val="none" w:sz="0" w:space="0" w:color="auto"/>
          </w:divBdr>
        </w:div>
      </w:divsChild>
    </w:div>
    <w:div w:id="1199389939">
      <w:bodyDiv w:val="1"/>
      <w:marLeft w:val="0"/>
      <w:marRight w:val="0"/>
      <w:marTop w:val="0"/>
      <w:marBottom w:val="0"/>
      <w:divBdr>
        <w:top w:val="none" w:sz="0" w:space="0" w:color="auto"/>
        <w:left w:val="none" w:sz="0" w:space="0" w:color="auto"/>
        <w:bottom w:val="none" w:sz="0" w:space="0" w:color="auto"/>
        <w:right w:val="none" w:sz="0" w:space="0" w:color="auto"/>
      </w:divBdr>
    </w:div>
    <w:div w:id="1205867722">
      <w:bodyDiv w:val="1"/>
      <w:marLeft w:val="0"/>
      <w:marRight w:val="0"/>
      <w:marTop w:val="0"/>
      <w:marBottom w:val="0"/>
      <w:divBdr>
        <w:top w:val="none" w:sz="0" w:space="0" w:color="auto"/>
        <w:left w:val="none" w:sz="0" w:space="0" w:color="auto"/>
        <w:bottom w:val="none" w:sz="0" w:space="0" w:color="auto"/>
        <w:right w:val="none" w:sz="0" w:space="0" w:color="auto"/>
      </w:divBdr>
      <w:divsChild>
        <w:div w:id="1923446117">
          <w:marLeft w:val="1109"/>
          <w:marRight w:val="0"/>
          <w:marTop w:val="0"/>
          <w:marBottom w:val="40"/>
          <w:divBdr>
            <w:top w:val="none" w:sz="0" w:space="0" w:color="auto"/>
            <w:left w:val="none" w:sz="0" w:space="0" w:color="auto"/>
            <w:bottom w:val="none" w:sz="0" w:space="0" w:color="auto"/>
            <w:right w:val="none" w:sz="0" w:space="0" w:color="auto"/>
          </w:divBdr>
        </w:div>
      </w:divsChild>
    </w:div>
    <w:div w:id="1232810857">
      <w:bodyDiv w:val="1"/>
      <w:marLeft w:val="0"/>
      <w:marRight w:val="0"/>
      <w:marTop w:val="0"/>
      <w:marBottom w:val="0"/>
      <w:divBdr>
        <w:top w:val="none" w:sz="0" w:space="0" w:color="auto"/>
        <w:left w:val="none" w:sz="0" w:space="0" w:color="auto"/>
        <w:bottom w:val="none" w:sz="0" w:space="0" w:color="auto"/>
        <w:right w:val="none" w:sz="0" w:space="0" w:color="auto"/>
      </w:divBdr>
      <w:divsChild>
        <w:div w:id="1066225985">
          <w:marLeft w:val="763"/>
          <w:marRight w:val="0"/>
          <w:marTop w:val="120"/>
          <w:marBottom w:val="0"/>
          <w:divBdr>
            <w:top w:val="none" w:sz="0" w:space="0" w:color="auto"/>
            <w:left w:val="none" w:sz="0" w:space="0" w:color="auto"/>
            <w:bottom w:val="none" w:sz="0" w:space="0" w:color="auto"/>
            <w:right w:val="none" w:sz="0" w:space="0" w:color="auto"/>
          </w:divBdr>
        </w:div>
      </w:divsChild>
    </w:div>
    <w:div w:id="1240283976">
      <w:bodyDiv w:val="1"/>
      <w:marLeft w:val="0"/>
      <w:marRight w:val="0"/>
      <w:marTop w:val="0"/>
      <w:marBottom w:val="0"/>
      <w:divBdr>
        <w:top w:val="none" w:sz="0" w:space="0" w:color="auto"/>
        <w:left w:val="none" w:sz="0" w:space="0" w:color="auto"/>
        <w:bottom w:val="none" w:sz="0" w:space="0" w:color="auto"/>
        <w:right w:val="none" w:sz="0" w:space="0" w:color="auto"/>
      </w:divBdr>
      <w:divsChild>
        <w:div w:id="112293424">
          <w:marLeft w:val="259"/>
          <w:marRight w:val="0"/>
          <w:marTop w:val="0"/>
          <w:marBottom w:val="0"/>
          <w:divBdr>
            <w:top w:val="none" w:sz="0" w:space="0" w:color="auto"/>
            <w:left w:val="none" w:sz="0" w:space="0" w:color="auto"/>
            <w:bottom w:val="none" w:sz="0" w:space="0" w:color="auto"/>
            <w:right w:val="none" w:sz="0" w:space="0" w:color="auto"/>
          </w:divBdr>
        </w:div>
      </w:divsChild>
    </w:div>
    <w:div w:id="1242569370">
      <w:bodyDiv w:val="1"/>
      <w:marLeft w:val="0"/>
      <w:marRight w:val="0"/>
      <w:marTop w:val="0"/>
      <w:marBottom w:val="0"/>
      <w:divBdr>
        <w:top w:val="none" w:sz="0" w:space="0" w:color="auto"/>
        <w:left w:val="none" w:sz="0" w:space="0" w:color="auto"/>
        <w:bottom w:val="none" w:sz="0" w:space="0" w:color="auto"/>
        <w:right w:val="none" w:sz="0" w:space="0" w:color="auto"/>
      </w:divBdr>
    </w:div>
    <w:div w:id="1246958319">
      <w:bodyDiv w:val="1"/>
      <w:marLeft w:val="0"/>
      <w:marRight w:val="0"/>
      <w:marTop w:val="0"/>
      <w:marBottom w:val="0"/>
      <w:divBdr>
        <w:top w:val="none" w:sz="0" w:space="0" w:color="auto"/>
        <w:left w:val="none" w:sz="0" w:space="0" w:color="auto"/>
        <w:bottom w:val="none" w:sz="0" w:space="0" w:color="auto"/>
        <w:right w:val="none" w:sz="0" w:space="0" w:color="auto"/>
      </w:divBdr>
      <w:divsChild>
        <w:div w:id="1127622093">
          <w:marLeft w:val="979"/>
          <w:marRight w:val="0"/>
          <w:marTop w:val="0"/>
          <w:marBottom w:val="0"/>
          <w:divBdr>
            <w:top w:val="none" w:sz="0" w:space="0" w:color="auto"/>
            <w:left w:val="none" w:sz="0" w:space="0" w:color="auto"/>
            <w:bottom w:val="none" w:sz="0" w:space="0" w:color="auto"/>
            <w:right w:val="none" w:sz="0" w:space="0" w:color="auto"/>
          </w:divBdr>
        </w:div>
      </w:divsChild>
    </w:div>
    <w:div w:id="1250844525">
      <w:bodyDiv w:val="1"/>
      <w:marLeft w:val="0"/>
      <w:marRight w:val="0"/>
      <w:marTop w:val="0"/>
      <w:marBottom w:val="0"/>
      <w:divBdr>
        <w:top w:val="none" w:sz="0" w:space="0" w:color="auto"/>
        <w:left w:val="none" w:sz="0" w:space="0" w:color="auto"/>
        <w:bottom w:val="none" w:sz="0" w:space="0" w:color="auto"/>
        <w:right w:val="none" w:sz="0" w:space="0" w:color="auto"/>
      </w:divBdr>
      <w:divsChild>
        <w:div w:id="1543126643">
          <w:marLeft w:val="446"/>
          <w:marRight w:val="0"/>
          <w:marTop w:val="0"/>
          <w:marBottom w:val="0"/>
          <w:divBdr>
            <w:top w:val="none" w:sz="0" w:space="0" w:color="auto"/>
            <w:left w:val="none" w:sz="0" w:space="0" w:color="auto"/>
            <w:bottom w:val="none" w:sz="0" w:space="0" w:color="auto"/>
            <w:right w:val="none" w:sz="0" w:space="0" w:color="auto"/>
          </w:divBdr>
        </w:div>
      </w:divsChild>
    </w:div>
    <w:div w:id="1278878414">
      <w:bodyDiv w:val="1"/>
      <w:marLeft w:val="0"/>
      <w:marRight w:val="0"/>
      <w:marTop w:val="0"/>
      <w:marBottom w:val="0"/>
      <w:divBdr>
        <w:top w:val="none" w:sz="0" w:space="0" w:color="auto"/>
        <w:left w:val="none" w:sz="0" w:space="0" w:color="auto"/>
        <w:bottom w:val="none" w:sz="0" w:space="0" w:color="auto"/>
        <w:right w:val="none" w:sz="0" w:space="0" w:color="auto"/>
      </w:divBdr>
    </w:div>
    <w:div w:id="1288393674">
      <w:bodyDiv w:val="1"/>
      <w:marLeft w:val="0"/>
      <w:marRight w:val="0"/>
      <w:marTop w:val="0"/>
      <w:marBottom w:val="0"/>
      <w:divBdr>
        <w:top w:val="none" w:sz="0" w:space="0" w:color="auto"/>
        <w:left w:val="none" w:sz="0" w:space="0" w:color="auto"/>
        <w:bottom w:val="none" w:sz="0" w:space="0" w:color="auto"/>
        <w:right w:val="none" w:sz="0" w:space="0" w:color="auto"/>
      </w:divBdr>
    </w:div>
    <w:div w:id="1296988369">
      <w:bodyDiv w:val="1"/>
      <w:marLeft w:val="0"/>
      <w:marRight w:val="0"/>
      <w:marTop w:val="0"/>
      <w:marBottom w:val="0"/>
      <w:divBdr>
        <w:top w:val="none" w:sz="0" w:space="0" w:color="auto"/>
        <w:left w:val="none" w:sz="0" w:space="0" w:color="auto"/>
        <w:bottom w:val="none" w:sz="0" w:space="0" w:color="auto"/>
        <w:right w:val="none" w:sz="0" w:space="0" w:color="auto"/>
      </w:divBdr>
      <w:divsChild>
        <w:div w:id="1471709088">
          <w:marLeft w:val="864"/>
          <w:marRight w:val="0"/>
          <w:marTop w:val="0"/>
          <w:marBottom w:val="40"/>
          <w:divBdr>
            <w:top w:val="none" w:sz="0" w:space="0" w:color="auto"/>
            <w:left w:val="none" w:sz="0" w:space="0" w:color="auto"/>
            <w:bottom w:val="none" w:sz="0" w:space="0" w:color="auto"/>
            <w:right w:val="none" w:sz="0" w:space="0" w:color="auto"/>
          </w:divBdr>
        </w:div>
      </w:divsChild>
    </w:div>
    <w:div w:id="1312061698">
      <w:bodyDiv w:val="1"/>
      <w:marLeft w:val="0"/>
      <w:marRight w:val="0"/>
      <w:marTop w:val="0"/>
      <w:marBottom w:val="0"/>
      <w:divBdr>
        <w:top w:val="none" w:sz="0" w:space="0" w:color="auto"/>
        <w:left w:val="none" w:sz="0" w:space="0" w:color="auto"/>
        <w:bottom w:val="none" w:sz="0" w:space="0" w:color="auto"/>
        <w:right w:val="none" w:sz="0" w:space="0" w:color="auto"/>
      </w:divBdr>
    </w:div>
    <w:div w:id="1315446723">
      <w:bodyDiv w:val="1"/>
      <w:marLeft w:val="0"/>
      <w:marRight w:val="0"/>
      <w:marTop w:val="0"/>
      <w:marBottom w:val="0"/>
      <w:divBdr>
        <w:top w:val="none" w:sz="0" w:space="0" w:color="auto"/>
        <w:left w:val="none" w:sz="0" w:space="0" w:color="auto"/>
        <w:bottom w:val="none" w:sz="0" w:space="0" w:color="auto"/>
        <w:right w:val="none" w:sz="0" w:space="0" w:color="auto"/>
      </w:divBdr>
    </w:div>
    <w:div w:id="1325628396">
      <w:bodyDiv w:val="1"/>
      <w:marLeft w:val="0"/>
      <w:marRight w:val="0"/>
      <w:marTop w:val="0"/>
      <w:marBottom w:val="0"/>
      <w:divBdr>
        <w:top w:val="none" w:sz="0" w:space="0" w:color="auto"/>
        <w:left w:val="none" w:sz="0" w:space="0" w:color="auto"/>
        <w:bottom w:val="none" w:sz="0" w:space="0" w:color="auto"/>
        <w:right w:val="none" w:sz="0" w:space="0" w:color="auto"/>
      </w:divBdr>
      <w:divsChild>
        <w:div w:id="848717530">
          <w:marLeft w:val="432"/>
          <w:marRight w:val="0"/>
          <w:marTop w:val="0"/>
          <w:marBottom w:val="0"/>
          <w:divBdr>
            <w:top w:val="none" w:sz="0" w:space="0" w:color="auto"/>
            <w:left w:val="none" w:sz="0" w:space="0" w:color="auto"/>
            <w:bottom w:val="none" w:sz="0" w:space="0" w:color="auto"/>
            <w:right w:val="none" w:sz="0" w:space="0" w:color="auto"/>
          </w:divBdr>
        </w:div>
      </w:divsChild>
    </w:div>
    <w:div w:id="1394738760">
      <w:bodyDiv w:val="1"/>
      <w:marLeft w:val="0"/>
      <w:marRight w:val="0"/>
      <w:marTop w:val="0"/>
      <w:marBottom w:val="0"/>
      <w:divBdr>
        <w:top w:val="none" w:sz="0" w:space="0" w:color="auto"/>
        <w:left w:val="none" w:sz="0" w:space="0" w:color="auto"/>
        <w:bottom w:val="none" w:sz="0" w:space="0" w:color="auto"/>
        <w:right w:val="none" w:sz="0" w:space="0" w:color="auto"/>
      </w:divBdr>
    </w:div>
    <w:div w:id="1400714917">
      <w:bodyDiv w:val="1"/>
      <w:marLeft w:val="0"/>
      <w:marRight w:val="0"/>
      <w:marTop w:val="0"/>
      <w:marBottom w:val="0"/>
      <w:divBdr>
        <w:top w:val="none" w:sz="0" w:space="0" w:color="auto"/>
        <w:left w:val="none" w:sz="0" w:space="0" w:color="auto"/>
        <w:bottom w:val="none" w:sz="0" w:space="0" w:color="auto"/>
        <w:right w:val="none" w:sz="0" w:space="0" w:color="auto"/>
      </w:divBdr>
    </w:div>
    <w:div w:id="1405958583">
      <w:bodyDiv w:val="1"/>
      <w:marLeft w:val="0"/>
      <w:marRight w:val="0"/>
      <w:marTop w:val="0"/>
      <w:marBottom w:val="0"/>
      <w:divBdr>
        <w:top w:val="none" w:sz="0" w:space="0" w:color="auto"/>
        <w:left w:val="none" w:sz="0" w:space="0" w:color="auto"/>
        <w:bottom w:val="none" w:sz="0" w:space="0" w:color="auto"/>
        <w:right w:val="none" w:sz="0" w:space="0" w:color="auto"/>
      </w:divBdr>
      <w:divsChild>
        <w:div w:id="1807241220">
          <w:marLeft w:val="446"/>
          <w:marRight w:val="0"/>
          <w:marTop w:val="120"/>
          <w:marBottom w:val="0"/>
          <w:divBdr>
            <w:top w:val="none" w:sz="0" w:space="0" w:color="auto"/>
            <w:left w:val="none" w:sz="0" w:space="0" w:color="auto"/>
            <w:bottom w:val="none" w:sz="0" w:space="0" w:color="auto"/>
            <w:right w:val="none" w:sz="0" w:space="0" w:color="auto"/>
          </w:divBdr>
        </w:div>
      </w:divsChild>
    </w:div>
    <w:div w:id="1421099497">
      <w:bodyDiv w:val="1"/>
      <w:marLeft w:val="0"/>
      <w:marRight w:val="0"/>
      <w:marTop w:val="0"/>
      <w:marBottom w:val="0"/>
      <w:divBdr>
        <w:top w:val="none" w:sz="0" w:space="0" w:color="auto"/>
        <w:left w:val="none" w:sz="0" w:space="0" w:color="auto"/>
        <w:bottom w:val="none" w:sz="0" w:space="0" w:color="auto"/>
        <w:right w:val="none" w:sz="0" w:space="0" w:color="auto"/>
      </w:divBdr>
      <w:divsChild>
        <w:div w:id="2039313448">
          <w:marLeft w:val="446"/>
          <w:marRight w:val="0"/>
          <w:marTop w:val="0"/>
          <w:marBottom w:val="40"/>
          <w:divBdr>
            <w:top w:val="none" w:sz="0" w:space="0" w:color="auto"/>
            <w:left w:val="none" w:sz="0" w:space="0" w:color="auto"/>
            <w:bottom w:val="none" w:sz="0" w:space="0" w:color="auto"/>
            <w:right w:val="none" w:sz="0" w:space="0" w:color="auto"/>
          </w:divBdr>
        </w:div>
      </w:divsChild>
    </w:div>
    <w:div w:id="1437865316">
      <w:bodyDiv w:val="1"/>
      <w:marLeft w:val="0"/>
      <w:marRight w:val="0"/>
      <w:marTop w:val="0"/>
      <w:marBottom w:val="0"/>
      <w:divBdr>
        <w:top w:val="none" w:sz="0" w:space="0" w:color="auto"/>
        <w:left w:val="none" w:sz="0" w:space="0" w:color="auto"/>
        <w:bottom w:val="none" w:sz="0" w:space="0" w:color="auto"/>
        <w:right w:val="none" w:sz="0" w:space="0" w:color="auto"/>
      </w:divBdr>
      <w:divsChild>
        <w:div w:id="549343033">
          <w:marLeft w:val="446"/>
          <w:marRight w:val="0"/>
          <w:marTop w:val="0"/>
          <w:marBottom w:val="240"/>
          <w:divBdr>
            <w:top w:val="none" w:sz="0" w:space="0" w:color="auto"/>
            <w:left w:val="none" w:sz="0" w:space="0" w:color="auto"/>
            <w:bottom w:val="none" w:sz="0" w:space="0" w:color="auto"/>
            <w:right w:val="none" w:sz="0" w:space="0" w:color="auto"/>
          </w:divBdr>
        </w:div>
      </w:divsChild>
    </w:div>
    <w:div w:id="1442989730">
      <w:bodyDiv w:val="1"/>
      <w:marLeft w:val="0"/>
      <w:marRight w:val="0"/>
      <w:marTop w:val="0"/>
      <w:marBottom w:val="0"/>
      <w:divBdr>
        <w:top w:val="none" w:sz="0" w:space="0" w:color="auto"/>
        <w:left w:val="none" w:sz="0" w:space="0" w:color="auto"/>
        <w:bottom w:val="none" w:sz="0" w:space="0" w:color="auto"/>
        <w:right w:val="none" w:sz="0" w:space="0" w:color="auto"/>
      </w:divBdr>
    </w:div>
    <w:div w:id="1447848797">
      <w:bodyDiv w:val="1"/>
      <w:marLeft w:val="0"/>
      <w:marRight w:val="0"/>
      <w:marTop w:val="0"/>
      <w:marBottom w:val="0"/>
      <w:divBdr>
        <w:top w:val="none" w:sz="0" w:space="0" w:color="auto"/>
        <w:left w:val="none" w:sz="0" w:space="0" w:color="auto"/>
        <w:bottom w:val="none" w:sz="0" w:space="0" w:color="auto"/>
        <w:right w:val="none" w:sz="0" w:space="0" w:color="auto"/>
      </w:divBdr>
      <w:divsChild>
        <w:div w:id="2015062833">
          <w:marLeft w:val="331"/>
          <w:marRight w:val="0"/>
          <w:marTop w:val="120"/>
          <w:marBottom w:val="0"/>
          <w:divBdr>
            <w:top w:val="none" w:sz="0" w:space="0" w:color="auto"/>
            <w:left w:val="none" w:sz="0" w:space="0" w:color="auto"/>
            <w:bottom w:val="none" w:sz="0" w:space="0" w:color="auto"/>
            <w:right w:val="none" w:sz="0" w:space="0" w:color="auto"/>
          </w:divBdr>
        </w:div>
      </w:divsChild>
    </w:div>
    <w:div w:id="1448356776">
      <w:bodyDiv w:val="1"/>
      <w:marLeft w:val="0"/>
      <w:marRight w:val="0"/>
      <w:marTop w:val="0"/>
      <w:marBottom w:val="0"/>
      <w:divBdr>
        <w:top w:val="none" w:sz="0" w:space="0" w:color="auto"/>
        <w:left w:val="none" w:sz="0" w:space="0" w:color="auto"/>
        <w:bottom w:val="none" w:sz="0" w:space="0" w:color="auto"/>
        <w:right w:val="none" w:sz="0" w:space="0" w:color="auto"/>
      </w:divBdr>
    </w:div>
    <w:div w:id="1456830276">
      <w:bodyDiv w:val="1"/>
      <w:marLeft w:val="0"/>
      <w:marRight w:val="0"/>
      <w:marTop w:val="0"/>
      <w:marBottom w:val="0"/>
      <w:divBdr>
        <w:top w:val="none" w:sz="0" w:space="0" w:color="auto"/>
        <w:left w:val="none" w:sz="0" w:space="0" w:color="auto"/>
        <w:bottom w:val="none" w:sz="0" w:space="0" w:color="auto"/>
        <w:right w:val="none" w:sz="0" w:space="0" w:color="auto"/>
      </w:divBdr>
      <w:divsChild>
        <w:div w:id="2038846469">
          <w:marLeft w:val="446"/>
          <w:marRight w:val="0"/>
          <w:marTop w:val="0"/>
          <w:marBottom w:val="0"/>
          <w:divBdr>
            <w:top w:val="none" w:sz="0" w:space="0" w:color="auto"/>
            <w:left w:val="none" w:sz="0" w:space="0" w:color="auto"/>
            <w:bottom w:val="none" w:sz="0" w:space="0" w:color="auto"/>
            <w:right w:val="none" w:sz="0" w:space="0" w:color="auto"/>
          </w:divBdr>
        </w:div>
      </w:divsChild>
    </w:div>
    <w:div w:id="1481269147">
      <w:bodyDiv w:val="1"/>
      <w:marLeft w:val="0"/>
      <w:marRight w:val="0"/>
      <w:marTop w:val="0"/>
      <w:marBottom w:val="0"/>
      <w:divBdr>
        <w:top w:val="none" w:sz="0" w:space="0" w:color="auto"/>
        <w:left w:val="none" w:sz="0" w:space="0" w:color="auto"/>
        <w:bottom w:val="none" w:sz="0" w:space="0" w:color="auto"/>
        <w:right w:val="none" w:sz="0" w:space="0" w:color="auto"/>
      </w:divBdr>
      <w:divsChild>
        <w:div w:id="1179198786">
          <w:marLeft w:val="274"/>
          <w:marRight w:val="0"/>
          <w:marTop w:val="0"/>
          <w:marBottom w:val="120"/>
          <w:divBdr>
            <w:top w:val="none" w:sz="0" w:space="0" w:color="auto"/>
            <w:left w:val="none" w:sz="0" w:space="0" w:color="auto"/>
            <w:bottom w:val="none" w:sz="0" w:space="0" w:color="auto"/>
            <w:right w:val="none" w:sz="0" w:space="0" w:color="auto"/>
          </w:divBdr>
        </w:div>
      </w:divsChild>
    </w:div>
    <w:div w:id="1482847724">
      <w:bodyDiv w:val="1"/>
      <w:marLeft w:val="0"/>
      <w:marRight w:val="0"/>
      <w:marTop w:val="0"/>
      <w:marBottom w:val="0"/>
      <w:divBdr>
        <w:top w:val="none" w:sz="0" w:space="0" w:color="auto"/>
        <w:left w:val="none" w:sz="0" w:space="0" w:color="auto"/>
        <w:bottom w:val="none" w:sz="0" w:space="0" w:color="auto"/>
        <w:right w:val="none" w:sz="0" w:space="0" w:color="auto"/>
      </w:divBdr>
      <w:divsChild>
        <w:div w:id="1302882744">
          <w:marLeft w:val="446"/>
          <w:marRight w:val="0"/>
          <w:marTop w:val="120"/>
          <w:marBottom w:val="0"/>
          <w:divBdr>
            <w:top w:val="none" w:sz="0" w:space="0" w:color="auto"/>
            <w:left w:val="none" w:sz="0" w:space="0" w:color="auto"/>
            <w:bottom w:val="none" w:sz="0" w:space="0" w:color="auto"/>
            <w:right w:val="none" w:sz="0" w:space="0" w:color="auto"/>
          </w:divBdr>
        </w:div>
      </w:divsChild>
    </w:div>
    <w:div w:id="1490172758">
      <w:bodyDiv w:val="1"/>
      <w:marLeft w:val="0"/>
      <w:marRight w:val="0"/>
      <w:marTop w:val="0"/>
      <w:marBottom w:val="0"/>
      <w:divBdr>
        <w:top w:val="none" w:sz="0" w:space="0" w:color="auto"/>
        <w:left w:val="none" w:sz="0" w:space="0" w:color="auto"/>
        <w:bottom w:val="none" w:sz="0" w:space="0" w:color="auto"/>
        <w:right w:val="none" w:sz="0" w:space="0" w:color="auto"/>
      </w:divBdr>
    </w:div>
    <w:div w:id="1493987010">
      <w:bodyDiv w:val="1"/>
      <w:marLeft w:val="0"/>
      <w:marRight w:val="0"/>
      <w:marTop w:val="0"/>
      <w:marBottom w:val="0"/>
      <w:divBdr>
        <w:top w:val="none" w:sz="0" w:space="0" w:color="auto"/>
        <w:left w:val="none" w:sz="0" w:space="0" w:color="auto"/>
        <w:bottom w:val="none" w:sz="0" w:space="0" w:color="auto"/>
        <w:right w:val="none" w:sz="0" w:space="0" w:color="auto"/>
      </w:divBdr>
    </w:div>
    <w:div w:id="1499419286">
      <w:bodyDiv w:val="1"/>
      <w:marLeft w:val="0"/>
      <w:marRight w:val="0"/>
      <w:marTop w:val="0"/>
      <w:marBottom w:val="0"/>
      <w:divBdr>
        <w:top w:val="none" w:sz="0" w:space="0" w:color="auto"/>
        <w:left w:val="none" w:sz="0" w:space="0" w:color="auto"/>
        <w:bottom w:val="none" w:sz="0" w:space="0" w:color="auto"/>
        <w:right w:val="none" w:sz="0" w:space="0" w:color="auto"/>
      </w:divBdr>
      <w:divsChild>
        <w:div w:id="756101803">
          <w:marLeft w:val="1166"/>
          <w:marRight w:val="0"/>
          <w:marTop w:val="0"/>
          <w:marBottom w:val="240"/>
          <w:divBdr>
            <w:top w:val="none" w:sz="0" w:space="0" w:color="auto"/>
            <w:left w:val="none" w:sz="0" w:space="0" w:color="auto"/>
            <w:bottom w:val="none" w:sz="0" w:space="0" w:color="auto"/>
            <w:right w:val="none" w:sz="0" w:space="0" w:color="auto"/>
          </w:divBdr>
        </w:div>
      </w:divsChild>
    </w:div>
    <w:div w:id="1510020608">
      <w:bodyDiv w:val="1"/>
      <w:marLeft w:val="0"/>
      <w:marRight w:val="0"/>
      <w:marTop w:val="0"/>
      <w:marBottom w:val="0"/>
      <w:divBdr>
        <w:top w:val="none" w:sz="0" w:space="0" w:color="auto"/>
        <w:left w:val="none" w:sz="0" w:space="0" w:color="auto"/>
        <w:bottom w:val="none" w:sz="0" w:space="0" w:color="auto"/>
        <w:right w:val="none" w:sz="0" w:space="0" w:color="auto"/>
      </w:divBdr>
      <w:divsChild>
        <w:div w:id="1314673922">
          <w:marLeft w:val="979"/>
          <w:marRight w:val="0"/>
          <w:marTop w:val="0"/>
          <w:marBottom w:val="0"/>
          <w:divBdr>
            <w:top w:val="none" w:sz="0" w:space="0" w:color="auto"/>
            <w:left w:val="none" w:sz="0" w:space="0" w:color="auto"/>
            <w:bottom w:val="none" w:sz="0" w:space="0" w:color="auto"/>
            <w:right w:val="none" w:sz="0" w:space="0" w:color="auto"/>
          </w:divBdr>
        </w:div>
      </w:divsChild>
    </w:div>
    <w:div w:id="1523282942">
      <w:bodyDiv w:val="1"/>
      <w:marLeft w:val="0"/>
      <w:marRight w:val="0"/>
      <w:marTop w:val="0"/>
      <w:marBottom w:val="0"/>
      <w:divBdr>
        <w:top w:val="none" w:sz="0" w:space="0" w:color="auto"/>
        <w:left w:val="none" w:sz="0" w:space="0" w:color="auto"/>
        <w:bottom w:val="none" w:sz="0" w:space="0" w:color="auto"/>
        <w:right w:val="none" w:sz="0" w:space="0" w:color="auto"/>
      </w:divBdr>
    </w:div>
    <w:div w:id="1527407752">
      <w:bodyDiv w:val="1"/>
      <w:marLeft w:val="0"/>
      <w:marRight w:val="0"/>
      <w:marTop w:val="0"/>
      <w:marBottom w:val="0"/>
      <w:divBdr>
        <w:top w:val="none" w:sz="0" w:space="0" w:color="auto"/>
        <w:left w:val="none" w:sz="0" w:space="0" w:color="auto"/>
        <w:bottom w:val="none" w:sz="0" w:space="0" w:color="auto"/>
        <w:right w:val="none" w:sz="0" w:space="0" w:color="auto"/>
      </w:divBdr>
      <w:divsChild>
        <w:div w:id="855537568">
          <w:marLeft w:val="1109"/>
          <w:marRight w:val="0"/>
          <w:marTop w:val="0"/>
          <w:marBottom w:val="40"/>
          <w:divBdr>
            <w:top w:val="none" w:sz="0" w:space="0" w:color="auto"/>
            <w:left w:val="none" w:sz="0" w:space="0" w:color="auto"/>
            <w:bottom w:val="none" w:sz="0" w:space="0" w:color="auto"/>
            <w:right w:val="none" w:sz="0" w:space="0" w:color="auto"/>
          </w:divBdr>
        </w:div>
      </w:divsChild>
    </w:div>
    <w:div w:id="1530026361">
      <w:bodyDiv w:val="1"/>
      <w:marLeft w:val="0"/>
      <w:marRight w:val="0"/>
      <w:marTop w:val="0"/>
      <w:marBottom w:val="0"/>
      <w:divBdr>
        <w:top w:val="none" w:sz="0" w:space="0" w:color="auto"/>
        <w:left w:val="none" w:sz="0" w:space="0" w:color="auto"/>
        <w:bottom w:val="none" w:sz="0" w:space="0" w:color="auto"/>
        <w:right w:val="none" w:sz="0" w:space="0" w:color="auto"/>
      </w:divBdr>
    </w:div>
    <w:div w:id="1539126882">
      <w:bodyDiv w:val="1"/>
      <w:marLeft w:val="0"/>
      <w:marRight w:val="0"/>
      <w:marTop w:val="0"/>
      <w:marBottom w:val="0"/>
      <w:divBdr>
        <w:top w:val="none" w:sz="0" w:space="0" w:color="auto"/>
        <w:left w:val="none" w:sz="0" w:space="0" w:color="auto"/>
        <w:bottom w:val="none" w:sz="0" w:space="0" w:color="auto"/>
        <w:right w:val="none" w:sz="0" w:space="0" w:color="auto"/>
      </w:divBdr>
      <w:divsChild>
        <w:div w:id="1800102604">
          <w:marLeft w:val="446"/>
          <w:marRight w:val="0"/>
          <w:marTop w:val="0"/>
          <w:marBottom w:val="40"/>
          <w:divBdr>
            <w:top w:val="none" w:sz="0" w:space="0" w:color="auto"/>
            <w:left w:val="none" w:sz="0" w:space="0" w:color="auto"/>
            <w:bottom w:val="none" w:sz="0" w:space="0" w:color="auto"/>
            <w:right w:val="none" w:sz="0" w:space="0" w:color="auto"/>
          </w:divBdr>
        </w:div>
      </w:divsChild>
    </w:div>
    <w:div w:id="1546023540">
      <w:bodyDiv w:val="1"/>
      <w:marLeft w:val="0"/>
      <w:marRight w:val="0"/>
      <w:marTop w:val="0"/>
      <w:marBottom w:val="0"/>
      <w:divBdr>
        <w:top w:val="none" w:sz="0" w:space="0" w:color="auto"/>
        <w:left w:val="none" w:sz="0" w:space="0" w:color="auto"/>
        <w:bottom w:val="none" w:sz="0" w:space="0" w:color="auto"/>
        <w:right w:val="none" w:sz="0" w:space="0" w:color="auto"/>
      </w:divBdr>
    </w:div>
    <w:div w:id="1565528859">
      <w:bodyDiv w:val="1"/>
      <w:marLeft w:val="0"/>
      <w:marRight w:val="0"/>
      <w:marTop w:val="0"/>
      <w:marBottom w:val="0"/>
      <w:divBdr>
        <w:top w:val="none" w:sz="0" w:space="0" w:color="auto"/>
        <w:left w:val="none" w:sz="0" w:space="0" w:color="auto"/>
        <w:bottom w:val="none" w:sz="0" w:space="0" w:color="auto"/>
        <w:right w:val="none" w:sz="0" w:space="0" w:color="auto"/>
      </w:divBdr>
    </w:div>
    <w:div w:id="1566601978">
      <w:bodyDiv w:val="1"/>
      <w:marLeft w:val="0"/>
      <w:marRight w:val="0"/>
      <w:marTop w:val="0"/>
      <w:marBottom w:val="0"/>
      <w:divBdr>
        <w:top w:val="none" w:sz="0" w:space="0" w:color="auto"/>
        <w:left w:val="none" w:sz="0" w:space="0" w:color="auto"/>
        <w:bottom w:val="none" w:sz="0" w:space="0" w:color="auto"/>
        <w:right w:val="none" w:sz="0" w:space="0" w:color="auto"/>
      </w:divBdr>
    </w:div>
    <w:div w:id="1568030560">
      <w:bodyDiv w:val="1"/>
      <w:marLeft w:val="0"/>
      <w:marRight w:val="0"/>
      <w:marTop w:val="0"/>
      <w:marBottom w:val="0"/>
      <w:divBdr>
        <w:top w:val="none" w:sz="0" w:space="0" w:color="auto"/>
        <w:left w:val="none" w:sz="0" w:space="0" w:color="auto"/>
        <w:bottom w:val="none" w:sz="0" w:space="0" w:color="auto"/>
        <w:right w:val="none" w:sz="0" w:space="0" w:color="auto"/>
      </w:divBdr>
    </w:div>
    <w:div w:id="1570772546">
      <w:bodyDiv w:val="1"/>
      <w:marLeft w:val="0"/>
      <w:marRight w:val="0"/>
      <w:marTop w:val="0"/>
      <w:marBottom w:val="0"/>
      <w:divBdr>
        <w:top w:val="none" w:sz="0" w:space="0" w:color="auto"/>
        <w:left w:val="none" w:sz="0" w:space="0" w:color="auto"/>
        <w:bottom w:val="none" w:sz="0" w:space="0" w:color="auto"/>
        <w:right w:val="none" w:sz="0" w:space="0" w:color="auto"/>
      </w:divBdr>
      <w:divsChild>
        <w:div w:id="437681583">
          <w:marLeft w:val="446"/>
          <w:marRight w:val="0"/>
          <w:marTop w:val="120"/>
          <w:marBottom w:val="0"/>
          <w:divBdr>
            <w:top w:val="none" w:sz="0" w:space="0" w:color="auto"/>
            <w:left w:val="none" w:sz="0" w:space="0" w:color="auto"/>
            <w:bottom w:val="none" w:sz="0" w:space="0" w:color="auto"/>
            <w:right w:val="none" w:sz="0" w:space="0" w:color="auto"/>
          </w:divBdr>
        </w:div>
      </w:divsChild>
    </w:div>
    <w:div w:id="1585920840">
      <w:bodyDiv w:val="1"/>
      <w:marLeft w:val="0"/>
      <w:marRight w:val="0"/>
      <w:marTop w:val="0"/>
      <w:marBottom w:val="0"/>
      <w:divBdr>
        <w:top w:val="none" w:sz="0" w:space="0" w:color="auto"/>
        <w:left w:val="none" w:sz="0" w:space="0" w:color="auto"/>
        <w:bottom w:val="none" w:sz="0" w:space="0" w:color="auto"/>
        <w:right w:val="none" w:sz="0" w:space="0" w:color="auto"/>
      </w:divBdr>
      <w:divsChild>
        <w:div w:id="146362783">
          <w:marLeft w:val="1166"/>
          <w:marRight w:val="0"/>
          <w:marTop w:val="120"/>
          <w:marBottom w:val="0"/>
          <w:divBdr>
            <w:top w:val="none" w:sz="0" w:space="0" w:color="auto"/>
            <w:left w:val="none" w:sz="0" w:space="0" w:color="auto"/>
            <w:bottom w:val="none" w:sz="0" w:space="0" w:color="auto"/>
            <w:right w:val="none" w:sz="0" w:space="0" w:color="auto"/>
          </w:divBdr>
        </w:div>
      </w:divsChild>
    </w:div>
    <w:div w:id="1586108880">
      <w:bodyDiv w:val="1"/>
      <w:marLeft w:val="0"/>
      <w:marRight w:val="0"/>
      <w:marTop w:val="0"/>
      <w:marBottom w:val="0"/>
      <w:divBdr>
        <w:top w:val="none" w:sz="0" w:space="0" w:color="auto"/>
        <w:left w:val="none" w:sz="0" w:space="0" w:color="auto"/>
        <w:bottom w:val="none" w:sz="0" w:space="0" w:color="auto"/>
        <w:right w:val="none" w:sz="0" w:space="0" w:color="auto"/>
      </w:divBdr>
    </w:div>
    <w:div w:id="1595020038">
      <w:bodyDiv w:val="1"/>
      <w:marLeft w:val="0"/>
      <w:marRight w:val="0"/>
      <w:marTop w:val="0"/>
      <w:marBottom w:val="0"/>
      <w:divBdr>
        <w:top w:val="none" w:sz="0" w:space="0" w:color="auto"/>
        <w:left w:val="none" w:sz="0" w:space="0" w:color="auto"/>
        <w:bottom w:val="none" w:sz="0" w:space="0" w:color="auto"/>
        <w:right w:val="none" w:sz="0" w:space="0" w:color="auto"/>
      </w:divBdr>
      <w:divsChild>
        <w:div w:id="1524442277">
          <w:marLeft w:val="994"/>
          <w:marRight w:val="0"/>
          <w:marTop w:val="120"/>
          <w:marBottom w:val="0"/>
          <w:divBdr>
            <w:top w:val="none" w:sz="0" w:space="0" w:color="auto"/>
            <w:left w:val="none" w:sz="0" w:space="0" w:color="auto"/>
            <w:bottom w:val="none" w:sz="0" w:space="0" w:color="auto"/>
            <w:right w:val="none" w:sz="0" w:space="0" w:color="auto"/>
          </w:divBdr>
        </w:div>
      </w:divsChild>
    </w:div>
    <w:div w:id="1631083053">
      <w:bodyDiv w:val="1"/>
      <w:marLeft w:val="0"/>
      <w:marRight w:val="0"/>
      <w:marTop w:val="0"/>
      <w:marBottom w:val="0"/>
      <w:divBdr>
        <w:top w:val="none" w:sz="0" w:space="0" w:color="auto"/>
        <w:left w:val="none" w:sz="0" w:space="0" w:color="auto"/>
        <w:bottom w:val="none" w:sz="0" w:space="0" w:color="auto"/>
        <w:right w:val="none" w:sz="0" w:space="0" w:color="auto"/>
      </w:divBdr>
      <w:divsChild>
        <w:div w:id="1682002458">
          <w:marLeft w:val="360"/>
          <w:marRight w:val="0"/>
          <w:marTop w:val="0"/>
          <w:marBottom w:val="40"/>
          <w:divBdr>
            <w:top w:val="none" w:sz="0" w:space="0" w:color="auto"/>
            <w:left w:val="none" w:sz="0" w:space="0" w:color="auto"/>
            <w:bottom w:val="none" w:sz="0" w:space="0" w:color="auto"/>
            <w:right w:val="none" w:sz="0" w:space="0" w:color="auto"/>
          </w:divBdr>
        </w:div>
      </w:divsChild>
    </w:div>
    <w:div w:id="1656183099">
      <w:bodyDiv w:val="1"/>
      <w:marLeft w:val="0"/>
      <w:marRight w:val="0"/>
      <w:marTop w:val="0"/>
      <w:marBottom w:val="0"/>
      <w:divBdr>
        <w:top w:val="none" w:sz="0" w:space="0" w:color="auto"/>
        <w:left w:val="none" w:sz="0" w:space="0" w:color="auto"/>
        <w:bottom w:val="none" w:sz="0" w:space="0" w:color="auto"/>
        <w:right w:val="none" w:sz="0" w:space="0" w:color="auto"/>
      </w:divBdr>
      <w:divsChild>
        <w:div w:id="1506169808">
          <w:marLeft w:val="259"/>
          <w:marRight w:val="0"/>
          <w:marTop w:val="0"/>
          <w:marBottom w:val="0"/>
          <w:divBdr>
            <w:top w:val="none" w:sz="0" w:space="0" w:color="auto"/>
            <w:left w:val="none" w:sz="0" w:space="0" w:color="auto"/>
            <w:bottom w:val="none" w:sz="0" w:space="0" w:color="auto"/>
            <w:right w:val="none" w:sz="0" w:space="0" w:color="auto"/>
          </w:divBdr>
        </w:div>
      </w:divsChild>
    </w:div>
    <w:div w:id="1659268444">
      <w:bodyDiv w:val="1"/>
      <w:marLeft w:val="0"/>
      <w:marRight w:val="0"/>
      <w:marTop w:val="0"/>
      <w:marBottom w:val="0"/>
      <w:divBdr>
        <w:top w:val="none" w:sz="0" w:space="0" w:color="auto"/>
        <w:left w:val="none" w:sz="0" w:space="0" w:color="auto"/>
        <w:bottom w:val="none" w:sz="0" w:space="0" w:color="auto"/>
        <w:right w:val="none" w:sz="0" w:space="0" w:color="auto"/>
      </w:divBdr>
      <w:divsChild>
        <w:div w:id="195579892">
          <w:marLeft w:val="274"/>
          <w:marRight w:val="0"/>
          <w:marTop w:val="0"/>
          <w:marBottom w:val="0"/>
          <w:divBdr>
            <w:top w:val="none" w:sz="0" w:space="0" w:color="auto"/>
            <w:left w:val="none" w:sz="0" w:space="0" w:color="auto"/>
            <w:bottom w:val="none" w:sz="0" w:space="0" w:color="auto"/>
            <w:right w:val="none" w:sz="0" w:space="0" w:color="auto"/>
          </w:divBdr>
        </w:div>
      </w:divsChild>
    </w:div>
    <w:div w:id="1659573541">
      <w:bodyDiv w:val="1"/>
      <w:marLeft w:val="0"/>
      <w:marRight w:val="0"/>
      <w:marTop w:val="0"/>
      <w:marBottom w:val="0"/>
      <w:divBdr>
        <w:top w:val="none" w:sz="0" w:space="0" w:color="auto"/>
        <w:left w:val="none" w:sz="0" w:space="0" w:color="auto"/>
        <w:bottom w:val="none" w:sz="0" w:space="0" w:color="auto"/>
        <w:right w:val="none" w:sz="0" w:space="0" w:color="auto"/>
      </w:divBdr>
      <w:divsChild>
        <w:div w:id="1554805217">
          <w:marLeft w:val="979"/>
          <w:marRight w:val="0"/>
          <w:marTop w:val="120"/>
          <w:marBottom w:val="0"/>
          <w:divBdr>
            <w:top w:val="none" w:sz="0" w:space="0" w:color="auto"/>
            <w:left w:val="none" w:sz="0" w:space="0" w:color="auto"/>
            <w:bottom w:val="none" w:sz="0" w:space="0" w:color="auto"/>
            <w:right w:val="none" w:sz="0" w:space="0" w:color="auto"/>
          </w:divBdr>
        </w:div>
      </w:divsChild>
    </w:div>
    <w:div w:id="1678075089">
      <w:bodyDiv w:val="1"/>
      <w:marLeft w:val="0"/>
      <w:marRight w:val="0"/>
      <w:marTop w:val="0"/>
      <w:marBottom w:val="0"/>
      <w:divBdr>
        <w:top w:val="none" w:sz="0" w:space="0" w:color="auto"/>
        <w:left w:val="none" w:sz="0" w:space="0" w:color="auto"/>
        <w:bottom w:val="none" w:sz="0" w:space="0" w:color="auto"/>
        <w:right w:val="none" w:sz="0" w:space="0" w:color="auto"/>
      </w:divBdr>
    </w:div>
    <w:div w:id="1679111318">
      <w:bodyDiv w:val="1"/>
      <w:marLeft w:val="0"/>
      <w:marRight w:val="0"/>
      <w:marTop w:val="0"/>
      <w:marBottom w:val="0"/>
      <w:divBdr>
        <w:top w:val="none" w:sz="0" w:space="0" w:color="auto"/>
        <w:left w:val="none" w:sz="0" w:space="0" w:color="auto"/>
        <w:bottom w:val="none" w:sz="0" w:space="0" w:color="auto"/>
        <w:right w:val="none" w:sz="0" w:space="0" w:color="auto"/>
      </w:divBdr>
    </w:div>
    <w:div w:id="1710569482">
      <w:bodyDiv w:val="1"/>
      <w:marLeft w:val="0"/>
      <w:marRight w:val="0"/>
      <w:marTop w:val="0"/>
      <w:marBottom w:val="0"/>
      <w:divBdr>
        <w:top w:val="none" w:sz="0" w:space="0" w:color="auto"/>
        <w:left w:val="none" w:sz="0" w:space="0" w:color="auto"/>
        <w:bottom w:val="none" w:sz="0" w:space="0" w:color="auto"/>
        <w:right w:val="none" w:sz="0" w:space="0" w:color="auto"/>
      </w:divBdr>
      <w:divsChild>
        <w:div w:id="1565410038">
          <w:marLeft w:val="274"/>
          <w:marRight w:val="0"/>
          <w:marTop w:val="0"/>
          <w:marBottom w:val="120"/>
          <w:divBdr>
            <w:top w:val="none" w:sz="0" w:space="0" w:color="auto"/>
            <w:left w:val="none" w:sz="0" w:space="0" w:color="auto"/>
            <w:bottom w:val="none" w:sz="0" w:space="0" w:color="auto"/>
            <w:right w:val="none" w:sz="0" w:space="0" w:color="auto"/>
          </w:divBdr>
        </w:div>
      </w:divsChild>
    </w:div>
    <w:div w:id="1714618723">
      <w:bodyDiv w:val="1"/>
      <w:marLeft w:val="0"/>
      <w:marRight w:val="0"/>
      <w:marTop w:val="0"/>
      <w:marBottom w:val="0"/>
      <w:divBdr>
        <w:top w:val="none" w:sz="0" w:space="0" w:color="auto"/>
        <w:left w:val="none" w:sz="0" w:space="0" w:color="auto"/>
        <w:bottom w:val="none" w:sz="0" w:space="0" w:color="auto"/>
        <w:right w:val="none" w:sz="0" w:space="0" w:color="auto"/>
      </w:divBdr>
      <w:divsChild>
        <w:div w:id="2067339215">
          <w:marLeft w:val="446"/>
          <w:marRight w:val="0"/>
          <w:marTop w:val="0"/>
          <w:marBottom w:val="0"/>
          <w:divBdr>
            <w:top w:val="none" w:sz="0" w:space="0" w:color="auto"/>
            <w:left w:val="none" w:sz="0" w:space="0" w:color="auto"/>
            <w:bottom w:val="none" w:sz="0" w:space="0" w:color="auto"/>
            <w:right w:val="none" w:sz="0" w:space="0" w:color="auto"/>
          </w:divBdr>
        </w:div>
      </w:divsChild>
    </w:div>
    <w:div w:id="1715614278">
      <w:bodyDiv w:val="1"/>
      <w:marLeft w:val="0"/>
      <w:marRight w:val="0"/>
      <w:marTop w:val="0"/>
      <w:marBottom w:val="0"/>
      <w:divBdr>
        <w:top w:val="none" w:sz="0" w:space="0" w:color="auto"/>
        <w:left w:val="none" w:sz="0" w:space="0" w:color="auto"/>
        <w:bottom w:val="none" w:sz="0" w:space="0" w:color="auto"/>
        <w:right w:val="none" w:sz="0" w:space="0" w:color="auto"/>
      </w:divBdr>
      <w:divsChild>
        <w:div w:id="210114344">
          <w:marLeft w:val="446"/>
          <w:marRight w:val="0"/>
          <w:marTop w:val="120"/>
          <w:marBottom w:val="0"/>
          <w:divBdr>
            <w:top w:val="none" w:sz="0" w:space="0" w:color="auto"/>
            <w:left w:val="none" w:sz="0" w:space="0" w:color="auto"/>
            <w:bottom w:val="none" w:sz="0" w:space="0" w:color="auto"/>
            <w:right w:val="none" w:sz="0" w:space="0" w:color="auto"/>
          </w:divBdr>
        </w:div>
      </w:divsChild>
    </w:div>
    <w:div w:id="1718554272">
      <w:bodyDiv w:val="1"/>
      <w:marLeft w:val="0"/>
      <w:marRight w:val="0"/>
      <w:marTop w:val="0"/>
      <w:marBottom w:val="0"/>
      <w:divBdr>
        <w:top w:val="none" w:sz="0" w:space="0" w:color="auto"/>
        <w:left w:val="none" w:sz="0" w:space="0" w:color="auto"/>
        <w:bottom w:val="none" w:sz="0" w:space="0" w:color="auto"/>
        <w:right w:val="none" w:sz="0" w:space="0" w:color="auto"/>
      </w:divBdr>
    </w:div>
    <w:div w:id="1720588052">
      <w:bodyDiv w:val="1"/>
      <w:marLeft w:val="0"/>
      <w:marRight w:val="0"/>
      <w:marTop w:val="0"/>
      <w:marBottom w:val="0"/>
      <w:divBdr>
        <w:top w:val="none" w:sz="0" w:space="0" w:color="auto"/>
        <w:left w:val="none" w:sz="0" w:space="0" w:color="auto"/>
        <w:bottom w:val="none" w:sz="0" w:space="0" w:color="auto"/>
        <w:right w:val="none" w:sz="0" w:space="0" w:color="auto"/>
      </w:divBdr>
      <w:divsChild>
        <w:div w:id="1800804069">
          <w:marLeft w:val="360"/>
          <w:marRight w:val="0"/>
          <w:marTop w:val="0"/>
          <w:marBottom w:val="40"/>
          <w:divBdr>
            <w:top w:val="none" w:sz="0" w:space="0" w:color="auto"/>
            <w:left w:val="none" w:sz="0" w:space="0" w:color="auto"/>
            <w:bottom w:val="none" w:sz="0" w:space="0" w:color="auto"/>
            <w:right w:val="none" w:sz="0" w:space="0" w:color="auto"/>
          </w:divBdr>
        </w:div>
      </w:divsChild>
    </w:div>
    <w:div w:id="1729104895">
      <w:bodyDiv w:val="1"/>
      <w:marLeft w:val="0"/>
      <w:marRight w:val="0"/>
      <w:marTop w:val="0"/>
      <w:marBottom w:val="0"/>
      <w:divBdr>
        <w:top w:val="none" w:sz="0" w:space="0" w:color="auto"/>
        <w:left w:val="none" w:sz="0" w:space="0" w:color="auto"/>
        <w:bottom w:val="none" w:sz="0" w:space="0" w:color="auto"/>
        <w:right w:val="none" w:sz="0" w:space="0" w:color="auto"/>
      </w:divBdr>
      <w:divsChild>
        <w:div w:id="2116754273">
          <w:marLeft w:val="446"/>
          <w:marRight w:val="0"/>
          <w:marTop w:val="120"/>
          <w:marBottom w:val="0"/>
          <w:divBdr>
            <w:top w:val="none" w:sz="0" w:space="0" w:color="auto"/>
            <w:left w:val="none" w:sz="0" w:space="0" w:color="auto"/>
            <w:bottom w:val="none" w:sz="0" w:space="0" w:color="auto"/>
            <w:right w:val="none" w:sz="0" w:space="0" w:color="auto"/>
          </w:divBdr>
        </w:div>
      </w:divsChild>
    </w:div>
    <w:div w:id="1789815093">
      <w:bodyDiv w:val="1"/>
      <w:marLeft w:val="0"/>
      <w:marRight w:val="0"/>
      <w:marTop w:val="0"/>
      <w:marBottom w:val="0"/>
      <w:divBdr>
        <w:top w:val="none" w:sz="0" w:space="0" w:color="auto"/>
        <w:left w:val="none" w:sz="0" w:space="0" w:color="auto"/>
        <w:bottom w:val="none" w:sz="0" w:space="0" w:color="auto"/>
        <w:right w:val="none" w:sz="0" w:space="0" w:color="auto"/>
      </w:divBdr>
    </w:div>
    <w:div w:id="1797406067">
      <w:bodyDiv w:val="1"/>
      <w:marLeft w:val="0"/>
      <w:marRight w:val="0"/>
      <w:marTop w:val="0"/>
      <w:marBottom w:val="0"/>
      <w:divBdr>
        <w:top w:val="none" w:sz="0" w:space="0" w:color="auto"/>
        <w:left w:val="none" w:sz="0" w:space="0" w:color="auto"/>
        <w:bottom w:val="none" w:sz="0" w:space="0" w:color="auto"/>
        <w:right w:val="none" w:sz="0" w:space="0" w:color="auto"/>
      </w:divBdr>
      <w:divsChild>
        <w:div w:id="1531649682">
          <w:marLeft w:val="446"/>
          <w:marRight w:val="0"/>
          <w:marTop w:val="0"/>
          <w:marBottom w:val="0"/>
          <w:divBdr>
            <w:top w:val="none" w:sz="0" w:space="0" w:color="auto"/>
            <w:left w:val="none" w:sz="0" w:space="0" w:color="auto"/>
            <w:bottom w:val="none" w:sz="0" w:space="0" w:color="auto"/>
            <w:right w:val="none" w:sz="0" w:space="0" w:color="auto"/>
          </w:divBdr>
        </w:div>
      </w:divsChild>
    </w:div>
    <w:div w:id="1805468703">
      <w:bodyDiv w:val="1"/>
      <w:marLeft w:val="0"/>
      <w:marRight w:val="0"/>
      <w:marTop w:val="0"/>
      <w:marBottom w:val="0"/>
      <w:divBdr>
        <w:top w:val="none" w:sz="0" w:space="0" w:color="auto"/>
        <w:left w:val="none" w:sz="0" w:space="0" w:color="auto"/>
        <w:bottom w:val="none" w:sz="0" w:space="0" w:color="auto"/>
        <w:right w:val="none" w:sz="0" w:space="0" w:color="auto"/>
      </w:divBdr>
    </w:div>
    <w:div w:id="1808744386">
      <w:bodyDiv w:val="1"/>
      <w:marLeft w:val="0"/>
      <w:marRight w:val="0"/>
      <w:marTop w:val="0"/>
      <w:marBottom w:val="0"/>
      <w:divBdr>
        <w:top w:val="none" w:sz="0" w:space="0" w:color="auto"/>
        <w:left w:val="none" w:sz="0" w:space="0" w:color="auto"/>
        <w:bottom w:val="none" w:sz="0" w:space="0" w:color="auto"/>
        <w:right w:val="none" w:sz="0" w:space="0" w:color="auto"/>
      </w:divBdr>
      <w:divsChild>
        <w:div w:id="1927886171">
          <w:marLeft w:val="763"/>
          <w:marRight w:val="0"/>
          <w:marTop w:val="120"/>
          <w:marBottom w:val="0"/>
          <w:divBdr>
            <w:top w:val="none" w:sz="0" w:space="0" w:color="auto"/>
            <w:left w:val="none" w:sz="0" w:space="0" w:color="auto"/>
            <w:bottom w:val="none" w:sz="0" w:space="0" w:color="auto"/>
            <w:right w:val="none" w:sz="0" w:space="0" w:color="auto"/>
          </w:divBdr>
        </w:div>
      </w:divsChild>
    </w:div>
    <w:div w:id="1856115635">
      <w:bodyDiv w:val="1"/>
      <w:marLeft w:val="0"/>
      <w:marRight w:val="0"/>
      <w:marTop w:val="0"/>
      <w:marBottom w:val="0"/>
      <w:divBdr>
        <w:top w:val="none" w:sz="0" w:space="0" w:color="auto"/>
        <w:left w:val="none" w:sz="0" w:space="0" w:color="auto"/>
        <w:bottom w:val="none" w:sz="0" w:space="0" w:color="auto"/>
        <w:right w:val="none" w:sz="0" w:space="0" w:color="auto"/>
      </w:divBdr>
    </w:div>
    <w:div w:id="1875729278">
      <w:bodyDiv w:val="1"/>
      <w:marLeft w:val="0"/>
      <w:marRight w:val="0"/>
      <w:marTop w:val="0"/>
      <w:marBottom w:val="0"/>
      <w:divBdr>
        <w:top w:val="none" w:sz="0" w:space="0" w:color="auto"/>
        <w:left w:val="none" w:sz="0" w:space="0" w:color="auto"/>
        <w:bottom w:val="none" w:sz="0" w:space="0" w:color="auto"/>
        <w:right w:val="none" w:sz="0" w:space="0" w:color="auto"/>
      </w:divBdr>
      <w:divsChild>
        <w:div w:id="1413893432">
          <w:marLeft w:val="446"/>
          <w:marRight w:val="0"/>
          <w:marTop w:val="0"/>
          <w:marBottom w:val="0"/>
          <w:divBdr>
            <w:top w:val="none" w:sz="0" w:space="0" w:color="auto"/>
            <w:left w:val="none" w:sz="0" w:space="0" w:color="auto"/>
            <w:bottom w:val="none" w:sz="0" w:space="0" w:color="auto"/>
            <w:right w:val="none" w:sz="0" w:space="0" w:color="auto"/>
          </w:divBdr>
        </w:div>
      </w:divsChild>
    </w:div>
    <w:div w:id="1882132640">
      <w:bodyDiv w:val="1"/>
      <w:marLeft w:val="0"/>
      <w:marRight w:val="0"/>
      <w:marTop w:val="0"/>
      <w:marBottom w:val="0"/>
      <w:divBdr>
        <w:top w:val="none" w:sz="0" w:space="0" w:color="auto"/>
        <w:left w:val="none" w:sz="0" w:space="0" w:color="auto"/>
        <w:bottom w:val="none" w:sz="0" w:space="0" w:color="auto"/>
        <w:right w:val="none" w:sz="0" w:space="0" w:color="auto"/>
      </w:divBdr>
      <w:divsChild>
        <w:div w:id="1688369066">
          <w:marLeft w:val="360"/>
          <w:marRight w:val="0"/>
          <w:marTop w:val="0"/>
          <w:marBottom w:val="40"/>
          <w:divBdr>
            <w:top w:val="none" w:sz="0" w:space="0" w:color="auto"/>
            <w:left w:val="none" w:sz="0" w:space="0" w:color="auto"/>
            <w:bottom w:val="none" w:sz="0" w:space="0" w:color="auto"/>
            <w:right w:val="none" w:sz="0" w:space="0" w:color="auto"/>
          </w:divBdr>
        </w:div>
      </w:divsChild>
    </w:div>
    <w:div w:id="1890608782">
      <w:bodyDiv w:val="1"/>
      <w:marLeft w:val="0"/>
      <w:marRight w:val="0"/>
      <w:marTop w:val="0"/>
      <w:marBottom w:val="0"/>
      <w:divBdr>
        <w:top w:val="none" w:sz="0" w:space="0" w:color="auto"/>
        <w:left w:val="none" w:sz="0" w:space="0" w:color="auto"/>
        <w:bottom w:val="none" w:sz="0" w:space="0" w:color="auto"/>
        <w:right w:val="none" w:sz="0" w:space="0" w:color="auto"/>
      </w:divBdr>
      <w:divsChild>
        <w:div w:id="794176665">
          <w:marLeft w:val="446"/>
          <w:marRight w:val="0"/>
          <w:marTop w:val="360"/>
          <w:marBottom w:val="0"/>
          <w:divBdr>
            <w:top w:val="none" w:sz="0" w:space="0" w:color="auto"/>
            <w:left w:val="none" w:sz="0" w:space="0" w:color="auto"/>
            <w:bottom w:val="none" w:sz="0" w:space="0" w:color="auto"/>
            <w:right w:val="none" w:sz="0" w:space="0" w:color="auto"/>
          </w:divBdr>
        </w:div>
      </w:divsChild>
    </w:div>
    <w:div w:id="1899439579">
      <w:bodyDiv w:val="1"/>
      <w:marLeft w:val="0"/>
      <w:marRight w:val="0"/>
      <w:marTop w:val="0"/>
      <w:marBottom w:val="0"/>
      <w:divBdr>
        <w:top w:val="none" w:sz="0" w:space="0" w:color="auto"/>
        <w:left w:val="none" w:sz="0" w:space="0" w:color="auto"/>
        <w:bottom w:val="none" w:sz="0" w:space="0" w:color="auto"/>
        <w:right w:val="none" w:sz="0" w:space="0" w:color="auto"/>
      </w:divBdr>
    </w:div>
    <w:div w:id="1911501378">
      <w:bodyDiv w:val="1"/>
      <w:marLeft w:val="0"/>
      <w:marRight w:val="0"/>
      <w:marTop w:val="0"/>
      <w:marBottom w:val="0"/>
      <w:divBdr>
        <w:top w:val="none" w:sz="0" w:space="0" w:color="auto"/>
        <w:left w:val="none" w:sz="0" w:space="0" w:color="auto"/>
        <w:bottom w:val="none" w:sz="0" w:space="0" w:color="auto"/>
        <w:right w:val="none" w:sz="0" w:space="0" w:color="auto"/>
      </w:divBdr>
    </w:div>
    <w:div w:id="1951080776">
      <w:bodyDiv w:val="1"/>
      <w:marLeft w:val="0"/>
      <w:marRight w:val="0"/>
      <w:marTop w:val="0"/>
      <w:marBottom w:val="0"/>
      <w:divBdr>
        <w:top w:val="none" w:sz="0" w:space="0" w:color="auto"/>
        <w:left w:val="none" w:sz="0" w:space="0" w:color="auto"/>
        <w:bottom w:val="none" w:sz="0" w:space="0" w:color="auto"/>
        <w:right w:val="none" w:sz="0" w:space="0" w:color="auto"/>
      </w:divBdr>
    </w:div>
    <w:div w:id="1954096663">
      <w:bodyDiv w:val="1"/>
      <w:marLeft w:val="0"/>
      <w:marRight w:val="0"/>
      <w:marTop w:val="0"/>
      <w:marBottom w:val="0"/>
      <w:divBdr>
        <w:top w:val="none" w:sz="0" w:space="0" w:color="auto"/>
        <w:left w:val="none" w:sz="0" w:space="0" w:color="auto"/>
        <w:bottom w:val="none" w:sz="0" w:space="0" w:color="auto"/>
        <w:right w:val="none" w:sz="0" w:space="0" w:color="auto"/>
      </w:divBdr>
    </w:div>
    <w:div w:id="1960262930">
      <w:bodyDiv w:val="1"/>
      <w:marLeft w:val="0"/>
      <w:marRight w:val="0"/>
      <w:marTop w:val="0"/>
      <w:marBottom w:val="0"/>
      <w:divBdr>
        <w:top w:val="none" w:sz="0" w:space="0" w:color="auto"/>
        <w:left w:val="none" w:sz="0" w:space="0" w:color="auto"/>
        <w:bottom w:val="none" w:sz="0" w:space="0" w:color="auto"/>
        <w:right w:val="none" w:sz="0" w:space="0" w:color="auto"/>
      </w:divBdr>
    </w:div>
    <w:div w:id="1965453847">
      <w:bodyDiv w:val="1"/>
      <w:marLeft w:val="0"/>
      <w:marRight w:val="0"/>
      <w:marTop w:val="0"/>
      <w:marBottom w:val="0"/>
      <w:divBdr>
        <w:top w:val="none" w:sz="0" w:space="0" w:color="auto"/>
        <w:left w:val="none" w:sz="0" w:space="0" w:color="auto"/>
        <w:bottom w:val="none" w:sz="0" w:space="0" w:color="auto"/>
        <w:right w:val="none" w:sz="0" w:space="0" w:color="auto"/>
      </w:divBdr>
      <w:divsChild>
        <w:div w:id="406415944">
          <w:marLeft w:val="446"/>
          <w:marRight w:val="0"/>
          <w:marTop w:val="0"/>
          <w:marBottom w:val="40"/>
          <w:divBdr>
            <w:top w:val="none" w:sz="0" w:space="0" w:color="auto"/>
            <w:left w:val="none" w:sz="0" w:space="0" w:color="auto"/>
            <w:bottom w:val="none" w:sz="0" w:space="0" w:color="auto"/>
            <w:right w:val="none" w:sz="0" w:space="0" w:color="auto"/>
          </w:divBdr>
        </w:div>
      </w:divsChild>
    </w:div>
    <w:div w:id="1989505747">
      <w:bodyDiv w:val="1"/>
      <w:marLeft w:val="0"/>
      <w:marRight w:val="0"/>
      <w:marTop w:val="0"/>
      <w:marBottom w:val="0"/>
      <w:divBdr>
        <w:top w:val="none" w:sz="0" w:space="0" w:color="auto"/>
        <w:left w:val="none" w:sz="0" w:space="0" w:color="auto"/>
        <w:bottom w:val="none" w:sz="0" w:space="0" w:color="auto"/>
        <w:right w:val="none" w:sz="0" w:space="0" w:color="auto"/>
      </w:divBdr>
    </w:div>
    <w:div w:id="1989940806">
      <w:bodyDiv w:val="1"/>
      <w:marLeft w:val="0"/>
      <w:marRight w:val="0"/>
      <w:marTop w:val="0"/>
      <w:marBottom w:val="0"/>
      <w:divBdr>
        <w:top w:val="none" w:sz="0" w:space="0" w:color="auto"/>
        <w:left w:val="none" w:sz="0" w:space="0" w:color="auto"/>
        <w:bottom w:val="none" w:sz="0" w:space="0" w:color="auto"/>
        <w:right w:val="none" w:sz="0" w:space="0" w:color="auto"/>
      </w:divBdr>
    </w:div>
    <w:div w:id="2016881240">
      <w:bodyDiv w:val="1"/>
      <w:marLeft w:val="0"/>
      <w:marRight w:val="0"/>
      <w:marTop w:val="0"/>
      <w:marBottom w:val="0"/>
      <w:divBdr>
        <w:top w:val="none" w:sz="0" w:space="0" w:color="auto"/>
        <w:left w:val="none" w:sz="0" w:space="0" w:color="auto"/>
        <w:bottom w:val="none" w:sz="0" w:space="0" w:color="auto"/>
        <w:right w:val="none" w:sz="0" w:space="0" w:color="auto"/>
      </w:divBdr>
    </w:div>
    <w:div w:id="2018581054">
      <w:bodyDiv w:val="1"/>
      <w:marLeft w:val="0"/>
      <w:marRight w:val="0"/>
      <w:marTop w:val="0"/>
      <w:marBottom w:val="0"/>
      <w:divBdr>
        <w:top w:val="none" w:sz="0" w:space="0" w:color="auto"/>
        <w:left w:val="none" w:sz="0" w:space="0" w:color="auto"/>
        <w:bottom w:val="none" w:sz="0" w:space="0" w:color="auto"/>
        <w:right w:val="none" w:sz="0" w:space="0" w:color="auto"/>
      </w:divBdr>
      <w:divsChild>
        <w:div w:id="1410535858">
          <w:marLeft w:val="446"/>
          <w:marRight w:val="0"/>
          <w:marTop w:val="0"/>
          <w:marBottom w:val="0"/>
          <w:divBdr>
            <w:top w:val="none" w:sz="0" w:space="0" w:color="auto"/>
            <w:left w:val="none" w:sz="0" w:space="0" w:color="auto"/>
            <w:bottom w:val="none" w:sz="0" w:space="0" w:color="auto"/>
            <w:right w:val="none" w:sz="0" w:space="0" w:color="auto"/>
          </w:divBdr>
        </w:div>
      </w:divsChild>
    </w:div>
    <w:div w:id="2022854075">
      <w:bodyDiv w:val="1"/>
      <w:marLeft w:val="0"/>
      <w:marRight w:val="0"/>
      <w:marTop w:val="0"/>
      <w:marBottom w:val="0"/>
      <w:divBdr>
        <w:top w:val="none" w:sz="0" w:space="0" w:color="auto"/>
        <w:left w:val="none" w:sz="0" w:space="0" w:color="auto"/>
        <w:bottom w:val="none" w:sz="0" w:space="0" w:color="auto"/>
        <w:right w:val="none" w:sz="0" w:space="0" w:color="auto"/>
      </w:divBdr>
    </w:div>
    <w:div w:id="2032953799">
      <w:bodyDiv w:val="1"/>
      <w:marLeft w:val="0"/>
      <w:marRight w:val="0"/>
      <w:marTop w:val="0"/>
      <w:marBottom w:val="0"/>
      <w:divBdr>
        <w:top w:val="none" w:sz="0" w:space="0" w:color="auto"/>
        <w:left w:val="none" w:sz="0" w:space="0" w:color="auto"/>
        <w:bottom w:val="none" w:sz="0" w:space="0" w:color="auto"/>
        <w:right w:val="none" w:sz="0" w:space="0" w:color="auto"/>
      </w:divBdr>
    </w:div>
    <w:div w:id="2057969061">
      <w:bodyDiv w:val="1"/>
      <w:marLeft w:val="0"/>
      <w:marRight w:val="0"/>
      <w:marTop w:val="0"/>
      <w:marBottom w:val="0"/>
      <w:divBdr>
        <w:top w:val="none" w:sz="0" w:space="0" w:color="auto"/>
        <w:left w:val="none" w:sz="0" w:space="0" w:color="auto"/>
        <w:bottom w:val="none" w:sz="0" w:space="0" w:color="auto"/>
        <w:right w:val="none" w:sz="0" w:space="0" w:color="auto"/>
      </w:divBdr>
      <w:divsChild>
        <w:div w:id="845679680">
          <w:marLeft w:val="446"/>
          <w:marRight w:val="0"/>
          <w:marTop w:val="240"/>
          <w:marBottom w:val="0"/>
          <w:divBdr>
            <w:top w:val="none" w:sz="0" w:space="0" w:color="auto"/>
            <w:left w:val="none" w:sz="0" w:space="0" w:color="auto"/>
            <w:bottom w:val="none" w:sz="0" w:space="0" w:color="auto"/>
            <w:right w:val="none" w:sz="0" w:space="0" w:color="auto"/>
          </w:divBdr>
        </w:div>
      </w:divsChild>
    </w:div>
    <w:div w:id="2086369494">
      <w:bodyDiv w:val="1"/>
      <w:marLeft w:val="0"/>
      <w:marRight w:val="0"/>
      <w:marTop w:val="0"/>
      <w:marBottom w:val="0"/>
      <w:divBdr>
        <w:top w:val="none" w:sz="0" w:space="0" w:color="auto"/>
        <w:left w:val="none" w:sz="0" w:space="0" w:color="auto"/>
        <w:bottom w:val="none" w:sz="0" w:space="0" w:color="auto"/>
        <w:right w:val="none" w:sz="0" w:space="0" w:color="auto"/>
      </w:divBdr>
      <w:divsChild>
        <w:div w:id="1096513494">
          <w:marLeft w:val="965"/>
          <w:marRight w:val="0"/>
          <w:marTop w:val="0"/>
          <w:marBottom w:val="0"/>
          <w:divBdr>
            <w:top w:val="none" w:sz="0" w:space="0" w:color="auto"/>
            <w:left w:val="none" w:sz="0" w:space="0" w:color="auto"/>
            <w:bottom w:val="none" w:sz="0" w:space="0" w:color="auto"/>
            <w:right w:val="none" w:sz="0" w:space="0" w:color="auto"/>
          </w:divBdr>
        </w:div>
      </w:divsChild>
    </w:div>
    <w:div w:id="2088309789">
      <w:bodyDiv w:val="1"/>
      <w:marLeft w:val="0"/>
      <w:marRight w:val="0"/>
      <w:marTop w:val="0"/>
      <w:marBottom w:val="0"/>
      <w:divBdr>
        <w:top w:val="none" w:sz="0" w:space="0" w:color="auto"/>
        <w:left w:val="none" w:sz="0" w:space="0" w:color="auto"/>
        <w:bottom w:val="none" w:sz="0" w:space="0" w:color="auto"/>
        <w:right w:val="none" w:sz="0" w:space="0" w:color="auto"/>
      </w:divBdr>
      <w:divsChild>
        <w:div w:id="1749689650">
          <w:marLeft w:val="432"/>
          <w:marRight w:val="0"/>
          <w:marTop w:val="0"/>
          <w:marBottom w:val="0"/>
          <w:divBdr>
            <w:top w:val="none" w:sz="0" w:space="0" w:color="auto"/>
            <w:left w:val="none" w:sz="0" w:space="0" w:color="auto"/>
            <w:bottom w:val="none" w:sz="0" w:space="0" w:color="auto"/>
            <w:right w:val="none" w:sz="0" w:space="0" w:color="auto"/>
          </w:divBdr>
        </w:div>
      </w:divsChild>
    </w:div>
    <w:div w:id="2110738116">
      <w:bodyDiv w:val="1"/>
      <w:marLeft w:val="0"/>
      <w:marRight w:val="0"/>
      <w:marTop w:val="0"/>
      <w:marBottom w:val="0"/>
      <w:divBdr>
        <w:top w:val="none" w:sz="0" w:space="0" w:color="auto"/>
        <w:left w:val="none" w:sz="0" w:space="0" w:color="auto"/>
        <w:bottom w:val="none" w:sz="0" w:space="0" w:color="auto"/>
        <w:right w:val="none" w:sz="0" w:space="0" w:color="auto"/>
      </w:divBdr>
    </w:div>
    <w:div w:id="2144958185">
      <w:bodyDiv w:val="1"/>
      <w:marLeft w:val="0"/>
      <w:marRight w:val="0"/>
      <w:marTop w:val="0"/>
      <w:marBottom w:val="0"/>
      <w:divBdr>
        <w:top w:val="none" w:sz="0" w:space="0" w:color="auto"/>
        <w:left w:val="none" w:sz="0" w:space="0" w:color="auto"/>
        <w:bottom w:val="none" w:sz="0" w:space="0" w:color="auto"/>
        <w:right w:val="none" w:sz="0" w:space="0" w:color="auto"/>
      </w:divBdr>
      <w:divsChild>
        <w:div w:id="80950099">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ma-dsrip-ta.com/" TargetMode="External"/><Relationship Id="rId1" Type="http://schemas.openxmlformats.org/officeDocument/2006/relationships/hyperlink" Target="https://www.mass.gov/info-details/massachusetts-delivery-system-reform-incentive-payment-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4e97cf7-d201-4266-b669-9750d8c82d63">
      <Terms xmlns="http://schemas.microsoft.com/office/infopath/2007/PartnerControls"/>
    </lcf76f155ced4ddcb4097134ff3c332f>
    <TaxCatchAll xmlns="3681058a-78c6-45c7-bc37-ed8082d13ab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D1198CE6780C4AB0DC98B27A0894E8" ma:contentTypeVersion="16" ma:contentTypeDescription="Create a new document." ma:contentTypeScope="" ma:versionID="26881dc22c800646fc7df45d73753a62">
  <xsd:schema xmlns:xsd="http://www.w3.org/2001/XMLSchema" xmlns:xs="http://www.w3.org/2001/XMLSchema" xmlns:p="http://schemas.microsoft.com/office/2006/metadata/properties" xmlns:ns2="84e97cf7-d201-4266-b669-9750d8c82d63" xmlns:ns3="3681058a-78c6-45c7-bc37-ed8082d13ab2" targetNamespace="http://schemas.microsoft.com/office/2006/metadata/properties" ma:root="true" ma:fieldsID="ccd7b1dad01e67b1c6efba2c2316bdfc" ns2:_="" ns3:_="">
    <xsd:import namespace="84e97cf7-d201-4266-b669-9750d8c82d63"/>
    <xsd:import namespace="3681058a-78c6-45c7-bc37-ed8082d13a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97cf7-d201-4266-b669-9750d8c82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81058a-78c6-45c7-bc37-ed8082d13a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e82c3e2-da09-4a4f-9a9e-999d8e3d4030}" ma:internalName="TaxCatchAll" ma:showField="CatchAllData" ma:web="3681058a-78c6-45c7-bc37-ed8082d13a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5563A-D609-41A6-8D63-43DBFD2073D0}">
  <ds:schemaRefs>
    <ds:schemaRef ds:uri="http://schemas.microsoft.com/office/2006/metadata/properties"/>
    <ds:schemaRef ds:uri="http://schemas.microsoft.com/office/infopath/2007/PartnerControls"/>
    <ds:schemaRef ds:uri="84e97cf7-d201-4266-b669-9750d8c82d63"/>
    <ds:schemaRef ds:uri="3681058a-78c6-45c7-bc37-ed8082d13ab2"/>
  </ds:schemaRefs>
</ds:datastoreItem>
</file>

<file path=customXml/itemProps2.xml><?xml version="1.0" encoding="utf-8"?>
<ds:datastoreItem xmlns:ds="http://schemas.openxmlformats.org/officeDocument/2006/customXml" ds:itemID="{3A87BA31-FDDC-4702-A4F8-CD7104EC1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e97cf7-d201-4266-b669-9750d8c82d63"/>
    <ds:schemaRef ds:uri="3681058a-78c6-45c7-bc37-ed8082d13a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21BCFA-596C-4E27-85FC-D373E570A944}">
  <ds:schemaRefs>
    <ds:schemaRef ds:uri="http://schemas.microsoft.com/sharepoint/v3/contenttype/forms"/>
  </ds:schemaRefs>
</ds:datastoreItem>
</file>

<file path=customXml/itemProps4.xml><?xml version="1.0" encoding="utf-8"?>
<ds:datastoreItem xmlns:ds="http://schemas.openxmlformats.org/officeDocument/2006/customXml" ds:itemID="{44DF42EA-A460-4AA2-A9AE-ABFD92966DAA}">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74</TotalTime>
  <Pages>40</Pages>
  <Words>8607</Words>
  <Characters>49063</Characters>
  <Application>Microsoft Office Word</Application>
  <DocSecurity>0</DocSecurity>
  <Lines>408</Lines>
  <Paragraphs>115</Paragraphs>
  <ScaleCrop>false</ScaleCrop>
  <Company>Commonwealth of Massachusetts</Company>
  <LinksUpToDate>false</LinksUpToDate>
  <CharactersWithSpaces>57555</CharactersWithSpaces>
  <SharedDoc>false</SharedDoc>
  <HLinks>
    <vt:vector size="12" baseType="variant">
      <vt:variant>
        <vt:i4>5570648</vt:i4>
      </vt:variant>
      <vt:variant>
        <vt:i4>3</vt:i4>
      </vt:variant>
      <vt:variant>
        <vt:i4>0</vt:i4>
      </vt:variant>
      <vt:variant>
        <vt:i4>5</vt:i4>
      </vt:variant>
      <vt:variant>
        <vt:lpwstr>https://www.ma-dsrip-ta.com/</vt:lpwstr>
      </vt:variant>
      <vt:variant>
        <vt:lpwstr/>
      </vt:variant>
      <vt:variant>
        <vt:i4>5832781</vt:i4>
      </vt:variant>
      <vt:variant>
        <vt:i4>0</vt:i4>
      </vt:variant>
      <vt:variant>
        <vt:i4>0</vt:i4>
      </vt:variant>
      <vt:variant>
        <vt:i4>5</vt:i4>
      </vt:variant>
      <vt:variant>
        <vt:lpwstr>https://www.mass.gov/info-details/massachusetts-delivery-system-reform-incentive-payment-program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Schwarz, Ryan (EHS)</dc:creator>
  <cp:keywords/>
  <dc:description/>
  <cp:lastModifiedBy>Haime, Vivian (EHS)</cp:lastModifiedBy>
  <cp:revision>385</cp:revision>
  <dcterms:created xsi:type="dcterms:W3CDTF">2025-02-04T00:56:00Z</dcterms:created>
  <dcterms:modified xsi:type="dcterms:W3CDTF">2025-03-24T19:56:00Z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0x01010098D1198CE6780C4AB0DC98B27A0894E8</vt:lpwstr>
  </property>
  <property fmtid="{D5CDD505-2E9C-101B-9397-08002B2CF9AE}" pid="3" name="MediaServiceImageTags">
    <vt:lpwstr/>
  </property>
</Properties>
</file>