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FD" w:rsidRPr="00582547" w:rsidRDefault="00A06593" w:rsidP="00D04E0E">
      <w:pPr>
        <w:rPr>
          <w:rFonts w:eastAsia="Times New Roman" w:cs="Times New Roman"/>
          <w:sz w:val="36"/>
          <w:szCs w:val="36"/>
        </w:rPr>
      </w:pPr>
      <w:bookmarkStart w:id="0" w:name="_GoBack"/>
      <w:bookmarkEnd w:id="0"/>
      <w:r w:rsidRPr="00582547">
        <w:rPr>
          <w:b/>
          <w:sz w:val="36"/>
          <w:szCs w:val="36"/>
          <w:u w:val="single"/>
        </w:rPr>
        <w:t>Slide 1</w:t>
      </w:r>
      <w:r w:rsidRPr="00582547">
        <w:rPr>
          <w:sz w:val="36"/>
          <w:szCs w:val="36"/>
        </w:rPr>
        <w:br/>
      </w:r>
      <w:r w:rsidR="00AC71C1" w:rsidRPr="00582547">
        <w:rPr>
          <w:rFonts w:eastAsiaTheme="minorEastAsia" w:cs="Arial"/>
          <w:kern w:val="24"/>
          <w:sz w:val="36"/>
          <w:szCs w:val="36"/>
        </w:rPr>
        <w:t>One Care:</w:t>
      </w:r>
    </w:p>
    <w:p w:rsidR="006D56FD" w:rsidRPr="00582547" w:rsidRDefault="006D56FD" w:rsidP="00D04E0E">
      <w:pPr>
        <w:rPr>
          <w:rFonts w:eastAsiaTheme="minorEastAsia" w:cs="Arial"/>
          <w:kern w:val="24"/>
          <w:sz w:val="36"/>
          <w:szCs w:val="36"/>
        </w:rPr>
      </w:pPr>
      <w:r w:rsidRPr="00582547">
        <w:rPr>
          <w:rFonts w:eastAsiaTheme="minorEastAsia" w:cs="Arial"/>
          <w:kern w:val="24"/>
          <w:sz w:val="36"/>
          <w:szCs w:val="36"/>
        </w:rPr>
        <w:t>Implementation Council Meeting</w:t>
      </w:r>
    </w:p>
    <w:p w:rsidR="006D56FD" w:rsidRPr="00582547" w:rsidRDefault="006D56FD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36"/>
          <w:szCs w:val="36"/>
        </w:rPr>
      </w:pPr>
      <w:r w:rsidRPr="00582547">
        <w:rPr>
          <w:rFonts w:asciiTheme="minorHAnsi" w:eastAsiaTheme="minorEastAsia" w:hAnsiTheme="minorHAnsi" w:cstheme="minorBidi"/>
          <w:sz w:val="36"/>
          <w:szCs w:val="36"/>
        </w:rPr>
        <w:t>Executive Office of Health &amp; Human Services</w:t>
      </w:r>
    </w:p>
    <w:p w:rsidR="006D56FD" w:rsidRPr="00582547" w:rsidRDefault="006D56FD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 w:cstheme="minorBidi"/>
          <w:kern w:val="24"/>
          <w:sz w:val="36"/>
          <w:szCs w:val="36"/>
        </w:rPr>
        <w:t>MassHealth Demonstration to Integrate Care for Dual Eligibles</w:t>
      </w:r>
    </w:p>
    <w:p w:rsidR="00AC71C1" w:rsidRPr="00582547" w:rsidRDefault="00AC71C1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May 8, 2018, 10:00 AM – 12:00 PM</w:t>
      </w:r>
    </w:p>
    <w:p w:rsidR="00AC71C1" w:rsidRPr="00582547" w:rsidRDefault="00AC71C1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Health Policy Commission (HPC)</w:t>
      </w:r>
    </w:p>
    <w:p w:rsidR="00AC71C1" w:rsidRPr="00582547" w:rsidRDefault="00AC71C1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Conference Room A, 8</w:t>
      </w:r>
      <w:r w:rsidRPr="00582547">
        <w:rPr>
          <w:rFonts w:asciiTheme="minorHAnsi" w:eastAsiaTheme="minorEastAsia" w:hAnsiTheme="minorHAnsi"/>
          <w:kern w:val="24"/>
          <w:sz w:val="36"/>
          <w:szCs w:val="36"/>
          <w:vertAlign w:val="superscript"/>
        </w:rPr>
        <w:t>th</w:t>
      </w:r>
      <w:r w:rsidRPr="00582547">
        <w:rPr>
          <w:rFonts w:asciiTheme="minorHAnsi" w:eastAsiaTheme="minorEastAsia" w:hAnsiTheme="minorHAnsi"/>
          <w:kern w:val="24"/>
          <w:sz w:val="36"/>
          <w:szCs w:val="36"/>
        </w:rPr>
        <w:t xml:space="preserve"> Floor</w:t>
      </w:r>
    </w:p>
    <w:p w:rsidR="00AC71C1" w:rsidRPr="00582547" w:rsidRDefault="00AC71C1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50 Milk St.</w:t>
      </w:r>
    </w:p>
    <w:p w:rsidR="00AC71C1" w:rsidRPr="00582547" w:rsidRDefault="00AC71C1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Boston, MA</w:t>
      </w:r>
    </w:p>
    <w:p w:rsidR="00400633" w:rsidRPr="00582547" w:rsidRDefault="00400633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</w:rPr>
      </w:pPr>
    </w:p>
    <w:p w:rsidR="00184E87" w:rsidRPr="00582547" w:rsidRDefault="00A06593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b/>
          <w:sz w:val="36"/>
          <w:szCs w:val="36"/>
          <w:u w:val="single"/>
        </w:rPr>
        <w:t>Slide 2</w:t>
      </w:r>
    </w:p>
    <w:p w:rsidR="008D7893" w:rsidRPr="00582547" w:rsidRDefault="00A234BD" w:rsidP="00A234B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Grievance or Complaint</w:t>
      </w:r>
      <w:r w:rsidRPr="00582547">
        <w:rPr>
          <w:rFonts w:asciiTheme="minorHAnsi" w:eastAsiaTheme="minorEastAsia" w:hAnsiTheme="minorHAnsi"/>
          <w:kern w:val="24"/>
          <w:sz w:val="36"/>
          <w:szCs w:val="36"/>
          <w:vertAlign w:val="superscript"/>
        </w:rPr>
        <w:t>1, 2</w:t>
      </w:r>
      <w:r w:rsidRPr="00582547">
        <w:rPr>
          <w:rFonts w:asciiTheme="minorHAnsi" w:eastAsiaTheme="minorEastAsia" w:hAnsiTheme="minorHAnsi"/>
          <w:kern w:val="24"/>
          <w:sz w:val="36"/>
          <w:szCs w:val="36"/>
        </w:rPr>
        <w:t xml:space="preserve"> (are defined and treated as the same thing)</w:t>
      </w:r>
    </w:p>
    <w:p w:rsidR="008D7893" w:rsidRPr="00582547" w:rsidRDefault="00A234BD" w:rsidP="00A234BD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Any complaint or dispute, other than one that constitutes an organization determination* (42 C.F.R. §422.566), expressing dissatisfaction with any aspect of the Contractor’s or provider’s operations, activities, or behavior, regardless of whether remedial action is requested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*An organization determination would be a decision by the Plan that a member has a right to appeal</w:t>
      </w:r>
    </w:p>
    <w:p w:rsidR="008D7893" w:rsidRPr="00582547" w:rsidRDefault="00A234BD" w:rsidP="00A234BD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In other words, a Grievance or a Complaint is a communication to the plan, a provider, or an oversight entity that you are unhappy about something about One Care</w:t>
      </w:r>
    </w:p>
    <w:p w:rsidR="008D7893" w:rsidRPr="00582547" w:rsidRDefault="00A234BD" w:rsidP="00A234BD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Some examples of Grievances/Complaints may include:</w:t>
      </w:r>
    </w:p>
    <w:p w:rsidR="008D7893" w:rsidRPr="00582547" w:rsidRDefault="00A234BD" w:rsidP="00A234BD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Quality of care or services provided</w:t>
      </w:r>
    </w:p>
    <w:p w:rsidR="008D7893" w:rsidRPr="00582547" w:rsidRDefault="00A234BD" w:rsidP="00A234BD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lastRenderedPageBreak/>
        <w:t>Concerns about communication with providers or plan staff (i.e., unprofessional behavior)</w:t>
      </w:r>
    </w:p>
    <w:p w:rsidR="00D04E0E" w:rsidRPr="00582547" w:rsidRDefault="00A234BD" w:rsidP="00A234BD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Failure to respect the Enrollee’s rights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ind w:left="1800"/>
        <w:rPr>
          <w:rFonts w:asciiTheme="minorHAnsi" w:eastAsiaTheme="minorEastAsia" w:hAnsiTheme="minorHAnsi"/>
          <w:kern w:val="24"/>
          <w:sz w:val="36"/>
          <w:szCs w:val="36"/>
        </w:rPr>
      </w:pPr>
    </w:p>
    <w:p w:rsidR="008D7893" w:rsidRPr="00582547" w:rsidRDefault="00A234BD" w:rsidP="00A234B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Appeal</w:t>
      </w:r>
      <w:r w:rsidRPr="00582547">
        <w:rPr>
          <w:rFonts w:asciiTheme="minorHAnsi" w:eastAsiaTheme="minorEastAsia" w:hAnsiTheme="minorHAnsi"/>
          <w:kern w:val="24"/>
          <w:sz w:val="36"/>
          <w:szCs w:val="36"/>
          <w:vertAlign w:val="superscript"/>
        </w:rPr>
        <w:t>3</w:t>
      </w:r>
    </w:p>
    <w:p w:rsidR="008D7893" w:rsidRPr="00582547" w:rsidRDefault="00A234BD" w:rsidP="00A234BD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An Enrollee’s request for formal review of an Adverse Action of the Contractor in accordance with Section 2.12 of the One Care Three-Way Contract</w:t>
      </w:r>
    </w:p>
    <w:p w:rsidR="008D7893" w:rsidRPr="00582547" w:rsidRDefault="00A234BD" w:rsidP="00A234B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In other words, an Appeal is asking for another look at a plan’s decision</w:t>
      </w:r>
    </w:p>
    <w:p w:rsidR="00582547" w:rsidRDefault="00582547" w:rsidP="00D04E0E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sz w:val="36"/>
          <w:szCs w:val="36"/>
          <w:vertAlign w:val="superscript"/>
        </w:rPr>
      </w:pP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1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Page 7; </w:t>
      </w: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 xml:space="preserve">2 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Page 11 </w:t>
      </w: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3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 Page 5 of the December 28, 2015 contract, available at </w:t>
      </w:r>
      <w:hyperlink r:id="rId8" w:history="1">
        <w:r w:rsidRPr="00C230DF">
          <w:rPr>
            <w:rStyle w:val="Hyperlink"/>
            <w:rFonts w:asciiTheme="minorHAnsi" w:hAnsiTheme="minorHAnsi"/>
            <w:i/>
            <w:iCs/>
            <w:sz w:val="36"/>
            <w:szCs w:val="36"/>
          </w:rPr>
          <w:t>www.mass.gov/masshealth/duals</w:t>
        </w:r>
      </w:hyperlink>
      <w:r w:rsidRPr="00582547">
        <w:rPr>
          <w:rFonts w:asciiTheme="minorHAnsi" w:hAnsiTheme="minorHAnsi"/>
          <w:i/>
          <w:iCs/>
          <w:sz w:val="36"/>
          <w:szCs w:val="36"/>
        </w:rPr>
        <w:t xml:space="preserve"> under “One Care Three-Way Contract and Memorandum of Understanding”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b/>
          <w:sz w:val="36"/>
          <w:szCs w:val="36"/>
          <w:u w:val="single"/>
        </w:rPr>
      </w:pPr>
    </w:p>
    <w:p w:rsidR="006D56FD" w:rsidRPr="00582547" w:rsidRDefault="00A06593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b/>
          <w:sz w:val="36"/>
          <w:szCs w:val="36"/>
          <w:u w:val="single"/>
        </w:rPr>
        <w:t>Slide 3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b/>
          <w:sz w:val="36"/>
          <w:szCs w:val="36"/>
        </w:rPr>
      </w:pPr>
      <w:r w:rsidRPr="00582547">
        <w:rPr>
          <w:rFonts w:asciiTheme="minorHAnsi" w:hAnsiTheme="minorHAnsi"/>
          <w:b/>
          <w:sz w:val="36"/>
          <w:szCs w:val="36"/>
        </w:rPr>
        <w:t>Requirements for Plans to Provide Information on Grievance and Appeals Process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D04E0E" w:rsidRPr="00582547" w:rsidRDefault="00D04E0E" w:rsidP="00A234B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 xml:space="preserve">The Three-Way Contract between MassHealth, CMS, and the One Care Plans requires Plans to let members know what their grievance and appeal rights are at multiple points: </w:t>
      </w:r>
    </w:p>
    <w:p w:rsidR="00D04E0E" w:rsidRPr="00582547" w:rsidRDefault="00D04E0E" w:rsidP="00A234BD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In the case that a Member’s behavior is preventing the Plan from providing services, the Plan must provide information in writing to each member on their right to use the Plan’s grievance procedures</w:t>
      </w:r>
      <w:r w:rsidRPr="00582547">
        <w:rPr>
          <w:rFonts w:asciiTheme="minorHAnsi" w:hAnsiTheme="minorHAnsi"/>
          <w:sz w:val="36"/>
          <w:szCs w:val="36"/>
          <w:vertAlign w:val="superscript"/>
        </w:rPr>
        <w:t>1</w:t>
      </w:r>
      <w:r w:rsidRPr="00582547">
        <w:rPr>
          <w:rFonts w:asciiTheme="minorHAnsi" w:hAnsiTheme="minorHAnsi"/>
          <w:sz w:val="36"/>
          <w:szCs w:val="36"/>
        </w:rPr>
        <w:t xml:space="preserve"> </w:t>
      </w:r>
    </w:p>
    <w:p w:rsidR="00D04E0E" w:rsidRPr="00582547" w:rsidRDefault="00D04E0E" w:rsidP="00A234BD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During care planning process, inform members how to submit a Grievance or Appeal</w:t>
      </w:r>
      <w:r w:rsidRPr="00582547">
        <w:rPr>
          <w:rFonts w:asciiTheme="minorHAnsi" w:hAnsiTheme="minorHAnsi"/>
          <w:sz w:val="36"/>
          <w:szCs w:val="36"/>
          <w:vertAlign w:val="superscript"/>
        </w:rPr>
        <w:t>2</w:t>
      </w:r>
      <w:r w:rsidRPr="00582547">
        <w:rPr>
          <w:rFonts w:asciiTheme="minorHAnsi" w:hAnsiTheme="minorHAnsi"/>
          <w:sz w:val="36"/>
          <w:szCs w:val="36"/>
        </w:rPr>
        <w:t xml:space="preserve"> </w:t>
      </w:r>
    </w:p>
    <w:p w:rsidR="00D04E0E" w:rsidRPr="00582547" w:rsidRDefault="00D04E0E" w:rsidP="00A234BD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lastRenderedPageBreak/>
        <w:t>Care Coordinators must accept Member input, Complaints, and Grievances and communicate these to the appropriate Plan staff</w:t>
      </w:r>
      <w:r w:rsidRPr="00582547">
        <w:rPr>
          <w:rFonts w:asciiTheme="minorHAnsi" w:hAnsiTheme="minorHAnsi"/>
          <w:sz w:val="36"/>
          <w:szCs w:val="36"/>
          <w:vertAlign w:val="superscript"/>
        </w:rPr>
        <w:t>3</w:t>
      </w:r>
    </w:p>
    <w:p w:rsidR="00D04E0E" w:rsidRPr="00582547" w:rsidRDefault="00D04E0E" w:rsidP="00A234BD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Plans’ Member Handbooks must include information on the steps and timeframes for filing grievances or appeals</w:t>
      </w:r>
      <w:r w:rsidRPr="00582547">
        <w:rPr>
          <w:rFonts w:asciiTheme="minorHAnsi" w:hAnsiTheme="minorHAnsi"/>
          <w:sz w:val="36"/>
          <w:szCs w:val="36"/>
          <w:vertAlign w:val="superscript"/>
        </w:rPr>
        <w:t>4</w:t>
      </w:r>
    </w:p>
    <w:p w:rsidR="00D04E0E" w:rsidRPr="00582547" w:rsidRDefault="00D04E0E" w:rsidP="00A234BD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Plans must post a link to the electronic Grievance form on the Medicare.gov website on their main web page</w:t>
      </w:r>
      <w:r w:rsidRPr="00582547">
        <w:rPr>
          <w:rFonts w:asciiTheme="minorHAnsi" w:hAnsiTheme="minorHAnsi"/>
          <w:sz w:val="36"/>
          <w:szCs w:val="36"/>
          <w:vertAlign w:val="superscript"/>
        </w:rPr>
        <w:t>5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36"/>
          <w:szCs w:val="36"/>
        </w:rPr>
      </w:pPr>
    </w:p>
    <w:p w:rsidR="00D04E0E" w:rsidRPr="00582547" w:rsidRDefault="00D04E0E" w:rsidP="00A234B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 xml:space="preserve">Plans also must inform Providers about grievance and appeal policies, including: </w:t>
      </w:r>
    </w:p>
    <w:p w:rsidR="00D04E0E" w:rsidRPr="00582547" w:rsidRDefault="00D04E0E" w:rsidP="00A234BD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Procedures and timeframes</w:t>
      </w:r>
    </w:p>
    <w:p w:rsidR="00D04E0E" w:rsidRPr="00582547" w:rsidRDefault="00D04E0E" w:rsidP="00A234BD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Member’s right to file a grievance or appeal if Providers violate any member rights</w:t>
      </w:r>
      <w:r w:rsidRPr="00582547">
        <w:rPr>
          <w:rFonts w:asciiTheme="minorHAnsi" w:hAnsiTheme="minorHAnsi"/>
          <w:sz w:val="36"/>
          <w:szCs w:val="36"/>
          <w:vertAlign w:val="superscript"/>
        </w:rPr>
        <w:t>6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sz w:val="36"/>
          <w:szCs w:val="36"/>
          <w:vertAlign w:val="superscript"/>
        </w:rPr>
      </w:pP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1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 Page 32; </w:t>
      </w: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 xml:space="preserve">2 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Page 65; </w:t>
      </w: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3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 Page 40; </w:t>
      </w: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4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 Page 161; </w:t>
      </w: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5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 Page 132; </w:t>
      </w: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6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 Page 85 of the December 28, 2015 contract, available at </w:t>
      </w:r>
      <w:hyperlink r:id="rId9" w:history="1">
        <w:r w:rsidRPr="00582547">
          <w:rPr>
            <w:rStyle w:val="Hyperlink"/>
            <w:rFonts w:asciiTheme="minorHAnsi" w:hAnsiTheme="minorHAnsi"/>
            <w:i/>
            <w:iCs/>
            <w:sz w:val="36"/>
            <w:szCs w:val="36"/>
          </w:rPr>
          <w:t>www.mass.gov/masshealth/duals</w:t>
        </w:r>
      </w:hyperlink>
      <w:r w:rsidRPr="00582547">
        <w:rPr>
          <w:rFonts w:asciiTheme="minorHAnsi" w:hAnsiTheme="minorHAnsi"/>
          <w:i/>
          <w:iCs/>
          <w:sz w:val="36"/>
          <w:szCs w:val="36"/>
        </w:rPr>
        <w:t xml:space="preserve"> under “One Care Three-Way Contract and Memorandum of Understanding”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AC71C1" w:rsidRPr="00582547" w:rsidRDefault="00A06593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>Slide 4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582547">
        <w:rPr>
          <w:rFonts w:asciiTheme="minorHAnsi" w:hAnsiTheme="minorHAnsi"/>
          <w:b/>
          <w:bCs/>
          <w:sz w:val="36"/>
          <w:szCs w:val="36"/>
        </w:rPr>
        <w:t>Collecting Grievances and Appeals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D04E0E" w:rsidRPr="00582547" w:rsidRDefault="00D04E0E" w:rsidP="00A234B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Plans must have available for Members information about Member Grievances and Appeals</w:t>
      </w:r>
    </w:p>
    <w:p w:rsidR="00D04E0E" w:rsidRPr="00582547" w:rsidRDefault="00D04E0E" w:rsidP="00A234BD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Provide reasonable assistance to complete forms or o</w:t>
      </w:r>
      <w:r w:rsidR="00E31D75">
        <w:rPr>
          <w:rFonts w:asciiTheme="minorHAnsi" w:hAnsiTheme="minorHAnsi"/>
          <w:sz w:val="36"/>
          <w:szCs w:val="36"/>
        </w:rPr>
        <w:t xml:space="preserve">ther procedural steps, such as </w:t>
      </w:r>
      <w:r w:rsidRPr="00582547">
        <w:rPr>
          <w:rFonts w:asciiTheme="minorHAnsi" w:hAnsiTheme="minorHAnsi"/>
          <w:sz w:val="36"/>
          <w:szCs w:val="36"/>
        </w:rPr>
        <w:t>interpreter services and toll-free numbers with TTY/TDD and interpreter capability</w:t>
      </w:r>
      <w:r w:rsidRPr="00582547">
        <w:rPr>
          <w:rFonts w:asciiTheme="minorHAnsi" w:hAnsiTheme="minorHAnsi"/>
          <w:sz w:val="36"/>
          <w:szCs w:val="36"/>
          <w:vertAlign w:val="superscript"/>
        </w:rPr>
        <w:t>1</w:t>
      </w:r>
    </w:p>
    <w:p w:rsidR="008D7893" w:rsidRPr="00582547" w:rsidRDefault="00A234BD" w:rsidP="00A234B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b/>
          <w:bCs/>
          <w:sz w:val="36"/>
          <w:szCs w:val="36"/>
        </w:rPr>
        <w:t>Grievances</w:t>
      </w:r>
      <w:r w:rsidRPr="00582547">
        <w:rPr>
          <w:rFonts w:asciiTheme="minorHAnsi" w:hAnsiTheme="minorHAnsi"/>
          <w:sz w:val="36"/>
          <w:szCs w:val="36"/>
        </w:rPr>
        <w:t xml:space="preserve"> may be filed at any time with the plan or its providers by calling or writing to the plan or provider</w:t>
      </w:r>
      <w:r w:rsidRPr="00582547">
        <w:rPr>
          <w:rFonts w:asciiTheme="minorHAnsi" w:hAnsiTheme="minorHAnsi"/>
          <w:sz w:val="36"/>
          <w:szCs w:val="36"/>
          <w:vertAlign w:val="superscript"/>
        </w:rPr>
        <w:t>2</w:t>
      </w:r>
    </w:p>
    <w:p w:rsidR="008D7893" w:rsidRPr="00582547" w:rsidRDefault="00A234BD" w:rsidP="00A234BD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lastRenderedPageBreak/>
        <w:t>Member or an authorized representative may file grievances</w:t>
      </w:r>
    </w:p>
    <w:p w:rsidR="008D7893" w:rsidRPr="00582547" w:rsidRDefault="00A234BD" w:rsidP="00A234BD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The Contract requires plans to have procedures in place for responding to Grievances, subject to approval by MassHealth during readiness review</w:t>
      </w:r>
      <w:r w:rsidRPr="00582547">
        <w:rPr>
          <w:rFonts w:asciiTheme="minorHAnsi" w:hAnsiTheme="minorHAnsi"/>
          <w:sz w:val="36"/>
          <w:szCs w:val="36"/>
          <w:vertAlign w:val="superscript"/>
        </w:rPr>
        <w:t>3</w:t>
      </w:r>
    </w:p>
    <w:p w:rsidR="008D7893" w:rsidRPr="00582547" w:rsidRDefault="00A234BD" w:rsidP="00A234BD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Plans must provide timely acknowledgment of receipt and timely review of each grievance</w:t>
      </w:r>
    </w:p>
    <w:p w:rsidR="008D7893" w:rsidRPr="00582547" w:rsidRDefault="00A234BD" w:rsidP="00A234B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When a member contacts a plan with a complaint, the plan must also inform the member of the availability of Ombudsman services</w:t>
      </w:r>
      <w:r w:rsidRPr="00582547">
        <w:rPr>
          <w:rFonts w:asciiTheme="minorHAnsi" w:hAnsiTheme="minorHAnsi"/>
          <w:sz w:val="36"/>
          <w:szCs w:val="36"/>
          <w:vertAlign w:val="superscript"/>
        </w:rPr>
        <w:t>4</w:t>
      </w:r>
    </w:p>
    <w:p w:rsidR="008D7893" w:rsidRPr="00582547" w:rsidRDefault="00A234BD" w:rsidP="00A234B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Members also have the option of contacting Medicare or MassHealth directly</w:t>
      </w:r>
    </w:p>
    <w:p w:rsidR="0067605A" w:rsidRPr="00582547" w:rsidRDefault="0067605A" w:rsidP="0067605A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8D7893" w:rsidRPr="00582547" w:rsidRDefault="00A234BD" w:rsidP="00A234B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 xml:space="preserve">Members have the right to file an internal </w:t>
      </w:r>
      <w:r w:rsidRPr="00582547">
        <w:rPr>
          <w:rFonts w:asciiTheme="minorHAnsi" w:hAnsiTheme="minorHAnsi"/>
          <w:b/>
          <w:bCs/>
          <w:sz w:val="36"/>
          <w:szCs w:val="36"/>
        </w:rPr>
        <w:t>Appeal</w:t>
      </w:r>
      <w:r w:rsidRPr="00582547">
        <w:rPr>
          <w:rFonts w:asciiTheme="minorHAnsi" w:hAnsiTheme="minorHAnsi"/>
          <w:sz w:val="36"/>
          <w:szCs w:val="36"/>
        </w:rPr>
        <w:t xml:space="preserve"> with their Plan by writing, faxing, or calling within 60 days of receiving a written denial notice</w:t>
      </w:r>
      <w:r w:rsidRPr="00582547">
        <w:rPr>
          <w:rFonts w:asciiTheme="minorHAnsi" w:hAnsiTheme="minorHAnsi"/>
          <w:sz w:val="36"/>
          <w:szCs w:val="36"/>
          <w:vertAlign w:val="superscript"/>
        </w:rPr>
        <w:t>5</w:t>
      </w:r>
    </w:p>
    <w:p w:rsidR="008D7893" w:rsidRPr="00582547" w:rsidRDefault="00A234BD" w:rsidP="00A234BD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A provider or authorized representative acting on behalf of a member, with the member’s written consent, may file an appeal</w:t>
      </w:r>
    </w:p>
    <w:p w:rsidR="008D7893" w:rsidRPr="00582547" w:rsidRDefault="00A234BD" w:rsidP="00A234BD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 xml:space="preserve">The plan must allow the member/member’s representative an opportunity to examine the case file </w:t>
      </w:r>
    </w:p>
    <w:p w:rsidR="008D7893" w:rsidRPr="00582547" w:rsidRDefault="00A234BD" w:rsidP="00A234BD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 xml:space="preserve">The plan must document in writing any verbal requests for a hearing </w:t>
      </w:r>
    </w:p>
    <w:p w:rsidR="008D7893" w:rsidRPr="00582547" w:rsidRDefault="00A234BD" w:rsidP="00A234B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 xml:space="preserve">A Member must go through the plan-level appeal process before bringing the matter to Medicare or MassHealth </w:t>
      </w:r>
    </w:p>
    <w:p w:rsidR="0067605A" w:rsidRPr="00582547" w:rsidRDefault="0067605A" w:rsidP="0067605A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sz w:val="36"/>
          <w:szCs w:val="36"/>
          <w:vertAlign w:val="superscript"/>
        </w:rPr>
      </w:pPr>
    </w:p>
    <w:p w:rsidR="00D04E0E" w:rsidRPr="00582547" w:rsidRDefault="00D04E0E" w:rsidP="0067605A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1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 Page 136; </w:t>
      </w: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2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 Page 137; </w:t>
      </w: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3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 Page 132; </w:t>
      </w: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4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 Page 162; </w:t>
      </w:r>
      <w:r w:rsidRPr="00582547">
        <w:rPr>
          <w:rFonts w:asciiTheme="minorHAnsi" w:hAnsiTheme="minorHAnsi"/>
          <w:i/>
          <w:iCs/>
          <w:sz w:val="36"/>
          <w:szCs w:val="36"/>
          <w:vertAlign w:val="superscript"/>
        </w:rPr>
        <w:t>5</w:t>
      </w:r>
      <w:r w:rsidRPr="00582547">
        <w:rPr>
          <w:rFonts w:asciiTheme="minorHAnsi" w:hAnsiTheme="minorHAnsi"/>
          <w:i/>
          <w:iCs/>
          <w:sz w:val="36"/>
          <w:szCs w:val="36"/>
        </w:rPr>
        <w:t xml:space="preserve"> Page 137 of the December 28, 2015 contract, available at </w:t>
      </w:r>
      <w:hyperlink r:id="rId10" w:history="1">
        <w:r w:rsidRPr="00582547">
          <w:rPr>
            <w:rStyle w:val="Hyperlink"/>
            <w:rFonts w:asciiTheme="minorHAnsi" w:hAnsiTheme="minorHAnsi"/>
            <w:i/>
            <w:iCs/>
            <w:sz w:val="36"/>
            <w:szCs w:val="36"/>
          </w:rPr>
          <w:t>www.mass.gov/masshealth/duals</w:t>
        </w:r>
      </w:hyperlink>
      <w:r w:rsidRPr="00582547">
        <w:rPr>
          <w:rFonts w:asciiTheme="minorHAnsi" w:hAnsiTheme="minorHAnsi"/>
          <w:i/>
          <w:iCs/>
          <w:sz w:val="36"/>
          <w:szCs w:val="36"/>
        </w:rPr>
        <w:t xml:space="preserve"> under “One Care Three-Way Contract and Memorandum of Understanding”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F50437" w:rsidRPr="00582547" w:rsidRDefault="0038234A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  <w:r w:rsidRPr="00582547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>Slide 5</w:t>
      </w:r>
    </w:p>
    <w:p w:rsidR="00CE4B75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582547">
        <w:rPr>
          <w:rFonts w:asciiTheme="minorHAnsi" w:hAnsiTheme="minorHAnsi"/>
          <w:b/>
          <w:bCs/>
          <w:sz w:val="36"/>
          <w:szCs w:val="36"/>
        </w:rPr>
        <w:t>Reporting Grievances and Appeals</w:t>
      </w:r>
    </w:p>
    <w:p w:rsidR="0067605A" w:rsidRPr="00582547" w:rsidRDefault="0067605A" w:rsidP="00D04E0E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</w:p>
    <w:p w:rsidR="008D7893" w:rsidRPr="00582547" w:rsidRDefault="00A234BD" w:rsidP="00A234B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 xml:space="preserve">Plans are required to submit monthly grievance and appeal reports to MassHealth including written records of all grievance and appeal activities </w:t>
      </w:r>
    </w:p>
    <w:p w:rsidR="008D7893" w:rsidRPr="00582547" w:rsidRDefault="00A234BD" w:rsidP="00A234BD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Contains numerical data on amount and type of grievances/appeals as well as appeal decisions</w:t>
      </w:r>
    </w:p>
    <w:p w:rsidR="008D7893" w:rsidRPr="00582547" w:rsidRDefault="00A234BD" w:rsidP="00A234BD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Reported by the date the grievance/appeal was brought forward</w:t>
      </w:r>
    </w:p>
    <w:p w:rsidR="008D7893" w:rsidRPr="00582547" w:rsidRDefault="00A234BD" w:rsidP="00A234BD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If grievances contain multiple issues, they must be reported as separate complaints</w:t>
      </w:r>
    </w:p>
    <w:p w:rsidR="008D7893" w:rsidRPr="00582547" w:rsidRDefault="00A234BD" w:rsidP="00A234BD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sz w:val="36"/>
          <w:szCs w:val="36"/>
        </w:rPr>
        <w:t>Plans must provide more details upon request</w:t>
      </w: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67605A" w:rsidRPr="00582547" w:rsidTr="003E19F0">
        <w:tc>
          <w:tcPr>
            <w:tcW w:w="10296" w:type="dxa"/>
            <w:gridSpan w:val="2"/>
          </w:tcPr>
          <w:p w:rsidR="0067605A" w:rsidRPr="00582547" w:rsidRDefault="0067605A" w:rsidP="0067605A">
            <w:pPr>
              <w:pStyle w:val="NormalWeb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b/>
                <w:bCs/>
                <w:sz w:val="36"/>
                <w:szCs w:val="36"/>
              </w:rPr>
              <w:t>Grievance Reporting Categories</w:t>
            </w:r>
          </w:p>
        </w:tc>
      </w:tr>
      <w:tr w:rsidR="0067605A" w:rsidRPr="00582547" w:rsidTr="0067605A">
        <w:tc>
          <w:tcPr>
            <w:tcW w:w="5148" w:type="dxa"/>
            <w:vAlign w:val="center"/>
          </w:tcPr>
          <w:p w:rsidR="0067605A" w:rsidRPr="00582547" w:rsidRDefault="0067605A" w:rsidP="0067605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Benefit Package: Dental, Part C, Medicaid, Supplemental, Part D</w:t>
            </w:r>
          </w:p>
        </w:tc>
        <w:tc>
          <w:tcPr>
            <w:tcW w:w="5148" w:type="dxa"/>
          </w:tcPr>
          <w:p w:rsidR="0067605A" w:rsidRPr="00582547" w:rsidRDefault="0067605A" w:rsidP="00D04E0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Enrollment</w:t>
            </w:r>
          </w:p>
        </w:tc>
      </w:tr>
      <w:tr w:rsidR="0067605A" w:rsidRPr="00582547" w:rsidTr="0067605A">
        <w:tc>
          <w:tcPr>
            <w:tcW w:w="5148" w:type="dxa"/>
          </w:tcPr>
          <w:p w:rsidR="0067605A" w:rsidRPr="00582547" w:rsidRDefault="0067605A" w:rsidP="0067605A">
            <w:pPr>
              <w:pStyle w:val="NormalWeb"/>
              <w:tabs>
                <w:tab w:val="left" w:pos="1470"/>
              </w:tabs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MassHealth</w:t>
            </w:r>
          </w:p>
        </w:tc>
        <w:tc>
          <w:tcPr>
            <w:tcW w:w="5148" w:type="dxa"/>
          </w:tcPr>
          <w:p w:rsidR="0067605A" w:rsidRPr="00582547" w:rsidRDefault="0067605A" w:rsidP="00D04E0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Medicare</w:t>
            </w:r>
          </w:p>
        </w:tc>
      </w:tr>
      <w:tr w:rsidR="0067605A" w:rsidRPr="00582547" w:rsidTr="0067605A">
        <w:tc>
          <w:tcPr>
            <w:tcW w:w="5148" w:type="dxa"/>
          </w:tcPr>
          <w:p w:rsidR="0067605A" w:rsidRPr="00582547" w:rsidRDefault="0067605A" w:rsidP="0067605A">
            <w:pPr>
              <w:pStyle w:val="NormalWeb"/>
              <w:tabs>
                <w:tab w:val="left" w:pos="1470"/>
              </w:tabs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Network</w:t>
            </w:r>
          </w:p>
        </w:tc>
        <w:tc>
          <w:tcPr>
            <w:tcW w:w="5148" w:type="dxa"/>
          </w:tcPr>
          <w:p w:rsidR="0067605A" w:rsidRPr="00582547" w:rsidRDefault="0067605A" w:rsidP="00D04E0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Other</w:t>
            </w:r>
          </w:p>
        </w:tc>
      </w:tr>
      <w:tr w:rsidR="0067605A" w:rsidRPr="00582547" w:rsidTr="0067605A">
        <w:tc>
          <w:tcPr>
            <w:tcW w:w="5148" w:type="dxa"/>
          </w:tcPr>
          <w:p w:rsidR="0067605A" w:rsidRPr="00582547" w:rsidRDefault="0067605A" w:rsidP="0067605A">
            <w:pPr>
              <w:pStyle w:val="NormalWeb"/>
              <w:tabs>
                <w:tab w:val="left" w:pos="1470"/>
              </w:tabs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Plan Management</w:t>
            </w:r>
          </w:p>
        </w:tc>
        <w:tc>
          <w:tcPr>
            <w:tcW w:w="5148" w:type="dxa"/>
          </w:tcPr>
          <w:p w:rsidR="0067605A" w:rsidRPr="00582547" w:rsidRDefault="0067605A" w:rsidP="0067605A">
            <w:pPr>
              <w:pStyle w:val="NormalWeb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Plan Marketing Materials</w:t>
            </w:r>
          </w:p>
        </w:tc>
      </w:tr>
      <w:tr w:rsidR="0067605A" w:rsidRPr="00582547" w:rsidTr="0067605A">
        <w:tc>
          <w:tcPr>
            <w:tcW w:w="5148" w:type="dxa"/>
          </w:tcPr>
          <w:p w:rsidR="0067605A" w:rsidRPr="00582547" w:rsidRDefault="0067605A" w:rsidP="0067605A">
            <w:pPr>
              <w:pStyle w:val="NormalWeb"/>
              <w:tabs>
                <w:tab w:val="left" w:pos="1470"/>
              </w:tabs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Provider</w:t>
            </w:r>
          </w:p>
        </w:tc>
        <w:tc>
          <w:tcPr>
            <w:tcW w:w="5148" w:type="dxa"/>
          </w:tcPr>
          <w:p w:rsidR="0067605A" w:rsidRPr="00582547" w:rsidRDefault="0067605A" w:rsidP="0067605A">
            <w:pPr>
              <w:pStyle w:val="NormalWeb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Quality of Care</w:t>
            </w:r>
          </w:p>
        </w:tc>
      </w:tr>
      <w:tr w:rsidR="0067605A" w:rsidRPr="00582547" w:rsidTr="0067605A">
        <w:tc>
          <w:tcPr>
            <w:tcW w:w="5148" w:type="dxa"/>
          </w:tcPr>
          <w:p w:rsidR="0067605A" w:rsidRPr="00582547" w:rsidRDefault="0067605A" w:rsidP="0067605A">
            <w:pPr>
              <w:pStyle w:val="NormalWeb"/>
              <w:tabs>
                <w:tab w:val="left" w:pos="1470"/>
              </w:tabs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Transportation</w:t>
            </w:r>
          </w:p>
        </w:tc>
        <w:tc>
          <w:tcPr>
            <w:tcW w:w="5148" w:type="dxa"/>
          </w:tcPr>
          <w:p w:rsidR="0067605A" w:rsidRPr="00582547" w:rsidRDefault="0067605A" w:rsidP="00D04E0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:rsidR="0067605A" w:rsidRPr="00582547" w:rsidRDefault="0067605A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67605A" w:rsidRPr="00582547" w:rsidTr="00AD60A7">
        <w:tc>
          <w:tcPr>
            <w:tcW w:w="10296" w:type="dxa"/>
            <w:gridSpan w:val="2"/>
          </w:tcPr>
          <w:p w:rsidR="0067605A" w:rsidRPr="00582547" w:rsidRDefault="0067605A" w:rsidP="0067605A">
            <w:pPr>
              <w:pStyle w:val="NormalWeb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b/>
                <w:bCs/>
                <w:sz w:val="36"/>
                <w:szCs w:val="36"/>
              </w:rPr>
              <w:t>Appeal Reporting Categories</w:t>
            </w:r>
          </w:p>
        </w:tc>
      </w:tr>
      <w:tr w:rsidR="0067605A" w:rsidRPr="00582547" w:rsidTr="0067605A">
        <w:tc>
          <w:tcPr>
            <w:tcW w:w="5148" w:type="dxa"/>
          </w:tcPr>
          <w:p w:rsidR="0067605A" w:rsidRPr="00582547" w:rsidRDefault="0067605A" w:rsidP="0067605A">
            <w:pPr>
              <w:pStyle w:val="NormalWeb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Specialty Services</w:t>
            </w:r>
          </w:p>
        </w:tc>
        <w:tc>
          <w:tcPr>
            <w:tcW w:w="5148" w:type="dxa"/>
          </w:tcPr>
          <w:p w:rsidR="0067605A" w:rsidRPr="00582547" w:rsidRDefault="0067605A" w:rsidP="00D04E0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LTSS</w:t>
            </w:r>
          </w:p>
        </w:tc>
      </w:tr>
      <w:tr w:rsidR="0067605A" w:rsidRPr="00582547" w:rsidTr="0067605A">
        <w:tc>
          <w:tcPr>
            <w:tcW w:w="5148" w:type="dxa"/>
          </w:tcPr>
          <w:p w:rsidR="0067605A" w:rsidRPr="00582547" w:rsidRDefault="0067605A" w:rsidP="00D04E0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HCBS</w:t>
            </w:r>
          </w:p>
        </w:tc>
        <w:tc>
          <w:tcPr>
            <w:tcW w:w="5148" w:type="dxa"/>
          </w:tcPr>
          <w:p w:rsidR="0067605A" w:rsidRPr="00582547" w:rsidRDefault="0067605A" w:rsidP="00D04E0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Institutional</w:t>
            </w:r>
          </w:p>
        </w:tc>
      </w:tr>
      <w:tr w:rsidR="0067605A" w:rsidRPr="00582547" w:rsidTr="0067605A">
        <w:tc>
          <w:tcPr>
            <w:tcW w:w="5148" w:type="dxa"/>
          </w:tcPr>
          <w:p w:rsidR="0067605A" w:rsidRPr="00582547" w:rsidRDefault="0067605A" w:rsidP="0067605A">
            <w:pPr>
              <w:pStyle w:val="NormalWeb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lastRenderedPageBreak/>
              <w:t>Mental Health</w:t>
            </w:r>
          </w:p>
        </w:tc>
        <w:tc>
          <w:tcPr>
            <w:tcW w:w="5148" w:type="dxa"/>
          </w:tcPr>
          <w:p w:rsidR="0067605A" w:rsidRPr="00582547" w:rsidRDefault="0067605A" w:rsidP="0067605A">
            <w:pPr>
              <w:pStyle w:val="NormalWeb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Substance Use</w:t>
            </w:r>
          </w:p>
        </w:tc>
      </w:tr>
      <w:tr w:rsidR="0067605A" w:rsidRPr="00582547" w:rsidTr="0067605A">
        <w:tc>
          <w:tcPr>
            <w:tcW w:w="5148" w:type="dxa"/>
          </w:tcPr>
          <w:p w:rsidR="0067605A" w:rsidRPr="00582547" w:rsidRDefault="0067605A" w:rsidP="00D04E0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Other</w:t>
            </w:r>
          </w:p>
        </w:tc>
        <w:tc>
          <w:tcPr>
            <w:tcW w:w="5148" w:type="dxa"/>
          </w:tcPr>
          <w:p w:rsidR="0067605A" w:rsidRPr="00582547" w:rsidRDefault="0067605A" w:rsidP="0067605A">
            <w:pPr>
              <w:pStyle w:val="NormalWeb"/>
              <w:rPr>
                <w:rFonts w:asciiTheme="minorHAnsi" w:hAnsiTheme="minorHAnsi"/>
                <w:sz w:val="36"/>
                <w:szCs w:val="36"/>
              </w:rPr>
            </w:pPr>
            <w:r w:rsidRPr="00582547">
              <w:rPr>
                <w:rFonts w:asciiTheme="minorHAnsi" w:hAnsiTheme="minorHAnsi"/>
                <w:sz w:val="36"/>
                <w:szCs w:val="36"/>
              </w:rPr>
              <w:t>Part D</w:t>
            </w:r>
          </w:p>
        </w:tc>
      </w:tr>
    </w:tbl>
    <w:p w:rsidR="0067605A" w:rsidRPr="00582547" w:rsidRDefault="0067605A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1B63CB" w:rsidRPr="00582547" w:rsidRDefault="001B63CB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The following information about the </w:t>
      </w:r>
      <w:r w:rsidR="000605F9">
        <w:rPr>
          <w:rFonts w:asciiTheme="minorHAnsi" w:hAnsiTheme="minorHAnsi"/>
          <w:sz w:val="36"/>
          <w:szCs w:val="36"/>
        </w:rPr>
        <w:t>grievance</w:t>
      </w:r>
      <w:r>
        <w:rPr>
          <w:rFonts w:asciiTheme="minorHAnsi" w:hAnsiTheme="minorHAnsi"/>
          <w:sz w:val="36"/>
          <w:szCs w:val="36"/>
        </w:rPr>
        <w:t xml:space="preserve"> process is depicted in a flow chart consisting of a series of boxes.</w:t>
      </w:r>
    </w:p>
    <w:p w:rsidR="0067605A" w:rsidRPr="001B63CB" w:rsidRDefault="001B63CB" w:rsidP="0067605A">
      <w:pPr>
        <w:pStyle w:val="NormalWeb"/>
        <w:rPr>
          <w:rFonts w:asciiTheme="minorHAnsi" w:hAnsiTheme="minorHAnsi"/>
          <w:sz w:val="36"/>
          <w:szCs w:val="36"/>
        </w:rPr>
      </w:pPr>
      <w:r w:rsidRPr="001B63CB">
        <w:rPr>
          <w:rFonts w:asciiTheme="minorHAnsi" w:hAnsiTheme="minorHAnsi"/>
          <w:bCs/>
          <w:sz w:val="36"/>
          <w:szCs w:val="36"/>
        </w:rPr>
        <w:t xml:space="preserve">The first box is </w:t>
      </w:r>
      <w:r>
        <w:rPr>
          <w:rFonts w:asciiTheme="minorHAnsi" w:hAnsiTheme="minorHAnsi"/>
          <w:bCs/>
          <w:sz w:val="36"/>
          <w:szCs w:val="36"/>
        </w:rPr>
        <w:t xml:space="preserve">a list of the </w:t>
      </w:r>
      <w:r w:rsidR="00C230DF">
        <w:rPr>
          <w:rFonts w:asciiTheme="minorHAnsi" w:hAnsiTheme="minorHAnsi"/>
          <w:bCs/>
          <w:sz w:val="36"/>
          <w:szCs w:val="36"/>
        </w:rPr>
        <w:t>sources of grievances including:</w:t>
      </w:r>
    </w:p>
    <w:p w:rsidR="008D7893" w:rsidRPr="00582547" w:rsidRDefault="00A234BD" w:rsidP="00A234BD">
      <w:pPr>
        <w:pStyle w:val="NormalWeb"/>
        <w:numPr>
          <w:ilvl w:val="0"/>
          <w:numId w:val="7"/>
        </w:numPr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bCs/>
          <w:sz w:val="36"/>
          <w:szCs w:val="36"/>
        </w:rPr>
        <w:t>Ombudsman*</w:t>
      </w:r>
    </w:p>
    <w:p w:rsidR="008D7893" w:rsidRPr="00582547" w:rsidRDefault="00A234BD" w:rsidP="00A234BD">
      <w:pPr>
        <w:pStyle w:val="NormalWeb"/>
        <w:numPr>
          <w:ilvl w:val="0"/>
          <w:numId w:val="7"/>
        </w:numPr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bCs/>
          <w:sz w:val="36"/>
          <w:szCs w:val="36"/>
        </w:rPr>
        <w:t>Medicare</w:t>
      </w:r>
    </w:p>
    <w:p w:rsidR="008D7893" w:rsidRPr="00582547" w:rsidRDefault="00A234BD" w:rsidP="00A234BD">
      <w:pPr>
        <w:pStyle w:val="NormalWeb"/>
        <w:numPr>
          <w:ilvl w:val="0"/>
          <w:numId w:val="7"/>
        </w:numPr>
        <w:rPr>
          <w:rFonts w:asciiTheme="minorHAnsi" w:hAnsiTheme="minorHAnsi"/>
          <w:sz w:val="36"/>
          <w:szCs w:val="36"/>
        </w:rPr>
      </w:pPr>
      <w:r w:rsidRPr="00582547">
        <w:rPr>
          <w:rFonts w:asciiTheme="minorHAnsi" w:hAnsiTheme="minorHAnsi"/>
          <w:bCs/>
          <w:sz w:val="36"/>
          <w:szCs w:val="36"/>
        </w:rPr>
        <w:t>MassHealth</w:t>
      </w:r>
    </w:p>
    <w:p w:rsidR="0067605A" w:rsidRPr="00582547" w:rsidRDefault="00A234BD" w:rsidP="00A234B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bCs/>
          <w:sz w:val="36"/>
          <w:szCs w:val="36"/>
        </w:rPr>
      </w:pPr>
      <w:r w:rsidRPr="00582547">
        <w:rPr>
          <w:rFonts w:asciiTheme="minorHAnsi" w:hAnsiTheme="minorHAnsi"/>
          <w:bCs/>
          <w:sz w:val="36"/>
          <w:szCs w:val="36"/>
        </w:rPr>
        <w:t>Office of Civil Rights</w:t>
      </w:r>
    </w:p>
    <w:p w:rsidR="0067605A" w:rsidRPr="00582547" w:rsidRDefault="0067605A" w:rsidP="00A234B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bCs/>
          <w:sz w:val="36"/>
          <w:szCs w:val="36"/>
        </w:rPr>
      </w:pPr>
      <w:r w:rsidRPr="00582547">
        <w:rPr>
          <w:rFonts w:asciiTheme="minorHAnsi" w:hAnsiTheme="minorHAnsi"/>
          <w:bCs/>
          <w:sz w:val="36"/>
          <w:szCs w:val="36"/>
        </w:rPr>
        <w:t>Quality Improvement Organization</w:t>
      </w:r>
    </w:p>
    <w:p w:rsidR="0067605A" w:rsidRDefault="000605F9" w:rsidP="0067605A">
      <w:pPr>
        <w:pStyle w:val="NormalWeb"/>
        <w:spacing w:before="0" w:beforeAutospacing="0" w:after="0" w:afterAutospacing="0"/>
        <w:rPr>
          <w:rFonts w:asciiTheme="minorHAnsi" w:hAnsiTheme="minorHAnsi"/>
          <w:bCs/>
          <w:sz w:val="36"/>
          <w:szCs w:val="36"/>
        </w:rPr>
      </w:pPr>
      <w:r>
        <w:rPr>
          <w:rFonts w:asciiTheme="minorHAnsi" w:hAnsiTheme="minorHAnsi"/>
          <w:bCs/>
          <w:sz w:val="36"/>
          <w:szCs w:val="36"/>
        </w:rPr>
        <w:t>*</w:t>
      </w:r>
      <w:r w:rsidR="001B63CB" w:rsidRPr="001B63CB">
        <w:rPr>
          <w:rFonts w:asciiTheme="minorHAnsi" w:hAnsiTheme="minorHAnsi"/>
          <w:bCs/>
          <w:sz w:val="36"/>
          <w:szCs w:val="36"/>
        </w:rPr>
        <w:t xml:space="preserve"> The Ombudsman can answer questions, mediate disputes, and help members address their concerns; they would work with plans to address complaints they become aware of</w:t>
      </w:r>
    </w:p>
    <w:p w:rsidR="001B63CB" w:rsidRDefault="001B63CB" w:rsidP="0067605A">
      <w:pPr>
        <w:pStyle w:val="NormalWeb"/>
        <w:spacing w:before="0" w:beforeAutospacing="0" w:after="0" w:afterAutospacing="0"/>
        <w:rPr>
          <w:rFonts w:asciiTheme="minorHAnsi" w:hAnsiTheme="minorHAnsi"/>
          <w:bCs/>
          <w:sz w:val="36"/>
          <w:szCs w:val="36"/>
        </w:rPr>
      </w:pPr>
    </w:p>
    <w:p w:rsidR="0067605A" w:rsidRPr="00582547" w:rsidRDefault="000605F9" w:rsidP="000605F9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Cs/>
          <w:sz w:val="36"/>
          <w:szCs w:val="36"/>
        </w:rPr>
        <w:t>When a complaint comes into one of the One Care plans, a monthly report is sent to MassHealth and CMS. This is depicted in the flow chart by two additional boxes.</w:t>
      </w:r>
    </w:p>
    <w:p w:rsidR="00E31D75" w:rsidRPr="00E31D75" w:rsidRDefault="00E31D75" w:rsidP="00E31D75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AC71C1" w:rsidRPr="00582547" w:rsidRDefault="00184E87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  <w:r w:rsidRPr="00582547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>Slide 6</w:t>
      </w:r>
    </w:p>
    <w:p w:rsidR="00AC71C1" w:rsidRPr="00582547" w:rsidRDefault="00AC71C1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</w:p>
    <w:p w:rsidR="00D04E0E" w:rsidRPr="00582547" w:rsidRDefault="00D04E0E" w:rsidP="00D04E0E">
      <w:pPr>
        <w:rPr>
          <w:rFonts w:eastAsiaTheme="minorEastAsia" w:cs="Arial"/>
          <w:b/>
          <w:bCs/>
          <w:kern w:val="24"/>
          <w:sz w:val="36"/>
          <w:szCs w:val="36"/>
        </w:rPr>
      </w:pPr>
      <w:r w:rsidRPr="00582547">
        <w:rPr>
          <w:rFonts w:eastAsiaTheme="minorEastAsia" w:cs="Arial"/>
          <w:b/>
          <w:bCs/>
          <w:kern w:val="24"/>
          <w:sz w:val="36"/>
          <w:szCs w:val="36"/>
        </w:rPr>
        <w:t>One Care Member Grievances by Category - October 2017 – March 2018</w:t>
      </w:r>
    </w:p>
    <w:p w:rsidR="00D04E0E" w:rsidRPr="00582547" w:rsidRDefault="00D04E0E" w:rsidP="00D04E0E">
      <w:pPr>
        <w:rPr>
          <w:rFonts w:eastAsiaTheme="minorEastAsia" w:cs="Arial"/>
          <w:b/>
          <w:bCs/>
          <w:kern w:val="24"/>
          <w:sz w:val="36"/>
          <w:szCs w:val="36"/>
        </w:rPr>
      </w:pPr>
    </w:p>
    <w:p w:rsidR="00D04E0E" w:rsidRPr="00582547" w:rsidRDefault="00D04E0E" w:rsidP="00D04E0E">
      <w:pPr>
        <w:rPr>
          <w:sz w:val="36"/>
          <w:szCs w:val="36"/>
        </w:rPr>
      </w:pPr>
      <w:r w:rsidRPr="00582547">
        <w:rPr>
          <w:b/>
          <w:bCs/>
          <w:sz w:val="36"/>
          <w:szCs w:val="36"/>
        </w:rPr>
        <w:t>Tufts</w:t>
      </w:r>
    </w:p>
    <w:p w:rsidR="00D04E0E" w:rsidRPr="00582547" w:rsidRDefault="00D04E0E" w:rsidP="00D04E0E">
      <w:pPr>
        <w:rPr>
          <w:rFonts w:eastAsiaTheme="minorEastAsia" w:cs="Arial"/>
          <w:bCs/>
          <w:i/>
          <w:kern w:val="24"/>
          <w:sz w:val="36"/>
          <w:szCs w:val="36"/>
        </w:rPr>
      </w:pPr>
      <w:r w:rsidRPr="00582547">
        <w:rPr>
          <w:rFonts w:eastAsiaTheme="minorEastAsia" w:cs="Arial"/>
          <w:bCs/>
          <w:i/>
          <w:kern w:val="24"/>
          <w:sz w:val="36"/>
          <w:szCs w:val="36"/>
        </w:rPr>
        <w:t>(The following information is shown in two pie charts. The “Other Categories” in the first pie chart is further broken down in the second pie chart.)</w:t>
      </w:r>
    </w:p>
    <w:p w:rsidR="00D04E0E" w:rsidRPr="00582547" w:rsidRDefault="00D04E0E" w:rsidP="00D04E0E">
      <w:pPr>
        <w:rPr>
          <w:sz w:val="36"/>
          <w:szCs w:val="36"/>
        </w:rPr>
      </w:pPr>
    </w:p>
    <w:p w:rsidR="0067605A" w:rsidRPr="00582547" w:rsidRDefault="0067605A" w:rsidP="00D04E0E">
      <w:pPr>
        <w:rPr>
          <w:i/>
          <w:sz w:val="36"/>
          <w:szCs w:val="36"/>
        </w:rPr>
      </w:pPr>
      <w:r w:rsidRPr="00582547">
        <w:rPr>
          <w:i/>
          <w:sz w:val="36"/>
          <w:szCs w:val="36"/>
        </w:rPr>
        <w:t>1</w:t>
      </w:r>
      <w:r w:rsidRPr="00582547">
        <w:rPr>
          <w:i/>
          <w:sz w:val="36"/>
          <w:szCs w:val="36"/>
          <w:vertAlign w:val="superscript"/>
        </w:rPr>
        <w:t>st</w:t>
      </w:r>
      <w:r w:rsidRPr="00582547">
        <w:rPr>
          <w:i/>
          <w:sz w:val="36"/>
          <w:szCs w:val="36"/>
        </w:rPr>
        <w:t xml:space="preserve"> pie chart:</w:t>
      </w:r>
    </w:p>
    <w:p w:rsidR="00D04E0E" w:rsidRPr="00582547" w:rsidRDefault="00D04E0E" w:rsidP="0067605A">
      <w:pPr>
        <w:tabs>
          <w:tab w:val="right" w:pos="6480"/>
        </w:tabs>
        <w:ind w:firstLine="720"/>
        <w:rPr>
          <w:sz w:val="36"/>
          <w:szCs w:val="36"/>
        </w:rPr>
      </w:pPr>
      <w:r w:rsidRPr="00582547">
        <w:rPr>
          <w:sz w:val="36"/>
          <w:szCs w:val="36"/>
        </w:rPr>
        <w:t>Transportation</w:t>
      </w:r>
      <w:r w:rsidRPr="00582547">
        <w:rPr>
          <w:sz w:val="36"/>
          <w:szCs w:val="36"/>
        </w:rPr>
        <w:tab/>
        <w:t>23%</w:t>
      </w:r>
    </w:p>
    <w:p w:rsidR="00D04E0E" w:rsidRPr="00582547" w:rsidRDefault="00D04E0E" w:rsidP="0067605A">
      <w:pPr>
        <w:tabs>
          <w:tab w:val="right" w:pos="6480"/>
        </w:tabs>
        <w:ind w:firstLine="720"/>
        <w:rPr>
          <w:sz w:val="36"/>
          <w:szCs w:val="36"/>
        </w:rPr>
      </w:pPr>
      <w:r w:rsidRPr="00582547">
        <w:rPr>
          <w:sz w:val="36"/>
          <w:szCs w:val="36"/>
        </w:rPr>
        <w:t>Other Categories</w:t>
      </w:r>
      <w:r w:rsidRPr="00582547">
        <w:rPr>
          <w:sz w:val="36"/>
          <w:szCs w:val="36"/>
        </w:rPr>
        <w:tab/>
        <w:t>77%</w:t>
      </w:r>
    </w:p>
    <w:p w:rsidR="0067605A" w:rsidRPr="00582547" w:rsidRDefault="0067605A" w:rsidP="0067605A">
      <w:pPr>
        <w:rPr>
          <w:i/>
          <w:sz w:val="36"/>
          <w:szCs w:val="36"/>
        </w:rPr>
      </w:pPr>
    </w:p>
    <w:p w:rsidR="0067605A" w:rsidRPr="00582547" w:rsidRDefault="0067605A" w:rsidP="0067605A">
      <w:pPr>
        <w:rPr>
          <w:i/>
          <w:sz w:val="36"/>
          <w:szCs w:val="36"/>
        </w:rPr>
      </w:pPr>
      <w:r w:rsidRPr="00582547">
        <w:rPr>
          <w:i/>
          <w:sz w:val="36"/>
          <w:szCs w:val="36"/>
        </w:rPr>
        <w:t>2</w:t>
      </w:r>
      <w:r w:rsidRPr="00582547">
        <w:rPr>
          <w:i/>
          <w:sz w:val="36"/>
          <w:szCs w:val="36"/>
          <w:vertAlign w:val="superscript"/>
        </w:rPr>
        <w:t>nd</w:t>
      </w:r>
      <w:r w:rsidRPr="00582547">
        <w:rPr>
          <w:i/>
          <w:sz w:val="36"/>
          <w:szCs w:val="36"/>
        </w:rPr>
        <w:t xml:space="preserve"> pie chart: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Plan Management</w:t>
      </w:r>
      <w:r w:rsidRPr="00582547">
        <w:rPr>
          <w:sz w:val="36"/>
          <w:szCs w:val="36"/>
        </w:rPr>
        <w:tab/>
        <w:t>4%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Quality of Care</w:t>
      </w:r>
      <w:r w:rsidRPr="00582547">
        <w:rPr>
          <w:sz w:val="36"/>
          <w:szCs w:val="36"/>
        </w:rPr>
        <w:tab/>
        <w:t>19%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Dental</w:t>
      </w:r>
      <w:r w:rsidRPr="00582547">
        <w:rPr>
          <w:sz w:val="36"/>
          <w:szCs w:val="36"/>
        </w:rPr>
        <w:tab/>
        <w:t>4%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Part C, Medicaid, and Supplemental</w:t>
      </w:r>
      <w:r w:rsidRPr="00582547">
        <w:rPr>
          <w:sz w:val="36"/>
          <w:szCs w:val="36"/>
        </w:rPr>
        <w:tab/>
        <w:t>6%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Part D</w:t>
      </w:r>
      <w:r w:rsidRPr="00582547">
        <w:rPr>
          <w:sz w:val="36"/>
          <w:szCs w:val="36"/>
        </w:rPr>
        <w:tab/>
        <w:t>4%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Enrollment</w:t>
      </w:r>
      <w:r w:rsidRPr="00582547">
        <w:rPr>
          <w:sz w:val="36"/>
          <w:szCs w:val="36"/>
        </w:rPr>
        <w:tab/>
        <w:t>7%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Network</w:t>
      </w:r>
      <w:r w:rsidRPr="00582547">
        <w:rPr>
          <w:sz w:val="36"/>
          <w:szCs w:val="36"/>
        </w:rPr>
        <w:tab/>
        <w:t>8%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Other</w:t>
      </w:r>
      <w:r w:rsidRPr="00582547">
        <w:rPr>
          <w:sz w:val="36"/>
          <w:szCs w:val="36"/>
        </w:rPr>
        <w:tab/>
        <w:t>25%</w:t>
      </w:r>
    </w:p>
    <w:p w:rsidR="00D04E0E" w:rsidRPr="00582547" w:rsidRDefault="00D04E0E" w:rsidP="00D04E0E">
      <w:pPr>
        <w:rPr>
          <w:sz w:val="36"/>
          <w:szCs w:val="36"/>
        </w:rPr>
      </w:pPr>
    </w:p>
    <w:p w:rsidR="00D04E0E" w:rsidRPr="00582547" w:rsidRDefault="00D04E0E" w:rsidP="00D04E0E">
      <w:pPr>
        <w:rPr>
          <w:sz w:val="36"/>
          <w:szCs w:val="36"/>
        </w:rPr>
      </w:pPr>
      <w:r w:rsidRPr="00582547">
        <w:rPr>
          <w:b/>
          <w:bCs/>
          <w:sz w:val="36"/>
          <w:szCs w:val="36"/>
        </w:rPr>
        <w:t>CCA</w:t>
      </w:r>
    </w:p>
    <w:p w:rsidR="00D04E0E" w:rsidRPr="00582547" w:rsidRDefault="00D04E0E" w:rsidP="00D04E0E">
      <w:pPr>
        <w:rPr>
          <w:rFonts w:eastAsiaTheme="minorEastAsia" w:cs="Arial"/>
          <w:bCs/>
          <w:i/>
          <w:kern w:val="24"/>
          <w:sz w:val="36"/>
          <w:szCs w:val="36"/>
        </w:rPr>
      </w:pPr>
      <w:r w:rsidRPr="00582547">
        <w:rPr>
          <w:rFonts w:eastAsiaTheme="minorEastAsia" w:cs="Arial"/>
          <w:bCs/>
          <w:i/>
          <w:kern w:val="24"/>
          <w:sz w:val="36"/>
          <w:szCs w:val="36"/>
        </w:rPr>
        <w:t>(The following information is shown in two pie charts. The “Other Categories” in the first pie chart is further broken down in the second pie chart.)</w:t>
      </w:r>
    </w:p>
    <w:p w:rsidR="00D04E0E" w:rsidRPr="00582547" w:rsidRDefault="00D04E0E" w:rsidP="00D04E0E">
      <w:pPr>
        <w:rPr>
          <w:sz w:val="36"/>
          <w:szCs w:val="36"/>
        </w:rPr>
      </w:pPr>
    </w:p>
    <w:p w:rsidR="0067605A" w:rsidRPr="00582547" w:rsidRDefault="0067605A" w:rsidP="0067605A">
      <w:pPr>
        <w:rPr>
          <w:i/>
          <w:sz w:val="36"/>
          <w:szCs w:val="36"/>
        </w:rPr>
      </w:pPr>
      <w:r w:rsidRPr="00582547">
        <w:rPr>
          <w:i/>
          <w:sz w:val="36"/>
          <w:szCs w:val="36"/>
        </w:rPr>
        <w:t>1</w:t>
      </w:r>
      <w:r w:rsidRPr="00582547">
        <w:rPr>
          <w:i/>
          <w:sz w:val="36"/>
          <w:szCs w:val="36"/>
          <w:vertAlign w:val="superscript"/>
        </w:rPr>
        <w:t>st</w:t>
      </w:r>
      <w:r w:rsidRPr="00582547">
        <w:rPr>
          <w:i/>
          <w:sz w:val="36"/>
          <w:szCs w:val="36"/>
        </w:rPr>
        <w:t xml:space="preserve"> pie chart:</w:t>
      </w:r>
    </w:p>
    <w:p w:rsidR="00D04E0E" w:rsidRPr="00582547" w:rsidRDefault="0067605A" w:rsidP="0067605A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</w:r>
      <w:r w:rsidR="00D04E0E" w:rsidRPr="00582547">
        <w:rPr>
          <w:sz w:val="36"/>
          <w:szCs w:val="36"/>
        </w:rPr>
        <w:t>Transportation</w:t>
      </w:r>
      <w:r w:rsidR="00D04E0E" w:rsidRPr="00582547">
        <w:rPr>
          <w:sz w:val="36"/>
          <w:szCs w:val="36"/>
        </w:rPr>
        <w:tab/>
        <w:t>81%</w:t>
      </w:r>
    </w:p>
    <w:p w:rsidR="00D04E0E" w:rsidRPr="00582547" w:rsidRDefault="0067605A" w:rsidP="0067605A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</w:r>
      <w:r w:rsidR="00D04E0E" w:rsidRPr="00582547">
        <w:rPr>
          <w:sz w:val="36"/>
          <w:szCs w:val="36"/>
        </w:rPr>
        <w:t>Other Categories</w:t>
      </w:r>
      <w:r w:rsidR="00D04E0E" w:rsidRPr="00582547">
        <w:rPr>
          <w:sz w:val="36"/>
          <w:szCs w:val="36"/>
        </w:rPr>
        <w:tab/>
        <w:t>19%</w:t>
      </w:r>
    </w:p>
    <w:p w:rsidR="0067605A" w:rsidRPr="00582547" w:rsidRDefault="0067605A" w:rsidP="00D04E0E">
      <w:pPr>
        <w:tabs>
          <w:tab w:val="left" w:pos="360"/>
          <w:tab w:val="right" w:pos="6480"/>
        </w:tabs>
        <w:rPr>
          <w:sz w:val="36"/>
          <w:szCs w:val="36"/>
        </w:rPr>
      </w:pPr>
    </w:p>
    <w:p w:rsidR="0067605A" w:rsidRPr="00582547" w:rsidRDefault="0067605A" w:rsidP="0067605A">
      <w:pPr>
        <w:rPr>
          <w:i/>
          <w:sz w:val="36"/>
          <w:szCs w:val="36"/>
        </w:rPr>
      </w:pPr>
      <w:r w:rsidRPr="00582547">
        <w:rPr>
          <w:i/>
          <w:sz w:val="36"/>
          <w:szCs w:val="36"/>
        </w:rPr>
        <w:t>2</w:t>
      </w:r>
      <w:r w:rsidRPr="00582547">
        <w:rPr>
          <w:i/>
          <w:sz w:val="36"/>
          <w:szCs w:val="36"/>
          <w:vertAlign w:val="superscript"/>
        </w:rPr>
        <w:t>nd</w:t>
      </w:r>
      <w:r w:rsidRPr="00582547">
        <w:rPr>
          <w:i/>
          <w:sz w:val="36"/>
          <w:szCs w:val="36"/>
        </w:rPr>
        <w:t xml:space="preserve"> pie chart: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Provider</w:t>
      </w:r>
      <w:r w:rsidRPr="00582547">
        <w:rPr>
          <w:sz w:val="36"/>
          <w:szCs w:val="36"/>
        </w:rPr>
        <w:tab/>
        <w:t>5%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Quality of Care</w:t>
      </w:r>
      <w:r w:rsidRPr="00582547">
        <w:rPr>
          <w:sz w:val="36"/>
          <w:szCs w:val="36"/>
        </w:rPr>
        <w:tab/>
        <w:t>2%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Dental</w:t>
      </w:r>
      <w:r w:rsidRPr="00582547">
        <w:rPr>
          <w:sz w:val="36"/>
          <w:szCs w:val="36"/>
        </w:rPr>
        <w:tab/>
        <w:t>1%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Part C, Medicaid, and Supplemental</w:t>
      </w:r>
      <w:r w:rsidRPr="00582547">
        <w:rPr>
          <w:sz w:val="36"/>
          <w:szCs w:val="36"/>
        </w:rPr>
        <w:tab/>
        <w:t>1%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lastRenderedPageBreak/>
        <w:tab/>
        <w:t>Part D</w:t>
      </w:r>
      <w:r w:rsidRPr="00582547">
        <w:rPr>
          <w:sz w:val="36"/>
          <w:szCs w:val="36"/>
        </w:rPr>
        <w:tab/>
        <w:t>0%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Enrollment</w:t>
      </w:r>
      <w:r w:rsidRPr="00582547">
        <w:rPr>
          <w:sz w:val="36"/>
          <w:szCs w:val="36"/>
        </w:rPr>
        <w:tab/>
        <w:t>0%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Network</w:t>
      </w:r>
      <w:r w:rsidRPr="00582547">
        <w:rPr>
          <w:sz w:val="36"/>
          <w:szCs w:val="36"/>
        </w:rPr>
        <w:tab/>
        <w:t>0%</w:t>
      </w:r>
    </w:p>
    <w:p w:rsidR="00D04E0E" w:rsidRPr="00582547" w:rsidRDefault="00D04E0E" w:rsidP="00D04E0E">
      <w:pPr>
        <w:tabs>
          <w:tab w:val="left" w:pos="360"/>
          <w:tab w:val="right" w:pos="6480"/>
        </w:tabs>
        <w:rPr>
          <w:sz w:val="36"/>
          <w:szCs w:val="36"/>
        </w:rPr>
      </w:pPr>
      <w:r w:rsidRPr="00582547">
        <w:rPr>
          <w:sz w:val="36"/>
          <w:szCs w:val="36"/>
        </w:rPr>
        <w:tab/>
        <w:t>Plan Management</w:t>
      </w:r>
      <w:r w:rsidRPr="00582547">
        <w:rPr>
          <w:sz w:val="36"/>
          <w:szCs w:val="36"/>
        </w:rPr>
        <w:tab/>
        <w:t>10%</w:t>
      </w:r>
    </w:p>
    <w:p w:rsidR="00D04E0E" w:rsidRPr="00582547" w:rsidRDefault="00D04E0E" w:rsidP="00D04E0E">
      <w:pPr>
        <w:rPr>
          <w:sz w:val="36"/>
          <w:szCs w:val="36"/>
        </w:rPr>
      </w:pPr>
    </w:p>
    <w:p w:rsidR="00D04E0E" w:rsidRPr="00582547" w:rsidRDefault="00D04E0E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</w:p>
    <w:p w:rsidR="00AC71C1" w:rsidRPr="00582547" w:rsidRDefault="00AC71C1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  <w:r w:rsidRPr="00582547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>Slide 7</w:t>
      </w:r>
    </w:p>
    <w:p w:rsidR="00D04E0E" w:rsidRPr="00582547" w:rsidRDefault="00D04E0E" w:rsidP="00D04E0E">
      <w:pPr>
        <w:rPr>
          <w:rFonts w:eastAsiaTheme="minorEastAsia" w:cs="Arial"/>
          <w:kern w:val="24"/>
          <w:sz w:val="36"/>
          <w:szCs w:val="36"/>
        </w:rPr>
      </w:pPr>
      <w:r w:rsidRPr="00582547">
        <w:rPr>
          <w:rFonts w:eastAsiaTheme="minorEastAsia" w:cs="Arial"/>
          <w:kern w:val="24"/>
          <w:sz w:val="36"/>
          <w:szCs w:val="36"/>
        </w:rPr>
        <w:t>One Care Member Grievances by Category and Plan</w:t>
      </w:r>
    </w:p>
    <w:p w:rsidR="00D04E0E" w:rsidRPr="00582547" w:rsidRDefault="00D04E0E" w:rsidP="00D04E0E">
      <w:pPr>
        <w:rPr>
          <w:rFonts w:eastAsiaTheme="minorEastAsia" w:cs="Arial"/>
          <w:kern w:val="24"/>
          <w:sz w:val="36"/>
          <w:szCs w:val="36"/>
        </w:rPr>
      </w:pPr>
      <w:r w:rsidRPr="00582547">
        <w:rPr>
          <w:rFonts w:eastAsiaTheme="minorEastAsia" w:cs="Arial"/>
          <w:kern w:val="24"/>
          <w:sz w:val="36"/>
          <w:szCs w:val="36"/>
        </w:rPr>
        <w:t>October 2017 – March 2018</w:t>
      </w:r>
    </w:p>
    <w:p w:rsidR="00D04E0E" w:rsidRPr="00582547" w:rsidRDefault="00D04E0E" w:rsidP="00D04E0E">
      <w:pPr>
        <w:rPr>
          <w:rFonts w:eastAsiaTheme="minorEastAsia" w:cs="Arial"/>
          <w:kern w:val="24"/>
          <w:sz w:val="36"/>
          <w:szCs w:val="36"/>
        </w:rPr>
      </w:pPr>
    </w:p>
    <w:tbl>
      <w:tblPr>
        <w:tblStyle w:val="TableGrid"/>
        <w:tblW w:w="10059" w:type="dxa"/>
        <w:tblLook w:val="04A0" w:firstRow="1" w:lastRow="0" w:firstColumn="1" w:lastColumn="0" w:noHBand="0" w:noVBand="1"/>
      </w:tblPr>
      <w:tblGrid>
        <w:gridCol w:w="4068"/>
        <w:gridCol w:w="1080"/>
        <w:gridCol w:w="1080"/>
        <w:gridCol w:w="1915"/>
        <w:gridCol w:w="1916"/>
      </w:tblGrid>
      <w:tr w:rsidR="00D04E0E" w:rsidRPr="00582547" w:rsidTr="00582547">
        <w:tc>
          <w:tcPr>
            <w:tcW w:w="4068" w:type="dxa"/>
            <w:vMerge w:val="restart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t>Category of Grievance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t>6 Month Total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t>Rate per 1,000 Members</w:t>
            </w:r>
            <w:r w:rsidRPr="00582547">
              <w:rPr>
                <w:rFonts w:eastAsia="Times New Roman" w:cs="Times New Roman"/>
                <w:b/>
                <w:sz w:val="36"/>
                <w:szCs w:val="36"/>
              </w:rPr>
              <w:br/>
              <w:t>(rounded to nearest whole number)</w:t>
            </w:r>
          </w:p>
        </w:tc>
      </w:tr>
      <w:tr w:rsidR="00D04E0E" w:rsidRPr="00582547" w:rsidTr="00582547">
        <w:tc>
          <w:tcPr>
            <w:tcW w:w="4068" w:type="dxa"/>
            <w:vMerge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t>Tufts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t>CCA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t>Tufts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t>CCA</w:t>
            </w:r>
          </w:p>
        </w:tc>
      </w:tr>
      <w:tr w:rsidR="00D04E0E" w:rsidRPr="00582547" w:rsidTr="00582547">
        <w:tc>
          <w:tcPr>
            <w:tcW w:w="4068" w:type="dxa"/>
            <w:shd w:val="clear" w:color="auto" w:fill="auto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Dental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</w:tr>
      <w:tr w:rsidR="00D04E0E" w:rsidRPr="00582547" w:rsidTr="00582547">
        <w:tc>
          <w:tcPr>
            <w:tcW w:w="4068" w:type="dxa"/>
            <w:shd w:val="clear" w:color="auto" w:fill="auto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Part C, Medicaid, and Supplemental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7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</w:tr>
      <w:tr w:rsidR="00D04E0E" w:rsidRPr="00582547" w:rsidTr="00161EA2">
        <w:tc>
          <w:tcPr>
            <w:tcW w:w="4068" w:type="dxa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Part D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2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3</w:t>
            </w:r>
          </w:p>
        </w:tc>
        <w:tc>
          <w:tcPr>
            <w:tcW w:w="1915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</w:t>
            </w:r>
          </w:p>
        </w:tc>
        <w:tc>
          <w:tcPr>
            <w:tcW w:w="1916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</w:tr>
      <w:tr w:rsidR="00D04E0E" w:rsidRPr="00582547" w:rsidTr="00161EA2">
        <w:tc>
          <w:tcPr>
            <w:tcW w:w="4068" w:type="dxa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Enrollment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4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</w:t>
            </w:r>
          </w:p>
        </w:tc>
        <w:tc>
          <w:tcPr>
            <w:tcW w:w="1915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</w:t>
            </w:r>
          </w:p>
        </w:tc>
        <w:tc>
          <w:tcPr>
            <w:tcW w:w="1916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</w:tr>
      <w:tr w:rsidR="00D04E0E" w:rsidRPr="00582547" w:rsidTr="00161EA2">
        <w:tc>
          <w:tcPr>
            <w:tcW w:w="4068" w:type="dxa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MassHealth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915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916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</w:tr>
      <w:tr w:rsidR="00D04E0E" w:rsidRPr="00582547" w:rsidTr="00161EA2">
        <w:tc>
          <w:tcPr>
            <w:tcW w:w="4068" w:type="dxa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Medicare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915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916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</w:tr>
      <w:tr w:rsidR="00D04E0E" w:rsidRPr="00582547" w:rsidTr="00161EA2">
        <w:tc>
          <w:tcPr>
            <w:tcW w:w="4068" w:type="dxa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Network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4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3</w:t>
            </w:r>
          </w:p>
        </w:tc>
        <w:tc>
          <w:tcPr>
            <w:tcW w:w="1915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</w:t>
            </w:r>
          </w:p>
        </w:tc>
        <w:tc>
          <w:tcPr>
            <w:tcW w:w="1916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</w:tr>
      <w:tr w:rsidR="00D04E0E" w:rsidRPr="00582547" w:rsidTr="00161EA2">
        <w:tc>
          <w:tcPr>
            <w:tcW w:w="4068" w:type="dxa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Other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13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915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4</w:t>
            </w:r>
          </w:p>
        </w:tc>
        <w:tc>
          <w:tcPr>
            <w:tcW w:w="1916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</w:tr>
      <w:tr w:rsidR="00D04E0E" w:rsidRPr="00582547" w:rsidTr="00161EA2">
        <w:tc>
          <w:tcPr>
            <w:tcW w:w="4068" w:type="dxa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Plan Management</w:t>
            </w:r>
          </w:p>
        </w:tc>
        <w:tc>
          <w:tcPr>
            <w:tcW w:w="1080" w:type="dxa"/>
            <w:vAlign w:val="center"/>
          </w:tcPr>
          <w:p w:rsidR="00D04E0E" w:rsidRPr="00582547" w:rsidRDefault="00C230DF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2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130</w:t>
            </w:r>
          </w:p>
        </w:tc>
        <w:tc>
          <w:tcPr>
            <w:tcW w:w="1915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</w:t>
            </w:r>
          </w:p>
        </w:tc>
        <w:tc>
          <w:tcPr>
            <w:tcW w:w="1916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8</w:t>
            </w:r>
          </w:p>
        </w:tc>
      </w:tr>
      <w:tr w:rsidR="00D04E0E" w:rsidRPr="00582547" w:rsidTr="00161EA2">
        <w:tc>
          <w:tcPr>
            <w:tcW w:w="4068" w:type="dxa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Plan Marketing Materials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915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916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</w:tr>
      <w:tr w:rsidR="00D04E0E" w:rsidRPr="00582547" w:rsidTr="00161EA2">
        <w:tc>
          <w:tcPr>
            <w:tcW w:w="4068" w:type="dxa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Provider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66</w:t>
            </w:r>
          </w:p>
        </w:tc>
        <w:tc>
          <w:tcPr>
            <w:tcW w:w="1915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0</w:t>
            </w:r>
          </w:p>
        </w:tc>
        <w:tc>
          <w:tcPr>
            <w:tcW w:w="1916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4</w:t>
            </w:r>
          </w:p>
        </w:tc>
      </w:tr>
      <w:tr w:rsidR="00D04E0E" w:rsidRPr="00582547" w:rsidTr="00161EA2">
        <w:tc>
          <w:tcPr>
            <w:tcW w:w="4068" w:type="dxa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Quality of Care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10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28</w:t>
            </w:r>
          </w:p>
        </w:tc>
        <w:tc>
          <w:tcPr>
            <w:tcW w:w="1915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3</w:t>
            </w:r>
          </w:p>
        </w:tc>
        <w:tc>
          <w:tcPr>
            <w:tcW w:w="1916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2</w:t>
            </w:r>
          </w:p>
        </w:tc>
      </w:tr>
      <w:tr w:rsidR="00D04E0E" w:rsidRPr="00582547" w:rsidTr="00161EA2">
        <w:tc>
          <w:tcPr>
            <w:tcW w:w="4068" w:type="dxa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Transportation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12</w:t>
            </w:r>
          </w:p>
        </w:tc>
        <w:tc>
          <w:tcPr>
            <w:tcW w:w="1080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1,034</w:t>
            </w:r>
          </w:p>
        </w:tc>
        <w:tc>
          <w:tcPr>
            <w:tcW w:w="1915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4</w:t>
            </w:r>
          </w:p>
        </w:tc>
        <w:tc>
          <w:tcPr>
            <w:tcW w:w="1916" w:type="dxa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582547">
              <w:rPr>
                <w:rFonts w:eastAsia="Times New Roman" w:cs="Times New Roman"/>
                <w:sz w:val="36"/>
                <w:szCs w:val="36"/>
              </w:rPr>
              <w:t>66</w:t>
            </w:r>
          </w:p>
        </w:tc>
      </w:tr>
      <w:tr w:rsidR="00D04E0E" w:rsidRPr="00582547" w:rsidTr="00582547">
        <w:tc>
          <w:tcPr>
            <w:tcW w:w="4068" w:type="dxa"/>
            <w:shd w:val="clear" w:color="auto" w:fill="auto"/>
            <w:vAlign w:val="center"/>
          </w:tcPr>
          <w:p w:rsidR="00D04E0E" w:rsidRPr="00582547" w:rsidRDefault="00D04E0E" w:rsidP="00D04E0E">
            <w:pPr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lastRenderedPageBreak/>
              <w:t>Total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t>52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t>1,276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t>18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04E0E" w:rsidRPr="00582547" w:rsidRDefault="00D04E0E" w:rsidP="00D04E0E">
            <w:pPr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582547">
              <w:rPr>
                <w:rFonts w:eastAsia="Times New Roman" w:cs="Times New Roman"/>
                <w:b/>
                <w:sz w:val="36"/>
                <w:szCs w:val="36"/>
              </w:rPr>
              <w:t>81</w:t>
            </w:r>
          </w:p>
        </w:tc>
      </w:tr>
    </w:tbl>
    <w:p w:rsidR="00D04E0E" w:rsidRPr="00582547" w:rsidRDefault="00D04E0E" w:rsidP="00D04E0E">
      <w:pPr>
        <w:rPr>
          <w:rFonts w:eastAsia="Times New Roman" w:cs="Times New Roman"/>
          <w:sz w:val="36"/>
          <w:szCs w:val="36"/>
        </w:rPr>
      </w:pPr>
    </w:p>
    <w:p w:rsidR="00AC71C1" w:rsidRPr="00582547" w:rsidRDefault="00AC71C1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  <w:r w:rsidRPr="00582547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>Slide 8</w:t>
      </w:r>
    </w:p>
    <w:p w:rsidR="00D04E0E" w:rsidRPr="00582547" w:rsidRDefault="00D04E0E" w:rsidP="00D04E0E">
      <w:pPr>
        <w:rPr>
          <w:rFonts w:eastAsiaTheme="minorEastAsia" w:cs="Arial"/>
          <w:b/>
          <w:bCs/>
          <w:kern w:val="24"/>
          <w:sz w:val="36"/>
          <w:szCs w:val="36"/>
        </w:rPr>
      </w:pPr>
      <w:r w:rsidRPr="00582547">
        <w:rPr>
          <w:rFonts w:eastAsiaTheme="minorEastAsia" w:cs="Arial"/>
          <w:b/>
          <w:bCs/>
          <w:kern w:val="24"/>
          <w:sz w:val="36"/>
          <w:szCs w:val="36"/>
        </w:rPr>
        <w:t>One Care Member Appeals by Service Category, October 2017 – March 2018</w:t>
      </w:r>
    </w:p>
    <w:p w:rsidR="00D04E0E" w:rsidRPr="00582547" w:rsidRDefault="00D04E0E" w:rsidP="00D04E0E">
      <w:pPr>
        <w:rPr>
          <w:rFonts w:eastAsiaTheme="minorEastAsia" w:cs="Arial"/>
          <w:b/>
          <w:bCs/>
          <w:kern w:val="24"/>
          <w:sz w:val="36"/>
          <w:szCs w:val="36"/>
        </w:rPr>
      </w:pPr>
    </w:p>
    <w:p w:rsidR="00D04E0E" w:rsidRPr="00582547" w:rsidRDefault="00D04E0E" w:rsidP="00D04E0E">
      <w:pPr>
        <w:rPr>
          <w:b/>
          <w:bCs/>
          <w:sz w:val="36"/>
          <w:szCs w:val="36"/>
        </w:rPr>
      </w:pPr>
      <w:r w:rsidRPr="00582547">
        <w:rPr>
          <w:b/>
          <w:bCs/>
          <w:sz w:val="36"/>
          <w:szCs w:val="36"/>
        </w:rPr>
        <w:t>Tufts</w:t>
      </w:r>
    </w:p>
    <w:p w:rsidR="00D04E0E" w:rsidRPr="00582547" w:rsidRDefault="00D04E0E" w:rsidP="00D04E0E">
      <w:pPr>
        <w:rPr>
          <w:rFonts w:eastAsiaTheme="minorEastAsia" w:cs="Arial"/>
          <w:bCs/>
          <w:i/>
          <w:kern w:val="24"/>
          <w:sz w:val="36"/>
          <w:szCs w:val="36"/>
        </w:rPr>
      </w:pPr>
      <w:r w:rsidRPr="00582547">
        <w:rPr>
          <w:rFonts w:eastAsiaTheme="minorEastAsia" w:cs="Arial"/>
          <w:bCs/>
          <w:i/>
          <w:kern w:val="24"/>
          <w:sz w:val="36"/>
          <w:szCs w:val="36"/>
        </w:rPr>
        <w:t>(The following information is shown in a pie chart.)</w:t>
      </w:r>
    </w:p>
    <w:p w:rsidR="00D04E0E" w:rsidRPr="00582547" w:rsidRDefault="00C230DF" w:rsidP="00D04E0E">
      <w:pPr>
        <w:tabs>
          <w:tab w:val="right" w:pos="4320"/>
        </w:tabs>
        <w:rPr>
          <w:rFonts w:eastAsiaTheme="minorEastAsia" w:cs="Arial"/>
          <w:bCs/>
          <w:kern w:val="24"/>
          <w:sz w:val="36"/>
          <w:szCs w:val="36"/>
        </w:rPr>
      </w:pPr>
      <w:r>
        <w:rPr>
          <w:rFonts w:eastAsiaTheme="minorEastAsia" w:cs="Arial"/>
          <w:bCs/>
          <w:kern w:val="24"/>
          <w:sz w:val="36"/>
          <w:szCs w:val="36"/>
        </w:rPr>
        <w:t>Part D</w:t>
      </w:r>
      <w:r>
        <w:rPr>
          <w:rFonts w:eastAsiaTheme="minorEastAsia" w:cs="Arial"/>
          <w:bCs/>
          <w:kern w:val="24"/>
          <w:sz w:val="36"/>
          <w:szCs w:val="36"/>
        </w:rPr>
        <w:tab/>
        <w:t>26</w:t>
      </w:r>
      <w:r w:rsidR="00D04E0E" w:rsidRPr="00582547">
        <w:rPr>
          <w:rFonts w:eastAsiaTheme="minorEastAsia" w:cs="Arial"/>
          <w:bCs/>
          <w:kern w:val="24"/>
          <w:sz w:val="36"/>
          <w:szCs w:val="36"/>
        </w:rPr>
        <w:t>%</w:t>
      </w:r>
    </w:p>
    <w:p w:rsidR="00D04E0E" w:rsidRPr="00582547" w:rsidRDefault="00D04E0E" w:rsidP="00D04E0E">
      <w:pPr>
        <w:tabs>
          <w:tab w:val="right" w:pos="4320"/>
        </w:tabs>
        <w:rPr>
          <w:rFonts w:eastAsiaTheme="minorEastAsia" w:cs="Arial"/>
          <w:bCs/>
          <w:kern w:val="24"/>
          <w:sz w:val="36"/>
          <w:szCs w:val="36"/>
        </w:rPr>
      </w:pPr>
      <w:r w:rsidRPr="00582547">
        <w:rPr>
          <w:rFonts w:eastAsiaTheme="minorEastAsia" w:cs="Arial"/>
          <w:bCs/>
          <w:kern w:val="24"/>
          <w:sz w:val="36"/>
          <w:szCs w:val="36"/>
        </w:rPr>
        <w:t>Specialty Services</w:t>
      </w:r>
      <w:r w:rsidRPr="00582547">
        <w:rPr>
          <w:rFonts w:eastAsiaTheme="minorEastAsia" w:cs="Arial"/>
          <w:bCs/>
          <w:kern w:val="24"/>
          <w:sz w:val="36"/>
          <w:szCs w:val="36"/>
        </w:rPr>
        <w:tab/>
        <w:t>20%</w:t>
      </w:r>
    </w:p>
    <w:p w:rsidR="00D04E0E" w:rsidRPr="00582547" w:rsidRDefault="00D04E0E" w:rsidP="00D04E0E">
      <w:pPr>
        <w:tabs>
          <w:tab w:val="right" w:pos="4320"/>
        </w:tabs>
        <w:rPr>
          <w:rFonts w:eastAsiaTheme="minorEastAsia" w:cs="Arial"/>
          <w:bCs/>
          <w:kern w:val="24"/>
          <w:sz w:val="36"/>
          <w:szCs w:val="36"/>
        </w:rPr>
      </w:pPr>
      <w:r w:rsidRPr="00582547">
        <w:rPr>
          <w:rFonts w:eastAsiaTheme="minorEastAsia" w:cs="Arial"/>
          <w:bCs/>
          <w:kern w:val="24"/>
          <w:sz w:val="36"/>
          <w:szCs w:val="36"/>
        </w:rPr>
        <w:t>LTSS</w:t>
      </w:r>
      <w:r w:rsidRPr="00582547">
        <w:rPr>
          <w:rFonts w:eastAsiaTheme="minorEastAsia" w:cs="Arial"/>
          <w:bCs/>
          <w:kern w:val="24"/>
          <w:sz w:val="36"/>
          <w:szCs w:val="36"/>
        </w:rPr>
        <w:tab/>
        <w:t>6%</w:t>
      </w:r>
    </w:p>
    <w:p w:rsidR="00D04E0E" w:rsidRPr="00582547" w:rsidRDefault="00D04E0E" w:rsidP="00D04E0E">
      <w:pPr>
        <w:tabs>
          <w:tab w:val="right" w:pos="4320"/>
        </w:tabs>
        <w:rPr>
          <w:rFonts w:eastAsiaTheme="minorEastAsia" w:cs="Arial"/>
          <w:bCs/>
          <w:kern w:val="24"/>
          <w:sz w:val="36"/>
          <w:szCs w:val="36"/>
        </w:rPr>
      </w:pPr>
      <w:r w:rsidRPr="00582547">
        <w:rPr>
          <w:rFonts w:eastAsiaTheme="minorEastAsia" w:cs="Arial"/>
          <w:bCs/>
          <w:kern w:val="24"/>
          <w:sz w:val="36"/>
          <w:szCs w:val="36"/>
        </w:rPr>
        <w:t>HCBS</w:t>
      </w:r>
      <w:r w:rsidRPr="00582547">
        <w:rPr>
          <w:rFonts w:eastAsiaTheme="minorEastAsia" w:cs="Arial"/>
          <w:bCs/>
          <w:kern w:val="24"/>
          <w:sz w:val="36"/>
          <w:szCs w:val="36"/>
        </w:rPr>
        <w:tab/>
        <w:t>6%</w:t>
      </w:r>
    </w:p>
    <w:p w:rsidR="00D04E0E" w:rsidRPr="00582547" w:rsidRDefault="00D04E0E" w:rsidP="00D04E0E">
      <w:pPr>
        <w:tabs>
          <w:tab w:val="right" w:pos="4320"/>
        </w:tabs>
        <w:rPr>
          <w:rFonts w:eastAsiaTheme="minorEastAsia" w:cs="Arial"/>
          <w:bCs/>
          <w:kern w:val="24"/>
          <w:sz w:val="36"/>
          <w:szCs w:val="36"/>
        </w:rPr>
      </w:pPr>
      <w:r w:rsidRPr="00582547">
        <w:rPr>
          <w:rFonts w:eastAsiaTheme="minorEastAsia" w:cs="Arial"/>
          <w:bCs/>
          <w:kern w:val="24"/>
          <w:sz w:val="36"/>
          <w:szCs w:val="36"/>
        </w:rPr>
        <w:t>Mental Health</w:t>
      </w:r>
      <w:r w:rsidRPr="00582547">
        <w:rPr>
          <w:rFonts w:eastAsiaTheme="minorEastAsia" w:cs="Arial"/>
          <w:bCs/>
          <w:kern w:val="24"/>
          <w:sz w:val="36"/>
          <w:szCs w:val="36"/>
        </w:rPr>
        <w:tab/>
        <w:t>42%</w:t>
      </w:r>
    </w:p>
    <w:p w:rsidR="00D04E0E" w:rsidRPr="00582547" w:rsidRDefault="00D04E0E" w:rsidP="00D04E0E">
      <w:pPr>
        <w:rPr>
          <w:sz w:val="36"/>
          <w:szCs w:val="36"/>
        </w:rPr>
      </w:pPr>
    </w:p>
    <w:p w:rsidR="00D04E0E" w:rsidRPr="00582547" w:rsidRDefault="00D04E0E" w:rsidP="00D04E0E">
      <w:pPr>
        <w:rPr>
          <w:rFonts w:eastAsiaTheme="minorEastAsia" w:cs="Arial"/>
          <w:bCs/>
          <w:i/>
          <w:kern w:val="24"/>
          <w:sz w:val="36"/>
          <w:szCs w:val="36"/>
        </w:rPr>
      </w:pPr>
      <w:r w:rsidRPr="00582547">
        <w:rPr>
          <w:rFonts w:eastAsiaTheme="minorEastAsia" w:cs="Arial"/>
          <w:bCs/>
          <w:i/>
          <w:kern w:val="24"/>
          <w:sz w:val="36"/>
          <w:szCs w:val="36"/>
        </w:rPr>
        <w:t>(The following information is shown in a bar graph.)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2016"/>
        <w:gridCol w:w="2016"/>
        <w:gridCol w:w="2016"/>
      </w:tblGrid>
      <w:tr w:rsidR="00D04E0E" w:rsidRPr="00582547" w:rsidTr="00161EA2">
        <w:tc>
          <w:tcPr>
            <w:tcW w:w="3798" w:type="dxa"/>
            <w:vMerge w:val="restart"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  <w:r w:rsidRPr="00582547">
              <w:rPr>
                <w:b/>
                <w:sz w:val="36"/>
                <w:szCs w:val="36"/>
              </w:rPr>
              <w:t>Appeal Category</w:t>
            </w:r>
          </w:p>
        </w:tc>
        <w:tc>
          <w:tcPr>
            <w:tcW w:w="6048" w:type="dxa"/>
            <w:gridSpan w:val="3"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  <w:r w:rsidRPr="00582547">
              <w:rPr>
                <w:b/>
                <w:sz w:val="36"/>
                <w:szCs w:val="36"/>
              </w:rPr>
              <w:t>Number of Appeals</w:t>
            </w:r>
          </w:p>
        </w:tc>
      </w:tr>
      <w:tr w:rsidR="00D04E0E" w:rsidRPr="00582547" w:rsidTr="00161EA2">
        <w:tc>
          <w:tcPr>
            <w:tcW w:w="3798" w:type="dxa"/>
            <w:vMerge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  <w:r w:rsidRPr="00582547">
              <w:rPr>
                <w:b/>
                <w:sz w:val="36"/>
                <w:szCs w:val="36"/>
              </w:rPr>
              <w:t>Adverse Decision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  <w:r w:rsidRPr="00582547">
              <w:rPr>
                <w:b/>
                <w:sz w:val="36"/>
                <w:szCs w:val="36"/>
              </w:rPr>
              <w:t>Partially Favorable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  <w:r w:rsidRPr="00582547">
              <w:rPr>
                <w:b/>
                <w:sz w:val="36"/>
                <w:szCs w:val="36"/>
              </w:rPr>
              <w:t>Fully Favorable Decision</w:t>
            </w:r>
          </w:p>
        </w:tc>
      </w:tr>
      <w:tr w:rsidR="00D04E0E" w:rsidRPr="00582547" w:rsidTr="00161EA2">
        <w:tc>
          <w:tcPr>
            <w:tcW w:w="379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rFonts w:eastAsiaTheme="minorEastAsia" w:cs="Arial"/>
                <w:bCs/>
                <w:kern w:val="24"/>
                <w:sz w:val="36"/>
                <w:szCs w:val="36"/>
              </w:rPr>
              <w:t>Specialty Services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5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1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4</w:t>
            </w:r>
          </w:p>
        </w:tc>
      </w:tr>
      <w:tr w:rsidR="00D04E0E" w:rsidRPr="00582547" w:rsidTr="00161EA2">
        <w:tc>
          <w:tcPr>
            <w:tcW w:w="379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rFonts w:eastAsiaTheme="minorEastAsia" w:cs="Arial"/>
                <w:bCs/>
                <w:kern w:val="24"/>
                <w:sz w:val="36"/>
                <w:szCs w:val="36"/>
              </w:rPr>
              <w:t>LTSS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3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</w:tr>
      <w:tr w:rsidR="00D04E0E" w:rsidRPr="00582547" w:rsidTr="00161EA2">
        <w:tc>
          <w:tcPr>
            <w:tcW w:w="379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rFonts w:eastAsiaTheme="minorEastAsia" w:cs="Arial"/>
                <w:bCs/>
                <w:kern w:val="24"/>
                <w:sz w:val="36"/>
                <w:szCs w:val="36"/>
              </w:rPr>
              <w:t>HCBS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3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</w:tr>
      <w:tr w:rsidR="00D04E0E" w:rsidRPr="00582547" w:rsidTr="00161EA2">
        <w:tc>
          <w:tcPr>
            <w:tcW w:w="379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Institutional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</w:tr>
      <w:tr w:rsidR="00D04E0E" w:rsidRPr="00582547" w:rsidTr="00161EA2">
        <w:tc>
          <w:tcPr>
            <w:tcW w:w="379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rFonts w:eastAsiaTheme="minorEastAsia" w:cs="Arial"/>
                <w:bCs/>
                <w:kern w:val="24"/>
                <w:sz w:val="36"/>
                <w:szCs w:val="36"/>
              </w:rPr>
              <w:t>Mental Health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16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5</w:t>
            </w:r>
          </w:p>
        </w:tc>
      </w:tr>
      <w:tr w:rsidR="00D04E0E" w:rsidRPr="00582547" w:rsidTr="00161EA2">
        <w:tc>
          <w:tcPr>
            <w:tcW w:w="379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Substance Use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</w:tr>
      <w:tr w:rsidR="00D04E0E" w:rsidRPr="00582547" w:rsidTr="00161EA2">
        <w:tc>
          <w:tcPr>
            <w:tcW w:w="379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Other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</w:tr>
      <w:tr w:rsidR="00D04E0E" w:rsidRPr="00582547" w:rsidTr="00161EA2">
        <w:tc>
          <w:tcPr>
            <w:tcW w:w="379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Part D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4</w:t>
            </w: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6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9</w:t>
            </w:r>
          </w:p>
        </w:tc>
      </w:tr>
    </w:tbl>
    <w:p w:rsidR="00D04E0E" w:rsidRPr="00582547" w:rsidRDefault="00D04E0E" w:rsidP="00D04E0E">
      <w:pPr>
        <w:rPr>
          <w:sz w:val="36"/>
          <w:szCs w:val="36"/>
        </w:rPr>
      </w:pPr>
    </w:p>
    <w:p w:rsidR="00D04E0E" w:rsidRPr="00582547" w:rsidRDefault="00D04E0E" w:rsidP="00D04E0E">
      <w:pPr>
        <w:rPr>
          <w:b/>
          <w:bCs/>
          <w:sz w:val="36"/>
          <w:szCs w:val="36"/>
        </w:rPr>
      </w:pPr>
      <w:r w:rsidRPr="00582547">
        <w:rPr>
          <w:b/>
          <w:bCs/>
          <w:sz w:val="36"/>
          <w:szCs w:val="36"/>
        </w:rPr>
        <w:t>CCA</w:t>
      </w:r>
    </w:p>
    <w:p w:rsidR="00D04E0E" w:rsidRPr="00582547" w:rsidRDefault="00D04E0E" w:rsidP="00D04E0E">
      <w:pPr>
        <w:rPr>
          <w:rFonts w:eastAsiaTheme="minorEastAsia" w:cs="Arial"/>
          <w:bCs/>
          <w:i/>
          <w:kern w:val="24"/>
          <w:sz w:val="36"/>
          <w:szCs w:val="36"/>
        </w:rPr>
      </w:pPr>
      <w:r w:rsidRPr="00582547">
        <w:rPr>
          <w:rFonts w:eastAsiaTheme="minorEastAsia" w:cs="Arial"/>
          <w:bCs/>
          <w:i/>
          <w:kern w:val="24"/>
          <w:sz w:val="36"/>
          <w:szCs w:val="36"/>
        </w:rPr>
        <w:lastRenderedPageBreak/>
        <w:t>(The following information is shown in a pie chart.)</w:t>
      </w:r>
    </w:p>
    <w:p w:rsidR="00D04E0E" w:rsidRPr="00582547" w:rsidRDefault="00C230DF" w:rsidP="00D04E0E">
      <w:pPr>
        <w:tabs>
          <w:tab w:val="right" w:pos="4320"/>
        </w:tabs>
        <w:rPr>
          <w:rFonts w:eastAsiaTheme="minorEastAsia" w:cs="Arial"/>
          <w:bCs/>
          <w:kern w:val="24"/>
          <w:sz w:val="36"/>
          <w:szCs w:val="36"/>
        </w:rPr>
      </w:pPr>
      <w:r>
        <w:rPr>
          <w:rFonts w:eastAsiaTheme="minorEastAsia" w:cs="Arial"/>
          <w:bCs/>
          <w:kern w:val="24"/>
          <w:sz w:val="36"/>
          <w:szCs w:val="36"/>
        </w:rPr>
        <w:t>Part D</w:t>
      </w:r>
      <w:r>
        <w:rPr>
          <w:rFonts w:eastAsiaTheme="minorEastAsia" w:cs="Arial"/>
          <w:bCs/>
          <w:kern w:val="24"/>
          <w:sz w:val="36"/>
          <w:szCs w:val="36"/>
        </w:rPr>
        <w:tab/>
        <w:t>25</w:t>
      </w:r>
      <w:r w:rsidR="00D04E0E" w:rsidRPr="00582547">
        <w:rPr>
          <w:rFonts w:eastAsiaTheme="minorEastAsia" w:cs="Arial"/>
          <w:bCs/>
          <w:kern w:val="24"/>
          <w:sz w:val="36"/>
          <w:szCs w:val="36"/>
        </w:rPr>
        <w:t>%</w:t>
      </w:r>
    </w:p>
    <w:p w:rsidR="00D04E0E" w:rsidRPr="00582547" w:rsidRDefault="00D04E0E" w:rsidP="00D04E0E">
      <w:pPr>
        <w:tabs>
          <w:tab w:val="right" w:pos="4320"/>
        </w:tabs>
        <w:rPr>
          <w:rFonts w:eastAsiaTheme="minorEastAsia" w:cs="Arial"/>
          <w:bCs/>
          <w:kern w:val="24"/>
          <w:sz w:val="36"/>
          <w:szCs w:val="36"/>
        </w:rPr>
      </w:pPr>
      <w:r w:rsidRPr="00582547">
        <w:rPr>
          <w:rFonts w:eastAsiaTheme="minorEastAsia" w:cs="Arial"/>
          <w:bCs/>
          <w:kern w:val="24"/>
          <w:sz w:val="36"/>
          <w:szCs w:val="36"/>
        </w:rPr>
        <w:t>Specialty Services</w:t>
      </w:r>
      <w:r w:rsidRPr="00582547">
        <w:rPr>
          <w:rFonts w:eastAsiaTheme="minorEastAsia" w:cs="Arial"/>
          <w:bCs/>
          <w:kern w:val="24"/>
          <w:sz w:val="36"/>
          <w:szCs w:val="36"/>
        </w:rPr>
        <w:tab/>
        <w:t>65%</w:t>
      </w:r>
    </w:p>
    <w:p w:rsidR="00D04E0E" w:rsidRPr="00582547" w:rsidRDefault="00D04E0E" w:rsidP="00D04E0E">
      <w:pPr>
        <w:tabs>
          <w:tab w:val="right" w:pos="4320"/>
        </w:tabs>
        <w:rPr>
          <w:rFonts w:eastAsiaTheme="minorEastAsia" w:cs="Arial"/>
          <w:bCs/>
          <w:kern w:val="24"/>
          <w:sz w:val="36"/>
          <w:szCs w:val="36"/>
        </w:rPr>
      </w:pPr>
      <w:r w:rsidRPr="00582547">
        <w:rPr>
          <w:rFonts w:eastAsiaTheme="minorEastAsia" w:cs="Arial"/>
          <w:bCs/>
          <w:kern w:val="24"/>
          <w:sz w:val="36"/>
          <w:szCs w:val="36"/>
        </w:rPr>
        <w:t>LTSS</w:t>
      </w:r>
      <w:r w:rsidRPr="00582547">
        <w:rPr>
          <w:rFonts w:eastAsiaTheme="minorEastAsia" w:cs="Arial"/>
          <w:bCs/>
          <w:kern w:val="24"/>
          <w:sz w:val="36"/>
          <w:szCs w:val="36"/>
        </w:rPr>
        <w:tab/>
        <w:t>9%</w:t>
      </w:r>
    </w:p>
    <w:p w:rsidR="00D04E0E" w:rsidRPr="00582547" w:rsidRDefault="00D04E0E" w:rsidP="00D04E0E">
      <w:pPr>
        <w:tabs>
          <w:tab w:val="right" w:pos="4320"/>
        </w:tabs>
        <w:rPr>
          <w:rFonts w:eastAsiaTheme="minorEastAsia" w:cs="Arial"/>
          <w:bCs/>
          <w:kern w:val="24"/>
          <w:sz w:val="36"/>
          <w:szCs w:val="36"/>
        </w:rPr>
      </w:pPr>
      <w:r w:rsidRPr="00582547">
        <w:rPr>
          <w:rFonts w:eastAsiaTheme="minorEastAsia" w:cs="Arial"/>
          <w:bCs/>
          <w:kern w:val="24"/>
          <w:sz w:val="36"/>
          <w:szCs w:val="36"/>
        </w:rPr>
        <w:t>HCBS</w:t>
      </w:r>
      <w:r w:rsidRPr="00582547">
        <w:rPr>
          <w:rFonts w:eastAsiaTheme="minorEastAsia" w:cs="Arial"/>
          <w:bCs/>
          <w:kern w:val="24"/>
          <w:sz w:val="36"/>
          <w:szCs w:val="36"/>
        </w:rPr>
        <w:tab/>
        <w:t>1%</w:t>
      </w:r>
    </w:p>
    <w:p w:rsidR="00D04E0E" w:rsidRPr="00582547" w:rsidRDefault="00D04E0E" w:rsidP="00D04E0E">
      <w:pPr>
        <w:rPr>
          <w:sz w:val="36"/>
          <w:szCs w:val="36"/>
        </w:rPr>
      </w:pPr>
    </w:p>
    <w:p w:rsidR="00D04E0E" w:rsidRPr="00582547" w:rsidRDefault="00D04E0E" w:rsidP="00D04E0E">
      <w:pPr>
        <w:rPr>
          <w:rFonts w:eastAsiaTheme="minorEastAsia" w:cs="Arial"/>
          <w:bCs/>
          <w:i/>
          <w:kern w:val="24"/>
          <w:sz w:val="36"/>
          <w:szCs w:val="36"/>
        </w:rPr>
      </w:pPr>
      <w:r w:rsidRPr="00582547">
        <w:rPr>
          <w:rFonts w:eastAsiaTheme="minorEastAsia" w:cs="Arial"/>
          <w:bCs/>
          <w:i/>
          <w:kern w:val="24"/>
          <w:sz w:val="36"/>
          <w:szCs w:val="36"/>
        </w:rPr>
        <w:t>(The following information is shown in a bar graph.)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800"/>
        <w:gridCol w:w="1800"/>
        <w:gridCol w:w="1800"/>
      </w:tblGrid>
      <w:tr w:rsidR="00D04E0E" w:rsidRPr="00582547" w:rsidTr="00161EA2">
        <w:tc>
          <w:tcPr>
            <w:tcW w:w="4158" w:type="dxa"/>
            <w:vMerge w:val="restart"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  <w:r w:rsidRPr="00582547">
              <w:rPr>
                <w:b/>
                <w:sz w:val="36"/>
                <w:szCs w:val="36"/>
              </w:rPr>
              <w:t>Appeal Category</w:t>
            </w:r>
          </w:p>
        </w:tc>
        <w:tc>
          <w:tcPr>
            <w:tcW w:w="5400" w:type="dxa"/>
            <w:gridSpan w:val="3"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  <w:r w:rsidRPr="00582547">
              <w:rPr>
                <w:b/>
                <w:sz w:val="36"/>
                <w:szCs w:val="36"/>
              </w:rPr>
              <w:t>Number of Appeals</w:t>
            </w:r>
          </w:p>
        </w:tc>
      </w:tr>
      <w:tr w:rsidR="00D04E0E" w:rsidRPr="00582547" w:rsidTr="00161EA2">
        <w:tc>
          <w:tcPr>
            <w:tcW w:w="4158" w:type="dxa"/>
            <w:vMerge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  <w:r w:rsidRPr="00582547">
              <w:rPr>
                <w:b/>
                <w:sz w:val="36"/>
                <w:szCs w:val="36"/>
              </w:rPr>
              <w:t>Adverse Decision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  <w:r w:rsidRPr="00582547">
              <w:rPr>
                <w:b/>
                <w:sz w:val="36"/>
                <w:szCs w:val="36"/>
              </w:rPr>
              <w:t>Partially Favorable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b/>
                <w:sz w:val="36"/>
                <w:szCs w:val="36"/>
              </w:rPr>
            </w:pPr>
            <w:r w:rsidRPr="00582547">
              <w:rPr>
                <w:b/>
                <w:sz w:val="36"/>
                <w:szCs w:val="36"/>
              </w:rPr>
              <w:t>Fully Favorable Decision</w:t>
            </w:r>
          </w:p>
        </w:tc>
      </w:tr>
      <w:tr w:rsidR="00D04E0E" w:rsidRPr="00582547" w:rsidTr="00161EA2">
        <w:tc>
          <w:tcPr>
            <w:tcW w:w="415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rFonts w:eastAsiaTheme="minorEastAsia" w:cs="Arial"/>
                <w:bCs/>
                <w:kern w:val="24"/>
                <w:sz w:val="36"/>
                <w:szCs w:val="36"/>
              </w:rPr>
              <w:t>Specialty Services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78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20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150</w:t>
            </w:r>
          </w:p>
        </w:tc>
      </w:tr>
      <w:tr w:rsidR="00D04E0E" w:rsidRPr="00582547" w:rsidTr="00161EA2">
        <w:tc>
          <w:tcPr>
            <w:tcW w:w="415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rFonts w:eastAsiaTheme="minorEastAsia" w:cs="Arial"/>
                <w:bCs/>
                <w:kern w:val="24"/>
                <w:sz w:val="36"/>
                <w:szCs w:val="36"/>
              </w:rPr>
              <w:t>LTSS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20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2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20</w:t>
            </w:r>
          </w:p>
        </w:tc>
      </w:tr>
      <w:tr w:rsidR="00D04E0E" w:rsidRPr="00582547" w:rsidTr="00161EA2">
        <w:tc>
          <w:tcPr>
            <w:tcW w:w="415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rFonts w:eastAsiaTheme="minorEastAsia" w:cs="Arial"/>
                <w:bCs/>
                <w:kern w:val="24"/>
                <w:sz w:val="36"/>
                <w:szCs w:val="36"/>
              </w:rPr>
              <w:t>HCBS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2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</w:tr>
      <w:tr w:rsidR="00D04E0E" w:rsidRPr="00582547" w:rsidTr="00161EA2">
        <w:tc>
          <w:tcPr>
            <w:tcW w:w="415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Institutional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</w:tr>
      <w:tr w:rsidR="00D04E0E" w:rsidRPr="00582547" w:rsidTr="00161EA2">
        <w:tc>
          <w:tcPr>
            <w:tcW w:w="415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rFonts w:eastAsiaTheme="minorEastAsia" w:cs="Arial"/>
                <w:bCs/>
                <w:kern w:val="24"/>
                <w:sz w:val="36"/>
                <w:szCs w:val="36"/>
              </w:rPr>
              <w:t>Mental Health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</w:tr>
      <w:tr w:rsidR="00D04E0E" w:rsidRPr="00582547" w:rsidTr="00161EA2">
        <w:tc>
          <w:tcPr>
            <w:tcW w:w="415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Substance Use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</w:tr>
      <w:tr w:rsidR="00D04E0E" w:rsidRPr="00582547" w:rsidTr="00161EA2">
        <w:tc>
          <w:tcPr>
            <w:tcW w:w="415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Other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</w:tr>
      <w:tr w:rsidR="00D04E0E" w:rsidRPr="00582547" w:rsidTr="00161EA2">
        <w:tc>
          <w:tcPr>
            <w:tcW w:w="4158" w:type="dxa"/>
            <w:vAlign w:val="center"/>
          </w:tcPr>
          <w:p w:rsidR="00D04E0E" w:rsidRPr="00582547" w:rsidRDefault="00D04E0E" w:rsidP="00D04E0E">
            <w:pPr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Part D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78</w:t>
            </w: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00" w:type="dxa"/>
            <w:vAlign w:val="center"/>
          </w:tcPr>
          <w:p w:rsidR="00D04E0E" w:rsidRPr="00582547" w:rsidRDefault="00D04E0E" w:rsidP="00D04E0E">
            <w:pPr>
              <w:jc w:val="center"/>
              <w:rPr>
                <w:sz w:val="36"/>
                <w:szCs w:val="36"/>
              </w:rPr>
            </w:pPr>
            <w:r w:rsidRPr="00582547">
              <w:rPr>
                <w:sz w:val="36"/>
                <w:szCs w:val="36"/>
              </w:rPr>
              <w:t>20</w:t>
            </w:r>
          </w:p>
        </w:tc>
      </w:tr>
    </w:tbl>
    <w:p w:rsidR="00AC71C1" w:rsidRPr="00582547" w:rsidRDefault="00AC71C1" w:rsidP="00D04E0E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AC71C1" w:rsidRPr="00582547" w:rsidRDefault="00AC71C1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  <w:r w:rsidRPr="00582547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>Slide 9</w:t>
      </w:r>
    </w:p>
    <w:p w:rsidR="00CE4B75" w:rsidRPr="00582547" w:rsidRDefault="00400633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One Care</w:t>
      </w:r>
    </w:p>
    <w:p w:rsidR="006D56FD" w:rsidRPr="00582547" w:rsidRDefault="006D56FD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MassHealth+Medicare</w:t>
      </w:r>
    </w:p>
    <w:p w:rsidR="006D56FD" w:rsidRPr="00582547" w:rsidRDefault="006D56FD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kern w:val="24"/>
          <w:sz w:val="36"/>
          <w:szCs w:val="36"/>
        </w:rPr>
        <w:t>Bringing your care together</w:t>
      </w:r>
    </w:p>
    <w:p w:rsidR="006D56FD" w:rsidRPr="00582547" w:rsidRDefault="006D56FD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</w:p>
    <w:p w:rsidR="006D56FD" w:rsidRPr="00582547" w:rsidRDefault="006D56FD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b/>
          <w:bCs/>
          <w:kern w:val="24"/>
          <w:sz w:val="36"/>
          <w:szCs w:val="36"/>
        </w:rPr>
        <w:t>VISIT US ONLINE</w:t>
      </w:r>
      <w:hyperlink r:id="rId11" w:history="1">
        <w:r w:rsidRPr="00582547">
          <w:rPr>
            <w:rStyle w:val="Hyperlink"/>
            <w:rFonts w:asciiTheme="minorHAnsi" w:eastAsiaTheme="minorEastAsia" w:hAnsiTheme="minorHAnsi"/>
            <w:b/>
            <w:bCs/>
            <w:kern w:val="24"/>
            <w:sz w:val="36"/>
            <w:szCs w:val="36"/>
          </w:rPr>
          <w:br/>
        </w:r>
      </w:hyperlink>
      <w:hyperlink r:id="rId12" w:history="1">
        <w:r w:rsidRPr="00582547">
          <w:rPr>
            <w:rStyle w:val="Hyperlink"/>
            <w:rFonts w:asciiTheme="minorHAnsi" w:eastAsiaTheme="minorEastAsia" w:hAnsiTheme="minorHAnsi"/>
            <w:b/>
            <w:bCs/>
            <w:kern w:val="24"/>
            <w:sz w:val="36"/>
            <w:szCs w:val="36"/>
          </w:rPr>
          <w:t>www.mass.gov/one-care</w:t>
        </w:r>
      </w:hyperlink>
    </w:p>
    <w:p w:rsidR="00184E87" w:rsidRPr="00582547" w:rsidRDefault="006D56FD" w:rsidP="00D04E0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</w:rPr>
      </w:pPr>
      <w:r w:rsidRPr="00582547">
        <w:rPr>
          <w:rFonts w:asciiTheme="minorHAnsi" w:eastAsiaTheme="minorEastAsia" w:hAnsiTheme="minorHAnsi"/>
          <w:b/>
          <w:bCs/>
          <w:kern w:val="24"/>
          <w:sz w:val="36"/>
          <w:szCs w:val="36"/>
        </w:rPr>
        <w:t xml:space="preserve">EMAIL US </w:t>
      </w:r>
      <w:r w:rsidRPr="00582547">
        <w:rPr>
          <w:rFonts w:asciiTheme="minorHAnsi" w:eastAsiaTheme="minorEastAsia" w:hAnsiTheme="minorHAnsi"/>
          <w:b/>
          <w:bCs/>
          <w:kern w:val="24"/>
          <w:sz w:val="36"/>
          <w:szCs w:val="36"/>
        </w:rPr>
        <w:br/>
      </w:r>
      <w:hyperlink r:id="rId13" w:history="1">
        <w:r w:rsidRPr="00582547">
          <w:rPr>
            <w:rStyle w:val="Hyperlink"/>
            <w:rFonts w:asciiTheme="minorHAnsi" w:eastAsiaTheme="minorEastAsia" w:hAnsiTheme="minorHAnsi"/>
            <w:b/>
            <w:bCs/>
            <w:kern w:val="24"/>
            <w:sz w:val="36"/>
            <w:szCs w:val="36"/>
          </w:rPr>
          <w:t>OneCare@state.ma.us</w:t>
        </w:r>
      </w:hyperlink>
    </w:p>
    <w:sectPr w:rsidR="00184E87" w:rsidRPr="00582547" w:rsidSect="00BA2717">
      <w:footerReference w:type="default" r:id="rId14"/>
      <w:pgSz w:w="12240" w:h="15840"/>
      <w:pgMar w:top="144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AF" w:rsidRDefault="001F65AF" w:rsidP="001F65AF">
      <w:r>
        <w:separator/>
      </w:r>
    </w:p>
  </w:endnote>
  <w:endnote w:type="continuationSeparator" w:id="0">
    <w:p w:rsidR="001F65AF" w:rsidRDefault="001F65AF" w:rsidP="001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177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65AF" w:rsidRDefault="001F6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6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65AF" w:rsidRDefault="001F6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AF" w:rsidRDefault="001F65AF" w:rsidP="001F65AF">
      <w:r>
        <w:separator/>
      </w:r>
    </w:p>
  </w:footnote>
  <w:footnote w:type="continuationSeparator" w:id="0">
    <w:p w:rsidR="001F65AF" w:rsidRDefault="001F65AF" w:rsidP="001F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E9C"/>
    <w:multiLevelType w:val="hybridMultilevel"/>
    <w:tmpl w:val="1B6A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C0C8B"/>
    <w:multiLevelType w:val="hybridMultilevel"/>
    <w:tmpl w:val="D81C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B5FCF"/>
    <w:multiLevelType w:val="hybridMultilevel"/>
    <w:tmpl w:val="A7A8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3494A"/>
    <w:multiLevelType w:val="hybridMultilevel"/>
    <w:tmpl w:val="D216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A205B"/>
    <w:multiLevelType w:val="hybridMultilevel"/>
    <w:tmpl w:val="1286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4529C"/>
    <w:multiLevelType w:val="hybridMultilevel"/>
    <w:tmpl w:val="EBDC0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8B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AE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29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CA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0F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82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4E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4B85F77"/>
    <w:multiLevelType w:val="hybridMultilevel"/>
    <w:tmpl w:val="22E6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3NzI1MTEwNTU2sjRX0lEKTi0uzszPAykwqgUA7AMmQSwAAAA="/>
  </w:docVars>
  <w:rsids>
    <w:rsidRoot w:val="00A06593"/>
    <w:rsid w:val="0005309C"/>
    <w:rsid w:val="000605F9"/>
    <w:rsid w:val="00144ED9"/>
    <w:rsid w:val="00157028"/>
    <w:rsid w:val="001709EA"/>
    <w:rsid w:val="00181FDC"/>
    <w:rsid w:val="00184E87"/>
    <w:rsid w:val="001B63CB"/>
    <w:rsid w:val="001D0DF5"/>
    <w:rsid w:val="001F65AF"/>
    <w:rsid w:val="001F75B5"/>
    <w:rsid w:val="002343B5"/>
    <w:rsid w:val="0024042F"/>
    <w:rsid w:val="0026660E"/>
    <w:rsid w:val="002E54C9"/>
    <w:rsid w:val="002F1985"/>
    <w:rsid w:val="002F1D31"/>
    <w:rsid w:val="003772D2"/>
    <w:rsid w:val="0038234A"/>
    <w:rsid w:val="003A4A17"/>
    <w:rsid w:val="003B42AA"/>
    <w:rsid w:val="003D07E0"/>
    <w:rsid w:val="003F3A11"/>
    <w:rsid w:val="00400633"/>
    <w:rsid w:val="00442002"/>
    <w:rsid w:val="00496987"/>
    <w:rsid w:val="004B72FB"/>
    <w:rsid w:val="00523B76"/>
    <w:rsid w:val="005272A5"/>
    <w:rsid w:val="00582547"/>
    <w:rsid w:val="005E2B71"/>
    <w:rsid w:val="00602FBE"/>
    <w:rsid w:val="00657632"/>
    <w:rsid w:val="0067605A"/>
    <w:rsid w:val="006817A3"/>
    <w:rsid w:val="006D56FD"/>
    <w:rsid w:val="00734633"/>
    <w:rsid w:val="007500F8"/>
    <w:rsid w:val="0085503B"/>
    <w:rsid w:val="00872548"/>
    <w:rsid w:val="008A1A69"/>
    <w:rsid w:val="008A4044"/>
    <w:rsid w:val="008B1D28"/>
    <w:rsid w:val="008D7893"/>
    <w:rsid w:val="008F263C"/>
    <w:rsid w:val="008F59E1"/>
    <w:rsid w:val="00947898"/>
    <w:rsid w:val="00962D56"/>
    <w:rsid w:val="009E0B7A"/>
    <w:rsid w:val="00A04C71"/>
    <w:rsid w:val="00A06593"/>
    <w:rsid w:val="00A16DBE"/>
    <w:rsid w:val="00A234BD"/>
    <w:rsid w:val="00AA06FF"/>
    <w:rsid w:val="00AC71C1"/>
    <w:rsid w:val="00B14E86"/>
    <w:rsid w:val="00BA2717"/>
    <w:rsid w:val="00C230DF"/>
    <w:rsid w:val="00C24799"/>
    <w:rsid w:val="00C71601"/>
    <w:rsid w:val="00CA1D58"/>
    <w:rsid w:val="00CB37CF"/>
    <w:rsid w:val="00CD4FCF"/>
    <w:rsid w:val="00CE0D05"/>
    <w:rsid w:val="00CE17A3"/>
    <w:rsid w:val="00CE4B75"/>
    <w:rsid w:val="00CF32F5"/>
    <w:rsid w:val="00D04E0E"/>
    <w:rsid w:val="00D53D4A"/>
    <w:rsid w:val="00DB0079"/>
    <w:rsid w:val="00E31D75"/>
    <w:rsid w:val="00E61306"/>
    <w:rsid w:val="00EE003D"/>
    <w:rsid w:val="00F35A17"/>
    <w:rsid w:val="00F36EFB"/>
    <w:rsid w:val="00F50437"/>
    <w:rsid w:val="00F61D2D"/>
    <w:rsid w:val="00F76414"/>
    <w:rsid w:val="00FA39DC"/>
    <w:rsid w:val="00FD61FB"/>
    <w:rsid w:val="00F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5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6FD"/>
    <w:pPr>
      <w:ind w:left="720"/>
      <w:contextualSpacing/>
    </w:pPr>
  </w:style>
  <w:style w:type="table" w:styleId="TableGrid">
    <w:name w:val="Table Grid"/>
    <w:basedOn w:val="TableNormal"/>
    <w:uiPriority w:val="59"/>
    <w:rsid w:val="00D0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5AF"/>
  </w:style>
  <w:style w:type="paragraph" w:styleId="Footer">
    <w:name w:val="footer"/>
    <w:basedOn w:val="Normal"/>
    <w:link w:val="Foot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5AF"/>
  </w:style>
  <w:style w:type="paragraph" w:styleId="BalloonText">
    <w:name w:val="Balloon Text"/>
    <w:basedOn w:val="Normal"/>
    <w:link w:val="BalloonTextChar"/>
    <w:uiPriority w:val="99"/>
    <w:semiHidden/>
    <w:unhideWhenUsed/>
    <w:rsid w:val="00060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5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6FD"/>
    <w:pPr>
      <w:ind w:left="720"/>
      <w:contextualSpacing/>
    </w:pPr>
  </w:style>
  <w:style w:type="table" w:styleId="TableGrid">
    <w:name w:val="Table Grid"/>
    <w:basedOn w:val="TableNormal"/>
    <w:uiPriority w:val="59"/>
    <w:rsid w:val="00D0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5AF"/>
  </w:style>
  <w:style w:type="paragraph" w:styleId="Footer">
    <w:name w:val="footer"/>
    <w:basedOn w:val="Normal"/>
    <w:link w:val="Foot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5AF"/>
  </w:style>
  <w:style w:type="paragraph" w:styleId="BalloonText">
    <w:name w:val="Balloon Text"/>
    <w:basedOn w:val="Normal"/>
    <w:link w:val="BalloonTextChar"/>
    <w:uiPriority w:val="99"/>
    <w:semiHidden/>
    <w:unhideWhenUsed/>
    <w:rsid w:val="00060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2067">
          <w:marLeft w:val="734"/>
          <w:marRight w:val="0"/>
          <w:marTop w:val="3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378">
          <w:marLeft w:val="145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702">
          <w:marLeft w:val="145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743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5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56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6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4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2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65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738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23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5227">
          <w:marLeft w:val="17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14">
          <w:marLeft w:val="17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00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38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3903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244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520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75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81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908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32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727">
          <w:marLeft w:val="734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5080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260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494">
          <w:marLeft w:val="136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79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995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900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0837">
          <w:marLeft w:val="198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4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164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37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7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38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0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4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7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5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023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124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129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171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664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3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54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1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6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41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240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8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068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946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574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1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7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509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60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7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6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24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21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/duals" TargetMode="External"/><Relationship Id="rId13" Type="http://schemas.openxmlformats.org/officeDocument/2006/relationships/hyperlink" Target="mailto:OneCare@state.ma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one-ca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one-ca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masshealth/du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/dual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1274</Words>
  <Characters>7264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sipeters</cp:lastModifiedBy>
  <cp:revision>2</cp:revision>
  <cp:lastPrinted>2018-05-04T20:38:00Z</cp:lastPrinted>
  <dcterms:created xsi:type="dcterms:W3CDTF">2018-06-29T19:45:00Z</dcterms:created>
  <dcterms:modified xsi:type="dcterms:W3CDTF">2018-06-29T19:45:00Z</dcterms:modified>
</cp:coreProperties>
</file>