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272A" w14:textId="17D296EC" w:rsidR="001A1443" w:rsidRDefault="00BC2B17" w:rsidP="002C2662">
      <w:pPr>
        <w:pStyle w:val="Heading1"/>
        <w:spacing w:after="240"/>
        <w:rPr>
          <w:rFonts w:ascii="Arial" w:hAnsi="Arial" w:cs="Arial"/>
          <w:b/>
          <w:bCs/>
          <w:color w:val="002060"/>
          <w:sz w:val="49"/>
          <w:szCs w:val="49"/>
        </w:rPr>
      </w:pPr>
      <w:r>
        <w:rPr>
          <w:rFonts w:ascii="Arial" w:hAnsi="Arial" w:cs="Arial"/>
          <w:b/>
          <w:bCs/>
          <w:color w:val="002060"/>
          <w:sz w:val="49"/>
          <w:szCs w:val="49"/>
        </w:rPr>
        <w:t>MassHealth Medical Care Advisory Committee &amp; Payme</w:t>
      </w:r>
      <w:r w:rsidR="001A1443">
        <w:rPr>
          <w:rFonts w:ascii="Arial" w:hAnsi="Arial" w:cs="Arial"/>
          <w:b/>
          <w:bCs/>
          <w:color w:val="002060"/>
          <w:sz w:val="49"/>
          <w:szCs w:val="49"/>
        </w:rPr>
        <w:t>nt Policy Advisory Board Meeting</w:t>
      </w:r>
    </w:p>
    <w:p w14:paraId="04F48D91" w14:textId="3437D78A" w:rsidR="0046621B" w:rsidRPr="0046621B" w:rsidRDefault="0046621B" w:rsidP="0046621B">
      <w:pPr>
        <w:rPr>
          <w:b/>
          <w:bCs/>
          <w:color w:val="002060"/>
        </w:rPr>
      </w:pPr>
      <w:r w:rsidRPr="0046621B">
        <w:rPr>
          <w:b/>
          <w:bCs/>
          <w:color w:val="002060"/>
        </w:rPr>
        <w:t>September 2021</w:t>
      </w:r>
    </w:p>
    <w:p w14:paraId="4F6933F3" w14:textId="2488E883" w:rsidR="00BC2B17" w:rsidRDefault="00BC2B17" w:rsidP="001A6DF7">
      <w:pPr>
        <w:pStyle w:val="Heading2"/>
      </w:pPr>
      <w:r w:rsidRPr="001A6DF7">
        <w:t>Agenda</w:t>
      </w:r>
    </w:p>
    <w:tbl>
      <w:tblPr>
        <w:tblStyle w:val="TableGrid"/>
        <w:tblW w:w="0" w:type="auto"/>
        <w:tblLook w:val="04A0" w:firstRow="1" w:lastRow="0" w:firstColumn="1" w:lastColumn="0" w:noHBand="0" w:noVBand="1"/>
        <w:tblDescription w:val="Meeting Agenda"/>
      </w:tblPr>
      <w:tblGrid>
        <w:gridCol w:w="445"/>
        <w:gridCol w:w="3870"/>
        <w:gridCol w:w="2430"/>
      </w:tblGrid>
      <w:tr w:rsidR="00CE41F1" w14:paraId="14982518" w14:textId="77777777" w:rsidTr="009C54D6">
        <w:trPr>
          <w:tblHeader/>
        </w:trPr>
        <w:tc>
          <w:tcPr>
            <w:tcW w:w="445" w:type="dxa"/>
          </w:tcPr>
          <w:p w14:paraId="0E9958FE" w14:textId="100F239D" w:rsidR="00CE41F1" w:rsidRDefault="00CE41F1" w:rsidP="00CE41F1"/>
        </w:tc>
        <w:tc>
          <w:tcPr>
            <w:tcW w:w="3870" w:type="dxa"/>
          </w:tcPr>
          <w:p w14:paraId="2BF7D41A" w14:textId="2FD600B9" w:rsidR="00CE41F1" w:rsidRPr="008E06BC" w:rsidRDefault="00CE41F1" w:rsidP="00CE41F1">
            <w:pPr>
              <w:rPr>
                <w:b/>
                <w:bCs/>
              </w:rPr>
            </w:pPr>
            <w:r w:rsidRPr="008E06BC">
              <w:rPr>
                <w:b/>
                <w:bCs/>
              </w:rPr>
              <w:t>Topic</w:t>
            </w:r>
          </w:p>
        </w:tc>
        <w:tc>
          <w:tcPr>
            <w:tcW w:w="2430" w:type="dxa"/>
          </w:tcPr>
          <w:p w14:paraId="5D90BC64" w14:textId="46BE8B64" w:rsidR="00CE41F1" w:rsidRPr="008E06BC" w:rsidRDefault="00CE41F1" w:rsidP="00CE41F1">
            <w:pPr>
              <w:rPr>
                <w:b/>
                <w:bCs/>
              </w:rPr>
            </w:pPr>
            <w:r w:rsidRPr="008E06BC">
              <w:rPr>
                <w:b/>
                <w:bCs/>
              </w:rPr>
              <w:t>Duration</w:t>
            </w:r>
          </w:p>
        </w:tc>
      </w:tr>
      <w:tr w:rsidR="00CE41F1" w14:paraId="0BA85046" w14:textId="77777777" w:rsidTr="00CE41F1">
        <w:tc>
          <w:tcPr>
            <w:tcW w:w="445" w:type="dxa"/>
          </w:tcPr>
          <w:p w14:paraId="2BD3B840" w14:textId="6FE40997" w:rsidR="00CE41F1" w:rsidRDefault="00CE41F1" w:rsidP="00CE41F1">
            <w:r>
              <w:t>1</w:t>
            </w:r>
          </w:p>
        </w:tc>
        <w:tc>
          <w:tcPr>
            <w:tcW w:w="3870" w:type="dxa"/>
          </w:tcPr>
          <w:p w14:paraId="7450415E" w14:textId="4B157112" w:rsidR="00CE41F1" w:rsidRPr="00CE41F1" w:rsidRDefault="00CE41F1" w:rsidP="00CE41F1">
            <w:r w:rsidRPr="00CE41F1">
              <w:t>Welcome and Introductions</w:t>
            </w:r>
            <w:bookmarkStart w:id="0" w:name="_GoBack"/>
            <w:bookmarkEnd w:id="0"/>
          </w:p>
        </w:tc>
        <w:tc>
          <w:tcPr>
            <w:tcW w:w="2430" w:type="dxa"/>
          </w:tcPr>
          <w:p w14:paraId="45E8B659" w14:textId="67BE077A" w:rsidR="00CE41F1" w:rsidRPr="00CE41F1" w:rsidRDefault="00CE41F1" w:rsidP="00CE41F1">
            <w:r w:rsidRPr="00CE41F1">
              <w:t>5 minutes</w:t>
            </w:r>
          </w:p>
        </w:tc>
      </w:tr>
      <w:tr w:rsidR="00CE41F1" w14:paraId="114762F4" w14:textId="77777777" w:rsidTr="00CE41F1">
        <w:tc>
          <w:tcPr>
            <w:tcW w:w="445" w:type="dxa"/>
          </w:tcPr>
          <w:p w14:paraId="531C3C09" w14:textId="1A50E41D" w:rsidR="00CE41F1" w:rsidRDefault="00CE41F1" w:rsidP="00CE41F1">
            <w:r>
              <w:t>2</w:t>
            </w:r>
          </w:p>
        </w:tc>
        <w:tc>
          <w:tcPr>
            <w:tcW w:w="3870" w:type="dxa"/>
          </w:tcPr>
          <w:p w14:paraId="7D37FE5B" w14:textId="6E6A1170" w:rsidR="00CE41F1" w:rsidRPr="00CE41F1" w:rsidRDefault="00CE41F1" w:rsidP="00CE41F1">
            <w:r w:rsidRPr="00CE41F1">
              <w:t>1115 Waiver Demonstration Overview</w:t>
            </w:r>
          </w:p>
        </w:tc>
        <w:tc>
          <w:tcPr>
            <w:tcW w:w="2430" w:type="dxa"/>
          </w:tcPr>
          <w:p w14:paraId="6825E823" w14:textId="52B8367A" w:rsidR="00CE41F1" w:rsidRPr="00CE41F1" w:rsidRDefault="00CE41F1" w:rsidP="00CE41F1">
            <w:r w:rsidRPr="00CE41F1">
              <w:t>40 minutes</w:t>
            </w:r>
          </w:p>
        </w:tc>
      </w:tr>
      <w:tr w:rsidR="00CE41F1" w14:paraId="7051104E" w14:textId="77777777" w:rsidTr="00CE41F1">
        <w:tc>
          <w:tcPr>
            <w:tcW w:w="445" w:type="dxa"/>
          </w:tcPr>
          <w:p w14:paraId="7AABF51E" w14:textId="2C4BE28F" w:rsidR="00CE41F1" w:rsidRDefault="00CE41F1" w:rsidP="00CE41F1">
            <w:r>
              <w:t>3</w:t>
            </w:r>
          </w:p>
        </w:tc>
        <w:tc>
          <w:tcPr>
            <w:tcW w:w="3870" w:type="dxa"/>
          </w:tcPr>
          <w:p w14:paraId="31E76EDE" w14:textId="2FF80CD6" w:rsidR="00CE41F1" w:rsidRPr="00CE41F1" w:rsidRDefault="00CE41F1" w:rsidP="00CE41F1">
            <w:r w:rsidRPr="00CE41F1">
              <w:t>MCAC/PPAB Responses/Comments</w:t>
            </w:r>
          </w:p>
        </w:tc>
        <w:tc>
          <w:tcPr>
            <w:tcW w:w="2430" w:type="dxa"/>
          </w:tcPr>
          <w:p w14:paraId="169514F1" w14:textId="03E39AB6" w:rsidR="00CE41F1" w:rsidRPr="00CE41F1" w:rsidRDefault="00CE41F1" w:rsidP="00CE41F1">
            <w:r w:rsidRPr="00CE41F1">
              <w:t>30 minutes</w:t>
            </w:r>
          </w:p>
        </w:tc>
      </w:tr>
      <w:tr w:rsidR="00CE41F1" w14:paraId="0B1093EE" w14:textId="77777777" w:rsidTr="00CE41F1">
        <w:tc>
          <w:tcPr>
            <w:tcW w:w="445" w:type="dxa"/>
          </w:tcPr>
          <w:p w14:paraId="70EB675C" w14:textId="763F605D" w:rsidR="00CE41F1" w:rsidRDefault="00CE41F1" w:rsidP="00CE41F1">
            <w:r>
              <w:t>4</w:t>
            </w:r>
          </w:p>
        </w:tc>
        <w:tc>
          <w:tcPr>
            <w:tcW w:w="3870" w:type="dxa"/>
          </w:tcPr>
          <w:p w14:paraId="11E92B56" w14:textId="2F276944" w:rsidR="00CE41F1" w:rsidRPr="00CE41F1" w:rsidRDefault="00CE41F1" w:rsidP="00CE41F1">
            <w:r w:rsidRPr="00CE41F1">
              <w:t>Public Comments</w:t>
            </w:r>
          </w:p>
        </w:tc>
        <w:tc>
          <w:tcPr>
            <w:tcW w:w="2430" w:type="dxa"/>
          </w:tcPr>
          <w:p w14:paraId="39303FE9" w14:textId="67FCCA03" w:rsidR="00CE41F1" w:rsidRPr="00CE41F1" w:rsidRDefault="00CE41F1" w:rsidP="00CE41F1">
            <w:r w:rsidRPr="00CE41F1">
              <w:t>45 minutes</w:t>
            </w:r>
          </w:p>
        </w:tc>
      </w:tr>
    </w:tbl>
    <w:p w14:paraId="334CC022" w14:textId="77777777" w:rsidR="00CE41F1" w:rsidRPr="00CE41F1" w:rsidRDefault="00CE41F1" w:rsidP="00CE41F1"/>
    <w:p w14:paraId="11FAD8C2" w14:textId="77777777" w:rsidR="00BC2B17" w:rsidRPr="00DA5E30" w:rsidRDefault="00BC2B17" w:rsidP="001A6DF7">
      <w:pPr>
        <w:pStyle w:val="Heading2"/>
      </w:pPr>
      <w:r w:rsidRPr="00DA5E30">
        <w:t>1115 Waiver Executive Summary</w:t>
      </w:r>
    </w:p>
    <w:p w14:paraId="760F3E61" w14:textId="77777777" w:rsidR="00DA5E30" w:rsidRDefault="00BC2B17" w:rsidP="00DA5E30">
      <w:r>
        <w:t xml:space="preserve">MassHealth’s current 1115 demonstration (2017-2022) was designed </w:t>
      </w:r>
      <w:r w:rsidRPr="00DA5E30">
        <w:rPr>
          <w:b/>
          <w:bCs/>
          <w:color w:val="002060"/>
        </w:rPr>
        <w:t>to restructure the delivery system toward integrated, value-based and accountable care.</w:t>
      </w:r>
      <w:r>
        <w:t xml:space="preserve"> </w:t>
      </w:r>
    </w:p>
    <w:p w14:paraId="23247588" w14:textId="0448C08B" w:rsidR="00BC2B17" w:rsidRPr="00DA5E30" w:rsidRDefault="00BC2B17" w:rsidP="00DA5E30">
      <w:pPr>
        <w:rPr>
          <w:b/>
          <w:bCs/>
          <w:i/>
          <w:iCs/>
          <w:color w:val="002060"/>
        </w:rPr>
      </w:pPr>
      <w:r w:rsidRPr="00DA5E30">
        <w:rPr>
          <w:b/>
          <w:bCs/>
          <w:i/>
          <w:iCs/>
          <w:color w:val="002060"/>
        </w:rPr>
        <w:t>Key features of MassHealth’s current 1115 demonstration include:</w:t>
      </w:r>
    </w:p>
    <w:p w14:paraId="48BDA817" w14:textId="77777777" w:rsidR="00BC2B17" w:rsidRDefault="00BC2B17" w:rsidP="00FA1036">
      <w:pPr>
        <w:numPr>
          <w:ilvl w:val="0"/>
          <w:numId w:val="18"/>
        </w:numPr>
        <w:spacing w:after="60"/>
        <w:rPr>
          <w:rFonts w:eastAsia="Gulim"/>
          <w:b/>
          <w:bCs/>
          <w:lang w:eastAsia="ko-KR"/>
        </w:rPr>
      </w:pPr>
      <w:r>
        <w:t>Over 1 million members (&gt;80% of eligible population) are enrolled in accountable care organizations (</w:t>
      </w:r>
      <w:r>
        <w:rPr>
          <w:rFonts w:eastAsia="Gulim"/>
          <w:lang w:eastAsia="ko-KR"/>
        </w:rPr>
        <w:t xml:space="preserve">ACOs) that are paid </w:t>
      </w:r>
      <w:r w:rsidRPr="00DA5E30">
        <w:rPr>
          <w:rFonts w:eastAsia="Gulim"/>
          <w:color w:val="002060"/>
          <w:lang w:eastAsia="ko-KR"/>
        </w:rPr>
        <w:t xml:space="preserve">for </w:t>
      </w:r>
      <w:r w:rsidRPr="00DA5E30">
        <w:rPr>
          <w:rFonts w:eastAsia="Gulim"/>
          <w:b/>
          <w:bCs/>
          <w:color w:val="002060"/>
          <w:lang w:eastAsia="ko-KR"/>
        </w:rPr>
        <w:t>better health outcomes, lower cost, and improved member experience</w:t>
      </w:r>
    </w:p>
    <w:p w14:paraId="2EE65159" w14:textId="77777777" w:rsidR="00BC2B17" w:rsidRDefault="00BC2B17" w:rsidP="00FA1036">
      <w:pPr>
        <w:numPr>
          <w:ilvl w:val="0"/>
          <w:numId w:val="18"/>
        </w:numPr>
        <w:spacing w:after="60"/>
        <w:rPr>
          <w:rFonts w:eastAsia="Gulim"/>
        </w:rPr>
      </w:pPr>
      <w:r>
        <w:rPr>
          <w:rFonts w:eastAsia="Gulim"/>
        </w:rPr>
        <w:t xml:space="preserve">Top 50,000 (~5%) highest-risk members receive </w:t>
      </w:r>
      <w:r w:rsidRPr="00DA5E30">
        <w:rPr>
          <w:rFonts w:eastAsia="Gulim"/>
          <w:b/>
          <w:bCs/>
          <w:color w:val="002060"/>
        </w:rPr>
        <w:t>enhanced care coordination</w:t>
      </w:r>
      <w:r>
        <w:rPr>
          <w:rFonts w:eastAsia="Gulim"/>
          <w:b/>
          <w:bCs/>
        </w:rPr>
        <w:t xml:space="preserve"> </w:t>
      </w:r>
      <w:r>
        <w:rPr>
          <w:rFonts w:eastAsia="Gulim"/>
        </w:rPr>
        <w:t xml:space="preserve">from certified community-based organizations called </w:t>
      </w:r>
      <w:r w:rsidRPr="00DA5E30">
        <w:rPr>
          <w:rFonts w:eastAsia="Gulim"/>
          <w:b/>
          <w:bCs/>
          <w:color w:val="002060"/>
        </w:rPr>
        <w:t>Community Partners</w:t>
      </w:r>
      <w:r>
        <w:rPr>
          <w:rFonts w:eastAsia="Gulim"/>
        </w:rPr>
        <w:t xml:space="preserve"> </w:t>
      </w:r>
    </w:p>
    <w:p w14:paraId="54CB98C0" w14:textId="77777777" w:rsidR="00BC2B17" w:rsidRDefault="00BC2B17" w:rsidP="00FA1036">
      <w:pPr>
        <w:numPr>
          <w:ilvl w:val="0"/>
          <w:numId w:val="18"/>
        </w:numPr>
        <w:spacing w:after="60"/>
      </w:pPr>
      <w:r>
        <w:t xml:space="preserve">Supported by </w:t>
      </w:r>
      <w:r w:rsidRPr="00DA5E30">
        <w:rPr>
          <w:b/>
          <w:bCs/>
          <w:color w:val="002060"/>
        </w:rPr>
        <w:t>$1.8 billion Delivery System Reform Incentive Program</w:t>
      </w:r>
      <w:r>
        <w:rPr>
          <w:b/>
          <w:bCs/>
        </w:rPr>
        <w:t xml:space="preserve"> </w:t>
      </w:r>
      <w:r>
        <w:rPr>
          <w:rFonts w:eastAsia="Gulim"/>
        </w:rPr>
        <w:t>that expires in 2022</w:t>
      </w:r>
    </w:p>
    <w:p w14:paraId="21AFDA4A" w14:textId="77777777" w:rsidR="00BC2B17" w:rsidRDefault="00BC2B17" w:rsidP="00FA1036">
      <w:pPr>
        <w:numPr>
          <w:ilvl w:val="0"/>
          <w:numId w:val="18"/>
        </w:numPr>
        <w:spacing w:after="120"/>
      </w:pPr>
      <w:r>
        <w:t xml:space="preserve">Authorities, including expanded </w:t>
      </w:r>
      <w:r w:rsidRPr="00DA5E30">
        <w:rPr>
          <w:b/>
          <w:bCs/>
          <w:color w:val="002060"/>
        </w:rPr>
        <w:t>eligibility</w:t>
      </w:r>
      <w:r w:rsidRPr="00DA5E30">
        <w:rPr>
          <w:color w:val="002060"/>
        </w:rPr>
        <w:t xml:space="preserve">, </w:t>
      </w:r>
      <w:r w:rsidRPr="00DA5E30">
        <w:rPr>
          <w:b/>
          <w:bCs/>
          <w:color w:val="002060"/>
        </w:rPr>
        <w:t>substance use disorder services</w:t>
      </w:r>
      <w:r>
        <w:t xml:space="preserve">, state subsidies for </w:t>
      </w:r>
      <w:r w:rsidRPr="00DA5E30">
        <w:rPr>
          <w:b/>
          <w:bCs/>
          <w:color w:val="002060"/>
        </w:rPr>
        <w:t>lower-income Marketplace enrollees</w:t>
      </w:r>
      <w:r w:rsidRPr="00DA5E30">
        <w:rPr>
          <w:color w:val="002060"/>
        </w:rPr>
        <w:t>,</w:t>
      </w:r>
      <w:r>
        <w:t xml:space="preserve"> and funding for </w:t>
      </w:r>
      <w:r w:rsidRPr="00DA5E30">
        <w:rPr>
          <w:b/>
          <w:bCs/>
          <w:color w:val="002060"/>
        </w:rPr>
        <w:t>safety net providers</w:t>
      </w:r>
    </w:p>
    <w:p w14:paraId="725608DE" w14:textId="77777777" w:rsidR="00BC2B17" w:rsidRPr="002C1CE1" w:rsidRDefault="00BC2B17" w:rsidP="00FA1036">
      <w:pPr>
        <w:spacing w:after="60"/>
        <w:rPr>
          <w:b/>
          <w:bCs/>
          <w:i/>
          <w:iCs/>
          <w:color w:val="002060"/>
        </w:rPr>
      </w:pPr>
      <w:r w:rsidRPr="002C1CE1">
        <w:rPr>
          <w:b/>
          <w:bCs/>
          <w:i/>
          <w:iCs/>
          <w:color w:val="002060"/>
        </w:rPr>
        <w:t>In its proposal to be submitted to CMS in October/November, MassHealth will seek approval for a renewed 1115 demonstration that:</w:t>
      </w:r>
    </w:p>
    <w:p w14:paraId="699F317E" w14:textId="77777777" w:rsidR="00BC2B17" w:rsidRDefault="00BC2B17" w:rsidP="00FA1036">
      <w:pPr>
        <w:numPr>
          <w:ilvl w:val="0"/>
          <w:numId w:val="20"/>
        </w:numPr>
        <w:spacing w:after="60"/>
        <w:rPr>
          <w:b/>
          <w:bCs/>
        </w:rPr>
      </w:pPr>
      <w:r>
        <w:t xml:space="preserve">Continues the path of restructuring and reaffirms </w:t>
      </w:r>
      <w:r w:rsidRPr="00DA5E30">
        <w:rPr>
          <w:b/>
          <w:bCs/>
          <w:color w:val="002060"/>
        </w:rPr>
        <w:t>accountable, value-based care</w:t>
      </w:r>
      <w:r>
        <w:rPr>
          <w:b/>
          <w:bCs/>
        </w:rPr>
        <w:t xml:space="preserve"> </w:t>
      </w:r>
    </w:p>
    <w:p w14:paraId="1B3AB0ED" w14:textId="77777777" w:rsidR="00BC2B17" w:rsidRDefault="00BC2B17" w:rsidP="00FA1036">
      <w:pPr>
        <w:numPr>
          <w:ilvl w:val="0"/>
          <w:numId w:val="20"/>
        </w:numPr>
        <w:spacing w:after="60"/>
      </w:pPr>
      <w:r>
        <w:t xml:space="preserve">Makes reforms and investments in </w:t>
      </w:r>
      <w:r w:rsidRPr="00DA5E30">
        <w:rPr>
          <w:b/>
          <w:bCs/>
          <w:color w:val="002060"/>
        </w:rPr>
        <w:t>primary care, behavioral health and pediatric care</w:t>
      </w:r>
      <w:r>
        <w:t xml:space="preserve"> </w:t>
      </w:r>
    </w:p>
    <w:p w14:paraId="35A23B21" w14:textId="77777777" w:rsidR="00BC2B17" w:rsidRDefault="00BC2B17" w:rsidP="00FA1036">
      <w:pPr>
        <w:numPr>
          <w:ilvl w:val="0"/>
          <w:numId w:val="20"/>
        </w:numPr>
        <w:spacing w:after="60"/>
      </w:pPr>
      <w:r w:rsidRPr="00DA5E30">
        <w:rPr>
          <w:b/>
          <w:bCs/>
          <w:color w:val="002060"/>
        </w:rPr>
        <w:t>Advances health equity</w:t>
      </w:r>
      <w:r>
        <w:t>, with a focus on initiatives addressing health-related social needs and specific disparities, including maternal health and health care for justice-involved individuals</w:t>
      </w:r>
    </w:p>
    <w:p w14:paraId="2BC34252" w14:textId="77777777" w:rsidR="00BC2B17" w:rsidRDefault="00BC2B17" w:rsidP="00FA1036">
      <w:pPr>
        <w:numPr>
          <w:ilvl w:val="0"/>
          <w:numId w:val="20"/>
        </w:numPr>
        <w:spacing w:after="60"/>
        <w:rPr>
          <w:rFonts w:eastAsia="Times New Roman"/>
        </w:rPr>
      </w:pPr>
      <w:r w:rsidRPr="00DA5E30">
        <w:rPr>
          <w:rFonts w:eastAsia="Times New Roman"/>
          <w:b/>
          <w:bCs/>
          <w:color w:val="002060"/>
        </w:rPr>
        <w:t>Sustainably supports the Commonwealth’s safety net</w:t>
      </w:r>
      <w:r>
        <w:rPr>
          <w:rFonts w:eastAsia="Times New Roman"/>
          <w:b/>
          <w:bCs/>
        </w:rPr>
        <w:t>,</w:t>
      </w:r>
      <w:r>
        <w:rPr>
          <w:rFonts w:eastAsia="Times New Roman"/>
        </w:rPr>
        <w:t xml:space="preserve"> including level, predictable funding for safety net providers, with a continued linkage to accountable care </w:t>
      </w:r>
    </w:p>
    <w:p w14:paraId="7CD41BC0" w14:textId="3D3A4744" w:rsidR="00FA1036" w:rsidRDefault="00BC2B17" w:rsidP="00FA1036">
      <w:pPr>
        <w:numPr>
          <w:ilvl w:val="0"/>
          <w:numId w:val="20"/>
        </w:numPr>
        <w:spacing w:after="60"/>
        <w:rPr>
          <w:rFonts w:eastAsia="Times New Roman"/>
        </w:rPr>
      </w:pPr>
      <w:r w:rsidRPr="00DA5E30">
        <w:rPr>
          <w:rFonts w:eastAsia="Times New Roman"/>
          <w:b/>
          <w:bCs/>
          <w:color w:val="002060"/>
        </w:rPr>
        <w:t>Maintains near-universal coverage,</w:t>
      </w:r>
      <w:r>
        <w:rPr>
          <w:rFonts w:eastAsia="Times New Roman"/>
          <w:b/>
          <w:bCs/>
        </w:rPr>
        <w:t xml:space="preserve"> </w:t>
      </w:r>
      <w:r>
        <w:rPr>
          <w:rFonts w:eastAsia="Times New Roman"/>
        </w:rPr>
        <w:t xml:space="preserve">making updates to eligibility policies to support coverage and equity </w:t>
      </w:r>
    </w:p>
    <w:p w14:paraId="70399E64" w14:textId="7FCCCC19" w:rsidR="00BC2B17" w:rsidRPr="00DA5E30" w:rsidRDefault="00FA1036" w:rsidP="001A6DF7">
      <w:pPr>
        <w:pStyle w:val="Heading2"/>
      </w:pPr>
      <w:r>
        <w:rPr>
          <w:rFonts w:eastAsia="Times New Roman"/>
        </w:rPr>
        <w:br w:type="page"/>
      </w:r>
      <w:r w:rsidR="00BC2B17" w:rsidRPr="00DA5E30">
        <w:lastRenderedPageBreak/>
        <w:t>MassHealth’s 1115 Demonstration, 2017-2022: Goals and key reforms</w:t>
      </w:r>
    </w:p>
    <w:p w14:paraId="6D7E5617" w14:textId="77777777" w:rsidR="001A1443" w:rsidRDefault="001A1443" w:rsidP="00FA1036">
      <w:pPr>
        <w:pStyle w:val="Heading3"/>
        <w:spacing w:after="60"/>
      </w:pPr>
      <w:r w:rsidRPr="001A1443">
        <w:t>Goals of current demonstration</w:t>
      </w:r>
    </w:p>
    <w:p w14:paraId="22B9A2A0" w14:textId="77777777" w:rsidR="001A1443" w:rsidRPr="001A1443" w:rsidRDefault="001A1443" w:rsidP="00FA1036">
      <w:pPr>
        <w:numPr>
          <w:ilvl w:val="0"/>
          <w:numId w:val="3"/>
        </w:numPr>
        <w:spacing w:after="60"/>
      </w:pPr>
      <w:r w:rsidRPr="002C1CE1">
        <w:rPr>
          <w:b/>
          <w:bCs/>
          <w:color w:val="002060"/>
        </w:rPr>
        <w:t>Enact payment and delivery system reforms</w:t>
      </w:r>
      <w:r w:rsidRPr="001A1443">
        <w:t xml:space="preserve"> that promote integrated, coordinated care; and hold providers accountable for the quality and total cost of care</w:t>
      </w:r>
    </w:p>
    <w:p w14:paraId="46A087C0" w14:textId="77777777" w:rsidR="001A1443" w:rsidRPr="001A1443" w:rsidRDefault="001A1443" w:rsidP="00FA1036">
      <w:pPr>
        <w:numPr>
          <w:ilvl w:val="0"/>
          <w:numId w:val="3"/>
        </w:numPr>
        <w:spacing w:after="60"/>
      </w:pPr>
      <w:r w:rsidRPr="002C1CE1">
        <w:rPr>
          <w:b/>
          <w:bCs/>
          <w:color w:val="002060"/>
        </w:rPr>
        <w:t>Improve integration</w:t>
      </w:r>
      <w:r w:rsidRPr="001A1443">
        <w:t xml:space="preserve"> of physical, behavioral health and long-term services</w:t>
      </w:r>
    </w:p>
    <w:p w14:paraId="1784B05C" w14:textId="77777777" w:rsidR="001A1443" w:rsidRPr="001A1443" w:rsidRDefault="001A1443" w:rsidP="00FA1036">
      <w:pPr>
        <w:numPr>
          <w:ilvl w:val="0"/>
          <w:numId w:val="3"/>
        </w:numPr>
        <w:spacing w:after="60"/>
      </w:pPr>
      <w:r w:rsidRPr="002C1CE1">
        <w:rPr>
          <w:b/>
          <w:bCs/>
          <w:color w:val="002060"/>
        </w:rPr>
        <w:t>Address the opioid addiction crisis</w:t>
      </w:r>
      <w:r w:rsidRPr="001A1443">
        <w:t xml:space="preserve"> by expanding access to a broad spectrum of recovery-oriented substance use disorder (SUD) services</w:t>
      </w:r>
    </w:p>
    <w:p w14:paraId="586E8A91" w14:textId="77777777" w:rsidR="001A1443" w:rsidRDefault="001A1443" w:rsidP="00FA1036">
      <w:pPr>
        <w:numPr>
          <w:ilvl w:val="0"/>
          <w:numId w:val="3"/>
        </w:numPr>
        <w:spacing w:after="120"/>
      </w:pPr>
      <w:r w:rsidRPr="001A1443">
        <w:t xml:space="preserve">Sustainably </w:t>
      </w:r>
      <w:r w:rsidRPr="002C1CE1">
        <w:rPr>
          <w:b/>
          <w:bCs/>
          <w:color w:val="002060"/>
        </w:rPr>
        <w:t>support safety net providers</w:t>
      </w:r>
      <w:r w:rsidRPr="001A1443">
        <w:t xml:space="preserve"> to ensure continued access to care for Medicaid and low-income uninsured individuals</w:t>
      </w:r>
    </w:p>
    <w:p w14:paraId="23C6D204" w14:textId="77777777" w:rsidR="001A1443" w:rsidRDefault="001A1443" w:rsidP="00FA1036">
      <w:pPr>
        <w:pStyle w:val="Heading3"/>
        <w:spacing w:after="60"/>
      </w:pPr>
      <w:r w:rsidRPr="001A1443">
        <w:t>Key reforms</w:t>
      </w:r>
    </w:p>
    <w:p w14:paraId="1D73A82A" w14:textId="77777777" w:rsidR="001A1443" w:rsidRDefault="001A1443" w:rsidP="00FA1036">
      <w:pPr>
        <w:numPr>
          <w:ilvl w:val="0"/>
          <w:numId w:val="21"/>
        </w:numPr>
        <w:spacing w:after="60"/>
      </w:pPr>
      <w:r w:rsidRPr="001A1443">
        <w:rPr>
          <w:rFonts w:eastAsia="Times New Roman"/>
        </w:rPr>
        <w:t>Significant re-structuring of MassHealth delivery system:</w:t>
      </w:r>
    </w:p>
    <w:p w14:paraId="79071C62" w14:textId="77777777" w:rsidR="001A1443" w:rsidRDefault="001A1443" w:rsidP="00FA1036">
      <w:pPr>
        <w:numPr>
          <w:ilvl w:val="1"/>
          <w:numId w:val="21"/>
        </w:numPr>
        <w:spacing w:after="60"/>
      </w:pPr>
      <w:r w:rsidRPr="001A1443">
        <w:rPr>
          <w:rFonts w:eastAsia="Times New Roman"/>
        </w:rPr>
        <w:t xml:space="preserve">Launched </w:t>
      </w:r>
      <w:r w:rsidRPr="002C1CE1">
        <w:rPr>
          <w:rFonts w:eastAsia="Times New Roman"/>
          <w:b/>
          <w:bCs/>
          <w:color w:val="002060"/>
        </w:rPr>
        <w:t>MassHealth ACO program</w:t>
      </w:r>
      <w:r w:rsidRPr="001A1443">
        <w:rPr>
          <w:rFonts w:eastAsia="Times New Roman"/>
          <w:b/>
          <w:bCs/>
        </w:rPr>
        <w:t xml:space="preserve"> </w:t>
      </w:r>
      <w:r w:rsidRPr="001A1443">
        <w:rPr>
          <w:rFonts w:eastAsia="Times New Roman"/>
        </w:rPr>
        <w:t>in 2018 with accountability for cost, quality, and member experience</w:t>
      </w:r>
    </w:p>
    <w:p w14:paraId="20D8E699" w14:textId="77777777" w:rsidR="001A1443" w:rsidRDefault="001A1443" w:rsidP="00FA1036">
      <w:pPr>
        <w:numPr>
          <w:ilvl w:val="1"/>
          <w:numId w:val="21"/>
        </w:numPr>
        <w:spacing w:after="60"/>
      </w:pPr>
      <w:r w:rsidRPr="001A1443">
        <w:rPr>
          <w:rFonts w:eastAsia="Times New Roman"/>
        </w:rPr>
        <w:t>17 of the state’s biggest provider systems became ACOs, enrolled &gt;80% of eligible members</w:t>
      </w:r>
    </w:p>
    <w:p w14:paraId="3C132CF6" w14:textId="77777777" w:rsidR="001A1443" w:rsidRDefault="001A1443" w:rsidP="00FA1036">
      <w:pPr>
        <w:numPr>
          <w:ilvl w:val="0"/>
          <w:numId w:val="21"/>
        </w:numPr>
        <w:spacing w:after="60"/>
      </w:pPr>
      <w:r w:rsidRPr="001A1443">
        <w:rPr>
          <w:rFonts w:eastAsia="Times New Roman"/>
        </w:rPr>
        <w:t>Unprecedented partnership across delivery system silos:</w:t>
      </w:r>
    </w:p>
    <w:p w14:paraId="46B0A7BE" w14:textId="77777777" w:rsidR="001A1443" w:rsidRDefault="001A1443" w:rsidP="00FA1036">
      <w:pPr>
        <w:numPr>
          <w:ilvl w:val="1"/>
          <w:numId w:val="21"/>
        </w:numPr>
        <w:spacing w:after="60"/>
      </w:pPr>
      <w:r w:rsidRPr="001A1443">
        <w:rPr>
          <w:rFonts w:eastAsia="Times New Roman"/>
        </w:rPr>
        <w:t xml:space="preserve">Created </w:t>
      </w:r>
      <w:r w:rsidRPr="002C1CE1">
        <w:rPr>
          <w:rFonts w:eastAsia="Times New Roman"/>
          <w:b/>
          <w:bCs/>
          <w:color w:val="002060"/>
        </w:rPr>
        <w:t>Behavioral Health and Long-Term Services &amp; Supports Community Partners (CP)</w:t>
      </w:r>
      <w:r w:rsidRPr="001A1443">
        <w:rPr>
          <w:rFonts w:eastAsia="Times New Roman"/>
          <w:b/>
          <w:bCs/>
        </w:rPr>
        <w:t xml:space="preserve"> </w:t>
      </w:r>
      <w:r w:rsidRPr="001A1443">
        <w:rPr>
          <w:rFonts w:eastAsia="Times New Roman"/>
        </w:rPr>
        <w:t>program</w:t>
      </w:r>
      <w:r w:rsidRPr="001A1443">
        <w:rPr>
          <w:rFonts w:eastAsia="Times New Roman"/>
          <w:b/>
          <w:bCs/>
        </w:rPr>
        <w:t xml:space="preserve"> </w:t>
      </w:r>
      <w:r w:rsidRPr="001A1443">
        <w:rPr>
          <w:rFonts w:eastAsia="Times New Roman"/>
        </w:rPr>
        <w:t xml:space="preserve">in 2018 to provide enhanced care coordination for highest risk members </w:t>
      </w:r>
    </w:p>
    <w:p w14:paraId="021FFDB7" w14:textId="77777777" w:rsidR="001A1443" w:rsidRDefault="001A1443" w:rsidP="00FA1036">
      <w:pPr>
        <w:numPr>
          <w:ilvl w:val="1"/>
          <w:numId w:val="21"/>
        </w:numPr>
        <w:spacing w:after="120"/>
      </w:pPr>
      <w:r w:rsidRPr="001A1443">
        <w:rPr>
          <w:rFonts w:eastAsia="Times New Roman"/>
        </w:rPr>
        <w:t xml:space="preserve">Launched </w:t>
      </w:r>
      <w:r w:rsidRPr="002C1CE1">
        <w:rPr>
          <w:rFonts w:eastAsia="Times New Roman"/>
          <w:b/>
          <w:bCs/>
          <w:color w:val="002060"/>
        </w:rPr>
        <w:t>Flexible Services</w:t>
      </w:r>
      <w:r w:rsidRPr="001A1443">
        <w:rPr>
          <w:rFonts w:eastAsia="Times New Roman"/>
          <w:b/>
          <w:bCs/>
        </w:rPr>
        <w:t xml:space="preserve"> </w:t>
      </w:r>
      <w:r w:rsidRPr="001A1443">
        <w:rPr>
          <w:rFonts w:eastAsia="Times New Roman"/>
        </w:rPr>
        <w:t>program in 2020 to provide targeted housing- and nutrition-related supports</w:t>
      </w:r>
    </w:p>
    <w:p w14:paraId="20551938" w14:textId="77777777" w:rsidR="001A1443" w:rsidRDefault="001A1443" w:rsidP="00FA1036">
      <w:pPr>
        <w:numPr>
          <w:ilvl w:val="0"/>
          <w:numId w:val="21"/>
        </w:numPr>
        <w:spacing w:after="120"/>
      </w:pPr>
      <w:r w:rsidRPr="002C1CE1">
        <w:rPr>
          <w:rFonts w:eastAsia="Times New Roman"/>
          <w:b/>
          <w:bCs/>
          <w:color w:val="002060"/>
        </w:rPr>
        <w:t>Expanded SUD treatment benefit</w:t>
      </w:r>
      <w:r w:rsidRPr="001A1443">
        <w:rPr>
          <w:rFonts w:eastAsia="Times New Roman"/>
          <w:b/>
          <w:bCs/>
        </w:rPr>
        <w:t xml:space="preserve"> </w:t>
      </w:r>
      <w:r w:rsidRPr="001A1443">
        <w:rPr>
          <w:rFonts w:eastAsia="Times New Roman"/>
        </w:rPr>
        <w:t>and</w:t>
      </w:r>
      <w:r w:rsidRPr="001A1443">
        <w:rPr>
          <w:rFonts w:eastAsia="Times New Roman"/>
          <w:b/>
          <w:bCs/>
        </w:rPr>
        <w:t xml:space="preserve"> </w:t>
      </w:r>
      <w:r w:rsidRPr="001A1443">
        <w:rPr>
          <w:rFonts w:eastAsia="Times New Roman"/>
        </w:rPr>
        <w:t xml:space="preserve">added new beds, recovery coach benefit, other investments </w:t>
      </w:r>
    </w:p>
    <w:p w14:paraId="7BB5349C" w14:textId="77777777" w:rsidR="001A1443" w:rsidRDefault="001A1443" w:rsidP="00FA1036">
      <w:pPr>
        <w:numPr>
          <w:ilvl w:val="0"/>
          <w:numId w:val="21"/>
        </w:numPr>
      </w:pPr>
      <w:r w:rsidRPr="001A1443">
        <w:rPr>
          <w:rFonts w:eastAsia="Times New Roman"/>
        </w:rPr>
        <w:t xml:space="preserve">Established </w:t>
      </w:r>
      <w:r w:rsidRPr="002C1CE1">
        <w:rPr>
          <w:rFonts w:eastAsia="Times New Roman"/>
          <w:b/>
          <w:bCs/>
          <w:color w:val="002060"/>
        </w:rPr>
        <w:t>sustainable safety net hospital funding structure</w:t>
      </w:r>
      <w:r w:rsidRPr="001A1443">
        <w:rPr>
          <w:rFonts w:eastAsia="Times New Roman"/>
          <w:b/>
          <w:bCs/>
        </w:rPr>
        <w:t xml:space="preserve"> </w:t>
      </w:r>
      <w:r w:rsidRPr="001A1443">
        <w:rPr>
          <w:rFonts w:eastAsia="Times New Roman"/>
        </w:rPr>
        <w:t xml:space="preserve">tied to ACO performance and preserved </w:t>
      </w:r>
      <w:r w:rsidRPr="002C1CE1">
        <w:rPr>
          <w:rFonts w:eastAsia="Times New Roman"/>
          <w:b/>
          <w:bCs/>
          <w:color w:val="002060"/>
        </w:rPr>
        <w:t>near-universal coverage</w:t>
      </w:r>
      <w:r w:rsidRPr="001A1443">
        <w:rPr>
          <w:rFonts w:eastAsia="Times New Roman"/>
          <w:b/>
          <w:bCs/>
        </w:rPr>
        <w:t xml:space="preserve"> </w:t>
      </w:r>
    </w:p>
    <w:p w14:paraId="4BAB5A87" w14:textId="77777777" w:rsidR="00BC2B17" w:rsidRDefault="00BC2B17" w:rsidP="001A6DF7">
      <w:pPr>
        <w:pStyle w:val="Heading2"/>
      </w:pPr>
      <w:r>
        <w:t>MassHealth’s 1115 Demonstration, 2017-2022: Progress and opportunities</w:t>
      </w:r>
    </w:p>
    <w:p w14:paraId="07BCDA11" w14:textId="77777777" w:rsidR="001A1443" w:rsidRPr="001A1443" w:rsidRDefault="001A1443" w:rsidP="00FA1036">
      <w:pPr>
        <w:pStyle w:val="Heading3"/>
        <w:spacing w:after="60"/>
      </w:pPr>
      <w:r w:rsidRPr="002C1CE1">
        <w:rPr>
          <w:u w:val="single"/>
        </w:rPr>
        <w:t>Key examples of progress</w:t>
      </w:r>
      <w:r w:rsidRPr="001A1443">
        <w:t xml:space="preserve"> </w:t>
      </w:r>
      <w:r w:rsidRPr="001A1443">
        <w:rPr>
          <w:i/>
          <w:iCs/>
        </w:rPr>
        <w:t>(early indicators)</w:t>
      </w:r>
    </w:p>
    <w:p w14:paraId="73067CAA" w14:textId="77777777" w:rsidR="00BC2B17" w:rsidRPr="001A1443" w:rsidRDefault="00BC2B17" w:rsidP="00FA1036">
      <w:pPr>
        <w:numPr>
          <w:ilvl w:val="1"/>
          <w:numId w:val="6"/>
        </w:numPr>
        <w:spacing w:after="60"/>
      </w:pPr>
      <w:r w:rsidRPr="002C1CE1">
        <w:rPr>
          <w:b/>
          <w:bCs/>
          <w:color w:val="002060"/>
        </w:rPr>
        <w:t>ACOs are strengthening member connection to primary care</w:t>
      </w:r>
      <w:r w:rsidRPr="001A1443">
        <w:t>. PCP visits increased 2% from 2018-2019, and were 12% higher for ACOs than non-ACOs</w:t>
      </w:r>
    </w:p>
    <w:p w14:paraId="5AE97254" w14:textId="77777777" w:rsidR="00BC2B17" w:rsidRPr="001A1443" w:rsidRDefault="00BC2B17" w:rsidP="00FA1036">
      <w:pPr>
        <w:numPr>
          <w:ilvl w:val="1"/>
          <w:numId w:val="6"/>
        </w:numPr>
        <w:spacing w:after="60"/>
      </w:pPr>
      <w:r w:rsidRPr="002C1CE1">
        <w:rPr>
          <w:b/>
          <w:bCs/>
          <w:color w:val="002060"/>
        </w:rPr>
        <w:t>ACOs are reducing preventable acute utilization.</w:t>
      </w:r>
      <w:r w:rsidRPr="001A1443">
        <w:rPr>
          <w:b/>
          <w:bCs/>
        </w:rPr>
        <w:t xml:space="preserve"> </w:t>
      </w:r>
      <w:r w:rsidRPr="001A1443">
        <w:t>Reduced avoidable admissions by 11% from 2018-2019</w:t>
      </w:r>
    </w:p>
    <w:p w14:paraId="48D3E1FF" w14:textId="77777777" w:rsidR="001A1443" w:rsidRDefault="00BC2B17" w:rsidP="00FA1036">
      <w:pPr>
        <w:numPr>
          <w:ilvl w:val="1"/>
          <w:numId w:val="6"/>
        </w:numPr>
        <w:spacing w:after="60"/>
      </w:pPr>
      <w:r w:rsidRPr="002C1CE1">
        <w:rPr>
          <w:b/>
          <w:bCs/>
          <w:color w:val="002060"/>
        </w:rPr>
        <w:t>ACOs are improving clinical quality.</w:t>
      </w:r>
      <w:r w:rsidRPr="001A1443">
        <w:rPr>
          <w:b/>
          <w:bCs/>
        </w:rPr>
        <w:t xml:space="preserve"> </w:t>
      </w:r>
      <w:r w:rsidRPr="001A1443">
        <w:t>Scores were high and increased in 2018-2019 on a significant majority of measures</w:t>
      </w:r>
    </w:p>
    <w:p w14:paraId="0391D98B" w14:textId="77777777" w:rsidR="001A1443" w:rsidRPr="001A1443" w:rsidRDefault="001A1443" w:rsidP="00FA1036">
      <w:pPr>
        <w:numPr>
          <w:ilvl w:val="1"/>
          <w:numId w:val="6"/>
        </w:numPr>
        <w:spacing w:after="60"/>
      </w:pPr>
      <w:r w:rsidRPr="002C1CE1">
        <w:rPr>
          <w:b/>
          <w:bCs/>
          <w:color w:val="002060"/>
        </w:rPr>
        <w:lastRenderedPageBreak/>
        <w:t>ACO care coordination programs funded by DSRIP are working.</w:t>
      </w:r>
      <w:r w:rsidRPr="001A1443">
        <w:rPr>
          <w:b/>
          <w:bCs/>
        </w:rPr>
        <w:t xml:space="preserve"> </w:t>
      </w:r>
      <w:r w:rsidRPr="001A1443">
        <w:t>Seventy percent of these programs have improved outcomes in the first two years</w:t>
      </w:r>
    </w:p>
    <w:p w14:paraId="0D535E2D" w14:textId="77777777" w:rsidR="00BC2B17" w:rsidRPr="001A1443" w:rsidRDefault="00BC2B17" w:rsidP="00FA1036">
      <w:pPr>
        <w:numPr>
          <w:ilvl w:val="1"/>
          <w:numId w:val="7"/>
        </w:numPr>
        <w:spacing w:after="60"/>
      </w:pPr>
      <w:r w:rsidRPr="002C1CE1">
        <w:rPr>
          <w:b/>
          <w:bCs/>
          <w:color w:val="002060"/>
        </w:rPr>
        <w:t>CPs are succeeding at engaging the hardest-to-reach members.</w:t>
      </w:r>
      <w:r w:rsidRPr="001A1443">
        <w:rPr>
          <w:b/>
          <w:bCs/>
        </w:rPr>
        <w:t xml:space="preserve"> </w:t>
      </w:r>
      <w:r w:rsidRPr="001A1443">
        <w:t>CPs have actively engaged ~20k members, with promising early impacts</w:t>
      </w:r>
    </w:p>
    <w:p w14:paraId="52508C0F" w14:textId="77777777" w:rsidR="00BC2B17" w:rsidRPr="002C1CE1" w:rsidRDefault="001A1443" w:rsidP="00FA1036">
      <w:pPr>
        <w:numPr>
          <w:ilvl w:val="1"/>
          <w:numId w:val="7"/>
        </w:numPr>
        <w:spacing w:after="60"/>
        <w:rPr>
          <w:color w:val="002060"/>
        </w:rPr>
      </w:pPr>
      <w:r w:rsidRPr="001A1443">
        <w:t>Implemented risk</w:t>
      </w:r>
      <w:r w:rsidRPr="001A1443">
        <w:rPr>
          <w:b/>
          <w:bCs/>
        </w:rPr>
        <w:t>-</w:t>
      </w:r>
      <w:r w:rsidRPr="001A1443">
        <w:t xml:space="preserve">adjustment methodology </w:t>
      </w:r>
      <w:r w:rsidRPr="002C1CE1">
        <w:rPr>
          <w:color w:val="002060"/>
        </w:rPr>
        <w:t xml:space="preserve">that </w:t>
      </w:r>
      <w:r w:rsidRPr="002C1CE1">
        <w:rPr>
          <w:b/>
          <w:bCs/>
          <w:color w:val="002060"/>
        </w:rPr>
        <w:t>accounts for social complexity/risk in ACO rates</w:t>
      </w:r>
    </w:p>
    <w:p w14:paraId="7719FFA0" w14:textId="77777777" w:rsidR="00BC2B17" w:rsidRDefault="00BC2B17" w:rsidP="00FA1036">
      <w:pPr>
        <w:numPr>
          <w:ilvl w:val="1"/>
          <w:numId w:val="7"/>
        </w:numPr>
        <w:spacing w:after="120"/>
      </w:pPr>
      <w:r w:rsidRPr="002C1CE1">
        <w:rPr>
          <w:b/>
          <w:bCs/>
          <w:color w:val="002060"/>
        </w:rPr>
        <w:t>Through the Flexible Services program,</w:t>
      </w:r>
      <w:r w:rsidRPr="001A1443">
        <w:rPr>
          <w:b/>
          <w:bCs/>
        </w:rPr>
        <w:t xml:space="preserve"> </w:t>
      </w:r>
      <w:r w:rsidRPr="001A1443">
        <w:t>ACOs partner with social service organizations to provide housing and nutritional supports aimed at improving health outcomes and/or reducing health care costs</w:t>
      </w:r>
    </w:p>
    <w:p w14:paraId="3B7097B5" w14:textId="77777777" w:rsidR="001A1443" w:rsidRDefault="001A1443" w:rsidP="00FA1036">
      <w:pPr>
        <w:pStyle w:val="Heading3"/>
        <w:spacing w:after="60"/>
      </w:pPr>
      <w:r w:rsidRPr="001A1443">
        <w:rPr>
          <w:u w:val="single"/>
        </w:rPr>
        <w:t>Major opportunities</w:t>
      </w:r>
      <w:r w:rsidRPr="001A1443">
        <w:t xml:space="preserve"> (only some require new waiver authority)</w:t>
      </w:r>
    </w:p>
    <w:p w14:paraId="6978DAE2" w14:textId="77777777" w:rsidR="001A1443" w:rsidRPr="002C1CE1" w:rsidRDefault="001A1443" w:rsidP="00FA1036">
      <w:pPr>
        <w:numPr>
          <w:ilvl w:val="0"/>
          <w:numId w:val="22"/>
        </w:numPr>
        <w:spacing w:after="60"/>
        <w:rPr>
          <w:b/>
          <w:bCs/>
          <w:color w:val="002060"/>
        </w:rPr>
      </w:pPr>
      <w:r w:rsidRPr="002C1CE1">
        <w:rPr>
          <w:b/>
          <w:bCs/>
          <w:color w:val="002060"/>
        </w:rPr>
        <w:t>Delivery system reform can go further:</w:t>
      </w:r>
    </w:p>
    <w:p w14:paraId="5C721207" w14:textId="77777777" w:rsidR="001A1443" w:rsidRDefault="001A1443" w:rsidP="00372746">
      <w:pPr>
        <w:numPr>
          <w:ilvl w:val="2"/>
          <w:numId w:val="23"/>
        </w:numPr>
        <w:spacing w:after="60"/>
      </w:pPr>
      <w:r w:rsidRPr="001A1443">
        <w:t xml:space="preserve">PCPs within ACOs are mostly still </w:t>
      </w:r>
      <w:r w:rsidRPr="002C1CE1">
        <w:rPr>
          <w:b/>
          <w:bCs/>
          <w:color w:val="002060"/>
        </w:rPr>
        <w:t>reimbursed fee-for-service,</w:t>
      </w:r>
      <w:r w:rsidRPr="001A1443">
        <w:t xml:space="preserve"> not funded for team-based, integrated care</w:t>
      </w:r>
    </w:p>
    <w:p w14:paraId="1F2A6F09" w14:textId="77777777" w:rsidR="001A1443" w:rsidRDefault="001A1443" w:rsidP="00372746">
      <w:pPr>
        <w:numPr>
          <w:ilvl w:val="2"/>
          <w:numId w:val="23"/>
        </w:numPr>
        <w:spacing w:after="60"/>
      </w:pPr>
      <w:r w:rsidRPr="001A1443">
        <w:t>Certain</w:t>
      </w:r>
      <w:r w:rsidRPr="001A1443">
        <w:rPr>
          <w:color w:val="FF0000"/>
        </w:rPr>
        <w:t xml:space="preserve"> </w:t>
      </w:r>
      <w:r w:rsidRPr="002C1CE1">
        <w:rPr>
          <w:b/>
          <w:bCs/>
          <w:color w:val="002060"/>
        </w:rPr>
        <w:t>behavioral health services and delivery models</w:t>
      </w:r>
      <w:r w:rsidRPr="001A1443">
        <w:t xml:space="preserve"> require significant investment and reform </w:t>
      </w:r>
    </w:p>
    <w:p w14:paraId="39F2739A" w14:textId="77777777" w:rsidR="001A1443" w:rsidRDefault="001A1443" w:rsidP="00372746">
      <w:pPr>
        <w:numPr>
          <w:ilvl w:val="2"/>
          <w:numId w:val="23"/>
        </w:numPr>
        <w:spacing w:after="60"/>
      </w:pPr>
      <w:r w:rsidRPr="001A1443">
        <w:t xml:space="preserve">Elements of the program need to be </w:t>
      </w:r>
      <w:r w:rsidRPr="002C1CE1">
        <w:rPr>
          <w:b/>
          <w:bCs/>
          <w:color w:val="002060"/>
        </w:rPr>
        <w:t>standardized &amp; simplified</w:t>
      </w:r>
    </w:p>
    <w:p w14:paraId="2549B1CA" w14:textId="77777777" w:rsidR="001A1443" w:rsidRDefault="001A1443" w:rsidP="00372746">
      <w:pPr>
        <w:numPr>
          <w:ilvl w:val="2"/>
          <w:numId w:val="23"/>
        </w:numPr>
        <w:spacing w:after="60"/>
      </w:pPr>
      <w:r w:rsidRPr="001A1443">
        <w:t xml:space="preserve">The unique needs of </w:t>
      </w:r>
      <w:r w:rsidRPr="002C1CE1">
        <w:rPr>
          <w:b/>
          <w:bCs/>
          <w:color w:val="002060"/>
        </w:rPr>
        <w:t>children, youth, and families</w:t>
      </w:r>
      <w:r w:rsidRPr="001A1443">
        <w:t xml:space="preserve"> require further focused attention</w:t>
      </w:r>
    </w:p>
    <w:p w14:paraId="173659DE" w14:textId="77777777" w:rsidR="001A1443" w:rsidRDefault="001A1443" w:rsidP="002C1CE1">
      <w:pPr>
        <w:numPr>
          <w:ilvl w:val="0"/>
          <w:numId w:val="23"/>
        </w:numPr>
        <w:spacing w:after="60"/>
      </w:pPr>
      <w:r w:rsidRPr="002C1CE1">
        <w:rPr>
          <w:b/>
          <w:bCs/>
          <w:color w:val="002060"/>
        </w:rPr>
        <w:t>Health inequities and disparities</w:t>
      </w:r>
      <w:r w:rsidRPr="001A1443">
        <w:rPr>
          <w:b/>
          <w:bCs/>
        </w:rPr>
        <w:t xml:space="preserve"> </w:t>
      </w:r>
      <w:r w:rsidRPr="001A1443">
        <w:t>highlight long-standing, systemic racism that further reforms and MassHealth work must address, including:</w:t>
      </w:r>
    </w:p>
    <w:p w14:paraId="1B225811" w14:textId="77777777" w:rsidR="001A1443" w:rsidRDefault="001A1443" w:rsidP="002C1CE1">
      <w:pPr>
        <w:numPr>
          <w:ilvl w:val="2"/>
          <w:numId w:val="23"/>
        </w:numPr>
        <w:spacing w:after="60"/>
      </w:pPr>
      <w:r w:rsidRPr="001A1443">
        <w:t>Black MassHealth members’ maternal morbidity rate is &gt;1.8x higher than white members </w:t>
      </w:r>
    </w:p>
    <w:p w14:paraId="0F99436B" w14:textId="77777777" w:rsidR="001A1443" w:rsidRDefault="001A1443" w:rsidP="002C1CE1">
      <w:pPr>
        <w:numPr>
          <w:ilvl w:val="2"/>
          <w:numId w:val="23"/>
        </w:numPr>
        <w:spacing w:after="120"/>
      </w:pPr>
      <w:r w:rsidRPr="001A1443">
        <w:t>Hispanic and non-Hispanic Black MA residents have asthma hospitalization rates 3.5x higher than non-Hispanic White residents</w:t>
      </w:r>
    </w:p>
    <w:p w14:paraId="02D303F9" w14:textId="780A966B" w:rsidR="00BC2B17" w:rsidRPr="002C2662" w:rsidRDefault="002C2662" w:rsidP="001A6DF7">
      <w:pPr>
        <w:pStyle w:val="Heading2"/>
      </w:pPr>
      <w:r w:rsidRPr="002C2662">
        <w:t>M</w:t>
      </w:r>
      <w:r w:rsidR="00BC2B17" w:rsidRPr="002C2662">
        <w:t>assHealth’s 2022 Demonstration extension: Goals</w:t>
      </w:r>
    </w:p>
    <w:p w14:paraId="744C26EB" w14:textId="77777777" w:rsidR="001A1443" w:rsidRPr="002C1CE1" w:rsidRDefault="001A1443" w:rsidP="002C2662">
      <w:pPr>
        <w:pStyle w:val="Heading3"/>
        <w:rPr>
          <w:i/>
          <w:iCs/>
        </w:rPr>
      </w:pPr>
      <w:r w:rsidRPr="002C1CE1">
        <w:rPr>
          <w:i/>
          <w:iCs/>
        </w:rPr>
        <w:t xml:space="preserve">MassHealth has identified five goals for the next 1115 demonstration: </w:t>
      </w:r>
    </w:p>
    <w:p w14:paraId="287DFFCF" w14:textId="77777777" w:rsidR="00BC2B17" w:rsidRPr="001A1443" w:rsidRDefault="001A1443" w:rsidP="001A1443">
      <w:pPr>
        <w:numPr>
          <w:ilvl w:val="0"/>
          <w:numId w:val="5"/>
        </w:numPr>
      </w:pPr>
      <w:r w:rsidRPr="002C1CE1">
        <w:rPr>
          <w:b/>
          <w:bCs/>
          <w:color w:val="002060"/>
        </w:rPr>
        <w:t>Continue the path of restructuring and reaffirm accountable, value-based care</w:t>
      </w:r>
      <w:r w:rsidRPr="001A1443">
        <w:rPr>
          <w:b/>
          <w:bCs/>
        </w:rPr>
        <w:t xml:space="preserve"> </w:t>
      </w:r>
      <w:r w:rsidR="00BC2B17" w:rsidRPr="001A1443">
        <w:t xml:space="preserve">– </w:t>
      </w:r>
      <w:r w:rsidRPr="001A1443">
        <w:t xml:space="preserve">increasing expectations for how ACOs improve care and trend management, and refining the model </w:t>
      </w:r>
    </w:p>
    <w:p w14:paraId="04CB6B1D" w14:textId="77777777" w:rsidR="00BC2B17" w:rsidRPr="001A1443" w:rsidRDefault="00BC2B17" w:rsidP="001A1443">
      <w:pPr>
        <w:numPr>
          <w:ilvl w:val="0"/>
          <w:numId w:val="5"/>
        </w:numPr>
      </w:pPr>
      <w:r w:rsidRPr="001A1443">
        <w:t xml:space="preserve">Make reforms and investments in </w:t>
      </w:r>
      <w:r w:rsidR="001A1443" w:rsidRPr="002C1CE1">
        <w:rPr>
          <w:b/>
          <w:bCs/>
          <w:color w:val="002060"/>
        </w:rPr>
        <w:t>primary care, behavioral health, and pediatric care</w:t>
      </w:r>
      <w:r w:rsidR="001A1443" w:rsidRPr="001A1443">
        <w:rPr>
          <w:b/>
          <w:bCs/>
        </w:rPr>
        <w:t xml:space="preserve"> </w:t>
      </w:r>
      <w:r w:rsidRPr="001A1443">
        <w:t>that expand access and move the delivery system away from siloed, fee-for-service health care</w:t>
      </w:r>
    </w:p>
    <w:p w14:paraId="0AD8F2E2" w14:textId="77777777" w:rsidR="00BC2B17" w:rsidRPr="001A1443" w:rsidRDefault="001A1443" w:rsidP="001A1443">
      <w:pPr>
        <w:numPr>
          <w:ilvl w:val="0"/>
          <w:numId w:val="5"/>
        </w:numPr>
      </w:pPr>
      <w:r w:rsidRPr="002C1CE1">
        <w:rPr>
          <w:b/>
          <w:bCs/>
          <w:color w:val="002060"/>
        </w:rPr>
        <w:t>Advance health equity</w:t>
      </w:r>
      <w:r w:rsidR="00BC2B17" w:rsidRPr="002C1CE1">
        <w:rPr>
          <w:b/>
          <w:bCs/>
          <w:color w:val="002060"/>
        </w:rPr>
        <w:t>,</w:t>
      </w:r>
      <w:r w:rsidR="00BC2B17" w:rsidRPr="001A1443">
        <w:rPr>
          <w:b/>
          <w:bCs/>
        </w:rPr>
        <w:t xml:space="preserve"> </w:t>
      </w:r>
      <w:r w:rsidR="00BC2B17" w:rsidRPr="001A1443">
        <w:t xml:space="preserve">with a focus on initiatives </w:t>
      </w:r>
      <w:r w:rsidRPr="002C1CE1">
        <w:rPr>
          <w:b/>
          <w:bCs/>
          <w:color w:val="002060"/>
        </w:rPr>
        <w:t>addressing health-related social needs</w:t>
      </w:r>
      <w:r w:rsidRPr="001A1443">
        <w:rPr>
          <w:b/>
          <w:bCs/>
        </w:rPr>
        <w:t xml:space="preserve"> </w:t>
      </w:r>
      <w:r w:rsidR="00BC2B17" w:rsidRPr="001A1443">
        <w:t xml:space="preserve">and specific disparities, including </w:t>
      </w:r>
      <w:r w:rsidRPr="001A1443">
        <w:rPr>
          <w:b/>
          <w:bCs/>
        </w:rPr>
        <w:t>maternal health</w:t>
      </w:r>
      <w:r w:rsidR="00BC2B17" w:rsidRPr="001A1443">
        <w:rPr>
          <w:b/>
          <w:bCs/>
        </w:rPr>
        <w:t xml:space="preserve"> </w:t>
      </w:r>
      <w:r w:rsidR="00BC2B17" w:rsidRPr="001A1443">
        <w:t xml:space="preserve">and health care for </w:t>
      </w:r>
      <w:r w:rsidRPr="001A1443">
        <w:rPr>
          <w:b/>
          <w:bCs/>
        </w:rPr>
        <w:t>justice-involved</w:t>
      </w:r>
      <w:r w:rsidR="00BC2B17" w:rsidRPr="001A1443">
        <w:t xml:space="preserve"> individuals </w:t>
      </w:r>
    </w:p>
    <w:p w14:paraId="3FEA762F" w14:textId="77777777" w:rsidR="00BC2B17" w:rsidRPr="001A1443" w:rsidRDefault="001A1443" w:rsidP="001A1443">
      <w:pPr>
        <w:numPr>
          <w:ilvl w:val="0"/>
          <w:numId w:val="5"/>
        </w:numPr>
      </w:pPr>
      <w:r w:rsidRPr="002C1CE1">
        <w:rPr>
          <w:b/>
          <w:bCs/>
          <w:color w:val="002060"/>
        </w:rPr>
        <w:t>Sustainably supports the Commonwealth’s safety net,</w:t>
      </w:r>
      <w:r w:rsidRPr="001A1443">
        <w:t xml:space="preserve"> including level, predictable funding for safety net providers, with a continued linkage to accountable care </w:t>
      </w:r>
    </w:p>
    <w:p w14:paraId="20C4B7C0" w14:textId="793DC33D" w:rsidR="00BC2B17" w:rsidRDefault="001A1443" w:rsidP="001A1443">
      <w:pPr>
        <w:numPr>
          <w:ilvl w:val="0"/>
          <w:numId w:val="5"/>
        </w:numPr>
      </w:pPr>
      <w:r w:rsidRPr="002C1CE1">
        <w:rPr>
          <w:b/>
          <w:bCs/>
          <w:color w:val="002060"/>
        </w:rPr>
        <w:lastRenderedPageBreak/>
        <w:t>Maintains near-universal coverage,</w:t>
      </w:r>
      <w:r w:rsidRPr="001A1443">
        <w:rPr>
          <w:b/>
          <w:bCs/>
        </w:rPr>
        <w:t xml:space="preserve"> </w:t>
      </w:r>
      <w:r w:rsidRPr="001A1443">
        <w:t>making updates to eligibility policies to support coverage and equity</w:t>
      </w:r>
    </w:p>
    <w:p w14:paraId="00D3A90E" w14:textId="3882C226" w:rsidR="002E1ECB" w:rsidRDefault="002E1ECB" w:rsidP="002E1ECB">
      <w:pPr>
        <w:pStyle w:val="Heading2"/>
      </w:pPr>
      <w:r>
        <w:t>1115 Extension Strategies</w:t>
      </w:r>
    </w:p>
    <w:p w14:paraId="4A729A3C" w14:textId="77777777" w:rsidR="00B86CF5" w:rsidRPr="00B86CF5" w:rsidRDefault="00B86CF5" w:rsidP="00B86CF5">
      <w:pPr>
        <w:pStyle w:val="Heading3"/>
        <w:spacing w:after="120"/>
      </w:pPr>
      <w:proofErr w:type="spellStart"/>
      <w:r w:rsidRPr="00B86CF5">
        <w:t>MassHealth’s</w:t>
      </w:r>
      <w:proofErr w:type="spellEnd"/>
      <w:r w:rsidRPr="00B86CF5">
        <w:t xml:space="preserve"> 1115 extension is critical to achieving the Commonwealth’s goals, through the following strategies:</w:t>
      </w:r>
    </w:p>
    <w:tbl>
      <w:tblPr>
        <w:tblStyle w:val="TableGrid"/>
        <w:tblW w:w="0" w:type="auto"/>
        <w:tblLook w:val="04A0" w:firstRow="1" w:lastRow="0" w:firstColumn="1" w:lastColumn="0" w:noHBand="0" w:noVBand="1"/>
        <w:tblDescription w:val="MassHealth’s 1115 extension is critical to achieving the Commonwealth’s goals, through the following strategies:"/>
      </w:tblPr>
      <w:tblGrid>
        <w:gridCol w:w="4675"/>
        <w:gridCol w:w="4675"/>
      </w:tblGrid>
      <w:tr w:rsidR="009C54D6" w14:paraId="3A859F05" w14:textId="77777777" w:rsidTr="009C54D6">
        <w:trPr>
          <w:tblHeader/>
        </w:trPr>
        <w:tc>
          <w:tcPr>
            <w:tcW w:w="4675" w:type="dxa"/>
          </w:tcPr>
          <w:p w14:paraId="339EF0C7" w14:textId="35932F58" w:rsidR="009C54D6" w:rsidRPr="00B86CF5" w:rsidRDefault="009C54D6" w:rsidP="00B86CF5">
            <w:pPr>
              <w:rPr>
                <w:b/>
                <w:bCs/>
              </w:rPr>
            </w:pPr>
            <w:r>
              <w:rPr>
                <w:b/>
                <w:bCs/>
              </w:rPr>
              <w:t>Goal</w:t>
            </w:r>
          </w:p>
        </w:tc>
        <w:tc>
          <w:tcPr>
            <w:tcW w:w="4675" w:type="dxa"/>
          </w:tcPr>
          <w:p w14:paraId="7387C460" w14:textId="51A4C186" w:rsidR="009C54D6" w:rsidRPr="009C54D6" w:rsidRDefault="009C54D6" w:rsidP="009C54D6">
            <w:pPr>
              <w:rPr>
                <w:b/>
              </w:rPr>
            </w:pPr>
            <w:r w:rsidRPr="009C54D6">
              <w:rPr>
                <w:b/>
              </w:rPr>
              <w:t>Strategy</w:t>
            </w:r>
          </w:p>
        </w:tc>
      </w:tr>
      <w:tr w:rsidR="00B86CF5" w14:paraId="00F42210" w14:textId="77777777" w:rsidTr="00B86CF5">
        <w:tc>
          <w:tcPr>
            <w:tcW w:w="4675" w:type="dxa"/>
          </w:tcPr>
          <w:p w14:paraId="43BA0313" w14:textId="24DFFA70" w:rsidR="00B86CF5" w:rsidRPr="00B86CF5" w:rsidRDefault="00B86CF5" w:rsidP="00B86CF5">
            <w:pPr>
              <w:rPr>
                <w:b/>
                <w:bCs/>
              </w:rPr>
            </w:pPr>
            <w:r w:rsidRPr="00B86CF5">
              <w:rPr>
                <w:b/>
                <w:bCs/>
              </w:rPr>
              <w:t>Continue the path of restructuring and reaffirm accountable, value-based care</w:t>
            </w:r>
          </w:p>
        </w:tc>
        <w:tc>
          <w:tcPr>
            <w:tcW w:w="4675" w:type="dxa"/>
          </w:tcPr>
          <w:p w14:paraId="2EF8CAE4" w14:textId="77777777" w:rsidR="00B86CF5" w:rsidRPr="00B86CF5" w:rsidRDefault="00B86CF5" w:rsidP="00B86CF5">
            <w:pPr>
              <w:numPr>
                <w:ilvl w:val="0"/>
                <w:numId w:val="24"/>
              </w:numPr>
            </w:pPr>
            <w:r w:rsidRPr="00B86CF5">
              <w:t xml:space="preserve">Re-procure and refine the ACO program, maintaining the same core pillars and requirements, holding ACOs accountable for high quality care, while implementing improvements based on lessons learned. </w:t>
            </w:r>
          </w:p>
          <w:p w14:paraId="198C5BBB" w14:textId="77777777" w:rsidR="00B86CF5" w:rsidRPr="00B86CF5" w:rsidRDefault="00B86CF5" w:rsidP="00B86CF5">
            <w:pPr>
              <w:numPr>
                <w:ilvl w:val="0"/>
                <w:numId w:val="24"/>
              </w:numPr>
            </w:pPr>
            <w:r w:rsidRPr="00B86CF5">
              <w:t>Re-procure the Behavioral Health and Long-Term Services and Supports Community Partners (CP) program, while transitioning the program to sustainable financing and a more accountable structure.</w:t>
            </w:r>
          </w:p>
          <w:p w14:paraId="38A7D2AD" w14:textId="77777777" w:rsidR="00B86CF5" w:rsidRPr="00B86CF5" w:rsidRDefault="00B86CF5" w:rsidP="00B86CF5">
            <w:pPr>
              <w:numPr>
                <w:ilvl w:val="0"/>
                <w:numId w:val="24"/>
              </w:numPr>
            </w:pPr>
            <w:r w:rsidRPr="00B86CF5">
              <w:t>Scale successful programs by transitioning ~80% of DSRIP funding to ongoing base funding for whole person primary care and care coordination (e.g., supports for members with disabilities, embedded community health workers &amp; peers in primary care, CP program).</w:t>
            </w:r>
          </w:p>
          <w:p w14:paraId="194A041A" w14:textId="77777777" w:rsidR="00B86CF5" w:rsidRPr="00B86CF5" w:rsidRDefault="00B86CF5" w:rsidP="00B86CF5">
            <w:pPr>
              <w:numPr>
                <w:ilvl w:val="0"/>
                <w:numId w:val="24"/>
              </w:numPr>
            </w:pPr>
            <w:r w:rsidRPr="00B86CF5">
              <w:t>Streamline MassHealth programs to improve navigation for members and providers, including improvements to the administration of the behavioral health benefit; ensuring members have a single accountable care coordination home; and simplifying and standardizing pharmacy services</w:t>
            </w:r>
          </w:p>
          <w:p w14:paraId="478C1756" w14:textId="77777777" w:rsidR="00B86CF5" w:rsidRPr="00B86CF5" w:rsidRDefault="00B86CF5" w:rsidP="00B86CF5">
            <w:pPr>
              <w:numPr>
                <w:ilvl w:val="0"/>
                <w:numId w:val="24"/>
              </w:numPr>
            </w:pPr>
            <w:r w:rsidRPr="00B86CF5">
              <w:t>Expand the Community Supports Program (CSP, CSP-CHI [formerly known as CSPECH]) benefits to further support members with behavioral health needs who are experiencing or at risk of homelessness.</w:t>
            </w:r>
          </w:p>
          <w:p w14:paraId="5214BF1A" w14:textId="7EF7FC9D" w:rsidR="00B86CF5" w:rsidRDefault="00B86CF5" w:rsidP="00B86CF5">
            <w:pPr>
              <w:numPr>
                <w:ilvl w:val="0"/>
                <w:numId w:val="24"/>
              </w:numPr>
            </w:pPr>
            <w:r w:rsidRPr="00B86CF5">
              <w:t>Continue and enhance the Flexible Services Program to provide evidence-based supports for members with nutritional and housing supports needs.</w:t>
            </w:r>
          </w:p>
        </w:tc>
      </w:tr>
      <w:tr w:rsidR="00B86CF5" w14:paraId="3A0109EB" w14:textId="77777777" w:rsidTr="00B86CF5">
        <w:tc>
          <w:tcPr>
            <w:tcW w:w="4675" w:type="dxa"/>
          </w:tcPr>
          <w:p w14:paraId="30CB7C95" w14:textId="4DAE50D5" w:rsidR="00B86CF5" w:rsidRDefault="00B86CF5" w:rsidP="00B86CF5">
            <w:r w:rsidRPr="00B86CF5">
              <w:rPr>
                <w:b/>
                <w:bCs/>
              </w:rPr>
              <w:t>Make reforms and investments in primary care, behavioral health and pediatric care</w:t>
            </w:r>
          </w:p>
        </w:tc>
        <w:tc>
          <w:tcPr>
            <w:tcW w:w="4675" w:type="dxa"/>
          </w:tcPr>
          <w:p w14:paraId="30BCDC9A" w14:textId="77777777" w:rsidR="00B86CF5" w:rsidRPr="00B86CF5" w:rsidRDefault="00B86CF5" w:rsidP="00B86CF5">
            <w:pPr>
              <w:numPr>
                <w:ilvl w:val="0"/>
                <w:numId w:val="26"/>
              </w:numPr>
            </w:pPr>
            <w:r w:rsidRPr="00B86CF5">
              <w:t xml:space="preserve">Invest $115M per year in primary care through a new payment model that supports enhanced care delivery </w:t>
            </w:r>
            <w:r w:rsidRPr="00B86CF5">
              <w:lastRenderedPageBreak/>
              <w:t>expectations (e.g., behavioral health integration) and more flexibility.</w:t>
            </w:r>
          </w:p>
          <w:p w14:paraId="5867C52E" w14:textId="77777777" w:rsidR="00B86CF5" w:rsidRPr="00B86CF5" w:rsidRDefault="00B86CF5" w:rsidP="00B86CF5">
            <w:pPr>
              <w:numPr>
                <w:ilvl w:val="0"/>
                <w:numId w:val="26"/>
              </w:numPr>
            </w:pPr>
            <w:r w:rsidRPr="00B86CF5">
              <w:t xml:space="preserve">Invest $200M+ per year in expanding behavioral health access and integration as part of the </w:t>
            </w:r>
            <w:r w:rsidRPr="00B86CF5">
              <w:rPr>
                <w:i/>
                <w:iCs/>
              </w:rPr>
              <w:t xml:space="preserve">Roadmap for Behavioral Health Reform </w:t>
            </w:r>
            <w:r w:rsidRPr="00B86CF5">
              <w:t>(e.g., behavioral health urgent care, 24-7 mobile crisis intervention, newly designated Community Behavioral Health Centers).</w:t>
            </w:r>
          </w:p>
          <w:p w14:paraId="20044942" w14:textId="77777777" w:rsidR="00B86CF5" w:rsidRPr="00B86CF5" w:rsidRDefault="00B86CF5" w:rsidP="00B86CF5">
            <w:pPr>
              <w:numPr>
                <w:ilvl w:val="0"/>
                <w:numId w:val="26"/>
              </w:numPr>
            </w:pPr>
            <w:r w:rsidRPr="00B86CF5">
              <w:t>Improve behavioral health workforce capacity and diversity by expanding coverage for peers for both mental health and substance use disorder, and offer clinician recruitment &amp; retention opportunities (e.g., loan repayment).</w:t>
            </w:r>
          </w:p>
          <w:p w14:paraId="5F7B30C2" w14:textId="77777777" w:rsidR="00B86CF5" w:rsidRPr="00B86CF5" w:rsidRDefault="00B86CF5" w:rsidP="00B86CF5">
            <w:pPr>
              <w:numPr>
                <w:ilvl w:val="0"/>
                <w:numId w:val="26"/>
              </w:numPr>
            </w:pPr>
            <w:r w:rsidRPr="00B86CF5">
              <w:t>Expand coverage for diversionary behavioral health services (e.g., Community Support Program, Structured Outpatient Addiction Program) to members in MassHealth fee-for-service (e.g., Duals)</w:t>
            </w:r>
          </w:p>
          <w:p w14:paraId="09771F86" w14:textId="00050EDB" w:rsidR="00B86CF5" w:rsidRDefault="00B86CF5" w:rsidP="00B86CF5">
            <w:pPr>
              <w:numPr>
                <w:ilvl w:val="0"/>
                <w:numId w:val="26"/>
              </w:numPr>
            </w:pPr>
            <w:r w:rsidRPr="00B86CF5">
              <w:t>Implement enhanced clarity, expectations, and investments in care coordination for children. Tailor Flexible Services to better address the unique needs of families.</w:t>
            </w:r>
          </w:p>
        </w:tc>
      </w:tr>
      <w:tr w:rsidR="00B86CF5" w14:paraId="64751819" w14:textId="77777777" w:rsidTr="00B86CF5">
        <w:tc>
          <w:tcPr>
            <w:tcW w:w="4675" w:type="dxa"/>
          </w:tcPr>
          <w:p w14:paraId="54E66156" w14:textId="65338999" w:rsidR="00B86CF5" w:rsidRDefault="00B86CF5" w:rsidP="00B86CF5">
            <w:r w:rsidRPr="00B86CF5">
              <w:rPr>
                <w:b/>
                <w:bCs/>
              </w:rPr>
              <w:lastRenderedPageBreak/>
              <w:t>Advance health equity, with a focus on health-related social needs, maternal health, and justice-involved populations</w:t>
            </w:r>
          </w:p>
        </w:tc>
        <w:tc>
          <w:tcPr>
            <w:tcW w:w="4675" w:type="dxa"/>
          </w:tcPr>
          <w:p w14:paraId="2F2F3322" w14:textId="77777777" w:rsidR="00B86CF5" w:rsidRPr="00B86CF5" w:rsidRDefault="00B86CF5" w:rsidP="00B86CF5">
            <w:pPr>
              <w:numPr>
                <w:ilvl w:val="0"/>
                <w:numId w:val="27"/>
              </w:numPr>
            </w:pPr>
            <w:r w:rsidRPr="00B86CF5">
              <w:t xml:space="preserve">Launch $500M initiative over 5 years for ACO-participating hospitals that make demonstrated progress in reducing health care disparities. </w:t>
            </w:r>
          </w:p>
          <w:p w14:paraId="40C967F5" w14:textId="77777777" w:rsidR="00B86CF5" w:rsidRPr="00B86CF5" w:rsidRDefault="00B86CF5" w:rsidP="00B86CF5">
            <w:pPr>
              <w:numPr>
                <w:ilvl w:val="0"/>
                <w:numId w:val="27"/>
              </w:numPr>
            </w:pPr>
            <w:r w:rsidRPr="00B86CF5">
              <w:t>Hold ACOs accountable for health equity measures (e.g., preventative dental care, maternal health), including stratification by race, ethnicity, language, disability status, sexual orientation, and gender identity.</w:t>
            </w:r>
          </w:p>
          <w:p w14:paraId="09A5FC39" w14:textId="77777777" w:rsidR="00B86CF5" w:rsidRPr="00B86CF5" w:rsidRDefault="00B86CF5" w:rsidP="00B86CF5">
            <w:pPr>
              <w:numPr>
                <w:ilvl w:val="0"/>
                <w:numId w:val="27"/>
              </w:numPr>
            </w:pPr>
            <w:r w:rsidRPr="00B86CF5">
              <w:t>Provide MassHealth coverage for eligible individuals in jails and prisons and transition supports to improve health outcomes for justice-involved population pre/post release.</w:t>
            </w:r>
          </w:p>
          <w:p w14:paraId="3FC9BE7F" w14:textId="77777777" w:rsidR="00B86CF5" w:rsidRPr="00B86CF5" w:rsidRDefault="00B86CF5" w:rsidP="00B86CF5">
            <w:pPr>
              <w:numPr>
                <w:ilvl w:val="0"/>
                <w:numId w:val="27"/>
              </w:numPr>
            </w:pPr>
            <w:r w:rsidRPr="00B86CF5">
              <w:t>Address racial and ethnic disparities in maternal health: 12-month postpartum eligibility regardless of immigration status, doula coverage, and increased supports for high-risk pregnancies.</w:t>
            </w:r>
          </w:p>
          <w:p w14:paraId="399DD2EC" w14:textId="77777777" w:rsidR="00B86CF5" w:rsidRPr="00B86CF5" w:rsidRDefault="00B86CF5" w:rsidP="00B86CF5">
            <w:pPr>
              <w:numPr>
                <w:ilvl w:val="0"/>
                <w:numId w:val="27"/>
              </w:numPr>
            </w:pPr>
            <w:r w:rsidRPr="00B86CF5">
              <w:lastRenderedPageBreak/>
              <w:t xml:space="preserve">Strengthen coverage and care for members with disabilities: streamline access to CommonHealth, require collection and reporting of quality measures stratified by disability, and improve the LTSS CP program. </w:t>
            </w:r>
          </w:p>
          <w:p w14:paraId="2531040C" w14:textId="2DB698ED" w:rsidR="00B86CF5" w:rsidRDefault="00B86CF5" w:rsidP="00B86CF5">
            <w:pPr>
              <w:numPr>
                <w:ilvl w:val="0"/>
                <w:numId w:val="27"/>
              </w:numPr>
            </w:pPr>
            <w:r w:rsidRPr="00B86CF5">
              <w:t>Continue and refine first-of-its kind risk-adjustment approach for ACO rates that accounts for both medical and social needs.</w:t>
            </w:r>
          </w:p>
        </w:tc>
      </w:tr>
      <w:tr w:rsidR="00B86CF5" w14:paraId="689ED0FE" w14:textId="77777777" w:rsidTr="00B86CF5">
        <w:tc>
          <w:tcPr>
            <w:tcW w:w="4675" w:type="dxa"/>
          </w:tcPr>
          <w:p w14:paraId="0D664635" w14:textId="77777777" w:rsidR="00B86CF5" w:rsidRPr="00B86CF5" w:rsidRDefault="00B86CF5" w:rsidP="00B86CF5">
            <w:r w:rsidRPr="00B86CF5">
              <w:rPr>
                <w:b/>
                <w:bCs/>
              </w:rPr>
              <w:lastRenderedPageBreak/>
              <w:t>Sustainably support the Commonwealth’s safety net, including level, predictable funding</w:t>
            </w:r>
          </w:p>
          <w:p w14:paraId="7B2A6BD1" w14:textId="7BF41281" w:rsidR="00B86CF5" w:rsidRDefault="00B86CF5" w:rsidP="00B86CF5">
            <w:r w:rsidRPr="00B86CF5">
              <w:rPr>
                <w:b/>
                <w:bCs/>
              </w:rPr>
              <w:t>for safety net providers, with a continued linkage to accountable care</w:t>
            </w:r>
          </w:p>
        </w:tc>
        <w:tc>
          <w:tcPr>
            <w:tcW w:w="4675" w:type="dxa"/>
          </w:tcPr>
          <w:p w14:paraId="081C7099" w14:textId="77777777" w:rsidR="00B86CF5" w:rsidRPr="00B86CF5" w:rsidRDefault="00B86CF5" w:rsidP="00B86CF5">
            <w:pPr>
              <w:numPr>
                <w:ilvl w:val="0"/>
                <w:numId w:val="28"/>
              </w:numPr>
            </w:pPr>
            <w:r w:rsidRPr="00B86CF5">
              <w:t>Extend Safety Net Provider Payments, and tie new funding for safety net hospitals to health equity</w:t>
            </w:r>
          </w:p>
          <w:p w14:paraId="461865BD" w14:textId="77777777" w:rsidR="00B86CF5" w:rsidRPr="00B86CF5" w:rsidRDefault="00B86CF5" w:rsidP="00B86CF5">
            <w:pPr>
              <w:numPr>
                <w:ilvl w:val="0"/>
                <w:numId w:val="28"/>
              </w:numPr>
            </w:pPr>
            <w:r w:rsidRPr="00B86CF5">
              <w:t>Preserve $153M Safety Net Provider funding for current Group 1 hospitals while expanding Group 2 funding from $20M to $40M, with eligibility for nine additional hospitals.</w:t>
            </w:r>
          </w:p>
          <w:p w14:paraId="3103DA6E" w14:textId="77777777" w:rsidR="00B86CF5" w:rsidRPr="00B86CF5" w:rsidRDefault="00B86CF5" w:rsidP="00B86CF5">
            <w:pPr>
              <w:numPr>
                <w:ilvl w:val="0"/>
                <w:numId w:val="28"/>
              </w:numPr>
            </w:pPr>
            <w:r w:rsidRPr="00B86CF5">
              <w:t>Most of the $100M+ annually in health equity incentives targeted toward ACO-participating, safety net hospitals</w:t>
            </w:r>
          </w:p>
          <w:p w14:paraId="7BDF6E79" w14:textId="77777777" w:rsidR="00B86CF5" w:rsidRPr="00B86CF5" w:rsidRDefault="00B86CF5" w:rsidP="00B86CF5">
            <w:pPr>
              <w:numPr>
                <w:ilvl w:val="0"/>
                <w:numId w:val="28"/>
              </w:numPr>
            </w:pPr>
            <w:r w:rsidRPr="00B86CF5">
              <w:t>Preserve other long-time funding for the Commonwealth’s safety net (e.g., the Health Safety Net)</w:t>
            </w:r>
          </w:p>
          <w:p w14:paraId="257730FB" w14:textId="0C5ACEA9" w:rsidR="00B86CF5" w:rsidRDefault="00B86CF5" w:rsidP="00B86CF5">
            <w:pPr>
              <w:numPr>
                <w:ilvl w:val="0"/>
                <w:numId w:val="28"/>
              </w:numPr>
            </w:pPr>
            <w:r w:rsidRPr="00B86CF5">
              <w:t>Funding supported by extended hospital assessment; MassHealth will continue to work through the details of its safety net financing with stakeholders in advance of formal waiver submission</w:t>
            </w:r>
          </w:p>
        </w:tc>
      </w:tr>
      <w:tr w:rsidR="00B86CF5" w14:paraId="7585B4FD" w14:textId="77777777" w:rsidTr="00B86CF5">
        <w:tc>
          <w:tcPr>
            <w:tcW w:w="4675" w:type="dxa"/>
          </w:tcPr>
          <w:p w14:paraId="77128D48" w14:textId="77777777" w:rsidR="00B86CF5" w:rsidRPr="00B86CF5" w:rsidRDefault="00B86CF5" w:rsidP="00B86CF5">
            <w:pPr>
              <w:rPr>
                <w:b/>
                <w:bCs/>
              </w:rPr>
            </w:pPr>
            <w:r w:rsidRPr="00B86CF5">
              <w:rPr>
                <w:b/>
                <w:bCs/>
              </w:rPr>
              <w:t>Maintain near-universal coverage including updates to eligibility policies to support</w:t>
            </w:r>
          </w:p>
          <w:p w14:paraId="2098287F" w14:textId="02FF02CA" w:rsidR="00B86CF5" w:rsidRPr="00B86CF5" w:rsidRDefault="00B86CF5" w:rsidP="00B86CF5">
            <w:pPr>
              <w:rPr>
                <w:b/>
                <w:bCs/>
              </w:rPr>
            </w:pPr>
            <w:r w:rsidRPr="00B86CF5">
              <w:rPr>
                <w:b/>
                <w:bCs/>
              </w:rPr>
              <w:t>coverage and equity</w:t>
            </w:r>
          </w:p>
        </w:tc>
        <w:tc>
          <w:tcPr>
            <w:tcW w:w="4675" w:type="dxa"/>
          </w:tcPr>
          <w:p w14:paraId="55C4A076" w14:textId="77777777" w:rsidR="00B86CF5" w:rsidRPr="00B86CF5" w:rsidRDefault="00B86CF5" w:rsidP="00B86CF5">
            <w:pPr>
              <w:numPr>
                <w:ilvl w:val="0"/>
                <w:numId w:val="28"/>
              </w:numPr>
            </w:pPr>
            <w:r w:rsidRPr="00B86CF5">
              <w:t>Maintain current coverage expansions, including state insurance subsidies for the Health Connector for individuals up to 300% of FPL</w:t>
            </w:r>
          </w:p>
          <w:p w14:paraId="734CB0DF" w14:textId="77777777" w:rsidR="00B86CF5" w:rsidRPr="00B86CF5" w:rsidRDefault="00B86CF5" w:rsidP="00B86CF5">
            <w:pPr>
              <w:numPr>
                <w:ilvl w:val="0"/>
                <w:numId w:val="28"/>
              </w:numPr>
            </w:pPr>
            <w:r w:rsidRPr="00B86CF5">
              <w:t>Make targeted updates that expand eligibility to maintain near-universal coverage and advance equity, including:</w:t>
            </w:r>
          </w:p>
          <w:p w14:paraId="602A4B54" w14:textId="77777777" w:rsidR="00B86CF5" w:rsidRPr="00B86CF5" w:rsidRDefault="00B86CF5" w:rsidP="0046621B">
            <w:pPr>
              <w:numPr>
                <w:ilvl w:val="1"/>
                <w:numId w:val="28"/>
              </w:numPr>
            </w:pPr>
            <w:r w:rsidRPr="00B86CF5">
              <w:t xml:space="preserve">Extending postpartum eligibility to 12 months, regardless of immigration status, to support improved maternal health (proposed via 1115 amendment in May 2021) </w:t>
            </w:r>
          </w:p>
          <w:p w14:paraId="5198BA25" w14:textId="77777777" w:rsidR="00B86CF5" w:rsidRPr="00B86CF5" w:rsidRDefault="00B86CF5" w:rsidP="0046621B">
            <w:pPr>
              <w:numPr>
                <w:ilvl w:val="1"/>
                <w:numId w:val="28"/>
              </w:numPr>
            </w:pPr>
            <w:r w:rsidRPr="00B86CF5">
              <w:t>Streamlining access to CommonHealth to cover all disabled adults under age 65 with sliding scale premiums, without a spend-down, and to cover long-</w:t>
            </w:r>
            <w:r w:rsidRPr="00B86CF5">
              <w:lastRenderedPageBreak/>
              <w:t>time CommonHealth members over age 65 when they retire</w:t>
            </w:r>
          </w:p>
          <w:p w14:paraId="6B29F51B" w14:textId="77777777" w:rsidR="00B86CF5" w:rsidRPr="00B86CF5" w:rsidRDefault="00B86CF5" w:rsidP="0046621B">
            <w:pPr>
              <w:numPr>
                <w:ilvl w:val="1"/>
                <w:numId w:val="28"/>
              </w:numPr>
            </w:pPr>
            <w:r w:rsidRPr="00B86CF5">
              <w:t>Extending retroactive eligibility 3 months for pregnant individuals and children</w:t>
            </w:r>
          </w:p>
          <w:p w14:paraId="085665A2" w14:textId="305B9675" w:rsidR="00B86CF5" w:rsidRPr="00B86CF5" w:rsidRDefault="00B86CF5" w:rsidP="0046621B">
            <w:pPr>
              <w:numPr>
                <w:ilvl w:val="1"/>
                <w:numId w:val="28"/>
              </w:numPr>
            </w:pPr>
            <w:r w:rsidRPr="00B86CF5">
              <w:t>Providing continuous eligibility for members who are homeless and for members recently released from jail or prison</w:t>
            </w:r>
          </w:p>
        </w:tc>
      </w:tr>
    </w:tbl>
    <w:p w14:paraId="0B5F0FD6" w14:textId="77777777" w:rsidR="00B86CF5" w:rsidRPr="00B86CF5" w:rsidRDefault="00B86CF5" w:rsidP="00B86CF5"/>
    <w:p w14:paraId="5177ED33" w14:textId="77777777" w:rsidR="002E1ECB" w:rsidRPr="001A1443" w:rsidRDefault="002E1ECB" w:rsidP="002E1ECB">
      <w:pPr>
        <w:ind w:left="360"/>
      </w:pPr>
    </w:p>
    <w:p w14:paraId="35CA0FF3" w14:textId="77777777" w:rsidR="00BC2B17" w:rsidRDefault="00BC2B17" w:rsidP="001A6DF7">
      <w:pPr>
        <w:pStyle w:val="Heading2"/>
      </w:pPr>
      <w:r>
        <w:t xml:space="preserve">Timeline for MassHealth’s 2022 Demonstration Extension </w:t>
      </w:r>
    </w:p>
    <w:p w14:paraId="23D2B6E5" w14:textId="77777777" w:rsidR="001A1443" w:rsidRPr="001A1443" w:rsidRDefault="001A1443" w:rsidP="001A1443">
      <w:r w:rsidRPr="001A1443">
        <w:rPr>
          <w:b/>
          <w:bCs/>
        </w:rPr>
        <w:t xml:space="preserve">August 18 - September 20, 2021: </w:t>
      </w:r>
      <w:r w:rsidRPr="001A1443">
        <w:t>30-day public comment period for 1115 demonstration extension proposal</w:t>
      </w:r>
    </w:p>
    <w:p w14:paraId="65BF2BF5" w14:textId="77777777" w:rsidR="001A1443" w:rsidRPr="001A1443" w:rsidRDefault="001A1443" w:rsidP="001A1443">
      <w:r w:rsidRPr="001A1443">
        <w:rPr>
          <w:b/>
          <w:bCs/>
        </w:rPr>
        <w:t xml:space="preserve">October/November 2021: </w:t>
      </w:r>
      <w:r w:rsidRPr="001A1443">
        <w:t>1115 demonstration extension formal submission to CMS</w:t>
      </w:r>
    </w:p>
    <w:p w14:paraId="72063BC1" w14:textId="77777777" w:rsidR="001A1443" w:rsidRPr="001A1443" w:rsidRDefault="001A1443" w:rsidP="001A1443">
      <w:r w:rsidRPr="001A1443">
        <w:rPr>
          <w:b/>
          <w:bCs/>
        </w:rPr>
        <w:t xml:space="preserve">July 2022: </w:t>
      </w:r>
      <w:r w:rsidRPr="001A1443">
        <w:t xml:space="preserve">start of new 1115 demonstration period </w:t>
      </w:r>
    </w:p>
    <w:p w14:paraId="55E65A28" w14:textId="02A16273" w:rsidR="001A1443" w:rsidRPr="005C1B50" w:rsidRDefault="001A1443" w:rsidP="001A1443">
      <w:pPr>
        <w:rPr>
          <w:i/>
          <w:iCs/>
          <w:color w:val="000000" w:themeColor="text1"/>
        </w:rPr>
      </w:pPr>
      <w:r w:rsidRPr="002C2662">
        <w:rPr>
          <w:rStyle w:val="SubtleEmphasis"/>
          <w:color w:val="000000" w:themeColor="text1"/>
        </w:rPr>
        <w:t>All proposals included in this document are subject to CMS approval. However, certain policy initiatives included in this document support the 1115 proposals, but do not necessitate separate authority. Some authorities will be via the State Plan.</w:t>
      </w:r>
    </w:p>
    <w:sectPr w:rsidR="001A1443" w:rsidRPr="005C1B5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42DB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A4A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8C1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E216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4EE1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C8FD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4094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6E98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70981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5C185CDC"/>
    <w:lvl w:ilvl="0">
      <w:numFmt w:val="bullet"/>
      <w:lvlText w:val="*"/>
      <w:lvlJc w:val="left"/>
    </w:lvl>
  </w:abstractNum>
  <w:abstractNum w:abstractNumId="10" w15:restartNumberingAfterBreak="0">
    <w:nsid w:val="05FC42BE"/>
    <w:multiLevelType w:val="hybridMultilevel"/>
    <w:tmpl w:val="6054F77C"/>
    <w:lvl w:ilvl="0" w:tplc="0FA8272C">
      <w:start w:val="1"/>
      <w:numFmt w:val="bullet"/>
      <w:lvlText w:val=""/>
      <w:lvlJc w:val="left"/>
      <w:pPr>
        <w:tabs>
          <w:tab w:val="num" w:pos="720"/>
        </w:tabs>
        <w:ind w:left="720" w:hanging="360"/>
      </w:pPr>
      <w:rPr>
        <w:rFonts w:ascii="Wingdings" w:hAnsi="Wingdings" w:hint="default"/>
      </w:rPr>
    </w:lvl>
    <w:lvl w:ilvl="1" w:tplc="3FC266EC" w:tentative="1">
      <w:start w:val="1"/>
      <w:numFmt w:val="bullet"/>
      <w:lvlText w:val=""/>
      <w:lvlJc w:val="left"/>
      <w:pPr>
        <w:tabs>
          <w:tab w:val="num" w:pos="1440"/>
        </w:tabs>
        <w:ind w:left="1440" w:hanging="360"/>
      </w:pPr>
      <w:rPr>
        <w:rFonts w:ascii="Wingdings" w:hAnsi="Wingdings" w:hint="default"/>
      </w:rPr>
    </w:lvl>
    <w:lvl w:ilvl="2" w:tplc="F252D4AA" w:tentative="1">
      <w:start w:val="1"/>
      <w:numFmt w:val="bullet"/>
      <w:lvlText w:val=""/>
      <w:lvlJc w:val="left"/>
      <w:pPr>
        <w:tabs>
          <w:tab w:val="num" w:pos="2160"/>
        </w:tabs>
        <w:ind w:left="2160" w:hanging="360"/>
      </w:pPr>
      <w:rPr>
        <w:rFonts w:ascii="Wingdings" w:hAnsi="Wingdings" w:hint="default"/>
      </w:rPr>
    </w:lvl>
    <w:lvl w:ilvl="3" w:tplc="F7869888" w:tentative="1">
      <w:start w:val="1"/>
      <w:numFmt w:val="bullet"/>
      <w:lvlText w:val=""/>
      <w:lvlJc w:val="left"/>
      <w:pPr>
        <w:tabs>
          <w:tab w:val="num" w:pos="2880"/>
        </w:tabs>
        <w:ind w:left="2880" w:hanging="360"/>
      </w:pPr>
      <w:rPr>
        <w:rFonts w:ascii="Wingdings" w:hAnsi="Wingdings" w:hint="default"/>
      </w:rPr>
    </w:lvl>
    <w:lvl w:ilvl="4" w:tplc="19A09006" w:tentative="1">
      <w:start w:val="1"/>
      <w:numFmt w:val="bullet"/>
      <w:lvlText w:val=""/>
      <w:lvlJc w:val="left"/>
      <w:pPr>
        <w:tabs>
          <w:tab w:val="num" w:pos="3600"/>
        </w:tabs>
        <w:ind w:left="3600" w:hanging="360"/>
      </w:pPr>
      <w:rPr>
        <w:rFonts w:ascii="Wingdings" w:hAnsi="Wingdings" w:hint="default"/>
      </w:rPr>
    </w:lvl>
    <w:lvl w:ilvl="5" w:tplc="D8A6E464" w:tentative="1">
      <w:start w:val="1"/>
      <w:numFmt w:val="bullet"/>
      <w:lvlText w:val=""/>
      <w:lvlJc w:val="left"/>
      <w:pPr>
        <w:tabs>
          <w:tab w:val="num" w:pos="4320"/>
        </w:tabs>
        <w:ind w:left="4320" w:hanging="360"/>
      </w:pPr>
      <w:rPr>
        <w:rFonts w:ascii="Wingdings" w:hAnsi="Wingdings" w:hint="default"/>
      </w:rPr>
    </w:lvl>
    <w:lvl w:ilvl="6" w:tplc="5E7640E8" w:tentative="1">
      <w:start w:val="1"/>
      <w:numFmt w:val="bullet"/>
      <w:lvlText w:val=""/>
      <w:lvlJc w:val="left"/>
      <w:pPr>
        <w:tabs>
          <w:tab w:val="num" w:pos="5040"/>
        </w:tabs>
        <w:ind w:left="5040" w:hanging="360"/>
      </w:pPr>
      <w:rPr>
        <w:rFonts w:ascii="Wingdings" w:hAnsi="Wingdings" w:hint="default"/>
      </w:rPr>
    </w:lvl>
    <w:lvl w:ilvl="7" w:tplc="57E2E32C" w:tentative="1">
      <w:start w:val="1"/>
      <w:numFmt w:val="bullet"/>
      <w:lvlText w:val=""/>
      <w:lvlJc w:val="left"/>
      <w:pPr>
        <w:tabs>
          <w:tab w:val="num" w:pos="5760"/>
        </w:tabs>
        <w:ind w:left="5760" w:hanging="360"/>
      </w:pPr>
      <w:rPr>
        <w:rFonts w:ascii="Wingdings" w:hAnsi="Wingdings" w:hint="default"/>
      </w:rPr>
    </w:lvl>
    <w:lvl w:ilvl="8" w:tplc="C84C95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040A3"/>
    <w:multiLevelType w:val="hybridMultilevel"/>
    <w:tmpl w:val="CD2E1460"/>
    <w:lvl w:ilvl="0" w:tplc="2568506A">
      <w:start w:val="1"/>
      <w:numFmt w:val="bullet"/>
      <w:lvlText w:val=""/>
      <w:lvlJc w:val="left"/>
      <w:pPr>
        <w:tabs>
          <w:tab w:val="num" w:pos="720"/>
        </w:tabs>
        <w:ind w:left="720" w:hanging="360"/>
      </w:pPr>
      <w:rPr>
        <w:rFonts w:ascii="Wingdings" w:hAnsi="Wingdings" w:hint="default"/>
      </w:rPr>
    </w:lvl>
    <w:lvl w:ilvl="1" w:tplc="43244104" w:tentative="1">
      <w:start w:val="1"/>
      <w:numFmt w:val="bullet"/>
      <w:lvlText w:val=""/>
      <w:lvlJc w:val="left"/>
      <w:pPr>
        <w:tabs>
          <w:tab w:val="num" w:pos="1440"/>
        </w:tabs>
        <w:ind w:left="1440" w:hanging="360"/>
      </w:pPr>
      <w:rPr>
        <w:rFonts w:ascii="Wingdings" w:hAnsi="Wingdings" w:hint="default"/>
      </w:rPr>
    </w:lvl>
    <w:lvl w:ilvl="2" w:tplc="B80EA56E" w:tentative="1">
      <w:start w:val="1"/>
      <w:numFmt w:val="bullet"/>
      <w:lvlText w:val=""/>
      <w:lvlJc w:val="left"/>
      <w:pPr>
        <w:tabs>
          <w:tab w:val="num" w:pos="2160"/>
        </w:tabs>
        <w:ind w:left="2160" w:hanging="360"/>
      </w:pPr>
      <w:rPr>
        <w:rFonts w:ascii="Wingdings" w:hAnsi="Wingdings" w:hint="default"/>
      </w:rPr>
    </w:lvl>
    <w:lvl w:ilvl="3" w:tplc="F9AE48DC" w:tentative="1">
      <w:start w:val="1"/>
      <w:numFmt w:val="bullet"/>
      <w:lvlText w:val=""/>
      <w:lvlJc w:val="left"/>
      <w:pPr>
        <w:tabs>
          <w:tab w:val="num" w:pos="2880"/>
        </w:tabs>
        <w:ind w:left="2880" w:hanging="360"/>
      </w:pPr>
      <w:rPr>
        <w:rFonts w:ascii="Wingdings" w:hAnsi="Wingdings" w:hint="default"/>
      </w:rPr>
    </w:lvl>
    <w:lvl w:ilvl="4" w:tplc="7D3AAAB6" w:tentative="1">
      <w:start w:val="1"/>
      <w:numFmt w:val="bullet"/>
      <w:lvlText w:val=""/>
      <w:lvlJc w:val="left"/>
      <w:pPr>
        <w:tabs>
          <w:tab w:val="num" w:pos="3600"/>
        </w:tabs>
        <w:ind w:left="3600" w:hanging="360"/>
      </w:pPr>
      <w:rPr>
        <w:rFonts w:ascii="Wingdings" w:hAnsi="Wingdings" w:hint="default"/>
      </w:rPr>
    </w:lvl>
    <w:lvl w:ilvl="5" w:tplc="A08814D6" w:tentative="1">
      <w:start w:val="1"/>
      <w:numFmt w:val="bullet"/>
      <w:lvlText w:val=""/>
      <w:lvlJc w:val="left"/>
      <w:pPr>
        <w:tabs>
          <w:tab w:val="num" w:pos="4320"/>
        </w:tabs>
        <w:ind w:left="4320" w:hanging="360"/>
      </w:pPr>
      <w:rPr>
        <w:rFonts w:ascii="Wingdings" w:hAnsi="Wingdings" w:hint="default"/>
      </w:rPr>
    </w:lvl>
    <w:lvl w:ilvl="6" w:tplc="929E2E5A" w:tentative="1">
      <w:start w:val="1"/>
      <w:numFmt w:val="bullet"/>
      <w:lvlText w:val=""/>
      <w:lvlJc w:val="left"/>
      <w:pPr>
        <w:tabs>
          <w:tab w:val="num" w:pos="5040"/>
        </w:tabs>
        <w:ind w:left="5040" w:hanging="360"/>
      </w:pPr>
      <w:rPr>
        <w:rFonts w:ascii="Wingdings" w:hAnsi="Wingdings" w:hint="default"/>
      </w:rPr>
    </w:lvl>
    <w:lvl w:ilvl="7" w:tplc="B2E6BDF8" w:tentative="1">
      <w:start w:val="1"/>
      <w:numFmt w:val="bullet"/>
      <w:lvlText w:val=""/>
      <w:lvlJc w:val="left"/>
      <w:pPr>
        <w:tabs>
          <w:tab w:val="num" w:pos="5760"/>
        </w:tabs>
        <w:ind w:left="5760" w:hanging="360"/>
      </w:pPr>
      <w:rPr>
        <w:rFonts w:ascii="Wingdings" w:hAnsi="Wingdings" w:hint="default"/>
      </w:rPr>
    </w:lvl>
    <w:lvl w:ilvl="8" w:tplc="68C233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AA6"/>
    <w:multiLevelType w:val="hybridMultilevel"/>
    <w:tmpl w:val="0AD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23F5A"/>
    <w:multiLevelType w:val="hybridMultilevel"/>
    <w:tmpl w:val="1E9A74BA"/>
    <w:lvl w:ilvl="0" w:tplc="C17E92C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D3EB4"/>
    <w:multiLevelType w:val="hybridMultilevel"/>
    <w:tmpl w:val="9A36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D5DA5"/>
    <w:multiLevelType w:val="hybridMultilevel"/>
    <w:tmpl w:val="D3FE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11F9C"/>
    <w:multiLevelType w:val="hybridMultilevel"/>
    <w:tmpl w:val="DB560806"/>
    <w:lvl w:ilvl="0" w:tplc="1D1E7A96">
      <w:start w:val="1"/>
      <w:numFmt w:val="bullet"/>
      <w:lvlText w:val=""/>
      <w:lvlJc w:val="left"/>
      <w:pPr>
        <w:tabs>
          <w:tab w:val="num" w:pos="720"/>
        </w:tabs>
        <w:ind w:left="720" w:hanging="360"/>
      </w:pPr>
      <w:rPr>
        <w:rFonts w:ascii="Wingdings" w:hAnsi="Wingdings" w:hint="default"/>
      </w:rPr>
    </w:lvl>
    <w:lvl w:ilvl="1" w:tplc="40CA1AFE">
      <w:start w:val="1"/>
      <w:numFmt w:val="bullet"/>
      <w:lvlText w:val=""/>
      <w:lvlJc w:val="left"/>
      <w:pPr>
        <w:tabs>
          <w:tab w:val="num" w:pos="1440"/>
        </w:tabs>
        <w:ind w:left="1440" w:hanging="360"/>
      </w:pPr>
      <w:rPr>
        <w:rFonts w:ascii="Wingdings" w:hAnsi="Wingdings" w:hint="default"/>
      </w:rPr>
    </w:lvl>
    <w:lvl w:ilvl="2" w:tplc="0A20BF0A" w:tentative="1">
      <w:start w:val="1"/>
      <w:numFmt w:val="bullet"/>
      <w:lvlText w:val=""/>
      <w:lvlJc w:val="left"/>
      <w:pPr>
        <w:tabs>
          <w:tab w:val="num" w:pos="2160"/>
        </w:tabs>
        <w:ind w:left="2160" w:hanging="360"/>
      </w:pPr>
      <w:rPr>
        <w:rFonts w:ascii="Wingdings" w:hAnsi="Wingdings" w:hint="default"/>
      </w:rPr>
    </w:lvl>
    <w:lvl w:ilvl="3" w:tplc="73841AAC" w:tentative="1">
      <w:start w:val="1"/>
      <w:numFmt w:val="bullet"/>
      <w:lvlText w:val=""/>
      <w:lvlJc w:val="left"/>
      <w:pPr>
        <w:tabs>
          <w:tab w:val="num" w:pos="2880"/>
        </w:tabs>
        <w:ind w:left="2880" w:hanging="360"/>
      </w:pPr>
      <w:rPr>
        <w:rFonts w:ascii="Wingdings" w:hAnsi="Wingdings" w:hint="default"/>
      </w:rPr>
    </w:lvl>
    <w:lvl w:ilvl="4" w:tplc="8B107440" w:tentative="1">
      <w:start w:val="1"/>
      <w:numFmt w:val="bullet"/>
      <w:lvlText w:val=""/>
      <w:lvlJc w:val="left"/>
      <w:pPr>
        <w:tabs>
          <w:tab w:val="num" w:pos="3600"/>
        </w:tabs>
        <w:ind w:left="3600" w:hanging="360"/>
      </w:pPr>
      <w:rPr>
        <w:rFonts w:ascii="Wingdings" w:hAnsi="Wingdings" w:hint="default"/>
      </w:rPr>
    </w:lvl>
    <w:lvl w:ilvl="5" w:tplc="3294B54C" w:tentative="1">
      <w:start w:val="1"/>
      <w:numFmt w:val="bullet"/>
      <w:lvlText w:val=""/>
      <w:lvlJc w:val="left"/>
      <w:pPr>
        <w:tabs>
          <w:tab w:val="num" w:pos="4320"/>
        </w:tabs>
        <w:ind w:left="4320" w:hanging="360"/>
      </w:pPr>
      <w:rPr>
        <w:rFonts w:ascii="Wingdings" w:hAnsi="Wingdings" w:hint="default"/>
      </w:rPr>
    </w:lvl>
    <w:lvl w:ilvl="6" w:tplc="D896A01A" w:tentative="1">
      <w:start w:val="1"/>
      <w:numFmt w:val="bullet"/>
      <w:lvlText w:val=""/>
      <w:lvlJc w:val="left"/>
      <w:pPr>
        <w:tabs>
          <w:tab w:val="num" w:pos="5040"/>
        </w:tabs>
        <w:ind w:left="5040" w:hanging="360"/>
      </w:pPr>
      <w:rPr>
        <w:rFonts w:ascii="Wingdings" w:hAnsi="Wingdings" w:hint="default"/>
      </w:rPr>
    </w:lvl>
    <w:lvl w:ilvl="7" w:tplc="70525646" w:tentative="1">
      <w:start w:val="1"/>
      <w:numFmt w:val="bullet"/>
      <w:lvlText w:val=""/>
      <w:lvlJc w:val="left"/>
      <w:pPr>
        <w:tabs>
          <w:tab w:val="num" w:pos="5760"/>
        </w:tabs>
        <w:ind w:left="5760" w:hanging="360"/>
      </w:pPr>
      <w:rPr>
        <w:rFonts w:ascii="Wingdings" w:hAnsi="Wingdings" w:hint="default"/>
      </w:rPr>
    </w:lvl>
    <w:lvl w:ilvl="8" w:tplc="104C8E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C42BB"/>
    <w:multiLevelType w:val="hybridMultilevel"/>
    <w:tmpl w:val="4D88B22E"/>
    <w:lvl w:ilvl="0" w:tplc="C17E92C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76EA8"/>
    <w:multiLevelType w:val="hybridMultilevel"/>
    <w:tmpl w:val="0A2488D2"/>
    <w:lvl w:ilvl="0" w:tplc="5B542672">
      <w:start w:val="1"/>
      <w:numFmt w:val="bullet"/>
      <w:lvlText w:val=""/>
      <w:lvlJc w:val="left"/>
      <w:pPr>
        <w:tabs>
          <w:tab w:val="num" w:pos="720"/>
        </w:tabs>
        <w:ind w:left="720" w:hanging="360"/>
      </w:pPr>
      <w:rPr>
        <w:rFonts w:ascii="Wingdings" w:hAnsi="Wingdings" w:hint="default"/>
      </w:rPr>
    </w:lvl>
    <w:lvl w:ilvl="1" w:tplc="360AAB08">
      <w:start w:val="1"/>
      <w:numFmt w:val="bullet"/>
      <w:lvlText w:val=""/>
      <w:lvlJc w:val="left"/>
      <w:pPr>
        <w:tabs>
          <w:tab w:val="num" w:pos="1440"/>
        </w:tabs>
        <w:ind w:left="1440" w:hanging="360"/>
      </w:pPr>
      <w:rPr>
        <w:rFonts w:ascii="Wingdings" w:hAnsi="Wingdings" w:hint="default"/>
      </w:rPr>
    </w:lvl>
    <w:lvl w:ilvl="2" w:tplc="F490D9BE" w:tentative="1">
      <w:start w:val="1"/>
      <w:numFmt w:val="bullet"/>
      <w:lvlText w:val=""/>
      <w:lvlJc w:val="left"/>
      <w:pPr>
        <w:tabs>
          <w:tab w:val="num" w:pos="2160"/>
        </w:tabs>
        <w:ind w:left="2160" w:hanging="360"/>
      </w:pPr>
      <w:rPr>
        <w:rFonts w:ascii="Wingdings" w:hAnsi="Wingdings" w:hint="default"/>
      </w:rPr>
    </w:lvl>
    <w:lvl w:ilvl="3" w:tplc="004A678E" w:tentative="1">
      <w:start w:val="1"/>
      <w:numFmt w:val="bullet"/>
      <w:lvlText w:val=""/>
      <w:lvlJc w:val="left"/>
      <w:pPr>
        <w:tabs>
          <w:tab w:val="num" w:pos="2880"/>
        </w:tabs>
        <w:ind w:left="2880" w:hanging="360"/>
      </w:pPr>
      <w:rPr>
        <w:rFonts w:ascii="Wingdings" w:hAnsi="Wingdings" w:hint="default"/>
      </w:rPr>
    </w:lvl>
    <w:lvl w:ilvl="4" w:tplc="10B8DA52" w:tentative="1">
      <w:start w:val="1"/>
      <w:numFmt w:val="bullet"/>
      <w:lvlText w:val=""/>
      <w:lvlJc w:val="left"/>
      <w:pPr>
        <w:tabs>
          <w:tab w:val="num" w:pos="3600"/>
        </w:tabs>
        <w:ind w:left="3600" w:hanging="360"/>
      </w:pPr>
      <w:rPr>
        <w:rFonts w:ascii="Wingdings" w:hAnsi="Wingdings" w:hint="default"/>
      </w:rPr>
    </w:lvl>
    <w:lvl w:ilvl="5" w:tplc="043CD85A" w:tentative="1">
      <w:start w:val="1"/>
      <w:numFmt w:val="bullet"/>
      <w:lvlText w:val=""/>
      <w:lvlJc w:val="left"/>
      <w:pPr>
        <w:tabs>
          <w:tab w:val="num" w:pos="4320"/>
        </w:tabs>
        <w:ind w:left="4320" w:hanging="360"/>
      </w:pPr>
      <w:rPr>
        <w:rFonts w:ascii="Wingdings" w:hAnsi="Wingdings" w:hint="default"/>
      </w:rPr>
    </w:lvl>
    <w:lvl w:ilvl="6" w:tplc="8392E720" w:tentative="1">
      <w:start w:val="1"/>
      <w:numFmt w:val="bullet"/>
      <w:lvlText w:val=""/>
      <w:lvlJc w:val="left"/>
      <w:pPr>
        <w:tabs>
          <w:tab w:val="num" w:pos="5040"/>
        </w:tabs>
        <w:ind w:left="5040" w:hanging="360"/>
      </w:pPr>
      <w:rPr>
        <w:rFonts w:ascii="Wingdings" w:hAnsi="Wingdings" w:hint="default"/>
      </w:rPr>
    </w:lvl>
    <w:lvl w:ilvl="7" w:tplc="51467BE8" w:tentative="1">
      <w:start w:val="1"/>
      <w:numFmt w:val="bullet"/>
      <w:lvlText w:val=""/>
      <w:lvlJc w:val="left"/>
      <w:pPr>
        <w:tabs>
          <w:tab w:val="num" w:pos="5760"/>
        </w:tabs>
        <w:ind w:left="5760" w:hanging="360"/>
      </w:pPr>
      <w:rPr>
        <w:rFonts w:ascii="Wingdings" w:hAnsi="Wingdings" w:hint="default"/>
      </w:rPr>
    </w:lvl>
    <w:lvl w:ilvl="8" w:tplc="EC507E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154A9"/>
    <w:multiLevelType w:val="hybridMultilevel"/>
    <w:tmpl w:val="60AC1E3E"/>
    <w:lvl w:ilvl="0" w:tplc="80CA35C2">
      <w:start w:val="1"/>
      <w:numFmt w:val="bullet"/>
      <w:lvlText w:val=""/>
      <w:lvlJc w:val="left"/>
      <w:pPr>
        <w:tabs>
          <w:tab w:val="num" w:pos="720"/>
        </w:tabs>
        <w:ind w:left="720" w:hanging="360"/>
      </w:pPr>
      <w:rPr>
        <w:rFonts w:ascii="Wingdings" w:hAnsi="Wingdings" w:hint="default"/>
      </w:rPr>
    </w:lvl>
    <w:lvl w:ilvl="1" w:tplc="B532CFFA">
      <w:start w:val="1"/>
      <w:numFmt w:val="bullet"/>
      <w:lvlText w:val=""/>
      <w:lvlJc w:val="left"/>
      <w:pPr>
        <w:tabs>
          <w:tab w:val="num" w:pos="1440"/>
        </w:tabs>
        <w:ind w:left="1440" w:hanging="360"/>
      </w:pPr>
      <w:rPr>
        <w:rFonts w:ascii="Wingdings" w:hAnsi="Wingdings" w:hint="default"/>
      </w:rPr>
    </w:lvl>
    <w:lvl w:ilvl="2" w:tplc="638424B0" w:tentative="1">
      <w:start w:val="1"/>
      <w:numFmt w:val="bullet"/>
      <w:lvlText w:val=""/>
      <w:lvlJc w:val="left"/>
      <w:pPr>
        <w:tabs>
          <w:tab w:val="num" w:pos="2160"/>
        </w:tabs>
        <w:ind w:left="2160" w:hanging="360"/>
      </w:pPr>
      <w:rPr>
        <w:rFonts w:ascii="Wingdings" w:hAnsi="Wingdings" w:hint="default"/>
      </w:rPr>
    </w:lvl>
    <w:lvl w:ilvl="3" w:tplc="F6D62B76" w:tentative="1">
      <w:start w:val="1"/>
      <w:numFmt w:val="bullet"/>
      <w:lvlText w:val=""/>
      <w:lvlJc w:val="left"/>
      <w:pPr>
        <w:tabs>
          <w:tab w:val="num" w:pos="2880"/>
        </w:tabs>
        <w:ind w:left="2880" w:hanging="360"/>
      </w:pPr>
      <w:rPr>
        <w:rFonts w:ascii="Wingdings" w:hAnsi="Wingdings" w:hint="default"/>
      </w:rPr>
    </w:lvl>
    <w:lvl w:ilvl="4" w:tplc="CCB260E6" w:tentative="1">
      <w:start w:val="1"/>
      <w:numFmt w:val="bullet"/>
      <w:lvlText w:val=""/>
      <w:lvlJc w:val="left"/>
      <w:pPr>
        <w:tabs>
          <w:tab w:val="num" w:pos="3600"/>
        </w:tabs>
        <w:ind w:left="3600" w:hanging="360"/>
      </w:pPr>
      <w:rPr>
        <w:rFonts w:ascii="Wingdings" w:hAnsi="Wingdings" w:hint="default"/>
      </w:rPr>
    </w:lvl>
    <w:lvl w:ilvl="5" w:tplc="BCD2699A" w:tentative="1">
      <w:start w:val="1"/>
      <w:numFmt w:val="bullet"/>
      <w:lvlText w:val=""/>
      <w:lvlJc w:val="left"/>
      <w:pPr>
        <w:tabs>
          <w:tab w:val="num" w:pos="4320"/>
        </w:tabs>
        <w:ind w:left="4320" w:hanging="360"/>
      </w:pPr>
      <w:rPr>
        <w:rFonts w:ascii="Wingdings" w:hAnsi="Wingdings" w:hint="default"/>
      </w:rPr>
    </w:lvl>
    <w:lvl w:ilvl="6" w:tplc="97808EF6" w:tentative="1">
      <w:start w:val="1"/>
      <w:numFmt w:val="bullet"/>
      <w:lvlText w:val=""/>
      <w:lvlJc w:val="left"/>
      <w:pPr>
        <w:tabs>
          <w:tab w:val="num" w:pos="5040"/>
        </w:tabs>
        <w:ind w:left="5040" w:hanging="360"/>
      </w:pPr>
      <w:rPr>
        <w:rFonts w:ascii="Wingdings" w:hAnsi="Wingdings" w:hint="default"/>
      </w:rPr>
    </w:lvl>
    <w:lvl w:ilvl="7" w:tplc="D952C808" w:tentative="1">
      <w:start w:val="1"/>
      <w:numFmt w:val="bullet"/>
      <w:lvlText w:val=""/>
      <w:lvlJc w:val="left"/>
      <w:pPr>
        <w:tabs>
          <w:tab w:val="num" w:pos="5760"/>
        </w:tabs>
        <w:ind w:left="5760" w:hanging="360"/>
      </w:pPr>
      <w:rPr>
        <w:rFonts w:ascii="Wingdings" w:hAnsi="Wingdings" w:hint="default"/>
      </w:rPr>
    </w:lvl>
    <w:lvl w:ilvl="8" w:tplc="61AA0FB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467F1"/>
    <w:multiLevelType w:val="hybridMultilevel"/>
    <w:tmpl w:val="9E1C2730"/>
    <w:lvl w:ilvl="0" w:tplc="A6EC4986">
      <w:start w:val="1"/>
      <w:numFmt w:val="bullet"/>
      <w:lvlText w:val=""/>
      <w:lvlJc w:val="left"/>
      <w:pPr>
        <w:tabs>
          <w:tab w:val="num" w:pos="720"/>
        </w:tabs>
        <w:ind w:left="720" w:hanging="360"/>
      </w:pPr>
      <w:rPr>
        <w:rFonts w:ascii="Wingdings" w:hAnsi="Wingdings" w:hint="default"/>
      </w:rPr>
    </w:lvl>
    <w:lvl w:ilvl="1" w:tplc="F8B4D03A" w:tentative="1">
      <w:start w:val="1"/>
      <w:numFmt w:val="bullet"/>
      <w:lvlText w:val=""/>
      <w:lvlJc w:val="left"/>
      <w:pPr>
        <w:tabs>
          <w:tab w:val="num" w:pos="1440"/>
        </w:tabs>
        <w:ind w:left="1440" w:hanging="360"/>
      </w:pPr>
      <w:rPr>
        <w:rFonts w:ascii="Wingdings" w:hAnsi="Wingdings" w:hint="default"/>
      </w:rPr>
    </w:lvl>
    <w:lvl w:ilvl="2" w:tplc="BC186322" w:tentative="1">
      <w:start w:val="1"/>
      <w:numFmt w:val="bullet"/>
      <w:lvlText w:val=""/>
      <w:lvlJc w:val="left"/>
      <w:pPr>
        <w:tabs>
          <w:tab w:val="num" w:pos="2160"/>
        </w:tabs>
        <w:ind w:left="2160" w:hanging="360"/>
      </w:pPr>
      <w:rPr>
        <w:rFonts w:ascii="Wingdings" w:hAnsi="Wingdings" w:hint="default"/>
      </w:rPr>
    </w:lvl>
    <w:lvl w:ilvl="3" w:tplc="9294DC58" w:tentative="1">
      <w:start w:val="1"/>
      <w:numFmt w:val="bullet"/>
      <w:lvlText w:val=""/>
      <w:lvlJc w:val="left"/>
      <w:pPr>
        <w:tabs>
          <w:tab w:val="num" w:pos="2880"/>
        </w:tabs>
        <w:ind w:left="2880" w:hanging="360"/>
      </w:pPr>
      <w:rPr>
        <w:rFonts w:ascii="Wingdings" w:hAnsi="Wingdings" w:hint="default"/>
      </w:rPr>
    </w:lvl>
    <w:lvl w:ilvl="4" w:tplc="CCF2166E" w:tentative="1">
      <w:start w:val="1"/>
      <w:numFmt w:val="bullet"/>
      <w:lvlText w:val=""/>
      <w:lvlJc w:val="left"/>
      <w:pPr>
        <w:tabs>
          <w:tab w:val="num" w:pos="3600"/>
        </w:tabs>
        <w:ind w:left="3600" w:hanging="360"/>
      </w:pPr>
      <w:rPr>
        <w:rFonts w:ascii="Wingdings" w:hAnsi="Wingdings" w:hint="default"/>
      </w:rPr>
    </w:lvl>
    <w:lvl w:ilvl="5" w:tplc="D7F443F8" w:tentative="1">
      <w:start w:val="1"/>
      <w:numFmt w:val="bullet"/>
      <w:lvlText w:val=""/>
      <w:lvlJc w:val="left"/>
      <w:pPr>
        <w:tabs>
          <w:tab w:val="num" w:pos="4320"/>
        </w:tabs>
        <w:ind w:left="4320" w:hanging="360"/>
      </w:pPr>
      <w:rPr>
        <w:rFonts w:ascii="Wingdings" w:hAnsi="Wingdings" w:hint="default"/>
      </w:rPr>
    </w:lvl>
    <w:lvl w:ilvl="6" w:tplc="F8186A50" w:tentative="1">
      <w:start w:val="1"/>
      <w:numFmt w:val="bullet"/>
      <w:lvlText w:val=""/>
      <w:lvlJc w:val="left"/>
      <w:pPr>
        <w:tabs>
          <w:tab w:val="num" w:pos="5040"/>
        </w:tabs>
        <w:ind w:left="5040" w:hanging="360"/>
      </w:pPr>
      <w:rPr>
        <w:rFonts w:ascii="Wingdings" w:hAnsi="Wingdings" w:hint="default"/>
      </w:rPr>
    </w:lvl>
    <w:lvl w:ilvl="7" w:tplc="F36E749C" w:tentative="1">
      <w:start w:val="1"/>
      <w:numFmt w:val="bullet"/>
      <w:lvlText w:val=""/>
      <w:lvlJc w:val="left"/>
      <w:pPr>
        <w:tabs>
          <w:tab w:val="num" w:pos="5760"/>
        </w:tabs>
        <w:ind w:left="5760" w:hanging="360"/>
      </w:pPr>
      <w:rPr>
        <w:rFonts w:ascii="Wingdings" w:hAnsi="Wingdings" w:hint="default"/>
      </w:rPr>
    </w:lvl>
    <w:lvl w:ilvl="8" w:tplc="1310C5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E7DC2"/>
    <w:multiLevelType w:val="hybridMultilevel"/>
    <w:tmpl w:val="C0BC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F756C"/>
    <w:multiLevelType w:val="hybridMultilevel"/>
    <w:tmpl w:val="EF90F0FE"/>
    <w:lvl w:ilvl="0" w:tplc="D026F626">
      <w:start w:val="1"/>
      <w:numFmt w:val="bullet"/>
      <w:lvlText w:val=""/>
      <w:lvlJc w:val="left"/>
      <w:pPr>
        <w:tabs>
          <w:tab w:val="num" w:pos="720"/>
        </w:tabs>
        <w:ind w:left="720" w:hanging="360"/>
      </w:pPr>
      <w:rPr>
        <w:rFonts w:ascii="Wingdings" w:hAnsi="Wingdings" w:hint="default"/>
      </w:rPr>
    </w:lvl>
    <w:lvl w:ilvl="1" w:tplc="C17E92CC">
      <w:start w:val="1"/>
      <w:numFmt w:val="bullet"/>
      <w:lvlText w:val=""/>
      <w:lvlJc w:val="left"/>
      <w:pPr>
        <w:tabs>
          <w:tab w:val="num" w:pos="1440"/>
        </w:tabs>
        <w:ind w:left="1440" w:hanging="360"/>
      </w:pPr>
      <w:rPr>
        <w:rFonts w:ascii="Wingdings" w:hAnsi="Wingdings" w:hint="default"/>
      </w:rPr>
    </w:lvl>
    <w:lvl w:ilvl="2" w:tplc="3A2AD53A">
      <w:start w:val="1023"/>
      <w:numFmt w:val="bullet"/>
      <w:lvlText w:val="–"/>
      <w:lvlJc w:val="left"/>
      <w:pPr>
        <w:tabs>
          <w:tab w:val="num" w:pos="2160"/>
        </w:tabs>
        <w:ind w:left="2160" w:hanging="360"/>
      </w:pPr>
      <w:rPr>
        <w:rFonts w:ascii="Arial" w:hAnsi="Arial" w:hint="default"/>
      </w:rPr>
    </w:lvl>
    <w:lvl w:ilvl="3" w:tplc="A1582F0C" w:tentative="1">
      <w:start w:val="1"/>
      <w:numFmt w:val="bullet"/>
      <w:lvlText w:val=""/>
      <w:lvlJc w:val="left"/>
      <w:pPr>
        <w:tabs>
          <w:tab w:val="num" w:pos="2880"/>
        </w:tabs>
        <w:ind w:left="2880" w:hanging="360"/>
      </w:pPr>
      <w:rPr>
        <w:rFonts w:ascii="Wingdings" w:hAnsi="Wingdings" w:hint="default"/>
      </w:rPr>
    </w:lvl>
    <w:lvl w:ilvl="4" w:tplc="2A08EBE0" w:tentative="1">
      <w:start w:val="1"/>
      <w:numFmt w:val="bullet"/>
      <w:lvlText w:val=""/>
      <w:lvlJc w:val="left"/>
      <w:pPr>
        <w:tabs>
          <w:tab w:val="num" w:pos="3600"/>
        </w:tabs>
        <w:ind w:left="3600" w:hanging="360"/>
      </w:pPr>
      <w:rPr>
        <w:rFonts w:ascii="Wingdings" w:hAnsi="Wingdings" w:hint="default"/>
      </w:rPr>
    </w:lvl>
    <w:lvl w:ilvl="5" w:tplc="850E039E" w:tentative="1">
      <w:start w:val="1"/>
      <w:numFmt w:val="bullet"/>
      <w:lvlText w:val=""/>
      <w:lvlJc w:val="left"/>
      <w:pPr>
        <w:tabs>
          <w:tab w:val="num" w:pos="4320"/>
        </w:tabs>
        <w:ind w:left="4320" w:hanging="360"/>
      </w:pPr>
      <w:rPr>
        <w:rFonts w:ascii="Wingdings" w:hAnsi="Wingdings" w:hint="default"/>
      </w:rPr>
    </w:lvl>
    <w:lvl w:ilvl="6" w:tplc="3BD848A6" w:tentative="1">
      <w:start w:val="1"/>
      <w:numFmt w:val="bullet"/>
      <w:lvlText w:val=""/>
      <w:lvlJc w:val="left"/>
      <w:pPr>
        <w:tabs>
          <w:tab w:val="num" w:pos="5040"/>
        </w:tabs>
        <w:ind w:left="5040" w:hanging="360"/>
      </w:pPr>
      <w:rPr>
        <w:rFonts w:ascii="Wingdings" w:hAnsi="Wingdings" w:hint="default"/>
      </w:rPr>
    </w:lvl>
    <w:lvl w:ilvl="7" w:tplc="87FA0840" w:tentative="1">
      <w:start w:val="1"/>
      <w:numFmt w:val="bullet"/>
      <w:lvlText w:val=""/>
      <w:lvlJc w:val="left"/>
      <w:pPr>
        <w:tabs>
          <w:tab w:val="num" w:pos="5760"/>
        </w:tabs>
        <w:ind w:left="5760" w:hanging="360"/>
      </w:pPr>
      <w:rPr>
        <w:rFonts w:ascii="Wingdings" w:hAnsi="Wingdings" w:hint="default"/>
      </w:rPr>
    </w:lvl>
    <w:lvl w:ilvl="8" w:tplc="E3FCBD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17E52"/>
    <w:multiLevelType w:val="hybridMultilevel"/>
    <w:tmpl w:val="E0C6891A"/>
    <w:lvl w:ilvl="0" w:tplc="2EAE10A8">
      <w:start w:val="1"/>
      <w:numFmt w:val="decimal"/>
      <w:lvlText w:val="%1."/>
      <w:lvlJc w:val="left"/>
      <w:pPr>
        <w:tabs>
          <w:tab w:val="num" w:pos="720"/>
        </w:tabs>
        <w:ind w:left="720" w:hanging="360"/>
      </w:pPr>
      <w:rPr>
        <w:rFonts w:cs="Times New Roman"/>
      </w:rPr>
    </w:lvl>
    <w:lvl w:ilvl="1" w:tplc="70005230" w:tentative="1">
      <w:start w:val="1"/>
      <w:numFmt w:val="decimal"/>
      <w:lvlText w:val="%2."/>
      <w:lvlJc w:val="left"/>
      <w:pPr>
        <w:tabs>
          <w:tab w:val="num" w:pos="1440"/>
        </w:tabs>
        <w:ind w:left="1440" w:hanging="360"/>
      </w:pPr>
      <w:rPr>
        <w:rFonts w:cs="Times New Roman"/>
      </w:rPr>
    </w:lvl>
    <w:lvl w:ilvl="2" w:tplc="7A8E3EEE" w:tentative="1">
      <w:start w:val="1"/>
      <w:numFmt w:val="decimal"/>
      <w:lvlText w:val="%3."/>
      <w:lvlJc w:val="left"/>
      <w:pPr>
        <w:tabs>
          <w:tab w:val="num" w:pos="2160"/>
        </w:tabs>
        <w:ind w:left="2160" w:hanging="360"/>
      </w:pPr>
      <w:rPr>
        <w:rFonts w:cs="Times New Roman"/>
      </w:rPr>
    </w:lvl>
    <w:lvl w:ilvl="3" w:tplc="9CE2255A" w:tentative="1">
      <w:start w:val="1"/>
      <w:numFmt w:val="decimal"/>
      <w:lvlText w:val="%4."/>
      <w:lvlJc w:val="left"/>
      <w:pPr>
        <w:tabs>
          <w:tab w:val="num" w:pos="2880"/>
        </w:tabs>
        <w:ind w:left="2880" w:hanging="360"/>
      </w:pPr>
      <w:rPr>
        <w:rFonts w:cs="Times New Roman"/>
      </w:rPr>
    </w:lvl>
    <w:lvl w:ilvl="4" w:tplc="6FE62BF6" w:tentative="1">
      <w:start w:val="1"/>
      <w:numFmt w:val="decimal"/>
      <w:lvlText w:val="%5."/>
      <w:lvlJc w:val="left"/>
      <w:pPr>
        <w:tabs>
          <w:tab w:val="num" w:pos="3600"/>
        </w:tabs>
        <w:ind w:left="3600" w:hanging="360"/>
      </w:pPr>
      <w:rPr>
        <w:rFonts w:cs="Times New Roman"/>
      </w:rPr>
    </w:lvl>
    <w:lvl w:ilvl="5" w:tplc="FCBEB7C8" w:tentative="1">
      <w:start w:val="1"/>
      <w:numFmt w:val="decimal"/>
      <w:lvlText w:val="%6."/>
      <w:lvlJc w:val="left"/>
      <w:pPr>
        <w:tabs>
          <w:tab w:val="num" w:pos="4320"/>
        </w:tabs>
        <w:ind w:left="4320" w:hanging="360"/>
      </w:pPr>
      <w:rPr>
        <w:rFonts w:cs="Times New Roman"/>
      </w:rPr>
    </w:lvl>
    <w:lvl w:ilvl="6" w:tplc="E4EA6222" w:tentative="1">
      <w:start w:val="1"/>
      <w:numFmt w:val="decimal"/>
      <w:lvlText w:val="%7."/>
      <w:lvlJc w:val="left"/>
      <w:pPr>
        <w:tabs>
          <w:tab w:val="num" w:pos="5040"/>
        </w:tabs>
        <w:ind w:left="5040" w:hanging="360"/>
      </w:pPr>
      <w:rPr>
        <w:rFonts w:cs="Times New Roman"/>
      </w:rPr>
    </w:lvl>
    <w:lvl w:ilvl="7" w:tplc="1100B3D2" w:tentative="1">
      <w:start w:val="1"/>
      <w:numFmt w:val="decimal"/>
      <w:lvlText w:val="%8."/>
      <w:lvlJc w:val="left"/>
      <w:pPr>
        <w:tabs>
          <w:tab w:val="num" w:pos="5760"/>
        </w:tabs>
        <w:ind w:left="5760" w:hanging="360"/>
      </w:pPr>
      <w:rPr>
        <w:rFonts w:cs="Times New Roman"/>
      </w:rPr>
    </w:lvl>
    <w:lvl w:ilvl="8" w:tplc="1F5C5EF0" w:tentative="1">
      <w:start w:val="1"/>
      <w:numFmt w:val="decimal"/>
      <w:lvlText w:val="%9."/>
      <w:lvlJc w:val="left"/>
      <w:pPr>
        <w:tabs>
          <w:tab w:val="num" w:pos="6480"/>
        </w:tabs>
        <w:ind w:left="6480" w:hanging="360"/>
      </w:pPr>
      <w:rPr>
        <w:rFonts w:cs="Times New Roman"/>
      </w:rPr>
    </w:lvl>
  </w:abstractNum>
  <w:abstractNum w:abstractNumId="24" w15:restartNumberingAfterBreak="0">
    <w:nsid w:val="53342FF6"/>
    <w:multiLevelType w:val="hybridMultilevel"/>
    <w:tmpl w:val="08201C22"/>
    <w:lvl w:ilvl="0" w:tplc="CDCA36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1824"/>
    <w:multiLevelType w:val="hybridMultilevel"/>
    <w:tmpl w:val="C5EEBE06"/>
    <w:lvl w:ilvl="0" w:tplc="8C007554">
      <w:start w:val="1"/>
      <w:numFmt w:val="bullet"/>
      <w:lvlText w:val=""/>
      <w:lvlJc w:val="left"/>
      <w:pPr>
        <w:tabs>
          <w:tab w:val="num" w:pos="720"/>
        </w:tabs>
        <w:ind w:left="720" w:hanging="360"/>
      </w:pPr>
      <w:rPr>
        <w:rFonts w:ascii="Wingdings" w:hAnsi="Wingdings" w:hint="default"/>
      </w:rPr>
    </w:lvl>
    <w:lvl w:ilvl="1" w:tplc="843EA5E8" w:tentative="1">
      <w:start w:val="1"/>
      <w:numFmt w:val="bullet"/>
      <w:lvlText w:val=""/>
      <w:lvlJc w:val="left"/>
      <w:pPr>
        <w:tabs>
          <w:tab w:val="num" w:pos="1440"/>
        </w:tabs>
        <w:ind w:left="1440" w:hanging="360"/>
      </w:pPr>
      <w:rPr>
        <w:rFonts w:ascii="Wingdings" w:hAnsi="Wingdings" w:hint="default"/>
      </w:rPr>
    </w:lvl>
    <w:lvl w:ilvl="2" w:tplc="65BC6C28" w:tentative="1">
      <w:start w:val="1"/>
      <w:numFmt w:val="bullet"/>
      <w:lvlText w:val=""/>
      <w:lvlJc w:val="left"/>
      <w:pPr>
        <w:tabs>
          <w:tab w:val="num" w:pos="2160"/>
        </w:tabs>
        <w:ind w:left="2160" w:hanging="360"/>
      </w:pPr>
      <w:rPr>
        <w:rFonts w:ascii="Wingdings" w:hAnsi="Wingdings" w:hint="default"/>
      </w:rPr>
    </w:lvl>
    <w:lvl w:ilvl="3" w:tplc="AE462850" w:tentative="1">
      <w:start w:val="1"/>
      <w:numFmt w:val="bullet"/>
      <w:lvlText w:val=""/>
      <w:lvlJc w:val="left"/>
      <w:pPr>
        <w:tabs>
          <w:tab w:val="num" w:pos="2880"/>
        </w:tabs>
        <w:ind w:left="2880" w:hanging="360"/>
      </w:pPr>
      <w:rPr>
        <w:rFonts w:ascii="Wingdings" w:hAnsi="Wingdings" w:hint="default"/>
      </w:rPr>
    </w:lvl>
    <w:lvl w:ilvl="4" w:tplc="FC2CC78E" w:tentative="1">
      <w:start w:val="1"/>
      <w:numFmt w:val="bullet"/>
      <w:lvlText w:val=""/>
      <w:lvlJc w:val="left"/>
      <w:pPr>
        <w:tabs>
          <w:tab w:val="num" w:pos="3600"/>
        </w:tabs>
        <w:ind w:left="3600" w:hanging="360"/>
      </w:pPr>
      <w:rPr>
        <w:rFonts w:ascii="Wingdings" w:hAnsi="Wingdings" w:hint="default"/>
      </w:rPr>
    </w:lvl>
    <w:lvl w:ilvl="5" w:tplc="46BE7D82" w:tentative="1">
      <w:start w:val="1"/>
      <w:numFmt w:val="bullet"/>
      <w:lvlText w:val=""/>
      <w:lvlJc w:val="left"/>
      <w:pPr>
        <w:tabs>
          <w:tab w:val="num" w:pos="4320"/>
        </w:tabs>
        <w:ind w:left="4320" w:hanging="360"/>
      </w:pPr>
      <w:rPr>
        <w:rFonts w:ascii="Wingdings" w:hAnsi="Wingdings" w:hint="default"/>
      </w:rPr>
    </w:lvl>
    <w:lvl w:ilvl="6" w:tplc="41780878" w:tentative="1">
      <w:start w:val="1"/>
      <w:numFmt w:val="bullet"/>
      <w:lvlText w:val=""/>
      <w:lvlJc w:val="left"/>
      <w:pPr>
        <w:tabs>
          <w:tab w:val="num" w:pos="5040"/>
        </w:tabs>
        <w:ind w:left="5040" w:hanging="360"/>
      </w:pPr>
      <w:rPr>
        <w:rFonts w:ascii="Wingdings" w:hAnsi="Wingdings" w:hint="default"/>
      </w:rPr>
    </w:lvl>
    <w:lvl w:ilvl="7" w:tplc="591CFCA0" w:tentative="1">
      <w:start w:val="1"/>
      <w:numFmt w:val="bullet"/>
      <w:lvlText w:val=""/>
      <w:lvlJc w:val="left"/>
      <w:pPr>
        <w:tabs>
          <w:tab w:val="num" w:pos="5760"/>
        </w:tabs>
        <w:ind w:left="5760" w:hanging="360"/>
      </w:pPr>
      <w:rPr>
        <w:rFonts w:ascii="Wingdings" w:hAnsi="Wingdings" w:hint="default"/>
      </w:rPr>
    </w:lvl>
    <w:lvl w:ilvl="8" w:tplc="4510D8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22E9F"/>
    <w:multiLevelType w:val="hybridMultilevel"/>
    <w:tmpl w:val="8F40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4619D"/>
    <w:multiLevelType w:val="hybridMultilevel"/>
    <w:tmpl w:val="01300C04"/>
    <w:lvl w:ilvl="0" w:tplc="38601C92">
      <w:start w:val="1"/>
      <w:numFmt w:val="bullet"/>
      <w:lvlText w:val=""/>
      <w:lvlJc w:val="left"/>
      <w:pPr>
        <w:tabs>
          <w:tab w:val="num" w:pos="720"/>
        </w:tabs>
        <w:ind w:left="720" w:hanging="360"/>
      </w:pPr>
      <w:rPr>
        <w:rFonts w:ascii="Wingdings" w:hAnsi="Wingdings" w:hint="default"/>
      </w:rPr>
    </w:lvl>
    <w:lvl w:ilvl="1" w:tplc="81F2C2B6" w:tentative="1">
      <w:start w:val="1"/>
      <w:numFmt w:val="bullet"/>
      <w:lvlText w:val=""/>
      <w:lvlJc w:val="left"/>
      <w:pPr>
        <w:tabs>
          <w:tab w:val="num" w:pos="1440"/>
        </w:tabs>
        <w:ind w:left="1440" w:hanging="360"/>
      </w:pPr>
      <w:rPr>
        <w:rFonts w:ascii="Wingdings" w:hAnsi="Wingdings" w:hint="default"/>
      </w:rPr>
    </w:lvl>
    <w:lvl w:ilvl="2" w:tplc="411E79E0" w:tentative="1">
      <w:start w:val="1"/>
      <w:numFmt w:val="bullet"/>
      <w:lvlText w:val=""/>
      <w:lvlJc w:val="left"/>
      <w:pPr>
        <w:tabs>
          <w:tab w:val="num" w:pos="2160"/>
        </w:tabs>
        <w:ind w:left="2160" w:hanging="360"/>
      </w:pPr>
      <w:rPr>
        <w:rFonts w:ascii="Wingdings" w:hAnsi="Wingdings" w:hint="default"/>
      </w:rPr>
    </w:lvl>
    <w:lvl w:ilvl="3" w:tplc="2D881DBC" w:tentative="1">
      <w:start w:val="1"/>
      <w:numFmt w:val="bullet"/>
      <w:lvlText w:val=""/>
      <w:lvlJc w:val="left"/>
      <w:pPr>
        <w:tabs>
          <w:tab w:val="num" w:pos="2880"/>
        </w:tabs>
        <w:ind w:left="2880" w:hanging="360"/>
      </w:pPr>
      <w:rPr>
        <w:rFonts w:ascii="Wingdings" w:hAnsi="Wingdings" w:hint="default"/>
      </w:rPr>
    </w:lvl>
    <w:lvl w:ilvl="4" w:tplc="05A63300" w:tentative="1">
      <w:start w:val="1"/>
      <w:numFmt w:val="bullet"/>
      <w:lvlText w:val=""/>
      <w:lvlJc w:val="left"/>
      <w:pPr>
        <w:tabs>
          <w:tab w:val="num" w:pos="3600"/>
        </w:tabs>
        <w:ind w:left="3600" w:hanging="360"/>
      </w:pPr>
      <w:rPr>
        <w:rFonts w:ascii="Wingdings" w:hAnsi="Wingdings" w:hint="default"/>
      </w:rPr>
    </w:lvl>
    <w:lvl w:ilvl="5" w:tplc="0572566A" w:tentative="1">
      <w:start w:val="1"/>
      <w:numFmt w:val="bullet"/>
      <w:lvlText w:val=""/>
      <w:lvlJc w:val="left"/>
      <w:pPr>
        <w:tabs>
          <w:tab w:val="num" w:pos="4320"/>
        </w:tabs>
        <w:ind w:left="4320" w:hanging="360"/>
      </w:pPr>
      <w:rPr>
        <w:rFonts w:ascii="Wingdings" w:hAnsi="Wingdings" w:hint="default"/>
      </w:rPr>
    </w:lvl>
    <w:lvl w:ilvl="6" w:tplc="94A4C688" w:tentative="1">
      <w:start w:val="1"/>
      <w:numFmt w:val="bullet"/>
      <w:lvlText w:val=""/>
      <w:lvlJc w:val="left"/>
      <w:pPr>
        <w:tabs>
          <w:tab w:val="num" w:pos="5040"/>
        </w:tabs>
        <w:ind w:left="5040" w:hanging="360"/>
      </w:pPr>
      <w:rPr>
        <w:rFonts w:ascii="Wingdings" w:hAnsi="Wingdings" w:hint="default"/>
      </w:rPr>
    </w:lvl>
    <w:lvl w:ilvl="7" w:tplc="D3D4F15C" w:tentative="1">
      <w:start w:val="1"/>
      <w:numFmt w:val="bullet"/>
      <w:lvlText w:val=""/>
      <w:lvlJc w:val="left"/>
      <w:pPr>
        <w:tabs>
          <w:tab w:val="num" w:pos="5760"/>
        </w:tabs>
        <w:ind w:left="5760" w:hanging="360"/>
      </w:pPr>
      <w:rPr>
        <w:rFonts w:ascii="Wingdings" w:hAnsi="Wingdings" w:hint="default"/>
      </w:rPr>
    </w:lvl>
    <w:lvl w:ilvl="8" w:tplc="07708FB8"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 w:ilvl="0">
        <w:numFmt w:val="bullet"/>
        <w:lvlText w:val=""/>
        <w:legacy w:legacy="1" w:legacySpace="0" w:legacyIndent="0"/>
        <w:lvlJc w:val="left"/>
        <w:rPr>
          <w:rFonts w:ascii="Wingdings" w:hAnsi="Wingdings" w:hint="default"/>
          <w:sz w:val="30"/>
        </w:rPr>
      </w:lvl>
    </w:lvlOverride>
  </w:num>
  <w:num w:numId="2">
    <w:abstractNumId w:val="9"/>
    <w:lvlOverride w:ilvl="0">
      <w:lvl w:ilvl="0">
        <w:numFmt w:val="bullet"/>
        <w:lvlText w:val="•"/>
        <w:legacy w:legacy="1" w:legacySpace="0" w:legacyIndent="0"/>
        <w:lvlJc w:val="left"/>
        <w:rPr>
          <w:rFonts w:ascii="Arial" w:hAnsi="Arial" w:hint="default"/>
          <w:sz w:val="28"/>
        </w:rPr>
      </w:lvl>
    </w:lvlOverride>
  </w:num>
  <w:num w:numId="3">
    <w:abstractNumId w:val="12"/>
  </w:num>
  <w:num w:numId="4">
    <w:abstractNumId w:val="26"/>
  </w:num>
  <w:num w:numId="5">
    <w:abstractNumId w:val="23"/>
  </w:num>
  <w:num w:numId="6">
    <w:abstractNumId w:val="18"/>
  </w:num>
  <w:num w:numId="7">
    <w:abstractNumId w:val="16"/>
  </w:num>
  <w:num w:numId="8">
    <w:abstractNumId w:val="2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21"/>
  </w:num>
  <w:num w:numId="20">
    <w:abstractNumId w:val="24"/>
  </w:num>
  <w:num w:numId="21">
    <w:abstractNumId w:val="15"/>
  </w:num>
  <w:num w:numId="22">
    <w:abstractNumId w:val="13"/>
  </w:num>
  <w:num w:numId="23">
    <w:abstractNumId w:val="17"/>
  </w:num>
  <w:num w:numId="24">
    <w:abstractNumId w:val="10"/>
  </w:num>
  <w:num w:numId="25">
    <w:abstractNumId w:val="27"/>
  </w:num>
  <w:num w:numId="26">
    <w:abstractNumId w:val="11"/>
  </w:num>
  <w:num w:numId="27">
    <w:abstractNumId w:val="25"/>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43"/>
    <w:rsid w:val="001A1443"/>
    <w:rsid w:val="001A6DF7"/>
    <w:rsid w:val="002C1CE1"/>
    <w:rsid w:val="002C2662"/>
    <w:rsid w:val="002E1ECB"/>
    <w:rsid w:val="00372746"/>
    <w:rsid w:val="0046621B"/>
    <w:rsid w:val="005C1B50"/>
    <w:rsid w:val="007B7F2C"/>
    <w:rsid w:val="008E06BC"/>
    <w:rsid w:val="009C54D6"/>
    <w:rsid w:val="00A65B8F"/>
    <w:rsid w:val="00B86CF5"/>
    <w:rsid w:val="00BC2B17"/>
    <w:rsid w:val="00CE41F1"/>
    <w:rsid w:val="00DA5E30"/>
    <w:rsid w:val="00FA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05379"/>
  <w14:defaultImageDpi w14:val="0"/>
  <w15:docId w15:val="{04710A0C-4B2C-4C0C-AF6E-14914294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sz w:val="32"/>
      <w:szCs w:val="32"/>
    </w:rPr>
  </w:style>
  <w:style w:type="paragraph" w:styleId="Heading2">
    <w:name w:val="heading 2"/>
    <w:basedOn w:val="Normal"/>
    <w:next w:val="Normal"/>
    <w:link w:val="Heading2Char"/>
    <w:uiPriority w:val="99"/>
    <w:qFormat/>
    <w:rsid w:val="001A6DF7"/>
    <w:pPr>
      <w:widowControl w:val="0"/>
      <w:autoSpaceDE w:val="0"/>
      <w:autoSpaceDN w:val="0"/>
      <w:adjustRightInd w:val="0"/>
      <w:spacing w:after="120" w:line="240" w:lineRule="auto"/>
      <w:ind w:left="302" w:hanging="302"/>
      <w:outlineLvl w:val="1"/>
    </w:pPr>
    <w:rPr>
      <w:rFonts w:ascii="Arial" w:hAnsi="Arial" w:cs="Arial"/>
      <w:b/>
      <w:bCs/>
      <w:color w:val="002060"/>
      <w:sz w:val="36"/>
      <w:szCs w:val="36"/>
    </w:rPr>
  </w:style>
  <w:style w:type="paragraph" w:styleId="Heading3">
    <w:name w:val="heading 3"/>
    <w:basedOn w:val="Heading1"/>
    <w:next w:val="Normal"/>
    <w:link w:val="Heading3Char"/>
    <w:uiPriority w:val="99"/>
    <w:qFormat/>
    <w:rsid w:val="00DA5E30"/>
    <w:pPr>
      <w:outlineLvl w:val="2"/>
    </w:pPr>
    <w:rPr>
      <w:rFonts w:ascii="Arial" w:hAnsi="Arial" w:cs="Arial"/>
      <w:b/>
      <w:bCs/>
      <w:color w:val="002060"/>
      <w:sz w:val="30"/>
      <w:szCs w:val="3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sid w:val="001A6DF7"/>
    <w:rPr>
      <w:rFonts w:ascii="Arial" w:hAnsi="Arial" w:cs="Arial"/>
      <w:b/>
      <w:bCs/>
      <w:color w:val="002060"/>
      <w:sz w:val="36"/>
      <w:szCs w:val="36"/>
    </w:rPr>
  </w:style>
  <w:style w:type="character" w:customStyle="1" w:styleId="Heading3Char">
    <w:name w:val="Heading 3 Char"/>
    <w:basedOn w:val="DefaultParagraphFont"/>
    <w:link w:val="Heading3"/>
    <w:uiPriority w:val="99"/>
    <w:locked/>
    <w:rsid w:val="00DA5E30"/>
    <w:rPr>
      <w:rFonts w:ascii="Arial" w:hAnsi="Arial" w:cs="Arial"/>
      <w:b/>
      <w:bCs/>
      <w:color w:val="002060"/>
      <w:sz w:val="30"/>
      <w:szCs w:val="30"/>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rmalWeb">
    <w:name w:val="Normal (Web)"/>
    <w:basedOn w:val="Normal"/>
    <w:uiPriority w:val="99"/>
    <w:semiHidden/>
    <w:unhideWhenUsed/>
    <w:rsid w:val="001A144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A1443"/>
    <w:pPr>
      <w:spacing w:after="0" w:line="240" w:lineRule="auto"/>
      <w:ind w:left="720"/>
      <w:contextualSpacing/>
    </w:pPr>
    <w:rPr>
      <w:rFonts w:ascii="Times New Roman" w:hAnsi="Times New Roman"/>
      <w:sz w:val="24"/>
      <w:szCs w:val="24"/>
    </w:rPr>
  </w:style>
  <w:style w:type="character" w:styleId="SubtleEmphasis">
    <w:name w:val="Subtle Emphasis"/>
    <w:basedOn w:val="DefaultParagraphFont"/>
    <w:uiPriority w:val="19"/>
    <w:qFormat/>
    <w:rsid w:val="007B7F2C"/>
    <w:rPr>
      <w:rFonts w:cs="Times New Roman"/>
      <w:i/>
      <w:iCs/>
      <w:color w:val="808080" w:themeColor="text1" w:themeTint="7F"/>
    </w:rPr>
  </w:style>
  <w:style w:type="table" w:styleId="TableGrid">
    <w:name w:val="Table Grid"/>
    <w:basedOn w:val="TableNormal"/>
    <w:uiPriority w:val="59"/>
    <w:rsid w:val="00CE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3291">
      <w:bodyDiv w:val="1"/>
      <w:marLeft w:val="0"/>
      <w:marRight w:val="0"/>
      <w:marTop w:val="0"/>
      <w:marBottom w:val="0"/>
      <w:divBdr>
        <w:top w:val="none" w:sz="0" w:space="0" w:color="auto"/>
        <w:left w:val="none" w:sz="0" w:space="0" w:color="auto"/>
        <w:bottom w:val="none" w:sz="0" w:space="0" w:color="auto"/>
        <w:right w:val="none" w:sz="0" w:space="0" w:color="auto"/>
      </w:divBdr>
    </w:div>
    <w:div w:id="371343460">
      <w:bodyDiv w:val="1"/>
      <w:marLeft w:val="0"/>
      <w:marRight w:val="0"/>
      <w:marTop w:val="0"/>
      <w:marBottom w:val="0"/>
      <w:divBdr>
        <w:top w:val="none" w:sz="0" w:space="0" w:color="auto"/>
        <w:left w:val="none" w:sz="0" w:space="0" w:color="auto"/>
        <w:bottom w:val="none" w:sz="0" w:space="0" w:color="auto"/>
        <w:right w:val="none" w:sz="0" w:space="0" w:color="auto"/>
      </w:divBdr>
    </w:div>
    <w:div w:id="419370783">
      <w:bodyDiv w:val="1"/>
      <w:marLeft w:val="0"/>
      <w:marRight w:val="0"/>
      <w:marTop w:val="0"/>
      <w:marBottom w:val="0"/>
      <w:divBdr>
        <w:top w:val="none" w:sz="0" w:space="0" w:color="auto"/>
        <w:left w:val="none" w:sz="0" w:space="0" w:color="auto"/>
        <w:bottom w:val="none" w:sz="0" w:space="0" w:color="auto"/>
        <w:right w:val="none" w:sz="0" w:space="0" w:color="auto"/>
      </w:divBdr>
      <w:divsChild>
        <w:div w:id="1752921634">
          <w:marLeft w:val="446"/>
          <w:marRight w:val="0"/>
          <w:marTop w:val="0"/>
          <w:marBottom w:val="120"/>
          <w:divBdr>
            <w:top w:val="none" w:sz="0" w:space="0" w:color="auto"/>
            <w:left w:val="none" w:sz="0" w:space="0" w:color="auto"/>
            <w:bottom w:val="none" w:sz="0" w:space="0" w:color="auto"/>
            <w:right w:val="none" w:sz="0" w:space="0" w:color="auto"/>
          </w:divBdr>
        </w:div>
        <w:div w:id="24066519">
          <w:marLeft w:val="446"/>
          <w:marRight w:val="0"/>
          <w:marTop w:val="0"/>
          <w:marBottom w:val="120"/>
          <w:divBdr>
            <w:top w:val="none" w:sz="0" w:space="0" w:color="auto"/>
            <w:left w:val="none" w:sz="0" w:space="0" w:color="auto"/>
            <w:bottom w:val="none" w:sz="0" w:space="0" w:color="auto"/>
            <w:right w:val="none" w:sz="0" w:space="0" w:color="auto"/>
          </w:divBdr>
        </w:div>
        <w:div w:id="75133011">
          <w:marLeft w:val="446"/>
          <w:marRight w:val="0"/>
          <w:marTop w:val="0"/>
          <w:marBottom w:val="120"/>
          <w:divBdr>
            <w:top w:val="none" w:sz="0" w:space="0" w:color="auto"/>
            <w:left w:val="none" w:sz="0" w:space="0" w:color="auto"/>
            <w:bottom w:val="none" w:sz="0" w:space="0" w:color="auto"/>
            <w:right w:val="none" w:sz="0" w:space="0" w:color="auto"/>
          </w:divBdr>
        </w:div>
        <w:div w:id="332532346">
          <w:marLeft w:val="446"/>
          <w:marRight w:val="0"/>
          <w:marTop w:val="0"/>
          <w:marBottom w:val="120"/>
          <w:divBdr>
            <w:top w:val="none" w:sz="0" w:space="0" w:color="auto"/>
            <w:left w:val="none" w:sz="0" w:space="0" w:color="auto"/>
            <w:bottom w:val="none" w:sz="0" w:space="0" w:color="auto"/>
            <w:right w:val="none" w:sz="0" w:space="0" w:color="auto"/>
          </w:divBdr>
        </w:div>
        <w:div w:id="1132672738">
          <w:marLeft w:val="446"/>
          <w:marRight w:val="0"/>
          <w:marTop w:val="0"/>
          <w:marBottom w:val="120"/>
          <w:divBdr>
            <w:top w:val="none" w:sz="0" w:space="0" w:color="auto"/>
            <w:left w:val="none" w:sz="0" w:space="0" w:color="auto"/>
            <w:bottom w:val="none" w:sz="0" w:space="0" w:color="auto"/>
            <w:right w:val="none" w:sz="0" w:space="0" w:color="auto"/>
          </w:divBdr>
        </w:div>
      </w:divsChild>
    </w:div>
    <w:div w:id="468397681">
      <w:marLeft w:val="0"/>
      <w:marRight w:val="0"/>
      <w:marTop w:val="0"/>
      <w:marBottom w:val="0"/>
      <w:divBdr>
        <w:top w:val="none" w:sz="0" w:space="0" w:color="auto"/>
        <w:left w:val="none" w:sz="0" w:space="0" w:color="auto"/>
        <w:bottom w:val="none" w:sz="0" w:space="0" w:color="auto"/>
        <w:right w:val="none" w:sz="0" w:space="0" w:color="auto"/>
      </w:divBdr>
    </w:div>
    <w:div w:id="468397682">
      <w:marLeft w:val="0"/>
      <w:marRight w:val="0"/>
      <w:marTop w:val="0"/>
      <w:marBottom w:val="0"/>
      <w:divBdr>
        <w:top w:val="none" w:sz="0" w:space="0" w:color="auto"/>
        <w:left w:val="none" w:sz="0" w:space="0" w:color="auto"/>
        <w:bottom w:val="none" w:sz="0" w:space="0" w:color="auto"/>
        <w:right w:val="none" w:sz="0" w:space="0" w:color="auto"/>
      </w:divBdr>
    </w:div>
    <w:div w:id="468397684">
      <w:marLeft w:val="0"/>
      <w:marRight w:val="0"/>
      <w:marTop w:val="0"/>
      <w:marBottom w:val="0"/>
      <w:divBdr>
        <w:top w:val="none" w:sz="0" w:space="0" w:color="auto"/>
        <w:left w:val="none" w:sz="0" w:space="0" w:color="auto"/>
        <w:bottom w:val="none" w:sz="0" w:space="0" w:color="auto"/>
        <w:right w:val="none" w:sz="0" w:space="0" w:color="auto"/>
      </w:divBdr>
    </w:div>
    <w:div w:id="468397686">
      <w:marLeft w:val="0"/>
      <w:marRight w:val="0"/>
      <w:marTop w:val="0"/>
      <w:marBottom w:val="0"/>
      <w:divBdr>
        <w:top w:val="none" w:sz="0" w:space="0" w:color="auto"/>
        <w:left w:val="none" w:sz="0" w:space="0" w:color="auto"/>
        <w:bottom w:val="none" w:sz="0" w:space="0" w:color="auto"/>
        <w:right w:val="none" w:sz="0" w:space="0" w:color="auto"/>
      </w:divBdr>
      <w:divsChild>
        <w:div w:id="468397683">
          <w:marLeft w:val="446"/>
          <w:marRight w:val="0"/>
          <w:marTop w:val="0"/>
          <w:marBottom w:val="240"/>
          <w:divBdr>
            <w:top w:val="none" w:sz="0" w:space="0" w:color="auto"/>
            <w:left w:val="none" w:sz="0" w:space="0" w:color="auto"/>
            <w:bottom w:val="none" w:sz="0" w:space="0" w:color="auto"/>
            <w:right w:val="none" w:sz="0" w:space="0" w:color="auto"/>
          </w:divBdr>
        </w:div>
        <w:div w:id="468397689">
          <w:marLeft w:val="446"/>
          <w:marRight w:val="0"/>
          <w:marTop w:val="0"/>
          <w:marBottom w:val="240"/>
          <w:divBdr>
            <w:top w:val="none" w:sz="0" w:space="0" w:color="auto"/>
            <w:left w:val="none" w:sz="0" w:space="0" w:color="auto"/>
            <w:bottom w:val="none" w:sz="0" w:space="0" w:color="auto"/>
            <w:right w:val="none" w:sz="0" w:space="0" w:color="auto"/>
          </w:divBdr>
        </w:div>
        <w:div w:id="468397696">
          <w:marLeft w:val="446"/>
          <w:marRight w:val="0"/>
          <w:marTop w:val="0"/>
          <w:marBottom w:val="240"/>
          <w:divBdr>
            <w:top w:val="none" w:sz="0" w:space="0" w:color="auto"/>
            <w:left w:val="none" w:sz="0" w:space="0" w:color="auto"/>
            <w:bottom w:val="none" w:sz="0" w:space="0" w:color="auto"/>
            <w:right w:val="none" w:sz="0" w:space="0" w:color="auto"/>
          </w:divBdr>
        </w:div>
        <w:div w:id="468397703">
          <w:marLeft w:val="446"/>
          <w:marRight w:val="0"/>
          <w:marTop w:val="0"/>
          <w:marBottom w:val="240"/>
          <w:divBdr>
            <w:top w:val="none" w:sz="0" w:space="0" w:color="auto"/>
            <w:left w:val="none" w:sz="0" w:space="0" w:color="auto"/>
            <w:bottom w:val="none" w:sz="0" w:space="0" w:color="auto"/>
            <w:right w:val="none" w:sz="0" w:space="0" w:color="auto"/>
          </w:divBdr>
        </w:div>
        <w:div w:id="468397712">
          <w:marLeft w:val="446"/>
          <w:marRight w:val="0"/>
          <w:marTop w:val="0"/>
          <w:marBottom w:val="240"/>
          <w:divBdr>
            <w:top w:val="none" w:sz="0" w:space="0" w:color="auto"/>
            <w:left w:val="none" w:sz="0" w:space="0" w:color="auto"/>
            <w:bottom w:val="none" w:sz="0" w:space="0" w:color="auto"/>
            <w:right w:val="none" w:sz="0" w:space="0" w:color="auto"/>
          </w:divBdr>
        </w:div>
        <w:div w:id="468397718">
          <w:marLeft w:val="446"/>
          <w:marRight w:val="0"/>
          <w:marTop w:val="0"/>
          <w:marBottom w:val="240"/>
          <w:divBdr>
            <w:top w:val="none" w:sz="0" w:space="0" w:color="auto"/>
            <w:left w:val="none" w:sz="0" w:space="0" w:color="auto"/>
            <w:bottom w:val="none" w:sz="0" w:space="0" w:color="auto"/>
            <w:right w:val="none" w:sz="0" w:space="0" w:color="auto"/>
          </w:divBdr>
        </w:div>
      </w:divsChild>
    </w:div>
    <w:div w:id="468397690">
      <w:marLeft w:val="0"/>
      <w:marRight w:val="0"/>
      <w:marTop w:val="0"/>
      <w:marBottom w:val="0"/>
      <w:divBdr>
        <w:top w:val="none" w:sz="0" w:space="0" w:color="auto"/>
        <w:left w:val="none" w:sz="0" w:space="0" w:color="auto"/>
        <w:bottom w:val="none" w:sz="0" w:space="0" w:color="auto"/>
        <w:right w:val="none" w:sz="0" w:space="0" w:color="auto"/>
      </w:divBdr>
    </w:div>
    <w:div w:id="468397693">
      <w:marLeft w:val="0"/>
      <w:marRight w:val="0"/>
      <w:marTop w:val="0"/>
      <w:marBottom w:val="0"/>
      <w:divBdr>
        <w:top w:val="none" w:sz="0" w:space="0" w:color="auto"/>
        <w:left w:val="none" w:sz="0" w:space="0" w:color="auto"/>
        <w:bottom w:val="none" w:sz="0" w:space="0" w:color="auto"/>
        <w:right w:val="none" w:sz="0" w:space="0" w:color="auto"/>
      </w:divBdr>
    </w:div>
    <w:div w:id="468397694">
      <w:marLeft w:val="0"/>
      <w:marRight w:val="0"/>
      <w:marTop w:val="0"/>
      <w:marBottom w:val="0"/>
      <w:divBdr>
        <w:top w:val="none" w:sz="0" w:space="0" w:color="auto"/>
        <w:left w:val="none" w:sz="0" w:space="0" w:color="auto"/>
        <w:bottom w:val="none" w:sz="0" w:space="0" w:color="auto"/>
        <w:right w:val="none" w:sz="0" w:space="0" w:color="auto"/>
      </w:divBdr>
    </w:div>
    <w:div w:id="468397695">
      <w:marLeft w:val="0"/>
      <w:marRight w:val="0"/>
      <w:marTop w:val="0"/>
      <w:marBottom w:val="0"/>
      <w:divBdr>
        <w:top w:val="none" w:sz="0" w:space="0" w:color="auto"/>
        <w:left w:val="none" w:sz="0" w:space="0" w:color="auto"/>
        <w:bottom w:val="none" w:sz="0" w:space="0" w:color="auto"/>
        <w:right w:val="none" w:sz="0" w:space="0" w:color="auto"/>
      </w:divBdr>
      <w:divsChild>
        <w:div w:id="468397691">
          <w:marLeft w:val="533"/>
          <w:marRight w:val="0"/>
          <w:marTop w:val="0"/>
          <w:marBottom w:val="240"/>
          <w:divBdr>
            <w:top w:val="none" w:sz="0" w:space="0" w:color="auto"/>
            <w:left w:val="none" w:sz="0" w:space="0" w:color="auto"/>
            <w:bottom w:val="none" w:sz="0" w:space="0" w:color="auto"/>
            <w:right w:val="none" w:sz="0" w:space="0" w:color="auto"/>
          </w:divBdr>
        </w:div>
        <w:div w:id="468397707">
          <w:marLeft w:val="533"/>
          <w:marRight w:val="0"/>
          <w:marTop w:val="0"/>
          <w:marBottom w:val="240"/>
          <w:divBdr>
            <w:top w:val="none" w:sz="0" w:space="0" w:color="auto"/>
            <w:left w:val="none" w:sz="0" w:space="0" w:color="auto"/>
            <w:bottom w:val="none" w:sz="0" w:space="0" w:color="auto"/>
            <w:right w:val="none" w:sz="0" w:space="0" w:color="auto"/>
          </w:divBdr>
        </w:div>
        <w:div w:id="468397709">
          <w:marLeft w:val="533"/>
          <w:marRight w:val="0"/>
          <w:marTop w:val="0"/>
          <w:marBottom w:val="240"/>
          <w:divBdr>
            <w:top w:val="none" w:sz="0" w:space="0" w:color="auto"/>
            <w:left w:val="none" w:sz="0" w:space="0" w:color="auto"/>
            <w:bottom w:val="none" w:sz="0" w:space="0" w:color="auto"/>
            <w:right w:val="none" w:sz="0" w:space="0" w:color="auto"/>
          </w:divBdr>
        </w:div>
        <w:div w:id="468397710">
          <w:marLeft w:val="533"/>
          <w:marRight w:val="0"/>
          <w:marTop w:val="0"/>
          <w:marBottom w:val="240"/>
          <w:divBdr>
            <w:top w:val="none" w:sz="0" w:space="0" w:color="auto"/>
            <w:left w:val="none" w:sz="0" w:space="0" w:color="auto"/>
            <w:bottom w:val="none" w:sz="0" w:space="0" w:color="auto"/>
            <w:right w:val="none" w:sz="0" w:space="0" w:color="auto"/>
          </w:divBdr>
        </w:div>
        <w:div w:id="468397715">
          <w:marLeft w:val="533"/>
          <w:marRight w:val="0"/>
          <w:marTop w:val="0"/>
          <w:marBottom w:val="240"/>
          <w:divBdr>
            <w:top w:val="none" w:sz="0" w:space="0" w:color="auto"/>
            <w:left w:val="none" w:sz="0" w:space="0" w:color="auto"/>
            <w:bottom w:val="none" w:sz="0" w:space="0" w:color="auto"/>
            <w:right w:val="none" w:sz="0" w:space="0" w:color="auto"/>
          </w:divBdr>
        </w:div>
      </w:divsChild>
    </w:div>
    <w:div w:id="468397701">
      <w:marLeft w:val="0"/>
      <w:marRight w:val="0"/>
      <w:marTop w:val="0"/>
      <w:marBottom w:val="0"/>
      <w:divBdr>
        <w:top w:val="none" w:sz="0" w:space="0" w:color="auto"/>
        <w:left w:val="none" w:sz="0" w:space="0" w:color="auto"/>
        <w:bottom w:val="none" w:sz="0" w:space="0" w:color="auto"/>
        <w:right w:val="none" w:sz="0" w:space="0" w:color="auto"/>
      </w:divBdr>
    </w:div>
    <w:div w:id="468397702">
      <w:marLeft w:val="0"/>
      <w:marRight w:val="0"/>
      <w:marTop w:val="0"/>
      <w:marBottom w:val="0"/>
      <w:divBdr>
        <w:top w:val="none" w:sz="0" w:space="0" w:color="auto"/>
        <w:left w:val="none" w:sz="0" w:space="0" w:color="auto"/>
        <w:bottom w:val="none" w:sz="0" w:space="0" w:color="auto"/>
        <w:right w:val="none" w:sz="0" w:space="0" w:color="auto"/>
      </w:divBdr>
    </w:div>
    <w:div w:id="468397704">
      <w:marLeft w:val="0"/>
      <w:marRight w:val="0"/>
      <w:marTop w:val="0"/>
      <w:marBottom w:val="0"/>
      <w:divBdr>
        <w:top w:val="none" w:sz="0" w:space="0" w:color="auto"/>
        <w:left w:val="none" w:sz="0" w:space="0" w:color="auto"/>
        <w:bottom w:val="none" w:sz="0" w:space="0" w:color="auto"/>
        <w:right w:val="none" w:sz="0" w:space="0" w:color="auto"/>
      </w:divBdr>
    </w:div>
    <w:div w:id="468397705">
      <w:marLeft w:val="0"/>
      <w:marRight w:val="0"/>
      <w:marTop w:val="0"/>
      <w:marBottom w:val="0"/>
      <w:divBdr>
        <w:top w:val="none" w:sz="0" w:space="0" w:color="auto"/>
        <w:left w:val="none" w:sz="0" w:space="0" w:color="auto"/>
        <w:bottom w:val="none" w:sz="0" w:space="0" w:color="auto"/>
        <w:right w:val="none" w:sz="0" w:space="0" w:color="auto"/>
      </w:divBdr>
      <w:divsChild>
        <w:div w:id="468397680">
          <w:marLeft w:val="821"/>
          <w:marRight w:val="0"/>
          <w:marTop w:val="0"/>
          <w:marBottom w:val="0"/>
          <w:divBdr>
            <w:top w:val="none" w:sz="0" w:space="0" w:color="auto"/>
            <w:left w:val="none" w:sz="0" w:space="0" w:color="auto"/>
            <w:bottom w:val="none" w:sz="0" w:space="0" w:color="auto"/>
            <w:right w:val="none" w:sz="0" w:space="0" w:color="auto"/>
          </w:divBdr>
        </w:div>
        <w:div w:id="468397687">
          <w:marLeft w:val="821"/>
          <w:marRight w:val="0"/>
          <w:marTop w:val="0"/>
          <w:marBottom w:val="0"/>
          <w:divBdr>
            <w:top w:val="none" w:sz="0" w:space="0" w:color="auto"/>
            <w:left w:val="none" w:sz="0" w:space="0" w:color="auto"/>
            <w:bottom w:val="none" w:sz="0" w:space="0" w:color="auto"/>
            <w:right w:val="none" w:sz="0" w:space="0" w:color="auto"/>
          </w:divBdr>
        </w:div>
        <w:div w:id="468397692">
          <w:marLeft w:val="821"/>
          <w:marRight w:val="0"/>
          <w:marTop w:val="0"/>
          <w:marBottom w:val="0"/>
          <w:divBdr>
            <w:top w:val="none" w:sz="0" w:space="0" w:color="auto"/>
            <w:left w:val="none" w:sz="0" w:space="0" w:color="auto"/>
            <w:bottom w:val="none" w:sz="0" w:space="0" w:color="auto"/>
            <w:right w:val="none" w:sz="0" w:space="0" w:color="auto"/>
          </w:divBdr>
        </w:div>
        <w:div w:id="468397699">
          <w:marLeft w:val="821"/>
          <w:marRight w:val="0"/>
          <w:marTop w:val="0"/>
          <w:marBottom w:val="0"/>
          <w:divBdr>
            <w:top w:val="none" w:sz="0" w:space="0" w:color="auto"/>
            <w:left w:val="none" w:sz="0" w:space="0" w:color="auto"/>
            <w:bottom w:val="none" w:sz="0" w:space="0" w:color="auto"/>
            <w:right w:val="none" w:sz="0" w:space="0" w:color="auto"/>
          </w:divBdr>
        </w:div>
        <w:div w:id="468397700">
          <w:marLeft w:val="821"/>
          <w:marRight w:val="0"/>
          <w:marTop w:val="0"/>
          <w:marBottom w:val="0"/>
          <w:divBdr>
            <w:top w:val="none" w:sz="0" w:space="0" w:color="auto"/>
            <w:left w:val="none" w:sz="0" w:space="0" w:color="auto"/>
            <w:bottom w:val="none" w:sz="0" w:space="0" w:color="auto"/>
            <w:right w:val="none" w:sz="0" w:space="0" w:color="auto"/>
          </w:divBdr>
        </w:div>
        <w:div w:id="468397708">
          <w:marLeft w:val="821"/>
          <w:marRight w:val="0"/>
          <w:marTop w:val="0"/>
          <w:marBottom w:val="0"/>
          <w:divBdr>
            <w:top w:val="none" w:sz="0" w:space="0" w:color="auto"/>
            <w:left w:val="none" w:sz="0" w:space="0" w:color="auto"/>
            <w:bottom w:val="none" w:sz="0" w:space="0" w:color="auto"/>
            <w:right w:val="none" w:sz="0" w:space="0" w:color="auto"/>
          </w:divBdr>
        </w:div>
        <w:div w:id="468397720">
          <w:marLeft w:val="446"/>
          <w:marRight w:val="0"/>
          <w:marTop w:val="0"/>
          <w:marBottom w:val="0"/>
          <w:divBdr>
            <w:top w:val="none" w:sz="0" w:space="0" w:color="auto"/>
            <w:left w:val="none" w:sz="0" w:space="0" w:color="auto"/>
            <w:bottom w:val="none" w:sz="0" w:space="0" w:color="auto"/>
            <w:right w:val="none" w:sz="0" w:space="0" w:color="auto"/>
          </w:divBdr>
        </w:div>
        <w:div w:id="468397721">
          <w:marLeft w:val="446"/>
          <w:marRight w:val="0"/>
          <w:marTop w:val="0"/>
          <w:marBottom w:val="0"/>
          <w:divBdr>
            <w:top w:val="none" w:sz="0" w:space="0" w:color="auto"/>
            <w:left w:val="none" w:sz="0" w:space="0" w:color="auto"/>
            <w:bottom w:val="none" w:sz="0" w:space="0" w:color="auto"/>
            <w:right w:val="none" w:sz="0" w:space="0" w:color="auto"/>
          </w:divBdr>
        </w:div>
      </w:divsChild>
    </w:div>
    <w:div w:id="468397706">
      <w:marLeft w:val="0"/>
      <w:marRight w:val="0"/>
      <w:marTop w:val="0"/>
      <w:marBottom w:val="0"/>
      <w:divBdr>
        <w:top w:val="none" w:sz="0" w:space="0" w:color="auto"/>
        <w:left w:val="none" w:sz="0" w:space="0" w:color="auto"/>
        <w:bottom w:val="none" w:sz="0" w:space="0" w:color="auto"/>
        <w:right w:val="none" w:sz="0" w:space="0" w:color="auto"/>
      </w:divBdr>
      <w:divsChild>
        <w:div w:id="468397685">
          <w:marLeft w:val="446"/>
          <w:marRight w:val="0"/>
          <w:marTop w:val="0"/>
          <w:marBottom w:val="0"/>
          <w:divBdr>
            <w:top w:val="none" w:sz="0" w:space="0" w:color="auto"/>
            <w:left w:val="none" w:sz="0" w:space="0" w:color="auto"/>
            <w:bottom w:val="none" w:sz="0" w:space="0" w:color="auto"/>
            <w:right w:val="none" w:sz="0" w:space="0" w:color="auto"/>
          </w:divBdr>
        </w:div>
        <w:div w:id="468397688">
          <w:marLeft w:val="821"/>
          <w:marRight w:val="0"/>
          <w:marTop w:val="0"/>
          <w:marBottom w:val="0"/>
          <w:divBdr>
            <w:top w:val="none" w:sz="0" w:space="0" w:color="auto"/>
            <w:left w:val="none" w:sz="0" w:space="0" w:color="auto"/>
            <w:bottom w:val="none" w:sz="0" w:space="0" w:color="auto"/>
            <w:right w:val="none" w:sz="0" w:space="0" w:color="auto"/>
          </w:divBdr>
        </w:div>
        <w:div w:id="468397697">
          <w:marLeft w:val="821"/>
          <w:marRight w:val="0"/>
          <w:marTop w:val="0"/>
          <w:marBottom w:val="0"/>
          <w:divBdr>
            <w:top w:val="none" w:sz="0" w:space="0" w:color="auto"/>
            <w:left w:val="none" w:sz="0" w:space="0" w:color="auto"/>
            <w:bottom w:val="none" w:sz="0" w:space="0" w:color="auto"/>
            <w:right w:val="none" w:sz="0" w:space="0" w:color="auto"/>
          </w:divBdr>
        </w:div>
        <w:div w:id="468397698">
          <w:marLeft w:val="446"/>
          <w:marRight w:val="0"/>
          <w:marTop w:val="0"/>
          <w:marBottom w:val="0"/>
          <w:divBdr>
            <w:top w:val="none" w:sz="0" w:space="0" w:color="auto"/>
            <w:left w:val="none" w:sz="0" w:space="0" w:color="auto"/>
            <w:bottom w:val="none" w:sz="0" w:space="0" w:color="auto"/>
            <w:right w:val="none" w:sz="0" w:space="0" w:color="auto"/>
          </w:divBdr>
        </w:div>
        <w:div w:id="468397711">
          <w:marLeft w:val="821"/>
          <w:marRight w:val="0"/>
          <w:marTop w:val="0"/>
          <w:marBottom w:val="0"/>
          <w:divBdr>
            <w:top w:val="none" w:sz="0" w:space="0" w:color="auto"/>
            <w:left w:val="none" w:sz="0" w:space="0" w:color="auto"/>
            <w:bottom w:val="none" w:sz="0" w:space="0" w:color="auto"/>
            <w:right w:val="none" w:sz="0" w:space="0" w:color="auto"/>
          </w:divBdr>
        </w:div>
        <w:div w:id="468397714">
          <w:marLeft w:val="821"/>
          <w:marRight w:val="0"/>
          <w:marTop w:val="0"/>
          <w:marBottom w:val="0"/>
          <w:divBdr>
            <w:top w:val="none" w:sz="0" w:space="0" w:color="auto"/>
            <w:left w:val="none" w:sz="0" w:space="0" w:color="auto"/>
            <w:bottom w:val="none" w:sz="0" w:space="0" w:color="auto"/>
            <w:right w:val="none" w:sz="0" w:space="0" w:color="auto"/>
          </w:divBdr>
        </w:div>
        <w:div w:id="468397717">
          <w:marLeft w:val="821"/>
          <w:marRight w:val="0"/>
          <w:marTop w:val="0"/>
          <w:marBottom w:val="0"/>
          <w:divBdr>
            <w:top w:val="none" w:sz="0" w:space="0" w:color="auto"/>
            <w:left w:val="none" w:sz="0" w:space="0" w:color="auto"/>
            <w:bottom w:val="none" w:sz="0" w:space="0" w:color="auto"/>
            <w:right w:val="none" w:sz="0" w:space="0" w:color="auto"/>
          </w:divBdr>
        </w:div>
        <w:div w:id="468397719">
          <w:marLeft w:val="821"/>
          <w:marRight w:val="0"/>
          <w:marTop w:val="0"/>
          <w:marBottom w:val="0"/>
          <w:divBdr>
            <w:top w:val="none" w:sz="0" w:space="0" w:color="auto"/>
            <w:left w:val="none" w:sz="0" w:space="0" w:color="auto"/>
            <w:bottom w:val="none" w:sz="0" w:space="0" w:color="auto"/>
            <w:right w:val="none" w:sz="0" w:space="0" w:color="auto"/>
          </w:divBdr>
        </w:div>
      </w:divsChild>
    </w:div>
    <w:div w:id="468397713">
      <w:marLeft w:val="0"/>
      <w:marRight w:val="0"/>
      <w:marTop w:val="0"/>
      <w:marBottom w:val="0"/>
      <w:divBdr>
        <w:top w:val="none" w:sz="0" w:space="0" w:color="auto"/>
        <w:left w:val="none" w:sz="0" w:space="0" w:color="auto"/>
        <w:bottom w:val="none" w:sz="0" w:space="0" w:color="auto"/>
        <w:right w:val="none" w:sz="0" w:space="0" w:color="auto"/>
      </w:divBdr>
    </w:div>
    <w:div w:id="468397716">
      <w:marLeft w:val="0"/>
      <w:marRight w:val="0"/>
      <w:marTop w:val="0"/>
      <w:marBottom w:val="0"/>
      <w:divBdr>
        <w:top w:val="none" w:sz="0" w:space="0" w:color="auto"/>
        <w:left w:val="none" w:sz="0" w:space="0" w:color="auto"/>
        <w:bottom w:val="none" w:sz="0" w:space="0" w:color="auto"/>
        <w:right w:val="none" w:sz="0" w:space="0" w:color="auto"/>
      </w:divBdr>
    </w:div>
    <w:div w:id="468397722">
      <w:marLeft w:val="0"/>
      <w:marRight w:val="0"/>
      <w:marTop w:val="0"/>
      <w:marBottom w:val="0"/>
      <w:divBdr>
        <w:top w:val="none" w:sz="0" w:space="0" w:color="auto"/>
        <w:left w:val="none" w:sz="0" w:space="0" w:color="auto"/>
        <w:bottom w:val="none" w:sz="0" w:space="0" w:color="auto"/>
        <w:right w:val="none" w:sz="0" w:space="0" w:color="auto"/>
      </w:divBdr>
    </w:div>
    <w:div w:id="1009915605">
      <w:bodyDiv w:val="1"/>
      <w:marLeft w:val="0"/>
      <w:marRight w:val="0"/>
      <w:marTop w:val="0"/>
      <w:marBottom w:val="0"/>
      <w:divBdr>
        <w:top w:val="none" w:sz="0" w:space="0" w:color="auto"/>
        <w:left w:val="none" w:sz="0" w:space="0" w:color="auto"/>
        <w:bottom w:val="none" w:sz="0" w:space="0" w:color="auto"/>
        <w:right w:val="none" w:sz="0" w:space="0" w:color="auto"/>
      </w:divBdr>
      <w:divsChild>
        <w:div w:id="1154029800">
          <w:marLeft w:val="446"/>
          <w:marRight w:val="0"/>
          <w:marTop w:val="0"/>
          <w:marBottom w:val="120"/>
          <w:divBdr>
            <w:top w:val="none" w:sz="0" w:space="0" w:color="auto"/>
            <w:left w:val="none" w:sz="0" w:space="0" w:color="auto"/>
            <w:bottom w:val="none" w:sz="0" w:space="0" w:color="auto"/>
            <w:right w:val="none" w:sz="0" w:space="0" w:color="auto"/>
          </w:divBdr>
        </w:div>
        <w:div w:id="1258951653">
          <w:marLeft w:val="446"/>
          <w:marRight w:val="0"/>
          <w:marTop w:val="0"/>
          <w:marBottom w:val="120"/>
          <w:divBdr>
            <w:top w:val="none" w:sz="0" w:space="0" w:color="auto"/>
            <w:left w:val="none" w:sz="0" w:space="0" w:color="auto"/>
            <w:bottom w:val="none" w:sz="0" w:space="0" w:color="auto"/>
            <w:right w:val="none" w:sz="0" w:space="0" w:color="auto"/>
          </w:divBdr>
        </w:div>
        <w:div w:id="1777285328">
          <w:marLeft w:val="446"/>
          <w:marRight w:val="0"/>
          <w:marTop w:val="0"/>
          <w:marBottom w:val="120"/>
          <w:divBdr>
            <w:top w:val="none" w:sz="0" w:space="0" w:color="auto"/>
            <w:left w:val="none" w:sz="0" w:space="0" w:color="auto"/>
            <w:bottom w:val="none" w:sz="0" w:space="0" w:color="auto"/>
            <w:right w:val="none" w:sz="0" w:space="0" w:color="auto"/>
          </w:divBdr>
        </w:div>
        <w:div w:id="468329039">
          <w:marLeft w:val="446"/>
          <w:marRight w:val="0"/>
          <w:marTop w:val="0"/>
          <w:marBottom w:val="120"/>
          <w:divBdr>
            <w:top w:val="none" w:sz="0" w:space="0" w:color="auto"/>
            <w:left w:val="none" w:sz="0" w:space="0" w:color="auto"/>
            <w:bottom w:val="none" w:sz="0" w:space="0" w:color="auto"/>
            <w:right w:val="none" w:sz="0" w:space="0" w:color="auto"/>
          </w:divBdr>
        </w:div>
        <w:div w:id="133914969">
          <w:marLeft w:val="446"/>
          <w:marRight w:val="0"/>
          <w:marTop w:val="0"/>
          <w:marBottom w:val="120"/>
          <w:divBdr>
            <w:top w:val="none" w:sz="0" w:space="0" w:color="auto"/>
            <w:left w:val="none" w:sz="0" w:space="0" w:color="auto"/>
            <w:bottom w:val="none" w:sz="0" w:space="0" w:color="auto"/>
            <w:right w:val="none" w:sz="0" w:space="0" w:color="auto"/>
          </w:divBdr>
        </w:div>
      </w:divsChild>
    </w:div>
    <w:div w:id="1051153043">
      <w:bodyDiv w:val="1"/>
      <w:marLeft w:val="0"/>
      <w:marRight w:val="0"/>
      <w:marTop w:val="0"/>
      <w:marBottom w:val="0"/>
      <w:divBdr>
        <w:top w:val="none" w:sz="0" w:space="0" w:color="auto"/>
        <w:left w:val="none" w:sz="0" w:space="0" w:color="auto"/>
        <w:bottom w:val="none" w:sz="0" w:space="0" w:color="auto"/>
        <w:right w:val="none" w:sz="0" w:space="0" w:color="auto"/>
      </w:divBdr>
    </w:div>
    <w:div w:id="1148519231">
      <w:bodyDiv w:val="1"/>
      <w:marLeft w:val="0"/>
      <w:marRight w:val="0"/>
      <w:marTop w:val="0"/>
      <w:marBottom w:val="0"/>
      <w:divBdr>
        <w:top w:val="none" w:sz="0" w:space="0" w:color="auto"/>
        <w:left w:val="none" w:sz="0" w:space="0" w:color="auto"/>
        <w:bottom w:val="none" w:sz="0" w:space="0" w:color="auto"/>
        <w:right w:val="none" w:sz="0" w:space="0" w:color="auto"/>
      </w:divBdr>
      <w:divsChild>
        <w:div w:id="909736407">
          <w:marLeft w:val="446"/>
          <w:marRight w:val="0"/>
          <w:marTop w:val="0"/>
          <w:marBottom w:val="120"/>
          <w:divBdr>
            <w:top w:val="none" w:sz="0" w:space="0" w:color="auto"/>
            <w:left w:val="none" w:sz="0" w:space="0" w:color="auto"/>
            <w:bottom w:val="none" w:sz="0" w:space="0" w:color="auto"/>
            <w:right w:val="none" w:sz="0" w:space="0" w:color="auto"/>
          </w:divBdr>
        </w:div>
        <w:div w:id="512961868">
          <w:marLeft w:val="446"/>
          <w:marRight w:val="0"/>
          <w:marTop w:val="0"/>
          <w:marBottom w:val="120"/>
          <w:divBdr>
            <w:top w:val="none" w:sz="0" w:space="0" w:color="auto"/>
            <w:left w:val="none" w:sz="0" w:space="0" w:color="auto"/>
            <w:bottom w:val="none" w:sz="0" w:space="0" w:color="auto"/>
            <w:right w:val="none" w:sz="0" w:space="0" w:color="auto"/>
          </w:divBdr>
        </w:div>
      </w:divsChild>
    </w:div>
    <w:div w:id="1205370575">
      <w:bodyDiv w:val="1"/>
      <w:marLeft w:val="0"/>
      <w:marRight w:val="0"/>
      <w:marTop w:val="0"/>
      <w:marBottom w:val="0"/>
      <w:divBdr>
        <w:top w:val="none" w:sz="0" w:space="0" w:color="auto"/>
        <w:left w:val="none" w:sz="0" w:space="0" w:color="auto"/>
        <w:bottom w:val="none" w:sz="0" w:space="0" w:color="auto"/>
        <w:right w:val="none" w:sz="0" w:space="0" w:color="auto"/>
      </w:divBdr>
    </w:div>
    <w:div w:id="1304702924">
      <w:bodyDiv w:val="1"/>
      <w:marLeft w:val="0"/>
      <w:marRight w:val="0"/>
      <w:marTop w:val="0"/>
      <w:marBottom w:val="0"/>
      <w:divBdr>
        <w:top w:val="none" w:sz="0" w:space="0" w:color="auto"/>
        <w:left w:val="none" w:sz="0" w:space="0" w:color="auto"/>
        <w:bottom w:val="none" w:sz="0" w:space="0" w:color="auto"/>
        <w:right w:val="none" w:sz="0" w:space="0" w:color="auto"/>
      </w:divBdr>
      <w:divsChild>
        <w:div w:id="801463327">
          <w:marLeft w:val="446"/>
          <w:marRight w:val="0"/>
          <w:marTop w:val="0"/>
          <w:marBottom w:val="120"/>
          <w:divBdr>
            <w:top w:val="none" w:sz="0" w:space="0" w:color="auto"/>
            <w:left w:val="none" w:sz="0" w:space="0" w:color="auto"/>
            <w:bottom w:val="none" w:sz="0" w:space="0" w:color="auto"/>
            <w:right w:val="none" w:sz="0" w:space="0" w:color="auto"/>
          </w:divBdr>
        </w:div>
        <w:div w:id="1460952936">
          <w:marLeft w:val="446"/>
          <w:marRight w:val="0"/>
          <w:marTop w:val="0"/>
          <w:marBottom w:val="120"/>
          <w:divBdr>
            <w:top w:val="none" w:sz="0" w:space="0" w:color="auto"/>
            <w:left w:val="none" w:sz="0" w:space="0" w:color="auto"/>
            <w:bottom w:val="none" w:sz="0" w:space="0" w:color="auto"/>
            <w:right w:val="none" w:sz="0" w:space="0" w:color="auto"/>
          </w:divBdr>
        </w:div>
        <w:div w:id="1877355791">
          <w:marLeft w:val="446"/>
          <w:marRight w:val="0"/>
          <w:marTop w:val="0"/>
          <w:marBottom w:val="120"/>
          <w:divBdr>
            <w:top w:val="none" w:sz="0" w:space="0" w:color="auto"/>
            <w:left w:val="none" w:sz="0" w:space="0" w:color="auto"/>
            <w:bottom w:val="none" w:sz="0" w:space="0" w:color="auto"/>
            <w:right w:val="none" w:sz="0" w:space="0" w:color="auto"/>
          </w:divBdr>
        </w:div>
        <w:div w:id="2008631203">
          <w:marLeft w:val="446"/>
          <w:marRight w:val="0"/>
          <w:marTop w:val="0"/>
          <w:marBottom w:val="120"/>
          <w:divBdr>
            <w:top w:val="none" w:sz="0" w:space="0" w:color="auto"/>
            <w:left w:val="none" w:sz="0" w:space="0" w:color="auto"/>
            <w:bottom w:val="none" w:sz="0" w:space="0" w:color="auto"/>
            <w:right w:val="none" w:sz="0" w:space="0" w:color="auto"/>
          </w:divBdr>
        </w:div>
        <w:div w:id="1444349503">
          <w:marLeft w:val="446"/>
          <w:marRight w:val="0"/>
          <w:marTop w:val="0"/>
          <w:marBottom w:val="120"/>
          <w:divBdr>
            <w:top w:val="none" w:sz="0" w:space="0" w:color="auto"/>
            <w:left w:val="none" w:sz="0" w:space="0" w:color="auto"/>
            <w:bottom w:val="none" w:sz="0" w:space="0" w:color="auto"/>
            <w:right w:val="none" w:sz="0" w:space="0" w:color="auto"/>
          </w:divBdr>
        </w:div>
        <w:div w:id="1267734391">
          <w:marLeft w:val="446"/>
          <w:marRight w:val="0"/>
          <w:marTop w:val="0"/>
          <w:marBottom w:val="120"/>
          <w:divBdr>
            <w:top w:val="none" w:sz="0" w:space="0" w:color="auto"/>
            <w:left w:val="none" w:sz="0" w:space="0" w:color="auto"/>
            <w:bottom w:val="none" w:sz="0" w:space="0" w:color="auto"/>
            <w:right w:val="none" w:sz="0" w:space="0" w:color="auto"/>
          </w:divBdr>
        </w:div>
      </w:divsChild>
    </w:div>
    <w:div w:id="1394743576">
      <w:bodyDiv w:val="1"/>
      <w:marLeft w:val="0"/>
      <w:marRight w:val="0"/>
      <w:marTop w:val="0"/>
      <w:marBottom w:val="0"/>
      <w:divBdr>
        <w:top w:val="none" w:sz="0" w:space="0" w:color="auto"/>
        <w:left w:val="none" w:sz="0" w:space="0" w:color="auto"/>
        <w:bottom w:val="none" w:sz="0" w:space="0" w:color="auto"/>
        <w:right w:val="none" w:sz="0" w:space="0" w:color="auto"/>
      </w:divBdr>
    </w:div>
    <w:div w:id="1431781352">
      <w:bodyDiv w:val="1"/>
      <w:marLeft w:val="0"/>
      <w:marRight w:val="0"/>
      <w:marTop w:val="0"/>
      <w:marBottom w:val="0"/>
      <w:divBdr>
        <w:top w:val="none" w:sz="0" w:space="0" w:color="auto"/>
        <w:left w:val="none" w:sz="0" w:space="0" w:color="auto"/>
        <w:bottom w:val="none" w:sz="0" w:space="0" w:color="auto"/>
        <w:right w:val="none" w:sz="0" w:space="0" w:color="auto"/>
      </w:divBdr>
    </w:div>
    <w:div w:id="1436680351">
      <w:bodyDiv w:val="1"/>
      <w:marLeft w:val="0"/>
      <w:marRight w:val="0"/>
      <w:marTop w:val="0"/>
      <w:marBottom w:val="0"/>
      <w:divBdr>
        <w:top w:val="none" w:sz="0" w:space="0" w:color="auto"/>
        <w:left w:val="none" w:sz="0" w:space="0" w:color="auto"/>
        <w:bottom w:val="none" w:sz="0" w:space="0" w:color="auto"/>
        <w:right w:val="none" w:sz="0" w:space="0" w:color="auto"/>
      </w:divBdr>
      <w:divsChild>
        <w:div w:id="640576159">
          <w:marLeft w:val="446"/>
          <w:marRight w:val="0"/>
          <w:marTop w:val="0"/>
          <w:marBottom w:val="120"/>
          <w:divBdr>
            <w:top w:val="none" w:sz="0" w:space="0" w:color="auto"/>
            <w:left w:val="none" w:sz="0" w:space="0" w:color="auto"/>
            <w:bottom w:val="none" w:sz="0" w:space="0" w:color="auto"/>
            <w:right w:val="none" w:sz="0" w:space="0" w:color="auto"/>
          </w:divBdr>
        </w:div>
        <w:div w:id="403381035">
          <w:marLeft w:val="446"/>
          <w:marRight w:val="0"/>
          <w:marTop w:val="0"/>
          <w:marBottom w:val="120"/>
          <w:divBdr>
            <w:top w:val="none" w:sz="0" w:space="0" w:color="auto"/>
            <w:left w:val="none" w:sz="0" w:space="0" w:color="auto"/>
            <w:bottom w:val="none" w:sz="0" w:space="0" w:color="auto"/>
            <w:right w:val="none" w:sz="0" w:space="0" w:color="auto"/>
          </w:divBdr>
        </w:div>
        <w:div w:id="26949446">
          <w:marLeft w:val="446"/>
          <w:marRight w:val="0"/>
          <w:marTop w:val="0"/>
          <w:marBottom w:val="120"/>
          <w:divBdr>
            <w:top w:val="none" w:sz="0" w:space="0" w:color="auto"/>
            <w:left w:val="none" w:sz="0" w:space="0" w:color="auto"/>
            <w:bottom w:val="none" w:sz="0" w:space="0" w:color="auto"/>
            <w:right w:val="none" w:sz="0" w:space="0" w:color="auto"/>
          </w:divBdr>
        </w:div>
        <w:div w:id="339160946">
          <w:marLeft w:val="446"/>
          <w:marRight w:val="0"/>
          <w:marTop w:val="0"/>
          <w:marBottom w:val="120"/>
          <w:divBdr>
            <w:top w:val="none" w:sz="0" w:space="0" w:color="auto"/>
            <w:left w:val="none" w:sz="0" w:space="0" w:color="auto"/>
            <w:bottom w:val="none" w:sz="0" w:space="0" w:color="auto"/>
            <w:right w:val="none" w:sz="0" w:space="0" w:color="auto"/>
          </w:divBdr>
        </w:div>
        <w:div w:id="577138221">
          <w:marLeft w:val="446"/>
          <w:marRight w:val="0"/>
          <w:marTop w:val="0"/>
          <w:marBottom w:val="120"/>
          <w:divBdr>
            <w:top w:val="none" w:sz="0" w:space="0" w:color="auto"/>
            <w:left w:val="none" w:sz="0" w:space="0" w:color="auto"/>
            <w:bottom w:val="none" w:sz="0" w:space="0" w:color="auto"/>
            <w:right w:val="none" w:sz="0" w:space="0" w:color="auto"/>
          </w:divBdr>
        </w:div>
      </w:divsChild>
    </w:div>
    <w:div w:id="1504857841">
      <w:bodyDiv w:val="1"/>
      <w:marLeft w:val="0"/>
      <w:marRight w:val="0"/>
      <w:marTop w:val="0"/>
      <w:marBottom w:val="0"/>
      <w:divBdr>
        <w:top w:val="none" w:sz="0" w:space="0" w:color="auto"/>
        <w:left w:val="none" w:sz="0" w:space="0" w:color="auto"/>
        <w:bottom w:val="none" w:sz="0" w:space="0" w:color="auto"/>
        <w:right w:val="none" w:sz="0" w:space="0" w:color="auto"/>
      </w:divBdr>
    </w:div>
    <w:div w:id="1599411255">
      <w:bodyDiv w:val="1"/>
      <w:marLeft w:val="0"/>
      <w:marRight w:val="0"/>
      <w:marTop w:val="0"/>
      <w:marBottom w:val="0"/>
      <w:divBdr>
        <w:top w:val="none" w:sz="0" w:space="0" w:color="auto"/>
        <w:left w:val="none" w:sz="0" w:space="0" w:color="auto"/>
        <w:bottom w:val="none" w:sz="0" w:space="0" w:color="auto"/>
        <w:right w:val="none" w:sz="0" w:space="0" w:color="auto"/>
      </w:divBdr>
    </w:div>
    <w:div w:id="1651709267">
      <w:bodyDiv w:val="1"/>
      <w:marLeft w:val="0"/>
      <w:marRight w:val="0"/>
      <w:marTop w:val="0"/>
      <w:marBottom w:val="0"/>
      <w:divBdr>
        <w:top w:val="none" w:sz="0" w:space="0" w:color="auto"/>
        <w:left w:val="none" w:sz="0" w:space="0" w:color="auto"/>
        <w:bottom w:val="none" w:sz="0" w:space="0" w:color="auto"/>
        <w:right w:val="none" w:sz="0" w:space="0" w:color="auto"/>
      </w:divBdr>
    </w:div>
    <w:div w:id="1780948997">
      <w:bodyDiv w:val="1"/>
      <w:marLeft w:val="0"/>
      <w:marRight w:val="0"/>
      <w:marTop w:val="0"/>
      <w:marBottom w:val="0"/>
      <w:divBdr>
        <w:top w:val="none" w:sz="0" w:space="0" w:color="auto"/>
        <w:left w:val="none" w:sz="0" w:space="0" w:color="auto"/>
        <w:bottom w:val="none" w:sz="0" w:space="0" w:color="auto"/>
        <w:right w:val="none" w:sz="0" w:space="0" w:color="auto"/>
      </w:divBdr>
    </w:div>
    <w:div w:id="1861822656">
      <w:bodyDiv w:val="1"/>
      <w:marLeft w:val="0"/>
      <w:marRight w:val="0"/>
      <w:marTop w:val="0"/>
      <w:marBottom w:val="0"/>
      <w:divBdr>
        <w:top w:val="none" w:sz="0" w:space="0" w:color="auto"/>
        <w:left w:val="none" w:sz="0" w:space="0" w:color="auto"/>
        <w:bottom w:val="none" w:sz="0" w:space="0" w:color="auto"/>
        <w:right w:val="none" w:sz="0" w:space="0" w:color="auto"/>
      </w:divBdr>
    </w:div>
    <w:div w:id="1862741991">
      <w:bodyDiv w:val="1"/>
      <w:marLeft w:val="0"/>
      <w:marRight w:val="0"/>
      <w:marTop w:val="0"/>
      <w:marBottom w:val="0"/>
      <w:divBdr>
        <w:top w:val="none" w:sz="0" w:space="0" w:color="auto"/>
        <w:left w:val="none" w:sz="0" w:space="0" w:color="auto"/>
        <w:bottom w:val="none" w:sz="0" w:space="0" w:color="auto"/>
        <w:right w:val="none" w:sz="0" w:space="0" w:color="auto"/>
      </w:divBdr>
    </w:div>
    <w:div w:id="1864971578">
      <w:bodyDiv w:val="1"/>
      <w:marLeft w:val="0"/>
      <w:marRight w:val="0"/>
      <w:marTop w:val="0"/>
      <w:marBottom w:val="0"/>
      <w:divBdr>
        <w:top w:val="none" w:sz="0" w:space="0" w:color="auto"/>
        <w:left w:val="none" w:sz="0" w:space="0" w:color="auto"/>
        <w:bottom w:val="none" w:sz="0" w:space="0" w:color="auto"/>
        <w:right w:val="none" w:sz="0" w:space="0" w:color="auto"/>
      </w:divBdr>
    </w:div>
    <w:div w:id="1985811949">
      <w:bodyDiv w:val="1"/>
      <w:marLeft w:val="0"/>
      <w:marRight w:val="0"/>
      <w:marTop w:val="0"/>
      <w:marBottom w:val="0"/>
      <w:divBdr>
        <w:top w:val="none" w:sz="0" w:space="0" w:color="auto"/>
        <w:left w:val="none" w:sz="0" w:space="0" w:color="auto"/>
        <w:bottom w:val="none" w:sz="0" w:space="0" w:color="auto"/>
        <w:right w:val="none" w:sz="0" w:space="0" w:color="auto"/>
      </w:divBdr>
      <w:divsChild>
        <w:div w:id="1021127142">
          <w:marLeft w:val="446"/>
          <w:marRight w:val="0"/>
          <w:marTop w:val="0"/>
          <w:marBottom w:val="120"/>
          <w:divBdr>
            <w:top w:val="none" w:sz="0" w:space="0" w:color="auto"/>
            <w:left w:val="none" w:sz="0" w:space="0" w:color="auto"/>
            <w:bottom w:val="none" w:sz="0" w:space="0" w:color="auto"/>
            <w:right w:val="none" w:sz="0" w:space="0" w:color="auto"/>
          </w:divBdr>
        </w:div>
        <w:div w:id="2020505725">
          <w:marLeft w:val="446"/>
          <w:marRight w:val="0"/>
          <w:marTop w:val="0"/>
          <w:marBottom w:val="120"/>
          <w:divBdr>
            <w:top w:val="none" w:sz="0" w:space="0" w:color="auto"/>
            <w:left w:val="none" w:sz="0" w:space="0" w:color="auto"/>
            <w:bottom w:val="none" w:sz="0" w:space="0" w:color="auto"/>
            <w:right w:val="none" w:sz="0" w:space="0" w:color="auto"/>
          </w:divBdr>
        </w:div>
        <w:div w:id="967397974">
          <w:marLeft w:val="446"/>
          <w:marRight w:val="0"/>
          <w:marTop w:val="0"/>
          <w:marBottom w:val="120"/>
          <w:divBdr>
            <w:top w:val="none" w:sz="0" w:space="0" w:color="auto"/>
            <w:left w:val="none" w:sz="0" w:space="0" w:color="auto"/>
            <w:bottom w:val="none" w:sz="0" w:space="0" w:color="auto"/>
            <w:right w:val="none" w:sz="0" w:space="0" w:color="auto"/>
          </w:divBdr>
        </w:div>
        <w:div w:id="1360202415">
          <w:marLeft w:val="446"/>
          <w:marRight w:val="0"/>
          <w:marTop w:val="0"/>
          <w:marBottom w:val="120"/>
          <w:divBdr>
            <w:top w:val="none" w:sz="0" w:space="0" w:color="auto"/>
            <w:left w:val="none" w:sz="0" w:space="0" w:color="auto"/>
            <w:bottom w:val="none" w:sz="0" w:space="0" w:color="auto"/>
            <w:right w:val="none" w:sz="0" w:space="0" w:color="auto"/>
          </w:divBdr>
        </w:div>
        <w:div w:id="416948852">
          <w:marLeft w:val="446"/>
          <w:marRight w:val="0"/>
          <w:marTop w:val="0"/>
          <w:marBottom w:val="120"/>
          <w:divBdr>
            <w:top w:val="none" w:sz="0" w:space="0" w:color="auto"/>
            <w:left w:val="none" w:sz="0" w:space="0" w:color="auto"/>
            <w:bottom w:val="none" w:sz="0" w:space="0" w:color="auto"/>
            <w:right w:val="none" w:sz="0" w:space="0" w:color="auto"/>
          </w:divBdr>
        </w:div>
        <w:div w:id="675230099">
          <w:marLeft w:val="446"/>
          <w:marRight w:val="0"/>
          <w:marTop w:val="0"/>
          <w:marBottom w:val="120"/>
          <w:divBdr>
            <w:top w:val="none" w:sz="0" w:space="0" w:color="auto"/>
            <w:left w:val="none" w:sz="0" w:space="0" w:color="auto"/>
            <w:bottom w:val="none" w:sz="0" w:space="0" w:color="auto"/>
            <w:right w:val="none" w:sz="0" w:space="0" w:color="auto"/>
          </w:divBdr>
        </w:div>
      </w:divsChild>
    </w:div>
    <w:div w:id="2061244450">
      <w:bodyDiv w:val="1"/>
      <w:marLeft w:val="0"/>
      <w:marRight w:val="0"/>
      <w:marTop w:val="0"/>
      <w:marBottom w:val="0"/>
      <w:divBdr>
        <w:top w:val="none" w:sz="0" w:space="0" w:color="auto"/>
        <w:left w:val="none" w:sz="0" w:space="0" w:color="auto"/>
        <w:bottom w:val="none" w:sz="0" w:space="0" w:color="auto"/>
        <w:right w:val="none" w:sz="0" w:space="0" w:color="auto"/>
      </w:divBdr>
    </w:div>
    <w:div w:id="21361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Lam, Vivian (EHS)</cp:lastModifiedBy>
  <cp:revision>2</cp:revision>
  <dcterms:created xsi:type="dcterms:W3CDTF">2022-03-03T18:51:00Z</dcterms:created>
  <dcterms:modified xsi:type="dcterms:W3CDTF">2022-03-03T18:51:00Z</dcterms:modified>
</cp:coreProperties>
</file>