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5" w:rsidRDefault="003A0CD5" w:rsidP="003A0CD5">
      <w:pPr>
        <w:spacing w:after="0" w:line="240" w:lineRule="auto"/>
      </w:pPr>
      <w:bookmarkStart w:id="0" w:name="_GoBack"/>
      <w:bookmarkEnd w:id="0"/>
      <w:r>
        <w:t>Slide 1</w:t>
      </w:r>
    </w:p>
    <w:p w:rsidR="003A0CD5" w:rsidRDefault="003A0CD5" w:rsidP="003A0CD5">
      <w:pPr>
        <w:spacing w:after="0" w:line="240" w:lineRule="auto"/>
        <w:rPr>
          <w:b/>
          <w:bCs/>
        </w:rPr>
      </w:pPr>
      <w:r w:rsidRPr="003A0CD5">
        <w:rPr>
          <w:b/>
          <w:bCs/>
        </w:rPr>
        <w:t>One Care: MassHealth plus Medicare</w:t>
      </w:r>
    </w:p>
    <w:p w:rsidR="003A0CD5" w:rsidRDefault="003A0CD5" w:rsidP="003A0CD5">
      <w:pPr>
        <w:spacing w:after="0" w:line="240" w:lineRule="auto"/>
      </w:pPr>
      <w:r w:rsidRPr="003A0CD5">
        <w:t xml:space="preserve">MassHealth Demonstration </w:t>
      </w:r>
      <w:r w:rsidRPr="003A0CD5">
        <w:br/>
        <w:t>to Integrate Care for Dual Eligibles</w:t>
      </w:r>
    </w:p>
    <w:p w:rsidR="008302CA" w:rsidRPr="008302CA" w:rsidRDefault="008302CA" w:rsidP="008302CA">
      <w:pPr>
        <w:spacing w:after="0" w:line="240" w:lineRule="auto"/>
      </w:pPr>
      <w:r w:rsidRPr="008302CA">
        <w:t>Open Meeting</w:t>
      </w:r>
    </w:p>
    <w:p w:rsidR="008302CA" w:rsidRPr="008302CA" w:rsidRDefault="008302CA" w:rsidP="008302CA">
      <w:pPr>
        <w:spacing w:after="0" w:line="240" w:lineRule="auto"/>
      </w:pPr>
      <w:r w:rsidRPr="008302CA">
        <w:t>December 7, 2015, 3:30 PM – 5:00 PM</w:t>
      </w:r>
    </w:p>
    <w:p w:rsidR="008302CA" w:rsidRPr="008302CA" w:rsidRDefault="008302CA" w:rsidP="008302CA">
      <w:pPr>
        <w:spacing w:after="0" w:line="240" w:lineRule="auto"/>
      </w:pPr>
      <w:r w:rsidRPr="008302CA">
        <w:t>Transportation Building, Rooms 2 &amp; 3</w:t>
      </w:r>
    </w:p>
    <w:p w:rsidR="008302CA" w:rsidRPr="008302CA" w:rsidRDefault="008302CA" w:rsidP="008302CA">
      <w:pPr>
        <w:spacing w:after="0" w:line="240" w:lineRule="auto"/>
      </w:pPr>
      <w:r w:rsidRPr="008302CA">
        <w:t>10 Park Plaza</w:t>
      </w:r>
    </w:p>
    <w:p w:rsidR="003A0CD5" w:rsidRDefault="003A0CD5" w:rsidP="003A0CD5">
      <w:pPr>
        <w:spacing w:after="0" w:line="240" w:lineRule="auto"/>
      </w:pPr>
      <w:r w:rsidRPr="003A0CD5">
        <w:t>Boston, MA</w:t>
      </w:r>
    </w:p>
    <w:p w:rsidR="003A0CD5" w:rsidRDefault="003A0CD5" w:rsidP="003A0CD5">
      <w:pPr>
        <w:spacing w:after="0" w:line="240" w:lineRule="auto"/>
      </w:pPr>
    </w:p>
    <w:p w:rsidR="003A0CD5" w:rsidRDefault="003A0CD5" w:rsidP="003A0CD5">
      <w:pPr>
        <w:spacing w:after="0" w:line="240" w:lineRule="auto"/>
      </w:pPr>
      <w:r>
        <w:t>Slide 2</w:t>
      </w:r>
    </w:p>
    <w:p w:rsidR="003A0CD5" w:rsidRDefault="003A0CD5" w:rsidP="003A0CD5">
      <w:pPr>
        <w:spacing w:after="0" w:line="240" w:lineRule="auto"/>
        <w:rPr>
          <w:b/>
          <w:bCs/>
        </w:rPr>
      </w:pPr>
      <w:r w:rsidRPr="003A0CD5">
        <w:rPr>
          <w:b/>
          <w:bCs/>
        </w:rPr>
        <w:t>Agenda for Today</w:t>
      </w:r>
    </w:p>
    <w:p w:rsidR="0085416A" w:rsidRPr="008302CA" w:rsidRDefault="004A1A5A" w:rsidP="00A95AEA">
      <w:pPr>
        <w:numPr>
          <w:ilvl w:val="0"/>
          <w:numId w:val="3"/>
        </w:numPr>
        <w:spacing w:after="0" w:line="240" w:lineRule="auto"/>
      </w:pPr>
      <w:r w:rsidRPr="008302CA">
        <w:t>One Care Growth Strategies</w:t>
      </w:r>
    </w:p>
    <w:p w:rsidR="0085416A" w:rsidRPr="008302CA" w:rsidRDefault="004A1A5A" w:rsidP="00A95AEA">
      <w:pPr>
        <w:numPr>
          <w:ilvl w:val="0"/>
          <w:numId w:val="3"/>
        </w:numPr>
        <w:spacing w:after="0" w:line="240" w:lineRule="auto"/>
      </w:pPr>
      <w:r w:rsidRPr="008302CA">
        <w:t>Long-Term Supports Coordinator Updates</w:t>
      </w:r>
    </w:p>
    <w:p w:rsidR="0085416A" w:rsidRPr="008302CA" w:rsidRDefault="004A1A5A" w:rsidP="00A95AEA">
      <w:pPr>
        <w:numPr>
          <w:ilvl w:val="0"/>
          <w:numId w:val="3"/>
        </w:numPr>
        <w:spacing w:after="0" w:line="240" w:lineRule="auto"/>
      </w:pPr>
      <w:r w:rsidRPr="008302CA">
        <w:t>Early Successes from One Care Plans</w:t>
      </w:r>
    </w:p>
    <w:p w:rsidR="003A0CD5" w:rsidRDefault="003A0CD5" w:rsidP="003A0CD5">
      <w:pPr>
        <w:spacing w:after="0" w:line="240" w:lineRule="auto"/>
      </w:pPr>
    </w:p>
    <w:p w:rsidR="003A0CD5" w:rsidRDefault="003A0CD5" w:rsidP="003A0CD5">
      <w:pPr>
        <w:spacing w:after="0" w:line="240" w:lineRule="auto"/>
      </w:pPr>
      <w:r>
        <w:t>Slide 3</w:t>
      </w:r>
    </w:p>
    <w:p w:rsidR="008302CA" w:rsidRPr="008302CA" w:rsidRDefault="008302CA" w:rsidP="008302CA">
      <w:pPr>
        <w:spacing w:after="0" w:line="240" w:lineRule="auto"/>
      </w:pPr>
      <w:r w:rsidRPr="008302CA">
        <w:rPr>
          <w:b/>
          <w:bCs/>
        </w:rPr>
        <w:t>One Care Growth Strategies</w:t>
      </w:r>
    </w:p>
    <w:p w:rsidR="003A0CD5" w:rsidRPr="003A0CD5" w:rsidRDefault="003A0CD5" w:rsidP="003A0CD5">
      <w:pPr>
        <w:spacing w:after="0" w:line="240" w:lineRule="auto"/>
      </w:pPr>
    </w:p>
    <w:p w:rsidR="003A0CD5" w:rsidRDefault="003A0CD5" w:rsidP="003A0CD5">
      <w:pPr>
        <w:spacing w:after="0" w:line="240" w:lineRule="auto"/>
      </w:pPr>
      <w:r>
        <w:t>Slide 4</w:t>
      </w:r>
    </w:p>
    <w:p w:rsidR="003A0CD5" w:rsidRDefault="008302CA" w:rsidP="003A0CD5">
      <w:pPr>
        <w:spacing w:after="0" w:line="240" w:lineRule="auto"/>
      </w:pPr>
      <w:r w:rsidRPr="008302CA">
        <w:rPr>
          <w:b/>
          <w:bCs/>
        </w:rPr>
        <w:t>Sustainability and Planning for the Future</w:t>
      </w:r>
    </w:p>
    <w:p w:rsidR="0085416A" w:rsidRPr="008302CA" w:rsidRDefault="004A1A5A" w:rsidP="00A95AEA">
      <w:pPr>
        <w:numPr>
          <w:ilvl w:val="0"/>
          <w:numId w:val="4"/>
        </w:numPr>
        <w:spacing w:after="0" w:line="240" w:lineRule="auto"/>
      </w:pPr>
      <w:r w:rsidRPr="008302CA">
        <w:t>MassHealth is focused on ensuring One</w:t>
      </w:r>
      <w:r w:rsidR="00925B1F">
        <w:t xml:space="preserve"> Care is on a sustainable path:</w:t>
      </w:r>
    </w:p>
    <w:p w:rsidR="0085416A" w:rsidRPr="008302CA" w:rsidRDefault="004A1A5A" w:rsidP="00A95AEA">
      <w:pPr>
        <w:numPr>
          <w:ilvl w:val="1"/>
          <w:numId w:val="4"/>
        </w:numPr>
        <w:spacing w:after="0" w:line="240" w:lineRule="auto"/>
      </w:pPr>
      <w:r w:rsidRPr="008302CA">
        <w:t>Building on a more stable financial structure</w:t>
      </w:r>
    </w:p>
    <w:p w:rsidR="0085416A" w:rsidRPr="008302CA" w:rsidRDefault="004A1A5A" w:rsidP="00A95AEA">
      <w:pPr>
        <w:numPr>
          <w:ilvl w:val="1"/>
          <w:numId w:val="4"/>
        </w:numPr>
        <w:spacing w:after="0" w:line="240" w:lineRule="auto"/>
      </w:pPr>
      <w:r w:rsidRPr="008302CA">
        <w:t>Planning for smart, measured, strategic growth in the near-term</w:t>
      </w:r>
    </w:p>
    <w:p w:rsidR="0085416A" w:rsidRPr="008302CA" w:rsidRDefault="004A1A5A" w:rsidP="00A95AEA">
      <w:pPr>
        <w:numPr>
          <w:ilvl w:val="1"/>
          <w:numId w:val="4"/>
        </w:numPr>
        <w:spacing w:after="0" w:line="240" w:lineRule="auto"/>
      </w:pPr>
      <w:r w:rsidRPr="008302CA">
        <w:t>Planning for expansion of the model in the extension period</w:t>
      </w:r>
    </w:p>
    <w:p w:rsidR="0085416A" w:rsidRPr="008302CA" w:rsidRDefault="004A1A5A" w:rsidP="00A95AEA">
      <w:pPr>
        <w:numPr>
          <w:ilvl w:val="0"/>
          <w:numId w:val="4"/>
        </w:numPr>
        <w:spacing w:after="0" w:line="240" w:lineRule="auto"/>
      </w:pPr>
      <w:r w:rsidRPr="008302CA">
        <w:t xml:space="preserve">In 2016: </w:t>
      </w:r>
    </w:p>
    <w:p w:rsidR="0085416A" w:rsidRPr="008302CA" w:rsidRDefault="004A1A5A" w:rsidP="00A95AEA">
      <w:pPr>
        <w:numPr>
          <w:ilvl w:val="1"/>
          <w:numId w:val="4"/>
        </w:numPr>
        <w:spacing w:after="0" w:line="240" w:lineRule="auto"/>
      </w:pPr>
      <w:r w:rsidRPr="008302CA">
        <w:t>Targeted enrollment in key areas, including through an enhanced auto-assignment process</w:t>
      </w:r>
    </w:p>
    <w:p w:rsidR="0085416A" w:rsidRPr="008302CA" w:rsidRDefault="004A1A5A" w:rsidP="00A95AEA">
      <w:pPr>
        <w:numPr>
          <w:ilvl w:val="1"/>
          <w:numId w:val="4"/>
        </w:numPr>
        <w:spacing w:after="0" w:line="240" w:lineRule="auto"/>
      </w:pPr>
      <w:r w:rsidRPr="008302CA">
        <w:t>Tufts expanding footprint in Suffolk and Norfolk counties</w:t>
      </w:r>
    </w:p>
    <w:p w:rsidR="0085416A" w:rsidRPr="008302CA" w:rsidRDefault="004A1A5A" w:rsidP="00A95AEA">
      <w:pPr>
        <w:numPr>
          <w:ilvl w:val="1"/>
          <w:numId w:val="4"/>
        </w:numPr>
        <w:spacing w:after="0" w:line="240" w:lineRule="auto"/>
      </w:pPr>
      <w:r w:rsidRPr="008302CA">
        <w:t xml:space="preserve">CCA is stabilizing and is committed to One Care expansion over time. </w:t>
      </w:r>
    </w:p>
    <w:p w:rsidR="0085416A" w:rsidRPr="008302CA" w:rsidRDefault="004A1A5A" w:rsidP="00A95AEA">
      <w:pPr>
        <w:numPr>
          <w:ilvl w:val="0"/>
          <w:numId w:val="4"/>
        </w:numPr>
        <w:spacing w:after="0" w:line="240" w:lineRule="auto"/>
      </w:pPr>
      <w:r w:rsidRPr="008302CA">
        <w:t>In 2017 &amp; 2018:</w:t>
      </w:r>
    </w:p>
    <w:p w:rsidR="0085416A" w:rsidRPr="008302CA" w:rsidRDefault="004A1A5A" w:rsidP="00A95AEA">
      <w:pPr>
        <w:numPr>
          <w:ilvl w:val="1"/>
          <w:numId w:val="4"/>
        </w:numPr>
        <w:spacing w:after="0" w:line="240" w:lineRule="auto"/>
      </w:pPr>
      <w:r w:rsidRPr="008302CA">
        <w:t>Demonstration extension</w:t>
      </w:r>
    </w:p>
    <w:p w:rsidR="0085416A" w:rsidRPr="008302CA" w:rsidRDefault="004A1A5A" w:rsidP="00A95AEA">
      <w:pPr>
        <w:numPr>
          <w:ilvl w:val="1"/>
          <w:numId w:val="4"/>
        </w:numPr>
        <w:spacing w:after="0" w:line="240" w:lineRule="auto"/>
      </w:pPr>
      <w:r w:rsidRPr="008302CA">
        <w:t>Build capacity to scale program</w:t>
      </w:r>
    </w:p>
    <w:p w:rsidR="003A0CD5" w:rsidRDefault="003A0CD5" w:rsidP="003A0CD5">
      <w:pPr>
        <w:spacing w:after="0" w:line="240" w:lineRule="auto"/>
      </w:pPr>
    </w:p>
    <w:p w:rsidR="003A0CD5" w:rsidRDefault="003A0CD5" w:rsidP="003A0CD5">
      <w:pPr>
        <w:spacing w:after="0" w:line="240" w:lineRule="auto"/>
      </w:pPr>
      <w:r>
        <w:t>Slide 5</w:t>
      </w:r>
    </w:p>
    <w:p w:rsidR="008302CA" w:rsidRPr="008302CA" w:rsidRDefault="008302CA" w:rsidP="008302CA">
      <w:pPr>
        <w:spacing w:after="0" w:line="240" w:lineRule="auto"/>
      </w:pPr>
      <w:r w:rsidRPr="008302CA">
        <w:rPr>
          <w:b/>
          <w:bCs/>
        </w:rPr>
        <w:t>Enrollment and Outreach Strategies for 2016</w:t>
      </w:r>
    </w:p>
    <w:p w:rsidR="0085416A" w:rsidRPr="008302CA" w:rsidRDefault="004A1A5A" w:rsidP="00A95AEA">
      <w:pPr>
        <w:pStyle w:val="ListParagraph"/>
        <w:numPr>
          <w:ilvl w:val="0"/>
          <w:numId w:val="6"/>
        </w:numPr>
        <w:spacing w:after="0" w:line="240" w:lineRule="auto"/>
      </w:pPr>
      <w:r w:rsidRPr="008302CA">
        <w:t>2016 growth will involve enhanced auto-assignment supported by outreach, including targeted events in local communities in Suffolk, Worcester, and Norfolk counties</w:t>
      </w:r>
    </w:p>
    <w:p w:rsidR="0085416A" w:rsidRPr="008302CA" w:rsidRDefault="004A1A5A" w:rsidP="00A95AEA">
      <w:pPr>
        <w:numPr>
          <w:ilvl w:val="1"/>
          <w:numId w:val="5"/>
        </w:numPr>
        <w:spacing w:after="0" w:line="240" w:lineRule="auto"/>
      </w:pPr>
      <w:r w:rsidRPr="008302CA">
        <w:t>Outreach in Worcester County will include strategies to re-engage former FTC members</w:t>
      </w:r>
    </w:p>
    <w:p w:rsidR="0085416A" w:rsidRPr="008302CA" w:rsidRDefault="004A1A5A" w:rsidP="00A95AEA">
      <w:pPr>
        <w:numPr>
          <w:ilvl w:val="0"/>
          <w:numId w:val="5"/>
        </w:numPr>
        <w:spacing w:after="0" w:line="240" w:lineRule="auto"/>
      </w:pPr>
      <w:r w:rsidRPr="008302CA">
        <w:t>MassHealth has also redesigned the auto-assignment packages to be more informational</w:t>
      </w:r>
    </w:p>
    <w:p w:rsidR="0085416A" w:rsidRPr="008302CA" w:rsidRDefault="004A1A5A" w:rsidP="00A95AEA">
      <w:pPr>
        <w:numPr>
          <w:ilvl w:val="1"/>
          <w:numId w:val="5"/>
        </w:numPr>
        <w:spacing w:after="0" w:line="240" w:lineRule="auto"/>
      </w:pPr>
      <w:r w:rsidRPr="008302CA">
        <w:t xml:space="preserve">Updated cover letters to focus on how One Care can provide a better way of getting services than Fee for Service </w:t>
      </w:r>
    </w:p>
    <w:p w:rsidR="0085416A" w:rsidRPr="008302CA" w:rsidRDefault="004A1A5A" w:rsidP="00A95AEA">
      <w:pPr>
        <w:numPr>
          <w:ilvl w:val="1"/>
          <w:numId w:val="5"/>
        </w:numPr>
        <w:spacing w:after="0" w:line="240" w:lineRule="auto"/>
      </w:pPr>
      <w:r w:rsidRPr="008302CA">
        <w:t xml:space="preserve">Included Outreach Flyer, “Facts and Features” brochure </w:t>
      </w:r>
    </w:p>
    <w:p w:rsidR="0085416A" w:rsidRPr="008302CA" w:rsidRDefault="004A1A5A" w:rsidP="00A95AEA">
      <w:pPr>
        <w:numPr>
          <w:ilvl w:val="1"/>
          <w:numId w:val="5"/>
        </w:numPr>
        <w:spacing w:after="0" w:line="240" w:lineRule="auto"/>
      </w:pPr>
      <w:r w:rsidRPr="008302CA">
        <w:t>Simplified enrollment choice form to make it easier to understand and use</w:t>
      </w:r>
    </w:p>
    <w:p w:rsidR="0085416A" w:rsidRPr="008302CA" w:rsidRDefault="004A1A5A" w:rsidP="00A95AEA">
      <w:pPr>
        <w:numPr>
          <w:ilvl w:val="0"/>
          <w:numId w:val="5"/>
        </w:numPr>
        <w:spacing w:after="0" w:line="240" w:lineRule="auto"/>
      </w:pPr>
      <w:r w:rsidRPr="008302CA">
        <w:t>MassHealth invites ongoing discussion and input from stakeholders on outreach strategies to expand enrollment along with capacity</w:t>
      </w:r>
    </w:p>
    <w:p w:rsidR="003A0CD5" w:rsidRDefault="003A0CD5" w:rsidP="003A0CD5">
      <w:pPr>
        <w:spacing w:after="0" w:line="240" w:lineRule="auto"/>
      </w:pPr>
    </w:p>
    <w:p w:rsidR="003A0CD5" w:rsidRDefault="003A0CD5" w:rsidP="003A0CD5">
      <w:pPr>
        <w:spacing w:after="0" w:line="240" w:lineRule="auto"/>
      </w:pPr>
      <w:r>
        <w:lastRenderedPageBreak/>
        <w:t>Slide 6</w:t>
      </w:r>
    </w:p>
    <w:p w:rsidR="008302CA" w:rsidRPr="008302CA" w:rsidRDefault="008302CA" w:rsidP="008302CA">
      <w:pPr>
        <w:spacing w:after="0" w:line="240" w:lineRule="auto"/>
        <w:rPr>
          <w:b/>
          <w:bCs/>
        </w:rPr>
      </w:pPr>
      <w:r w:rsidRPr="008302CA">
        <w:rPr>
          <w:b/>
          <w:bCs/>
        </w:rPr>
        <w:t>January 2016 Auto-Assignment Progress</w:t>
      </w:r>
    </w:p>
    <w:p w:rsidR="0085416A" w:rsidRPr="008302CA" w:rsidRDefault="004A1A5A" w:rsidP="00A95AEA">
      <w:pPr>
        <w:numPr>
          <w:ilvl w:val="0"/>
          <w:numId w:val="7"/>
        </w:numPr>
        <w:spacing w:after="0" w:line="240" w:lineRule="auto"/>
      </w:pPr>
      <w:r w:rsidRPr="008302CA">
        <w:t>MassHealth mailed 60-day notices to members on October 27, 2015 for coverage in Tufts Health Plan beginning January 1, 2016</w:t>
      </w:r>
    </w:p>
    <w:p w:rsidR="0085416A" w:rsidRPr="008302CA" w:rsidRDefault="004A1A5A" w:rsidP="00A95AEA">
      <w:pPr>
        <w:numPr>
          <w:ilvl w:val="1"/>
          <w:numId w:val="7"/>
        </w:numPr>
        <w:spacing w:after="0" w:line="240" w:lineRule="auto"/>
      </w:pPr>
      <w:r w:rsidRPr="008302CA">
        <w:t xml:space="preserve">Materials included in the mailing: </w:t>
      </w:r>
    </w:p>
    <w:p w:rsidR="0085416A" w:rsidRPr="008302CA" w:rsidRDefault="004A1A5A" w:rsidP="00A95AEA">
      <w:pPr>
        <w:numPr>
          <w:ilvl w:val="2"/>
          <w:numId w:val="7"/>
        </w:numPr>
        <w:spacing w:after="0" w:line="240" w:lineRule="auto"/>
      </w:pPr>
      <w:r w:rsidRPr="008302CA">
        <w:t>Member Letter (60-day notice)</w:t>
      </w:r>
    </w:p>
    <w:p w:rsidR="0085416A" w:rsidRPr="008302CA" w:rsidRDefault="004A1A5A" w:rsidP="00A95AEA">
      <w:pPr>
        <w:numPr>
          <w:ilvl w:val="2"/>
          <w:numId w:val="7"/>
        </w:numPr>
        <w:spacing w:after="0" w:line="240" w:lineRule="auto"/>
      </w:pPr>
      <w:r w:rsidRPr="008302CA">
        <w:t>“One Care and Part D” information sheet</w:t>
      </w:r>
    </w:p>
    <w:p w:rsidR="0085416A" w:rsidRPr="008302CA" w:rsidRDefault="004A1A5A" w:rsidP="00A95AEA">
      <w:pPr>
        <w:numPr>
          <w:ilvl w:val="2"/>
          <w:numId w:val="7"/>
        </w:numPr>
        <w:spacing w:after="0" w:line="240" w:lineRule="auto"/>
      </w:pPr>
      <w:r w:rsidRPr="008302CA">
        <w:t>“One Care Facts and Features” brochure</w:t>
      </w:r>
    </w:p>
    <w:p w:rsidR="0085416A" w:rsidRPr="008302CA" w:rsidRDefault="004A1A5A" w:rsidP="00A95AEA">
      <w:pPr>
        <w:numPr>
          <w:ilvl w:val="2"/>
          <w:numId w:val="7"/>
        </w:numPr>
        <w:spacing w:after="0" w:line="240" w:lineRule="auto"/>
      </w:pPr>
      <w:r w:rsidRPr="008302CA">
        <w:t xml:space="preserve">Language Insert </w:t>
      </w:r>
    </w:p>
    <w:p w:rsidR="0085416A" w:rsidRPr="008302CA" w:rsidRDefault="004A1A5A" w:rsidP="00A95AEA">
      <w:pPr>
        <w:numPr>
          <w:ilvl w:val="2"/>
          <w:numId w:val="7"/>
        </w:numPr>
        <w:spacing w:after="0" w:line="240" w:lineRule="auto"/>
      </w:pPr>
      <w:r w:rsidRPr="008302CA">
        <w:t xml:space="preserve">One Care Choice Form </w:t>
      </w:r>
    </w:p>
    <w:p w:rsidR="0085416A" w:rsidRPr="008302CA" w:rsidRDefault="004A1A5A" w:rsidP="00A95AEA">
      <w:pPr>
        <w:numPr>
          <w:ilvl w:val="2"/>
          <w:numId w:val="7"/>
        </w:numPr>
        <w:spacing w:after="0" w:line="240" w:lineRule="auto"/>
      </w:pPr>
      <w:r w:rsidRPr="008302CA">
        <w:t>Stamped Return Envelope</w:t>
      </w:r>
    </w:p>
    <w:p w:rsidR="0085416A" w:rsidRPr="008302CA" w:rsidRDefault="004A1A5A" w:rsidP="00A95AEA">
      <w:pPr>
        <w:numPr>
          <w:ilvl w:val="0"/>
          <w:numId w:val="7"/>
        </w:numPr>
        <w:spacing w:after="0" w:line="240" w:lineRule="auto"/>
      </w:pPr>
      <w:r w:rsidRPr="008302CA">
        <w:t>On November 24</w:t>
      </w:r>
      <w:r w:rsidRPr="008302CA">
        <w:rPr>
          <w:vertAlign w:val="superscript"/>
        </w:rPr>
        <w:t>th</w:t>
      </w:r>
      <w:r w:rsidRPr="008302CA">
        <w:t>, MassHealth mailed a flyer with information about upcoming One Care Information Sessions being held in the first two weeks of December, 2015</w:t>
      </w:r>
    </w:p>
    <w:p w:rsidR="0085416A" w:rsidRPr="008302CA" w:rsidRDefault="004A1A5A" w:rsidP="00A95AEA">
      <w:pPr>
        <w:numPr>
          <w:ilvl w:val="0"/>
          <w:numId w:val="7"/>
        </w:numPr>
        <w:spacing w:after="0" w:line="240" w:lineRule="auto"/>
      </w:pPr>
      <w:r w:rsidRPr="008302CA">
        <w:t xml:space="preserve">MassHealth also mailed 30-day reminder notices on November 27, 2015, which included another copy of the outreach flyer, an updated notice, and the same informational materials as the 60 day notice. </w:t>
      </w:r>
    </w:p>
    <w:p w:rsidR="0085416A" w:rsidRPr="008302CA" w:rsidRDefault="004A1A5A" w:rsidP="00A95AEA">
      <w:pPr>
        <w:numPr>
          <w:ilvl w:val="0"/>
          <w:numId w:val="7"/>
        </w:numPr>
        <w:spacing w:after="0" w:line="240" w:lineRule="auto"/>
      </w:pPr>
      <w:r w:rsidRPr="008302CA">
        <w:t>Individuals could choose to enroll in Tufts for an earlier date or opt out. CCA has opened enrollment for up to 100 individuals in Suffolk County for January 2016 enrollment only.</w:t>
      </w:r>
    </w:p>
    <w:p w:rsidR="003A0CD5" w:rsidRDefault="003A0CD5" w:rsidP="003A0CD5">
      <w:pPr>
        <w:spacing w:after="0" w:line="240" w:lineRule="auto"/>
      </w:pPr>
    </w:p>
    <w:p w:rsidR="003A0CD5" w:rsidRDefault="003A0CD5" w:rsidP="003A0CD5">
      <w:pPr>
        <w:spacing w:after="0" w:line="240" w:lineRule="auto"/>
      </w:pPr>
      <w:r>
        <w:t>Slide 7</w:t>
      </w:r>
    </w:p>
    <w:p w:rsidR="003A0CD5" w:rsidRDefault="008302CA" w:rsidP="003A0CD5">
      <w:pPr>
        <w:spacing w:after="0" w:line="240" w:lineRule="auto"/>
      </w:pPr>
      <w:r w:rsidRPr="008302CA">
        <w:rPr>
          <w:b/>
          <w:bCs/>
        </w:rPr>
        <w:t>December Targeted Outreach Events</w:t>
      </w:r>
    </w:p>
    <w:p w:rsidR="00925B1F" w:rsidRPr="00925B1F" w:rsidRDefault="00925B1F" w:rsidP="00925B1F">
      <w:pPr>
        <w:pStyle w:val="ListParagraph"/>
        <w:numPr>
          <w:ilvl w:val="0"/>
          <w:numId w:val="22"/>
        </w:numPr>
        <w:spacing w:after="0" w:line="240" w:lineRule="auto"/>
      </w:pPr>
      <w:r w:rsidRPr="00925B1F">
        <w:t>MassHealth and Tufts Health Plan are hosting four One Care information sessions in Suffolk County in early December</w:t>
      </w:r>
    </w:p>
    <w:p w:rsidR="00925B1F" w:rsidRPr="00925B1F" w:rsidRDefault="00925B1F" w:rsidP="00925B1F">
      <w:pPr>
        <w:pStyle w:val="ListParagraph"/>
        <w:numPr>
          <w:ilvl w:val="0"/>
          <w:numId w:val="22"/>
        </w:numPr>
        <w:spacing w:after="0" w:line="240" w:lineRule="auto"/>
      </w:pPr>
      <w:r w:rsidRPr="00925B1F">
        <w:t xml:space="preserve">Events were planned in areas where large numbers of auto-assigned members live and for different times of day </w:t>
      </w:r>
    </w:p>
    <w:p w:rsidR="00925B1F" w:rsidRDefault="00925B1F" w:rsidP="00925B1F">
      <w:pPr>
        <w:pStyle w:val="ListParagraph"/>
        <w:numPr>
          <w:ilvl w:val="0"/>
          <w:numId w:val="22"/>
        </w:numPr>
        <w:spacing w:after="0" w:line="240" w:lineRule="auto"/>
      </w:pPr>
      <w:r w:rsidRPr="00925B1F">
        <w:t>Two events were held in Roxbury and Downtown Boston last week; two additional events this week in Chelsea and Dorchester:</w:t>
      </w:r>
    </w:p>
    <w:p w:rsidR="004A1A5A" w:rsidRPr="004A1A5A" w:rsidRDefault="004A1A5A" w:rsidP="004A1A5A">
      <w:pPr>
        <w:numPr>
          <w:ilvl w:val="1"/>
          <w:numId w:val="22"/>
        </w:numPr>
        <w:spacing w:after="0" w:line="240" w:lineRule="auto"/>
        <w:rPr>
          <w:bCs/>
        </w:rPr>
      </w:pPr>
      <w:r w:rsidRPr="004A1A5A">
        <w:rPr>
          <w:bCs/>
        </w:rPr>
        <w:t>Thursday, December 3</w:t>
      </w:r>
      <w:r w:rsidRPr="004A1A5A">
        <w:rPr>
          <w:bCs/>
          <w:vertAlign w:val="superscript"/>
        </w:rPr>
        <w:t>rd</w:t>
      </w:r>
      <w:r w:rsidRPr="004A1A5A">
        <w:rPr>
          <w:bCs/>
        </w:rPr>
        <w:t xml:space="preserve"> 12:30 p.m. to 2:30 p.m. Bruce Bolling Municipal Center Roxbury </w:t>
      </w:r>
    </w:p>
    <w:p w:rsidR="004A1A5A" w:rsidRPr="004A1A5A" w:rsidRDefault="004A1A5A" w:rsidP="004A1A5A">
      <w:pPr>
        <w:numPr>
          <w:ilvl w:val="1"/>
          <w:numId w:val="22"/>
        </w:numPr>
        <w:spacing w:after="0" w:line="240" w:lineRule="auto"/>
        <w:rPr>
          <w:bCs/>
        </w:rPr>
      </w:pPr>
      <w:r w:rsidRPr="004A1A5A">
        <w:rPr>
          <w:bCs/>
        </w:rPr>
        <w:t>Friday, December 4</w:t>
      </w:r>
      <w:r w:rsidRPr="004A1A5A">
        <w:rPr>
          <w:bCs/>
          <w:vertAlign w:val="superscript"/>
        </w:rPr>
        <w:t>th</w:t>
      </w:r>
      <w:r w:rsidRPr="004A1A5A">
        <w:rPr>
          <w:bCs/>
        </w:rPr>
        <w:t xml:space="preserve"> </w:t>
      </w:r>
      <w:r>
        <w:rPr>
          <w:bCs/>
        </w:rPr>
        <w:t xml:space="preserve">5:00 p.m. to 7:00 p.m. </w:t>
      </w:r>
      <w:r w:rsidRPr="004A1A5A">
        <w:rPr>
          <w:bCs/>
        </w:rPr>
        <w:t xml:space="preserve">Boston Public Market Downtown Boston </w:t>
      </w:r>
    </w:p>
    <w:p w:rsidR="004A1A5A" w:rsidRPr="004A1A5A" w:rsidRDefault="004A1A5A" w:rsidP="004A1A5A">
      <w:pPr>
        <w:numPr>
          <w:ilvl w:val="1"/>
          <w:numId w:val="22"/>
        </w:numPr>
        <w:spacing w:after="0" w:line="240" w:lineRule="auto"/>
        <w:rPr>
          <w:bCs/>
        </w:rPr>
      </w:pPr>
      <w:r w:rsidRPr="004A1A5A">
        <w:rPr>
          <w:bCs/>
        </w:rPr>
        <w:t>Tuesday, December 8</w:t>
      </w:r>
      <w:r w:rsidRPr="004A1A5A">
        <w:rPr>
          <w:bCs/>
          <w:vertAlign w:val="superscript"/>
        </w:rPr>
        <w:t>th</w:t>
      </w:r>
      <w:r w:rsidRPr="004A1A5A">
        <w:rPr>
          <w:bCs/>
        </w:rPr>
        <w:t xml:space="preserve"> 1:30 p.m. to 3:30 p.m.</w:t>
      </w:r>
      <w:r>
        <w:rPr>
          <w:bCs/>
        </w:rPr>
        <w:t xml:space="preserve"> </w:t>
      </w:r>
      <w:r w:rsidRPr="004A1A5A">
        <w:rPr>
          <w:bCs/>
        </w:rPr>
        <w:t>Bunker Hill Community College (BHCC), Chelsea Campus- joint Health Fair Event</w:t>
      </w:r>
    </w:p>
    <w:p w:rsidR="004A1A5A" w:rsidRPr="004A1A5A" w:rsidRDefault="004A1A5A" w:rsidP="004A1A5A">
      <w:pPr>
        <w:numPr>
          <w:ilvl w:val="1"/>
          <w:numId w:val="22"/>
        </w:numPr>
        <w:spacing w:after="0" w:line="240" w:lineRule="auto"/>
        <w:rPr>
          <w:bCs/>
        </w:rPr>
      </w:pPr>
      <w:r w:rsidRPr="004A1A5A">
        <w:rPr>
          <w:bCs/>
        </w:rPr>
        <w:t>Wednesday, December 9</w:t>
      </w:r>
      <w:r w:rsidRPr="004A1A5A">
        <w:rPr>
          <w:bCs/>
          <w:vertAlign w:val="superscript"/>
        </w:rPr>
        <w:t>th</w:t>
      </w:r>
      <w:r w:rsidRPr="004A1A5A">
        <w:rPr>
          <w:bCs/>
        </w:rPr>
        <w:t xml:space="preserve"> 1:00 p.m. to 3:00 p.m</w:t>
      </w:r>
      <w:r>
        <w:rPr>
          <w:bCs/>
        </w:rPr>
        <w:t xml:space="preserve">. </w:t>
      </w:r>
      <w:r w:rsidRPr="004A1A5A">
        <w:rPr>
          <w:bCs/>
        </w:rPr>
        <w:t>Kroc Corps Community Center, Dorchester</w:t>
      </w:r>
    </w:p>
    <w:p w:rsidR="003979A2" w:rsidRPr="003979A2" w:rsidRDefault="003979A2" w:rsidP="003979A2">
      <w:pPr>
        <w:pStyle w:val="ListParagraph"/>
        <w:numPr>
          <w:ilvl w:val="0"/>
          <w:numId w:val="24"/>
        </w:numPr>
        <w:spacing w:after="0" w:line="240" w:lineRule="auto"/>
      </w:pPr>
      <w:r w:rsidRPr="003979A2">
        <w:t>Attendees have the opportunity to talk with MassHealth, Tufts Health Plan, SHINE, the One Care Ombudsman, and current One Care members</w:t>
      </w:r>
    </w:p>
    <w:p w:rsidR="003979A2" w:rsidRDefault="003979A2" w:rsidP="003979A2">
      <w:pPr>
        <w:pStyle w:val="ListParagraph"/>
        <w:numPr>
          <w:ilvl w:val="0"/>
          <w:numId w:val="24"/>
        </w:numPr>
        <w:spacing w:after="0" w:line="240" w:lineRule="auto"/>
      </w:pPr>
      <w:r w:rsidRPr="003979A2">
        <w:t>Each event starts with a presentation by Tufts Health Plan, followed by time for questions and answers</w:t>
      </w:r>
    </w:p>
    <w:p w:rsidR="003979A2" w:rsidRDefault="004A1A5A" w:rsidP="003979A2">
      <w:pPr>
        <w:pStyle w:val="ListParagraph"/>
        <w:numPr>
          <w:ilvl w:val="0"/>
          <w:numId w:val="24"/>
        </w:numPr>
        <w:spacing w:after="0" w:line="240" w:lineRule="auto"/>
      </w:pPr>
      <w:r w:rsidRPr="003979A2">
        <w:t>Refreshments are provided</w:t>
      </w:r>
    </w:p>
    <w:p w:rsidR="0085416A" w:rsidRPr="003979A2" w:rsidRDefault="004A1A5A" w:rsidP="003979A2">
      <w:pPr>
        <w:pStyle w:val="ListParagraph"/>
        <w:numPr>
          <w:ilvl w:val="0"/>
          <w:numId w:val="24"/>
        </w:numPr>
        <w:spacing w:after="0" w:line="240" w:lineRule="auto"/>
      </w:pPr>
      <w:r w:rsidRPr="003979A2">
        <w:t xml:space="preserve">Members of the Implementation Council were also invited to attend these events </w:t>
      </w:r>
    </w:p>
    <w:p w:rsidR="003979A2" w:rsidRDefault="003979A2" w:rsidP="003979A2">
      <w:pPr>
        <w:spacing w:after="0" w:line="240" w:lineRule="auto"/>
      </w:pPr>
    </w:p>
    <w:p w:rsidR="003A0CD5" w:rsidRDefault="003A0CD5" w:rsidP="003A0CD5">
      <w:pPr>
        <w:spacing w:after="0" w:line="240" w:lineRule="auto"/>
      </w:pPr>
      <w:r>
        <w:t>Slide 8</w:t>
      </w:r>
    </w:p>
    <w:p w:rsidR="00314779" w:rsidRDefault="00314779" w:rsidP="003A0CD5">
      <w:pPr>
        <w:spacing w:after="0" w:line="240" w:lineRule="auto"/>
        <w:rPr>
          <w:b/>
          <w:bCs/>
        </w:rPr>
      </w:pPr>
      <w:r w:rsidRPr="00314779">
        <w:rPr>
          <w:b/>
          <w:bCs/>
        </w:rPr>
        <w:t>Discussion</w:t>
      </w:r>
    </w:p>
    <w:p w:rsidR="00E3281D" w:rsidRPr="00E3281D" w:rsidRDefault="00E3281D" w:rsidP="003A0CD5">
      <w:pPr>
        <w:spacing w:after="0" w:line="240" w:lineRule="auto"/>
        <w:rPr>
          <w:b/>
        </w:rPr>
      </w:pPr>
    </w:p>
    <w:p w:rsidR="003A0CD5" w:rsidRDefault="003A0CD5" w:rsidP="003A0CD5">
      <w:pPr>
        <w:spacing w:after="0" w:line="240" w:lineRule="auto"/>
      </w:pPr>
      <w:r>
        <w:t>Slide 9</w:t>
      </w:r>
    </w:p>
    <w:p w:rsidR="00314779" w:rsidRPr="00314779" w:rsidRDefault="00314779" w:rsidP="00314779">
      <w:pPr>
        <w:spacing w:after="0" w:line="240" w:lineRule="auto"/>
        <w:rPr>
          <w:b/>
          <w:bCs/>
        </w:rPr>
      </w:pPr>
      <w:r w:rsidRPr="00314779">
        <w:rPr>
          <w:b/>
          <w:bCs/>
        </w:rPr>
        <w:t>Ongoing One Care Activities</w:t>
      </w:r>
    </w:p>
    <w:p w:rsidR="0085416A" w:rsidRPr="00314779" w:rsidRDefault="004A1A5A" w:rsidP="00A95AEA">
      <w:pPr>
        <w:numPr>
          <w:ilvl w:val="0"/>
          <w:numId w:val="8"/>
        </w:numPr>
        <w:spacing w:after="0" w:line="240" w:lineRule="auto"/>
      </w:pPr>
      <w:r w:rsidRPr="00314779">
        <w:rPr>
          <w:b/>
          <w:bCs/>
        </w:rPr>
        <w:t xml:space="preserve">Amendments to the Existing Contract Through 2016: </w:t>
      </w:r>
    </w:p>
    <w:p w:rsidR="0085416A" w:rsidRPr="00314779" w:rsidRDefault="004A1A5A" w:rsidP="00A95AEA">
      <w:pPr>
        <w:numPr>
          <w:ilvl w:val="1"/>
          <w:numId w:val="8"/>
        </w:numPr>
        <w:spacing w:after="0" w:line="240" w:lineRule="auto"/>
      </w:pPr>
      <w:r w:rsidRPr="00314779">
        <w:t>In process now; expected completion by end of December 2015</w:t>
      </w:r>
    </w:p>
    <w:p w:rsidR="0085416A" w:rsidRPr="00314779" w:rsidRDefault="004A1A5A" w:rsidP="00A95AEA">
      <w:pPr>
        <w:numPr>
          <w:ilvl w:val="1"/>
          <w:numId w:val="8"/>
        </w:numPr>
        <w:spacing w:after="0" w:line="240" w:lineRule="auto"/>
      </w:pPr>
      <w:r w:rsidRPr="00314779">
        <w:lastRenderedPageBreak/>
        <w:t>Incorporates September 2015 rate methodology changes</w:t>
      </w:r>
    </w:p>
    <w:p w:rsidR="0085416A" w:rsidRPr="00314779" w:rsidRDefault="004A1A5A" w:rsidP="00A95AEA">
      <w:pPr>
        <w:numPr>
          <w:ilvl w:val="1"/>
          <w:numId w:val="8"/>
        </w:numPr>
        <w:spacing w:after="0" w:line="240" w:lineRule="auto"/>
      </w:pPr>
      <w:r w:rsidRPr="00314779">
        <w:t>Other technical fixes</w:t>
      </w:r>
    </w:p>
    <w:p w:rsidR="0085416A" w:rsidRPr="00314779" w:rsidRDefault="004A1A5A" w:rsidP="00A95AEA">
      <w:pPr>
        <w:numPr>
          <w:ilvl w:val="0"/>
          <w:numId w:val="8"/>
        </w:numPr>
        <w:spacing w:after="0" w:line="240" w:lineRule="auto"/>
      </w:pPr>
      <w:r w:rsidRPr="00314779">
        <w:rPr>
          <w:b/>
          <w:bCs/>
        </w:rPr>
        <w:t xml:space="preserve">One Care Demonstration Contract Extension: </w:t>
      </w:r>
    </w:p>
    <w:p w:rsidR="0085416A" w:rsidRPr="00314779" w:rsidRDefault="004A1A5A" w:rsidP="00A95AEA">
      <w:pPr>
        <w:numPr>
          <w:ilvl w:val="1"/>
          <w:numId w:val="8"/>
        </w:numPr>
        <w:spacing w:after="0" w:line="240" w:lineRule="auto"/>
      </w:pPr>
      <w:r w:rsidRPr="00314779">
        <w:t>During 2016</w:t>
      </w:r>
    </w:p>
    <w:p w:rsidR="0085416A" w:rsidRPr="00314779" w:rsidRDefault="004A1A5A" w:rsidP="00A95AEA">
      <w:pPr>
        <w:numPr>
          <w:ilvl w:val="1"/>
          <w:numId w:val="8"/>
        </w:numPr>
        <w:spacing w:after="0" w:line="240" w:lineRule="auto"/>
      </w:pPr>
      <w:r w:rsidRPr="00314779">
        <w:t>Will extend the Demonstration through 2018</w:t>
      </w:r>
    </w:p>
    <w:p w:rsidR="0085416A" w:rsidRPr="00314779" w:rsidRDefault="004A1A5A" w:rsidP="00A95AEA">
      <w:pPr>
        <w:numPr>
          <w:ilvl w:val="1"/>
          <w:numId w:val="8"/>
        </w:numPr>
        <w:spacing w:after="0" w:line="240" w:lineRule="auto"/>
      </w:pPr>
      <w:r w:rsidRPr="00314779">
        <w:t>Financial adjustments will need to be refined for the extension period</w:t>
      </w:r>
    </w:p>
    <w:p w:rsidR="0085416A" w:rsidRPr="00314779" w:rsidRDefault="004A1A5A" w:rsidP="00A95AEA">
      <w:pPr>
        <w:numPr>
          <w:ilvl w:val="0"/>
          <w:numId w:val="8"/>
        </w:numPr>
        <w:spacing w:after="0" w:line="240" w:lineRule="auto"/>
      </w:pPr>
      <w:r w:rsidRPr="00314779">
        <w:rPr>
          <w:b/>
          <w:bCs/>
        </w:rPr>
        <w:t xml:space="preserve">One Care Plan Procurement (TBD): </w:t>
      </w:r>
    </w:p>
    <w:p w:rsidR="0085416A" w:rsidRPr="00314779" w:rsidRDefault="004A1A5A" w:rsidP="00A95AEA">
      <w:pPr>
        <w:numPr>
          <w:ilvl w:val="1"/>
          <w:numId w:val="8"/>
        </w:numPr>
        <w:spacing w:after="0" w:line="240" w:lineRule="auto"/>
      </w:pPr>
      <w:r w:rsidRPr="00314779">
        <w:t>MassHealth is determining whether to re-procure plans for the extension period</w:t>
      </w:r>
    </w:p>
    <w:p w:rsidR="0085416A" w:rsidRPr="00314779" w:rsidRDefault="004A1A5A" w:rsidP="00A95AEA">
      <w:pPr>
        <w:numPr>
          <w:ilvl w:val="1"/>
          <w:numId w:val="8"/>
        </w:numPr>
        <w:spacing w:after="0" w:line="240" w:lineRule="auto"/>
      </w:pPr>
      <w:r w:rsidRPr="00314779">
        <w:t>Key dates TBD to be aligned with new delivery system and payment redesign initiatives</w:t>
      </w:r>
    </w:p>
    <w:p w:rsidR="003A0CD5" w:rsidRDefault="003A0CD5" w:rsidP="003A0CD5">
      <w:pPr>
        <w:spacing w:after="0" w:line="240" w:lineRule="auto"/>
      </w:pPr>
    </w:p>
    <w:p w:rsidR="003A0CD5" w:rsidRDefault="003A0CD5" w:rsidP="003A0CD5">
      <w:pPr>
        <w:spacing w:after="0" w:line="240" w:lineRule="auto"/>
      </w:pPr>
      <w:r>
        <w:t>Slide 10</w:t>
      </w:r>
    </w:p>
    <w:p w:rsidR="00314779" w:rsidRPr="00314779" w:rsidRDefault="00314779" w:rsidP="00314779">
      <w:pPr>
        <w:spacing w:after="0" w:line="240" w:lineRule="auto"/>
        <w:rPr>
          <w:b/>
          <w:bCs/>
        </w:rPr>
      </w:pPr>
      <w:r w:rsidRPr="00314779">
        <w:rPr>
          <w:b/>
          <w:bCs/>
        </w:rPr>
        <w:t>MassHealth’s Delivery System and Payment Redesign</w:t>
      </w:r>
    </w:p>
    <w:p w:rsidR="0085416A" w:rsidRPr="00314779" w:rsidRDefault="004A1A5A" w:rsidP="00A95AEA">
      <w:pPr>
        <w:numPr>
          <w:ilvl w:val="0"/>
          <w:numId w:val="9"/>
        </w:numPr>
        <w:spacing w:after="0" w:line="240" w:lineRule="auto"/>
        <w:rPr>
          <w:bCs/>
        </w:rPr>
      </w:pPr>
      <w:r w:rsidRPr="00314779">
        <w:rPr>
          <w:bCs/>
        </w:rPr>
        <w:t xml:space="preserve">MassHealth continues to work towards development of new health care delivery and payment reform models that seek to improve care coordination and better manage health care costs. </w:t>
      </w:r>
    </w:p>
    <w:p w:rsidR="0085416A" w:rsidRPr="00314779" w:rsidRDefault="004A1A5A" w:rsidP="00A95AEA">
      <w:pPr>
        <w:numPr>
          <w:ilvl w:val="0"/>
          <w:numId w:val="9"/>
        </w:numPr>
        <w:spacing w:after="0" w:line="240" w:lineRule="auto"/>
        <w:rPr>
          <w:bCs/>
        </w:rPr>
      </w:pPr>
      <w:r w:rsidRPr="00314779">
        <w:rPr>
          <w:bCs/>
        </w:rPr>
        <w:t>Beginning in August, MassHealth invited individuals to participate via a competitive application in a series of eight work groups to inform the restructuring of the MassHealth Program, with the goal of submitting a proposal in the Spring of 2016</w:t>
      </w:r>
    </w:p>
    <w:p w:rsidR="0032400B" w:rsidRDefault="004A1A5A" w:rsidP="0032400B">
      <w:pPr>
        <w:numPr>
          <w:ilvl w:val="1"/>
          <w:numId w:val="9"/>
        </w:numPr>
        <w:spacing w:after="0" w:line="240" w:lineRule="auto"/>
        <w:rPr>
          <w:bCs/>
        </w:rPr>
      </w:pPr>
      <w:r w:rsidRPr="00314779">
        <w:rPr>
          <w:bCs/>
        </w:rPr>
        <w:t>Each of the work groups focuses on a specific aspect of payment and care delivery transformation with consideration for the unique needs of the MassHealth population, including behavioral health and long-term supports and services</w:t>
      </w:r>
    </w:p>
    <w:p w:rsidR="0085416A" w:rsidRPr="0032400B" w:rsidRDefault="004A1A5A" w:rsidP="0032400B">
      <w:pPr>
        <w:pStyle w:val="ListParagraph"/>
        <w:numPr>
          <w:ilvl w:val="0"/>
          <w:numId w:val="25"/>
        </w:numPr>
        <w:spacing w:after="0" w:line="240" w:lineRule="auto"/>
        <w:ind w:left="720"/>
        <w:rPr>
          <w:bCs/>
        </w:rPr>
      </w:pPr>
      <w:r w:rsidRPr="0032400B">
        <w:rPr>
          <w:bCs/>
        </w:rPr>
        <w:t>Part of this work involves looking closely at existing models, including One Care, SCO, and PACE, for lessons learned and thinking about how to responsibly grow these models in conjunction with the overall restructuring initiative</w:t>
      </w:r>
    </w:p>
    <w:p w:rsidR="0085416A" w:rsidRPr="00314779" w:rsidRDefault="004A1A5A" w:rsidP="00A95AEA">
      <w:pPr>
        <w:numPr>
          <w:ilvl w:val="0"/>
          <w:numId w:val="9"/>
        </w:numPr>
        <w:spacing w:after="0" w:line="240" w:lineRule="auto"/>
        <w:rPr>
          <w:bCs/>
        </w:rPr>
      </w:pPr>
      <w:r w:rsidRPr="00314779">
        <w:rPr>
          <w:bCs/>
        </w:rPr>
        <w:t>One Care provides key lessons about designing care for individuals with disabilities and for dual eligibles in these discussions. MassHealth has committed to developing strategies for sustainability and getting the model to scale.</w:t>
      </w:r>
    </w:p>
    <w:p w:rsidR="003A0CD5" w:rsidRDefault="003A0CD5" w:rsidP="003A0CD5">
      <w:pPr>
        <w:spacing w:after="0" w:line="240" w:lineRule="auto"/>
      </w:pPr>
    </w:p>
    <w:p w:rsidR="003A0CD5" w:rsidRDefault="003A0CD5" w:rsidP="003A0CD5">
      <w:pPr>
        <w:spacing w:after="0" w:line="240" w:lineRule="auto"/>
      </w:pPr>
      <w:r>
        <w:t>Slide 11</w:t>
      </w:r>
    </w:p>
    <w:p w:rsidR="00314779" w:rsidRPr="00314779" w:rsidRDefault="00314779" w:rsidP="00314779">
      <w:pPr>
        <w:spacing w:after="0" w:line="240" w:lineRule="auto"/>
        <w:rPr>
          <w:b/>
          <w:bCs/>
        </w:rPr>
      </w:pPr>
      <w:r w:rsidRPr="00314779">
        <w:rPr>
          <w:b/>
          <w:bCs/>
        </w:rPr>
        <w:t>Long-Term Supports Coordinator Updates</w:t>
      </w:r>
    </w:p>
    <w:p w:rsidR="003A0CD5" w:rsidRDefault="003A0CD5" w:rsidP="003A0CD5">
      <w:pPr>
        <w:spacing w:after="0" w:line="240" w:lineRule="auto"/>
        <w:rPr>
          <w:b/>
          <w:bCs/>
        </w:rPr>
      </w:pPr>
    </w:p>
    <w:p w:rsidR="003A0CD5" w:rsidRDefault="003A0CD5" w:rsidP="003A0CD5">
      <w:pPr>
        <w:spacing w:after="0" w:line="240" w:lineRule="auto"/>
        <w:rPr>
          <w:b/>
          <w:bCs/>
        </w:rPr>
      </w:pPr>
      <w:r>
        <w:rPr>
          <w:b/>
          <w:bCs/>
        </w:rPr>
        <w:t>Slide 12</w:t>
      </w:r>
    </w:p>
    <w:p w:rsidR="00314779" w:rsidRDefault="00314779" w:rsidP="003A0CD5">
      <w:pPr>
        <w:spacing w:after="0" w:line="240" w:lineRule="auto"/>
        <w:rPr>
          <w:b/>
          <w:bCs/>
        </w:rPr>
      </w:pPr>
      <w:r w:rsidRPr="00314779">
        <w:rPr>
          <w:b/>
          <w:bCs/>
        </w:rPr>
        <w:t>Long-Term Support</w:t>
      </w:r>
      <w:r>
        <w:rPr>
          <w:b/>
          <w:bCs/>
        </w:rPr>
        <w:t>s (LTS) Coordinator Discussions</w:t>
      </w:r>
    </w:p>
    <w:p w:rsidR="00314779" w:rsidRPr="00314779" w:rsidRDefault="00314779" w:rsidP="00314779">
      <w:pPr>
        <w:spacing w:after="0" w:line="240" w:lineRule="auto"/>
        <w:rPr>
          <w:b/>
          <w:bCs/>
        </w:rPr>
      </w:pPr>
      <w:r w:rsidRPr="00314779">
        <w:rPr>
          <w:b/>
          <w:bCs/>
        </w:rPr>
        <w:t>Success:</w:t>
      </w:r>
    </w:p>
    <w:p w:rsidR="00314779" w:rsidRPr="00314779" w:rsidRDefault="00314779" w:rsidP="00A95AEA">
      <w:pPr>
        <w:pStyle w:val="ListParagraph"/>
        <w:numPr>
          <w:ilvl w:val="0"/>
          <w:numId w:val="10"/>
        </w:numPr>
        <w:spacing w:after="0" w:line="240" w:lineRule="auto"/>
        <w:rPr>
          <w:bCs/>
          <w:iCs/>
        </w:rPr>
      </w:pPr>
      <w:r w:rsidRPr="00314779">
        <w:rPr>
          <w:bCs/>
          <w:iCs/>
        </w:rPr>
        <w:t>MassHealth has been working with Tufts Health Plan and their contracted Community Based Organizations to address issues related to:</w:t>
      </w:r>
    </w:p>
    <w:p w:rsidR="00314779" w:rsidRPr="00314779" w:rsidRDefault="00314779" w:rsidP="00A95AEA">
      <w:pPr>
        <w:pStyle w:val="ListParagraph"/>
        <w:numPr>
          <w:ilvl w:val="1"/>
          <w:numId w:val="10"/>
        </w:numPr>
        <w:spacing w:after="0" w:line="240" w:lineRule="auto"/>
        <w:rPr>
          <w:bCs/>
          <w:iCs/>
        </w:rPr>
      </w:pPr>
      <w:r w:rsidRPr="00314779">
        <w:rPr>
          <w:bCs/>
          <w:iCs/>
        </w:rPr>
        <w:t>Billing/payment issues</w:t>
      </w:r>
    </w:p>
    <w:p w:rsidR="00314779" w:rsidRPr="00314779" w:rsidRDefault="00314779" w:rsidP="00A95AEA">
      <w:pPr>
        <w:pStyle w:val="ListParagraph"/>
        <w:numPr>
          <w:ilvl w:val="1"/>
          <w:numId w:val="10"/>
        </w:numPr>
        <w:spacing w:after="0" w:line="240" w:lineRule="auto"/>
        <w:rPr>
          <w:bCs/>
          <w:iCs/>
        </w:rPr>
      </w:pPr>
      <w:r w:rsidRPr="00314779">
        <w:rPr>
          <w:bCs/>
          <w:iCs/>
        </w:rPr>
        <w:t>Service authorizations</w:t>
      </w:r>
    </w:p>
    <w:p w:rsidR="00314779" w:rsidRPr="00314779" w:rsidRDefault="00314779" w:rsidP="00A95AEA">
      <w:pPr>
        <w:pStyle w:val="ListParagraph"/>
        <w:numPr>
          <w:ilvl w:val="1"/>
          <w:numId w:val="10"/>
        </w:numPr>
        <w:spacing w:after="0" w:line="240" w:lineRule="auto"/>
        <w:rPr>
          <w:bCs/>
          <w:iCs/>
        </w:rPr>
      </w:pPr>
      <w:r w:rsidRPr="00314779">
        <w:rPr>
          <w:bCs/>
          <w:iCs/>
        </w:rPr>
        <w:t>Communication</w:t>
      </w:r>
    </w:p>
    <w:p w:rsidR="00314779" w:rsidRPr="00314779" w:rsidRDefault="00314779" w:rsidP="00A95AEA">
      <w:pPr>
        <w:pStyle w:val="ListParagraph"/>
        <w:numPr>
          <w:ilvl w:val="0"/>
          <w:numId w:val="10"/>
        </w:numPr>
        <w:spacing w:after="0" w:line="240" w:lineRule="auto"/>
        <w:rPr>
          <w:bCs/>
          <w:iCs/>
        </w:rPr>
      </w:pPr>
      <w:r w:rsidRPr="00314779">
        <w:rPr>
          <w:bCs/>
          <w:iCs/>
        </w:rPr>
        <w:t>These issues have been resolved, and Tufts is working with the CBOs to amend their contracts.</w:t>
      </w:r>
    </w:p>
    <w:p w:rsidR="00314779" w:rsidRPr="00314779" w:rsidRDefault="00314779" w:rsidP="00A95AEA">
      <w:pPr>
        <w:pStyle w:val="ListParagraph"/>
        <w:numPr>
          <w:ilvl w:val="1"/>
          <w:numId w:val="10"/>
        </w:numPr>
        <w:spacing w:after="0" w:line="240" w:lineRule="auto"/>
        <w:rPr>
          <w:bCs/>
          <w:iCs/>
        </w:rPr>
      </w:pPr>
      <w:r w:rsidRPr="00314779">
        <w:rPr>
          <w:bCs/>
          <w:iCs/>
        </w:rPr>
        <w:t>In a joint discussion MassHealth hosted with Tufts and its CBOs in November, all parties confirmed the Tufts/CBO relationships are much improved.</w:t>
      </w:r>
    </w:p>
    <w:p w:rsidR="00314779" w:rsidRPr="00314779" w:rsidRDefault="00314779" w:rsidP="00A95AEA">
      <w:pPr>
        <w:pStyle w:val="ListParagraph"/>
        <w:numPr>
          <w:ilvl w:val="0"/>
          <w:numId w:val="10"/>
        </w:numPr>
        <w:spacing w:after="0" w:line="240" w:lineRule="auto"/>
        <w:rPr>
          <w:bCs/>
          <w:iCs/>
        </w:rPr>
      </w:pPr>
      <w:r w:rsidRPr="00314779">
        <w:rPr>
          <w:bCs/>
          <w:iCs/>
        </w:rPr>
        <w:t>The mutual commitment of One Care plans and CBOs provides a foundation for future delivery models in MassHealth</w:t>
      </w:r>
    </w:p>
    <w:p w:rsidR="003A0CD5" w:rsidRPr="003A0CD5" w:rsidRDefault="003A0CD5" w:rsidP="003A0CD5">
      <w:pPr>
        <w:spacing w:after="0" w:line="240" w:lineRule="auto"/>
        <w:rPr>
          <w:bCs/>
          <w:iCs/>
        </w:rPr>
      </w:pPr>
    </w:p>
    <w:p w:rsidR="003A0CD5" w:rsidRPr="003A0CD5" w:rsidRDefault="003A0CD5" w:rsidP="003A0CD5">
      <w:pPr>
        <w:spacing w:after="0" w:line="240" w:lineRule="auto"/>
        <w:rPr>
          <w:bCs/>
          <w:iCs/>
        </w:rPr>
      </w:pPr>
      <w:r w:rsidRPr="003A0CD5">
        <w:rPr>
          <w:bCs/>
          <w:iCs/>
        </w:rPr>
        <w:t>Slide 13</w:t>
      </w:r>
    </w:p>
    <w:p w:rsidR="00314779" w:rsidRPr="00314779" w:rsidRDefault="00314779" w:rsidP="00314779">
      <w:pPr>
        <w:spacing w:after="0" w:line="240" w:lineRule="auto"/>
        <w:rPr>
          <w:b/>
          <w:bCs/>
        </w:rPr>
      </w:pPr>
      <w:r w:rsidRPr="00314779">
        <w:rPr>
          <w:b/>
          <w:bCs/>
        </w:rPr>
        <w:t>Early Successes from One Care Plans</w:t>
      </w:r>
    </w:p>
    <w:p w:rsidR="003D196E" w:rsidRDefault="003D196E" w:rsidP="003D196E">
      <w:pPr>
        <w:spacing w:after="0" w:line="240" w:lineRule="auto"/>
        <w:rPr>
          <w:bCs/>
        </w:rPr>
      </w:pPr>
    </w:p>
    <w:p w:rsidR="003D196E" w:rsidRDefault="003D196E" w:rsidP="003D196E">
      <w:pPr>
        <w:spacing w:after="0" w:line="240" w:lineRule="auto"/>
        <w:rPr>
          <w:bCs/>
        </w:rPr>
      </w:pPr>
      <w:r>
        <w:rPr>
          <w:bCs/>
        </w:rPr>
        <w:lastRenderedPageBreak/>
        <w:t>Slide 14</w:t>
      </w:r>
    </w:p>
    <w:p w:rsidR="00314779" w:rsidRDefault="00314779" w:rsidP="003D196E">
      <w:pPr>
        <w:spacing w:after="0" w:line="240" w:lineRule="auto"/>
        <w:rPr>
          <w:bCs/>
        </w:rPr>
      </w:pPr>
      <w:r w:rsidRPr="00314779">
        <w:rPr>
          <w:b/>
          <w:bCs/>
        </w:rPr>
        <w:t>One Care’s Expected Outcomes</w:t>
      </w:r>
    </w:p>
    <w:p w:rsidR="00314779" w:rsidRPr="00314779" w:rsidRDefault="00314779" w:rsidP="00314779">
      <w:pPr>
        <w:spacing w:after="0" w:line="240" w:lineRule="auto"/>
        <w:rPr>
          <w:bCs/>
        </w:rPr>
      </w:pPr>
      <w:r w:rsidRPr="00314779">
        <w:rPr>
          <w:bCs/>
        </w:rPr>
        <w:t xml:space="preserve">Massachusetts’ Demonstration proposal to CMS projected several outcomes resulting from integrated care.  We are seeing early examples of how One Care is achieving these outcomes. </w:t>
      </w:r>
    </w:p>
    <w:p w:rsidR="00314779" w:rsidRPr="00D851E7" w:rsidRDefault="00314779" w:rsidP="00A95AEA">
      <w:pPr>
        <w:pStyle w:val="ListParagraph"/>
        <w:numPr>
          <w:ilvl w:val="0"/>
          <w:numId w:val="13"/>
        </w:numPr>
        <w:spacing w:after="0" w:line="240" w:lineRule="auto"/>
        <w:rPr>
          <w:bCs/>
        </w:rPr>
      </w:pPr>
      <w:r w:rsidRPr="00D851E7">
        <w:rPr>
          <w:bCs/>
        </w:rPr>
        <w:t xml:space="preserve">Improve quality: </w:t>
      </w:r>
    </w:p>
    <w:p w:rsidR="00314779" w:rsidRPr="00314779" w:rsidRDefault="00314779" w:rsidP="00A95AEA">
      <w:pPr>
        <w:pStyle w:val="ListParagraph"/>
        <w:numPr>
          <w:ilvl w:val="0"/>
          <w:numId w:val="11"/>
        </w:numPr>
        <w:spacing w:after="0" w:line="240" w:lineRule="auto"/>
        <w:ind w:left="1440"/>
        <w:rPr>
          <w:bCs/>
        </w:rPr>
      </w:pPr>
      <w:r w:rsidRPr="00314779">
        <w:rPr>
          <w:b/>
          <w:bCs/>
        </w:rPr>
        <w:t>Reduce over-utilization of high-cost hospital and long-term institutional care</w:t>
      </w:r>
      <w:r w:rsidRPr="00314779">
        <w:rPr>
          <w:bCs/>
        </w:rPr>
        <w:t>;</w:t>
      </w:r>
    </w:p>
    <w:p w:rsidR="00314779" w:rsidRPr="00314779" w:rsidRDefault="00314779" w:rsidP="00A95AEA">
      <w:pPr>
        <w:pStyle w:val="ListParagraph"/>
        <w:numPr>
          <w:ilvl w:val="0"/>
          <w:numId w:val="11"/>
        </w:numPr>
        <w:spacing w:after="0" w:line="240" w:lineRule="auto"/>
        <w:ind w:left="1440"/>
        <w:rPr>
          <w:bCs/>
        </w:rPr>
      </w:pPr>
      <w:r w:rsidRPr="00314779">
        <w:rPr>
          <w:b/>
          <w:bCs/>
        </w:rPr>
        <w:t>Reduce under-utilization of community-based services and supports</w:t>
      </w:r>
      <w:r w:rsidRPr="00314779">
        <w:rPr>
          <w:bCs/>
        </w:rPr>
        <w:t xml:space="preserve"> and outpatient care; </w:t>
      </w:r>
    </w:p>
    <w:p w:rsidR="00314779" w:rsidRPr="00314779" w:rsidRDefault="00314779" w:rsidP="00A95AEA">
      <w:pPr>
        <w:pStyle w:val="ListParagraph"/>
        <w:numPr>
          <w:ilvl w:val="0"/>
          <w:numId w:val="11"/>
        </w:numPr>
        <w:spacing w:after="0" w:line="240" w:lineRule="auto"/>
        <w:ind w:left="1440"/>
        <w:rPr>
          <w:bCs/>
        </w:rPr>
      </w:pPr>
      <w:r w:rsidRPr="00314779">
        <w:rPr>
          <w:bCs/>
        </w:rPr>
        <w:t xml:space="preserve">Improve chronic disease management; </w:t>
      </w:r>
    </w:p>
    <w:p w:rsidR="00314779" w:rsidRPr="00314779" w:rsidRDefault="00314779" w:rsidP="00A95AEA">
      <w:pPr>
        <w:pStyle w:val="ListParagraph"/>
        <w:numPr>
          <w:ilvl w:val="0"/>
          <w:numId w:val="11"/>
        </w:numPr>
        <w:spacing w:after="0" w:line="240" w:lineRule="auto"/>
        <w:ind w:left="1440"/>
        <w:rPr>
          <w:bCs/>
        </w:rPr>
      </w:pPr>
      <w:r w:rsidRPr="00314779">
        <w:rPr>
          <w:bCs/>
        </w:rPr>
        <w:t xml:space="preserve">Reduce health disparities; </w:t>
      </w:r>
    </w:p>
    <w:p w:rsidR="00314779" w:rsidRPr="00314779" w:rsidRDefault="00314779" w:rsidP="00A95AEA">
      <w:pPr>
        <w:pStyle w:val="ListParagraph"/>
        <w:numPr>
          <w:ilvl w:val="0"/>
          <w:numId w:val="11"/>
        </w:numPr>
        <w:spacing w:after="0" w:line="240" w:lineRule="auto"/>
        <w:ind w:left="1440"/>
        <w:rPr>
          <w:bCs/>
        </w:rPr>
      </w:pPr>
      <w:r w:rsidRPr="00314779">
        <w:rPr>
          <w:b/>
          <w:bCs/>
        </w:rPr>
        <w:t>Improve patient satisfaction</w:t>
      </w:r>
      <w:r w:rsidRPr="00314779">
        <w:rPr>
          <w:bCs/>
        </w:rPr>
        <w:t xml:space="preserve">; </w:t>
      </w:r>
    </w:p>
    <w:p w:rsidR="00314779" w:rsidRPr="00314779" w:rsidRDefault="00314779" w:rsidP="00A95AEA">
      <w:pPr>
        <w:pStyle w:val="ListParagraph"/>
        <w:numPr>
          <w:ilvl w:val="0"/>
          <w:numId w:val="11"/>
        </w:numPr>
        <w:spacing w:after="0" w:line="240" w:lineRule="auto"/>
        <w:ind w:left="1440"/>
        <w:rPr>
          <w:bCs/>
        </w:rPr>
      </w:pPr>
      <w:r w:rsidRPr="00314779">
        <w:rPr>
          <w:bCs/>
        </w:rPr>
        <w:t xml:space="preserve">Increase the use of evidence-based practices; and </w:t>
      </w:r>
    </w:p>
    <w:p w:rsidR="00314779" w:rsidRPr="00314779" w:rsidRDefault="00314779" w:rsidP="00A95AEA">
      <w:pPr>
        <w:pStyle w:val="ListParagraph"/>
        <w:numPr>
          <w:ilvl w:val="0"/>
          <w:numId w:val="11"/>
        </w:numPr>
        <w:spacing w:after="0" w:line="240" w:lineRule="auto"/>
        <w:ind w:left="1440"/>
        <w:rPr>
          <w:bCs/>
        </w:rPr>
      </w:pPr>
      <w:r w:rsidRPr="00314779">
        <w:rPr>
          <w:bCs/>
        </w:rPr>
        <w:t>Improve provider ADA accessibility</w:t>
      </w:r>
    </w:p>
    <w:p w:rsidR="00314779" w:rsidRPr="00D851E7" w:rsidRDefault="00314779" w:rsidP="00A95AEA">
      <w:pPr>
        <w:pStyle w:val="ListParagraph"/>
        <w:numPr>
          <w:ilvl w:val="0"/>
          <w:numId w:val="13"/>
        </w:numPr>
        <w:spacing w:after="0" w:line="240" w:lineRule="auto"/>
        <w:rPr>
          <w:bCs/>
        </w:rPr>
      </w:pPr>
      <w:r w:rsidRPr="00D851E7">
        <w:rPr>
          <w:bCs/>
        </w:rPr>
        <w:t xml:space="preserve">Improve outcomes: </w:t>
      </w:r>
    </w:p>
    <w:p w:rsidR="00314779" w:rsidRPr="00D851E7" w:rsidRDefault="00314779" w:rsidP="00A95AEA">
      <w:pPr>
        <w:pStyle w:val="ListParagraph"/>
        <w:numPr>
          <w:ilvl w:val="0"/>
          <w:numId w:val="12"/>
        </w:numPr>
        <w:spacing w:after="0" w:line="240" w:lineRule="auto"/>
        <w:ind w:left="1440"/>
        <w:rPr>
          <w:bCs/>
        </w:rPr>
      </w:pPr>
      <w:r w:rsidRPr="00D851E7">
        <w:rPr>
          <w:bCs/>
        </w:rPr>
        <w:t>Gains in health status and functional status</w:t>
      </w:r>
    </w:p>
    <w:p w:rsidR="00314779" w:rsidRPr="00D851E7" w:rsidRDefault="00314779" w:rsidP="00A95AEA">
      <w:pPr>
        <w:pStyle w:val="ListParagraph"/>
        <w:numPr>
          <w:ilvl w:val="0"/>
          <w:numId w:val="12"/>
        </w:numPr>
        <w:spacing w:after="0" w:line="240" w:lineRule="auto"/>
        <w:ind w:left="1440"/>
        <w:rPr>
          <w:bCs/>
        </w:rPr>
      </w:pPr>
      <w:r w:rsidRPr="00D851E7">
        <w:rPr>
          <w:bCs/>
        </w:rPr>
        <w:t xml:space="preserve">Reduce the length and number of long-term care facility stays </w:t>
      </w:r>
    </w:p>
    <w:p w:rsidR="00314779" w:rsidRPr="00314779" w:rsidRDefault="00314779" w:rsidP="00D851E7">
      <w:pPr>
        <w:spacing w:after="0" w:line="240" w:lineRule="auto"/>
        <w:ind w:left="1080" w:hanging="360"/>
        <w:rPr>
          <w:bCs/>
        </w:rPr>
      </w:pPr>
      <w:r w:rsidRPr="00314779">
        <w:rPr>
          <w:bCs/>
        </w:rPr>
        <w:t>3)</w:t>
      </w:r>
      <w:r w:rsidR="00D851E7">
        <w:rPr>
          <w:bCs/>
        </w:rPr>
        <w:tab/>
      </w:r>
      <w:r w:rsidRPr="00314779">
        <w:rPr>
          <w:bCs/>
        </w:rPr>
        <w:t>Reduce costs compared to the historical FFS experience for this population</w:t>
      </w:r>
    </w:p>
    <w:p w:rsidR="00314779" w:rsidRPr="00314779" w:rsidRDefault="00D851E7" w:rsidP="00D851E7">
      <w:pPr>
        <w:spacing w:after="0" w:line="240" w:lineRule="auto"/>
        <w:ind w:left="1080" w:hanging="360"/>
        <w:rPr>
          <w:bCs/>
        </w:rPr>
      </w:pPr>
      <w:r>
        <w:rPr>
          <w:bCs/>
        </w:rPr>
        <w:t>4)</w:t>
      </w:r>
      <w:r>
        <w:rPr>
          <w:bCs/>
        </w:rPr>
        <w:tab/>
      </w:r>
      <w:r w:rsidR="00314779" w:rsidRPr="00314779">
        <w:rPr>
          <w:bCs/>
        </w:rPr>
        <w:t xml:space="preserve">Improve provider coordination, reduce preventable and avoidable hospitalizations, and reduce the incidence of “never” events. </w:t>
      </w:r>
    </w:p>
    <w:p w:rsidR="00314779" w:rsidRDefault="00314779" w:rsidP="003D196E">
      <w:pPr>
        <w:spacing w:after="0" w:line="240" w:lineRule="auto"/>
        <w:rPr>
          <w:bCs/>
        </w:rPr>
      </w:pPr>
    </w:p>
    <w:p w:rsidR="00966036" w:rsidRDefault="00966036" w:rsidP="00966036">
      <w:pPr>
        <w:spacing w:after="0" w:line="240" w:lineRule="auto"/>
        <w:rPr>
          <w:bCs/>
        </w:rPr>
      </w:pPr>
      <w:r>
        <w:rPr>
          <w:bCs/>
        </w:rPr>
        <w:t>Slide 15</w:t>
      </w:r>
    </w:p>
    <w:p w:rsidR="00226F9A" w:rsidRPr="00E3281D" w:rsidRDefault="00226F9A" w:rsidP="00226F9A">
      <w:pPr>
        <w:spacing w:after="0" w:line="240" w:lineRule="auto"/>
      </w:pPr>
      <w:r w:rsidRPr="003A0CD5">
        <w:rPr>
          <w:b/>
          <w:bCs/>
        </w:rPr>
        <w:t>One Care is Showing Early Signs of Success</w:t>
      </w:r>
    </w:p>
    <w:p w:rsidR="00226F9A" w:rsidRPr="00E3281D" w:rsidRDefault="00226F9A" w:rsidP="00226F9A">
      <w:pPr>
        <w:spacing w:after="0" w:line="240" w:lineRule="auto"/>
      </w:pPr>
      <w:r>
        <w:t>Two bar graphs</w:t>
      </w:r>
      <w:r w:rsidRPr="00E3281D">
        <w:t xml:space="preserve"> depict decreases in utilizations as described below:</w:t>
      </w:r>
    </w:p>
    <w:p w:rsidR="00226F9A" w:rsidRPr="00E3281D" w:rsidRDefault="00226F9A" w:rsidP="00226F9A">
      <w:pPr>
        <w:spacing w:after="0" w:line="240" w:lineRule="auto"/>
      </w:pPr>
      <w:r>
        <w:t xml:space="preserve">Graph 1: </w:t>
      </w:r>
      <w:r w:rsidRPr="00E3281D">
        <w:t>CCA Inpatient utilization after 12 months</w:t>
      </w:r>
      <w:r>
        <w:rPr>
          <w:vertAlign w:val="superscript"/>
        </w:rPr>
        <w:t>1</w:t>
      </w:r>
      <w:r w:rsidRPr="00E3281D">
        <w:t xml:space="preserve"> </w:t>
      </w:r>
    </w:p>
    <w:p w:rsidR="00226F9A" w:rsidRPr="00E3281D" w:rsidRDefault="00226F9A" w:rsidP="00226F9A">
      <w:pPr>
        <w:numPr>
          <w:ilvl w:val="0"/>
          <w:numId w:val="18"/>
        </w:numPr>
        <w:spacing w:after="0" w:line="240" w:lineRule="auto"/>
      </w:pPr>
      <w:r w:rsidRPr="00E3281D">
        <w:t>12 months pre-enrollments = 280 admits/1,000 member months</w:t>
      </w:r>
    </w:p>
    <w:p w:rsidR="00226F9A" w:rsidRDefault="00226F9A" w:rsidP="00226F9A">
      <w:pPr>
        <w:numPr>
          <w:ilvl w:val="0"/>
          <w:numId w:val="18"/>
        </w:numPr>
        <w:spacing w:after="0" w:line="240" w:lineRule="auto"/>
      </w:pPr>
      <w:r w:rsidRPr="00E3281D">
        <w:t>12 months post-enrollment = 259 admits/1,000 member months</w:t>
      </w:r>
    </w:p>
    <w:p w:rsidR="00226F9A" w:rsidRDefault="00226F9A" w:rsidP="00226F9A">
      <w:pPr>
        <w:spacing w:after="0" w:line="240" w:lineRule="auto"/>
      </w:pPr>
      <w:r>
        <w:t>The graph shows a decrease in CCA inpatient utilization by 7.5%.</w:t>
      </w:r>
    </w:p>
    <w:p w:rsidR="00226F9A" w:rsidRDefault="00226F9A" w:rsidP="00226F9A">
      <w:pPr>
        <w:spacing w:after="0" w:line="240" w:lineRule="auto"/>
      </w:pPr>
    </w:p>
    <w:p w:rsidR="00226F9A" w:rsidRDefault="00226F9A" w:rsidP="00226F9A">
      <w:pPr>
        <w:spacing w:after="0" w:line="240" w:lineRule="auto"/>
      </w:pPr>
      <w:r>
        <w:t>Graph 2: CCA ED utilization after 12 months</w:t>
      </w:r>
      <w:r>
        <w:rPr>
          <w:vertAlign w:val="superscript"/>
        </w:rPr>
        <w:t>1</w:t>
      </w:r>
    </w:p>
    <w:p w:rsidR="00226F9A" w:rsidRDefault="00226F9A" w:rsidP="00226F9A">
      <w:pPr>
        <w:numPr>
          <w:ilvl w:val="0"/>
          <w:numId w:val="19"/>
        </w:numPr>
        <w:spacing w:after="0" w:line="240" w:lineRule="auto"/>
      </w:pPr>
      <w:r>
        <w:t>12 months pre-enrollment = 1,250 visits/1,000 member months</w:t>
      </w:r>
    </w:p>
    <w:p w:rsidR="00226F9A" w:rsidRDefault="00226F9A" w:rsidP="00226F9A">
      <w:pPr>
        <w:numPr>
          <w:ilvl w:val="0"/>
          <w:numId w:val="19"/>
        </w:numPr>
        <w:spacing w:after="0" w:line="240" w:lineRule="auto"/>
      </w:pPr>
      <w:r>
        <w:t>12 months post-enrollment = 1,170 visits/1,000 member months</w:t>
      </w:r>
    </w:p>
    <w:p w:rsidR="00226F9A" w:rsidRPr="00E3281D" w:rsidRDefault="00226F9A" w:rsidP="00226F9A">
      <w:pPr>
        <w:spacing w:after="0" w:line="240" w:lineRule="auto"/>
      </w:pPr>
      <w:r>
        <w:t>The graph shows a decrease in CCA ED visits by 6.4%.</w:t>
      </w:r>
    </w:p>
    <w:p w:rsidR="00226F9A" w:rsidRPr="00E3281D" w:rsidRDefault="00226F9A" w:rsidP="00226F9A">
      <w:pPr>
        <w:spacing w:after="0" w:line="240" w:lineRule="auto"/>
        <w:rPr>
          <w:b/>
        </w:rPr>
      </w:pPr>
    </w:p>
    <w:p w:rsidR="00226F9A" w:rsidRPr="003A0CD5" w:rsidRDefault="00226F9A" w:rsidP="00226F9A">
      <w:pPr>
        <w:spacing w:after="0" w:line="240" w:lineRule="auto"/>
      </w:pPr>
      <w:r w:rsidRPr="003A0CD5">
        <w:rPr>
          <w:i/>
          <w:iCs/>
        </w:rPr>
        <w:t>Note: plans make significant upfront investments in care coordination and other services but observe impact over 12-18 month period. Given rolling enrollment, many One Care members have been in the program &lt; 12 months</w:t>
      </w:r>
    </w:p>
    <w:p w:rsidR="00226F9A" w:rsidRDefault="00226F9A" w:rsidP="00226F9A">
      <w:pPr>
        <w:spacing w:after="0" w:line="240" w:lineRule="auto"/>
      </w:pPr>
    </w:p>
    <w:p w:rsidR="00226F9A" w:rsidRPr="003A0CD5" w:rsidRDefault="00226F9A" w:rsidP="00226F9A">
      <w:pPr>
        <w:spacing w:after="0" w:line="240" w:lineRule="auto"/>
      </w:pPr>
      <w:r w:rsidRPr="003A0CD5">
        <w:t>Other measures of impact:</w:t>
      </w:r>
    </w:p>
    <w:p w:rsidR="00226F9A" w:rsidRPr="003A0CD5" w:rsidRDefault="00226F9A" w:rsidP="00226F9A">
      <w:pPr>
        <w:pStyle w:val="ListParagraph"/>
        <w:numPr>
          <w:ilvl w:val="0"/>
          <w:numId w:val="17"/>
        </w:numPr>
        <w:spacing w:after="0" w:line="240" w:lineRule="auto"/>
      </w:pPr>
      <w:r w:rsidRPr="003A0CD5">
        <w:t>82% of enrollees satisfied with One Care, only 6% dissatisfied</w:t>
      </w:r>
      <w:r w:rsidRPr="008665E9">
        <w:rPr>
          <w:vertAlign w:val="superscript"/>
        </w:rPr>
        <w:t>2</w:t>
      </w:r>
    </w:p>
    <w:p w:rsidR="00226F9A" w:rsidRPr="003A0CD5" w:rsidRDefault="00226F9A" w:rsidP="00226F9A">
      <w:pPr>
        <w:pStyle w:val="ListParagraph"/>
        <w:numPr>
          <w:ilvl w:val="0"/>
          <w:numId w:val="17"/>
        </w:numPr>
        <w:spacing w:after="0" w:line="240" w:lineRule="auto"/>
      </w:pPr>
      <w:r w:rsidRPr="003A0CD5">
        <w:t>CCA’s One Care Spring 2015 CAHPS (member experience survey) scores used for Medicare Advantage Star Ratings beat those of their mature integrated elder D-SNP</w:t>
      </w:r>
      <w:r w:rsidRPr="008665E9">
        <w:rPr>
          <w:vertAlign w:val="superscript"/>
        </w:rPr>
        <w:t>3</w:t>
      </w:r>
    </w:p>
    <w:p w:rsidR="00226F9A" w:rsidRPr="003A0CD5" w:rsidRDefault="00226F9A" w:rsidP="00226F9A">
      <w:pPr>
        <w:pStyle w:val="ListParagraph"/>
        <w:numPr>
          <w:ilvl w:val="0"/>
          <w:numId w:val="17"/>
        </w:numPr>
        <w:spacing w:after="0" w:line="240" w:lineRule="auto"/>
      </w:pPr>
      <w:r w:rsidRPr="003A0CD5">
        <w:t>Nurse/care coordinators finding significant levels of “under-care”</w:t>
      </w:r>
    </w:p>
    <w:p w:rsidR="00226F9A" w:rsidRPr="003A0CD5" w:rsidRDefault="00226F9A" w:rsidP="00226F9A">
      <w:pPr>
        <w:pStyle w:val="ListParagraph"/>
        <w:numPr>
          <w:ilvl w:val="0"/>
          <w:numId w:val="17"/>
        </w:numPr>
        <w:spacing w:after="0" w:line="240" w:lineRule="auto"/>
      </w:pPr>
      <w:r w:rsidRPr="003A0CD5">
        <w:t>Significant advocate and enrollee buy-in; many anecdotes of lives improved</w:t>
      </w:r>
    </w:p>
    <w:p w:rsidR="00314779" w:rsidRDefault="00314779" w:rsidP="003D196E">
      <w:pPr>
        <w:spacing w:after="0" w:line="240" w:lineRule="auto"/>
        <w:rPr>
          <w:bCs/>
        </w:rPr>
      </w:pPr>
    </w:p>
    <w:p w:rsidR="00966036" w:rsidRDefault="00966036" w:rsidP="00966036">
      <w:pPr>
        <w:spacing w:after="0" w:line="240" w:lineRule="auto"/>
        <w:rPr>
          <w:bCs/>
        </w:rPr>
      </w:pPr>
      <w:r>
        <w:rPr>
          <w:bCs/>
        </w:rPr>
        <w:t>Slide 16</w:t>
      </w:r>
    </w:p>
    <w:p w:rsidR="0032400B" w:rsidRDefault="0032400B" w:rsidP="0032400B">
      <w:pPr>
        <w:spacing w:after="0" w:line="240" w:lineRule="auto"/>
      </w:pPr>
      <w:r w:rsidRPr="00035E66">
        <w:rPr>
          <w:b/>
          <w:bCs/>
        </w:rPr>
        <w:t>One Care Is Increasing Access to Community-based LTSS; FFS Underestimates Needs</w:t>
      </w:r>
      <w:r w:rsidRPr="003A0CD5">
        <w:t xml:space="preserve"> </w:t>
      </w:r>
    </w:p>
    <w:p w:rsidR="0032400B" w:rsidRDefault="0032400B" w:rsidP="0032400B">
      <w:pPr>
        <w:spacing w:after="0" w:line="240" w:lineRule="auto"/>
        <w:rPr>
          <w:bCs/>
        </w:rPr>
      </w:pPr>
      <w:r>
        <w:rPr>
          <w:bCs/>
        </w:rPr>
        <w:lastRenderedPageBreak/>
        <w:t>Graph labeled “One Care enrollees get more LTSS than in FFS</w:t>
      </w:r>
      <w:r>
        <w:rPr>
          <w:bCs/>
          <w:vertAlign w:val="superscript"/>
        </w:rPr>
        <w:t>1,5</w:t>
      </w:r>
      <w:r>
        <w:rPr>
          <w:bCs/>
        </w:rPr>
        <w:t xml:space="preserve">” shows percentage of enrollees who receive LTSS and how LTSS use compares to use in the Fee-for-service system (FFS). Among CCA members, 14% had received LTSS in FFS.  Of these 14%, 8% received the same amount of LTSS and 6% received increased LTSS. 34% of CCA members hadn’t previously received LTSS in FFS and received new LTSS through CCA. Among Tufts members, 15% had received LTSS in FFS.  Of these 15%, 6% received the same amount of LTSS and 8% received increased LTSS.   22% of Tufts members hadn’t previously received LTSS in FFS and received new LTSS through Tufts. </w:t>
      </w:r>
    </w:p>
    <w:p w:rsidR="0032400B" w:rsidRDefault="0032400B" w:rsidP="0032400B">
      <w:pPr>
        <w:spacing w:after="0" w:line="240" w:lineRule="auto"/>
      </w:pPr>
    </w:p>
    <w:p w:rsidR="0032400B" w:rsidRPr="003A0CD5" w:rsidRDefault="0032400B" w:rsidP="0032400B">
      <w:pPr>
        <w:spacing w:after="0" w:line="240" w:lineRule="auto"/>
      </w:pPr>
      <w:r w:rsidRPr="003A0CD5">
        <w:t>Historical FFS utilization underestimates needs:</w:t>
      </w:r>
    </w:p>
    <w:p w:rsidR="0032400B" w:rsidRPr="003A0CD5" w:rsidRDefault="0032400B" w:rsidP="0032400B">
      <w:pPr>
        <w:pStyle w:val="ListParagraph"/>
        <w:numPr>
          <w:ilvl w:val="0"/>
          <w:numId w:val="20"/>
        </w:numPr>
        <w:spacing w:after="0" w:line="240" w:lineRule="auto"/>
      </w:pPr>
      <w:r w:rsidRPr="003A0CD5">
        <w:t>CCA’s PMPM costs increased by 1.3% for members already receiving LTSS; for members without LTSS in FFS, PMPMs increased by 23.6%</w:t>
      </w:r>
      <w:r w:rsidRPr="008665E9">
        <w:rPr>
          <w:vertAlign w:val="superscript"/>
        </w:rPr>
        <w:t>1</w:t>
      </w:r>
    </w:p>
    <w:p w:rsidR="0032400B" w:rsidRPr="003A0CD5" w:rsidRDefault="0032400B" w:rsidP="0032400B">
      <w:pPr>
        <w:pStyle w:val="ListParagraph"/>
        <w:numPr>
          <w:ilvl w:val="0"/>
          <w:numId w:val="20"/>
        </w:numPr>
        <w:spacing w:after="0" w:line="240" w:lineRule="auto"/>
      </w:pPr>
      <w:r w:rsidRPr="003A0CD5">
        <w:t>25.5% of CCA’s enrollees had their MassHealth rating category increased post-assessment</w:t>
      </w:r>
      <w:r w:rsidRPr="008665E9">
        <w:rPr>
          <w:vertAlign w:val="superscript"/>
        </w:rPr>
        <w:t>4</w:t>
      </w:r>
    </w:p>
    <w:p w:rsidR="0032400B" w:rsidRDefault="0032400B" w:rsidP="0032400B">
      <w:pPr>
        <w:pStyle w:val="ListParagraph"/>
        <w:numPr>
          <w:ilvl w:val="0"/>
          <w:numId w:val="20"/>
        </w:numPr>
        <w:spacing w:after="0" w:line="240" w:lineRule="auto"/>
      </w:pPr>
      <w:r w:rsidRPr="003A0CD5">
        <w:t>Tufts connected 68% of enrollees to resources such as fuel assistance, financial assistance, or improved housing</w:t>
      </w:r>
      <w:r w:rsidRPr="008665E9">
        <w:rPr>
          <w:vertAlign w:val="superscript"/>
        </w:rPr>
        <w:t>5</w:t>
      </w:r>
      <w:r w:rsidRPr="003A0CD5">
        <w:t xml:space="preserve"> </w:t>
      </w:r>
    </w:p>
    <w:p w:rsidR="0032400B" w:rsidRDefault="0032400B" w:rsidP="0032400B">
      <w:pPr>
        <w:spacing w:after="0" w:line="240" w:lineRule="auto"/>
        <w:rPr>
          <w:i/>
          <w:iCs/>
        </w:rPr>
      </w:pPr>
      <w:r w:rsidRPr="003A0CD5">
        <w:rPr>
          <w:b/>
          <w:bCs/>
          <w:i/>
          <w:iCs/>
        </w:rPr>
        <w:t>*</w:t>
      </w:r>
      <w:r w:rsidRPr="003A0CD5">
        <w:rPr>
          <w:i/>
          <w:iCs/>
        </w:rPr>
        <w:t>Differences between plans’ LTSS increases are not adjusted for enrollment mix or member care planning preferences</w:t>
      </w:r>
    </w:p>
    <w:p w:rsidR="0032400B" w:rsidRPr="003A0CD5" w:rsidRDefault="0032400B" w:rsidP="0032400B">
      <w:pPr>
        <w:spacing w:after="0" w:line="240" w:lineRule="auto"/>
      </w:pPr>
      <w:r w:rsidRPr="00035E66">
        <w:rPr>
          <w:b/>
          <w:bCs/>
          <w:i/>
          <w:iCs/>
        </w:rPr>
        <w:t>**</w:t>
      </w:r>
      <w:r w:rsidRPr="00035E66">
        <w:rPr>
          <w:i/>
          <w:iCs/>
        </w:rPr>
        <w:t>FFS perce</w:t>
      </w:r>
      <w:r>
        <w:rPr>
          <w:i/>
          <w:iCs/>
        </w:rPr>
        <w:t>ntages may vary due to rounding</w:t>
      </w:r>
    </w:p>
    <w:p w:rsidR="00966036" w:rsidRDefault="00966036" w:rsidP="00966036">
      <w:pPr>
        <w:spacing w:after="0" w:line="240" w:lineRule="auto"/>
        <w:rPr>
          <w:bCs/>
        </w:rPr>
      </w:pPr>
    </w:p>
    <w:p w:rsidR="00966036" w:rsidRDefault="00966036" w:rsidP="00966036">
      <w:pPr>
        <w:spacing w:after="0" w:line="240" w:lineRule="auto"/>
        <w:rPr>
          <w:bCs/>
        </w:rPr>
      </w:pPr>
      <w:r>
        <w:rPr>
          <w:bCs/>
        </w:rPr>
        <w:t>Slide 17</w:t>
      </w:r>
    </w:p>
    <w:p w:rsidR="00925B1F" w:rsidRDefault="00925B1F" w:rsidP="00925B1F">
      <w:pPr>
        <w:spacing w:after="0" w:line="240" w:lineRule="auto"/>
        <w:rPr>
          <w:b/>
          <w:bCs/>
        </w:rPr>
      </w:pPr>
      <w:r w:rsidRPr="003A0CD5">
        <w:rPr>
          <w:b/>
          <w:bCs/>
        </w:rPr>
        <w:t>One Care Has Had Significant Impact On Highest Utilizers</w:t>
      </w:r>
    </w:p>
    <w:p w:rsidR="00925B1F" w:rsidRPr="008665E9" w:rsidRDefault="00925B1F" w:rsidP="00925B1F">
      <w:pPr>
        <w:spacing w:after="0" w:line="240" w:lineRule="auto"/>
        <w:rPr>
          <w:bCs/>
        </w:rPr>
      </w:pPr>
      <w:r w:rsidRPr="008665E9">
        <w:rPr>
          <w:bCs/>
        </w:rPr>
        <w:t>CCA’s cost (12 mos. pre- and post-enrollment) for 10 highest spend members</w:t>
      </w:r>
      <w:r w:rsidRPr="008665E9">
        <w:rPr>
          <w:bCs/>
          <w:vertAlign w:val="superscript"/>
        </w:rPr>
        <w:t>1</w:t>
      </w:r>
    </w:p>
    <w:p w:rsidR="00925B1F" w:rsidRDefault="00925B1F" w:rsidP="00925B1F">
      <w:pPr>
        <w:spacing w:after="0" w:line="240" w:lineRule="auto"/>
        <w:rPr>
          <w:bCs/>
        </w:rPr>
      </w:pPr>
      <w:r>
        <w:rPr>
          <w:bCs/>
        </w:rPr>
        <w:t xml:space="preserve">A bar graph shows the changes in service spending for 10 highest spend members compared between pre enrollment and post enrollment. The spending is categorized by: inpatient/acute, outpatient/physician, facility LTSS, and community LTSS. </w:t>
      </w:r>
    </w:p>
    <w:p w:rsidR="00925B1F" w:rsidRDefault="00925B1F" w:rsidP="00925B1F">
      <w:pPr>
        <w:numPr>
          <w:ilvl w:val="0"/>
          <w:numId w:val="21"/>
        </w:numPr>
        <w:spacing w:after="0" w:line="240" w:lineRule="auto"/>
        <w:rPr>
          <w:bCs/>
        </w:rPr>
      </w:pPr>
      <w:r>
        <w:rPr>
          <w:bCs/>
        </w:rPr>
        <w:t>Member 1 – Pre-enrollment: $446,002, Post-enrollment: $215,641 (decrease of 52%)</w:t>
      </w:r>
    </w:p>
    <w:p w:rsidR="00925B1F" w:rsidRPr="00C64E97" w:rsidRDefault="00925B1F" w:rsidP="00925B1F">
      <w:pPr>
        <w:numPr>
          <w:ilvl w:val="0"/>
          <w:numId w:val="21"/>
        </w:numPr>
        <w:spacing w:after="0" w:line="240" w:lineRule="auto"/>
        <w:rPr>
          <w:bCs/>
        </w:rPr>
      </w:pPr>
      <w:r>
        <w:rPr>
          <w:bCs/>
        </w:rPr>
        <w:t>Member 2 – Pre-enrollment: $273,383, Post-enrollment: $66,827 (decrease of 76%)</w:t>
      </w:r>
    </w:p>
    <w:p w:rsidR="00925B1F" w:rsidRPr="00C64E97" w:rsidRDefault="00925B1F" w:rsidP="00925B1F">
      <w:pPr>
        <w:numPr>
          <w:ilvl w:val="0"/>
          <w:numId w:val="21"/>
        </w:numPr>
        <w:spacing w:after="0" w:line="240" w:lineRule="auto"/>
        <w:rPr>
          <w:bCs/>
        </w:rPr>
      </w:pPr>
      <w:r>
        <w:rPr>
          <w:bCs/>
        </w:rPr>
        <w:t>Member 3 – Pre-enrollment: $257,868, Post-enrollment: $197,836 (decrease of 23%)</w:t>
      </w:r>
    </w:p>
    <w:p w:rsidR="00925B1F" w:rsidRPr="00C64E97" w:rsidRDefault="00925B1F" w:rsidP="00925B1F">
      <w:pPr>
        <w:numPr>
          <w:ilvl w:val="0"/>
          <w:numId w:val="21"/>
        </w:numPr>
        <w:spacing w:after="0" w:line="240" w:lineRule="auto"/>
        <w:rPr>
          <w:bCs/>
        </w:rPr>
      </w:pPr>
      <w:r>
        <w:rPr>
          <w:bCs/>
        </w:rPr>
        <w:t>Member 4 – Pre-enrollment: $235,829 Post-enrollment: $38,025 (decrease of 84%)</w:t>
      </w:r>
    </w:p>
    <w:p w:rsidR="00925B1F" w:rsidRPr="00C64E97" w:rsidRDefault="00925B1F" w:rsidP="00925B1F">
      <w:pPr>
        <w:numPr>
          <w:ilvl w:val="0"/>
          <w:numId w:val="21"/>
        </w:numPr>
        <w:spacing w:after="0" w:line="240" w:lineRule="auto"/>
        <w:rPr>
          <w:bCs/>
        </w:rPr>
      </w:pPr>
      <w:r>
        <w:rPr>
          <w:bCs/>
        </w:rPr>
        <w:t>Member 5 – Pre-enrollment: $225,324, Post-enrollment: $93,872 (decrease of 58%)</w:t>
      </w:r>
    </w:p>
    <w:p w:rsidR="00925B1F" w:rsidRPr="00C64E97" w:rsidRDefault="00925B1F" w:rsidP="00925B1F">
      <w:pPr>
        <w:numPr>
          <w:ilvl w:val="0"/>
          <w:numId w:val="21"/>
        </w:numPr>
        <w:spacing w:after="0" w:line="240" w:lineRule="auto"/>
        <w:rPr>
          <w:bCs/>
        </w:rPr>
      </w:pPr>
      <w:r>
        <w:rPr>
          <w:bCs/>
        </w:rPr>
        <w:t>Member 6 – Pre-enrollment: $219,621, Post-enrollment: $191,603 (decrease of 13%)</w:t>
      </w:r>
    </w:p>
    <w:p w:rsidR="00925B1F" w:rsidRPr="00C64E97" w:rsidRDefault="00925B1F" w:rsidP="00925B1F">
      <w:pPr>
        <w:numPr>
          <w:ilvl w:val="0"/>
          <w:numId w:val="21"/>
        </w:numPr>
        <w:spacing w:after="0" w:line="240" w:lineRule="auto"/>
        <w:rPr>
          <w:bCs/>
        </w:rPr>
      </w:pPr>
      <w:r>
        <w:rPr>
          <w:bCs/>
        </w:rPr>
        <w:t>Member 7 – Pre-enrollment: $219,525, Post-enrollment: $53,562 (decrease of 76%)</w:t>
      </w:r>
    </w:p>
    <w:p w:rsidR="00925B1F" w:rsidRPr="00C64E97" w:rsidRDefault="00925B1F" w:rsidP="00925B1F">
      <w:pPr>
        <w:numPr>
          <w:ilvl w:val="0"/>
          <w:numId w:val="21"/>
        </w:numPr>
        <w:spacing w:after="0" w:line="240" w:lineRule="auto"/>
        <w:rPr>
          <w:bCs/>
        </w:rPr>
      </w:pPr>
      <w:r>
        <w:rPr>
          <w:bCs/>
        </w:rPr>
        <w:t>Member 8 – Pre-enrollment: $213,285, Post-enrollment: $149,041 (decrease of 30%)</w:t>
      </w:r>
    </w:p>
    <w:p w:rsidR="00925B1F" w:rsidRPr="00C64E97" w:rsidRDefault="00925B1F" w:rsidP="00925B1F">
      <w:pPr>
        <w:numPr>
          <w:ilvl w:val="0"/>
          <w:numId w:val="21"/>
        </w:numPr>
        <w:spacing w:after="0" w:line="240" w:lineRule="auto"/>
        <w:rPr>
          <w:bCs/>
        </w:rPr>
      </w:pPr>
      <w:r>
        <w:rPr>
          <w:bCs/>
        </w:rPr>
        <w:t>Member 9 – Pre-enrollment: $212,338, Post-enrollment: $231,284 (increase of 9%)</w:t>
      </w:r>
    </w:p>
    <w:p w:rsidR="00925B1F" w:rsidRPr="00C64E97" w:rsidRDefault="00925B1F" w:rsidP="00925B1F">
      <w:pPr>
        <w:numPr>
          <w:ilvl w:val="0"/>
          <w:numId w:val="21"/>
        </w:numPr>
        <w:spacing w:after="0" w:line="240" w:lineRule="auto"/>
        <w:rPr>
          <w:bCs/>
        </w:rPr>
      </w:pPr>
      <w:r>
        <w:rPr>
          <w:bCs/>
        </w:rPr>
        <w:t>Member 10 – Pre-enrollment: $211,979, Post-enrollment: $260,742 (increase of 23%)</w:t>
      </w:r>
    </w:p>
    <w:p w:rsidR="00925B1F" w:rsidRPr="00C64E97" w:rsidRDefault="00925B1F" w:rsidP="00925B1F">
      <w:pPr>
        <w:spacing w:after="0" w:line="240" w:lineRule="auto"/>
        <w:rPr>
          <w:bCs/>
        </w:rPr>
      </w:pPr>
    </w:p>
    <w:p w:rsidR="00925B1F" w:rsidRPr="003A0CD5" w:rsidRDefault="00925B1F" w:rsidP="00925B1F">
      <w:pPr>
        <w:pStyle w:val="ListParagraph"/>
        <w:numPr>
          <w:ilvl w:val="0"/>
          <w:numId w:val="21"/>
        </w:numPr>
        <w:spacing w:after="0" w:line="240" w:lineRule="auto"/>
      </w:pPr>
      <w:r w:rsidRPr="003A0CD5">
        <w:t>Cost reductions due to decreased inpatient/acute and skilled nursing facility utilization</w:t>
      </w:r>
    </w:p>
    <w:p w:rsidR="00925B1F" w:rsidRPr="003A0CD5" w:rsidRDefault="00925B1F" w:rsidP="00925B1F">
      <w:pPr>
        <w:pStyle w:val="ListParagraph"/>
        <w:numPr>
          <w:ilvl w:val="0"/>
          <w:numId w:val="21"/>
        </w:numPr>
        <w:spacing w:after="0" w:line="240" w:lineRule="auto"/>
      </w:pPr>
      <w:r w:rsidRPr="003A0CD5">
        <w:t>Investments in care management, primary care, and community-based LTSS to achieve reductions</w:t>
      </w:r>
    </w:p>
    <w:p w:rsidR="00925B1F" w:rsidRPr="003A0CD5" w:rsidRDefault="00925B1F" w:rsidP="00925B1F">
      <w:pPr>
        <w:pStyle w:val="ListParagraph"/>
        <w:numPr>
          <w:ilvl w:val="0"/>
          <w:numId w:val="21"/>
        </w:numPr>
        <w:spacing w:after="0" w:line="240" w:lineRule="auto"/>
      </w:pPr>
      <w:r w:rsidRPr="003A0CD5">
        <w:t>8 of 10 highest cost members had reduced cost</w:t>
      </w:r>
    </w:p>
    <w:p w:rsidR="00925B1F" w:rsidRPr="003A0CD5" w:rsidRDefault="00925B1F" w:rsidP="00925B1F">
      <w:pPr>
        <w:pStyle w:val="ListParagraph"/>
        <w:numPr>
          <w:ilvl w:val="0"/>
          <w:numId w:val="21"/>
        </w:numPr>
        <w:spacing w:after="0" w:line="240" w:lineRule="auto"/>
      </w:pPr>
      <w:r w:rsidRPr="003A0CD5">
        <w:t>For all 10, average cost reduction of -38%</w:t>
      </w:r>
    </w:p>
    <w:p w:rsidR="00966036" w:rsidRDefault="00966036" w:rsidP="00966036">
      <w:pPr>
        <w:spacing w:after="0" w:line="240" w:lineRule="auto"/>
        <w:rPr>
          <w:bCs/>
        </w:rPr>
      </w:pPr>
    </w:p>
    <w:p w:rsidR="00966036" w:rsidRDefault="00966036" w:rsidP="00966036">
      <w:pPr>
        <w:spacing w:after="0" w:line="240" w:lineRule="auto"/>
        <w:rPr>
          <w:bCs/>
        </w:rPr>
      </w:pPr>
      <w:r>
        <w:rPr>
          <w:bCs/>
        </w:rPr>
        <w:t>Slide 18</w:t>
      </w:r>
    </w:p>
    <w:p w:rsidR="00966036" w:rsidRDefault="00966036" w:rsidP="003D196E">
      <w:pPr>
        <w:spacing w:after="0" w:line="240" w:lineRule="auto"/>
        <w:rPr>
          <w:b/>
          <w:bCs/>
        </w:rPr>
      </w:pPr>
      <w:r w:rsidRPr="00966036">
        <w:rPr>
          <w:b/>
          <w:bCs/>
        </w:rPr>
        <w:t>Insights From Experience To Date …</w:t>
      </w:r>
    </w:p>
    <w:p w:rsidR="0085416A" w:rsidRPr="00966036" w:rsidRDefault="004A1A5A" w:rsidP="0094543F">
      <w:pPr>
        <w:numPr>
          <w:ilvl w:val="1"/>
          <w:numId w:val="26"/>
        </w:numPr>
        <w:tabs>
          <w:tab w:val="clear" w:pos="1440"/>
        </w:tabs>
        <w:spacing w:after="0" w:line="240" w:lineRule="auto"/>
        <w:ind w:left="720"/>
        <w:rPr>
          <w:bCs/>
        </w:rPr>
      </w:pPr>
      <w:r w:rsidRPr="00966036">
        <w:rPr>
          <w:bCs/>
        </w:rPr>
        <w:t>Significant pent-up demand and unmet needs for new members</w:t>
      </w:r>
    </w:p>
    <w:p w:rsidR="0085416A" w:rsidRPr="00966036" w:rsidRDefault="004A1A5A" w:rsidP="0094543F">
      <w:pPr>
        <w:numPr>
          <w:ilvl w:val="1"/>
          <w:numId w:val="26"/>
        </w:numPr>
        <w:tabs>
          <w:tab w:val="clear" w:pos="1440"/>
        </w:tabs>
        <w:spacing w:after="0" w:line="240" w:lineRule="auto"/>
        <w:ind w:left="720"/>
        <w:rPr>
          <w:bCs/>
        </w:rPr>
      </w:pPr>
      <w:r w:rsidRPr="00966036">
        <w:rPr>
          <w:bCs/>
        </w:rPr>
        <w:t>Upfront investments (care coordination, increased medical, BH and LTSS care) required, but savings take 12-18 months to realize</w:t>
      </w:r>
    </w:p>
    <w:p w:rsidR="0085416A" w:rsidRPr="00966036" w:rsidRDefault="004A1A5A" w:rsidP="0094543F">
      <w:pPr>
        <w:numPr>
          <w:ilvl w:val="1"/>
          <w:numId w:val="26"/>
        </w:numPr>
        <w:tabs>
          <w:tab w:val="clear" w:pos="1440"/>
        </w:tabs>
        <w:spacing w:after="0" w:line="240" w:lineRule="auto"/>
        <w:ind w:left="720"/>
        <w:rPr>
          <w:bCs/>
        </w:rPr>
      </w:pPr>
      <w:r w:rsidRPr="00966036">
        <w:rPr>
          <w:bCs/>
        </w:rPr>
        <w:lastRenderedPageBreak/>
        <w:t xml:space="preserve">Claims history is significantly underestimating the population’s functional limitations, behavioral health conditions, and other needs </w:t>
      </w:r>
    </w:p>
    <w:p w:rsidR="0085416A" w:rsidRPr="00966036" w:rsidRDefault="004A1A5A" w:rsidP="0094543F">
      <w:pPr>
        <w:numPr>
          <w:ilvl w:val="1"/>
          <w:numId w:val="26"/>
        </w:numPr>
        <w:tabs>
          <w:tab w:val="clear" w:pos="1440"/>
        </w:tabs>
        <w:spacing w:after="0" w:line="240" w:lineRule="auto"/>
        <w:ind w:left="720"/>
        <w:rPr>
          <w:bCs/>
        </w:rPr>
      </w:pPr>
      <w:r w:rsidRPr="00966036">
        <w:rPr>
          <w:bCs/>
        </w:rPr>
        <w:t>Investments in care management are critical to success of the model – key to making person-level connections</w:t>
      </w:r>
    </w:p>
    <w:p w:rsidR="0085416A" w:rsidRPr="00966036" w:rsidRDefault="004A1A5A" w:rsidP="0094543F">
      <w:pPr>
        <w:numPr>
          <w:ilvl w:val="1"/>
          <w:numId w:val="26"/>
        </w:numPr>
        <w:tabs>
          <w:tab w:val="clear" w:pos="1440"/>
        </w:tabs>
        <w:spacing w:after="0" w:line="240" w:lineRule="auto"/>
        <w:ind w:left="720"/>
        <w:rPr>
          <w:bCs/>
        </w:rPr>
      </w:pPr>
      <w:r w:rsidRPr="00966036">
        <w:rPr>
          <w:bCs/>
        </w:rPr>
        <w:t>Expanded services are diverting enrollees from more acute and expensive care</w:t>
      </w:r>
    </w:p>
    <w:p w:rsidR="0085416A" w:rsidRPr="00966036" w:rsidRDefault="004A1A5A" w:rsidP="00A95AEA">
      <w:pPr>
        <w:numPr>
          <w:ilvl w:val="3"/>
          <w:numId w:val="14"/>
        </w:numPr>
        <w:tabs>
          <w:tab w:val="clear" w:pos="2880"/>
        </w:tabs>
        <w:spacing w:after="0" w:line="240" w:lineRule="auto"/>
        <w:ind w:left="1440"/>
        <w:rPr>
          <w:bCs/>
        </w:rPr>
      </w:pPr>
      <w:r w:rsidRPr="00966036">
        <w:rPr>
          <w:bCs/>
        </w:rPr>
        <w:t>CCA building own Crisis Stabilization Units – up-front cost with long-term savings</w:t>
      </w:r>
    </w:p>
    <w:p w:rsidR="00966036" w:rsidRDefault="00966036" w:rsidP="003D196E">
      <w:pPr>
        <w:spacing w:after="0" w:line="240" w:lineRule="auto"/>
        <w:rPr>
          <w:bCs/>
        </w:rPr>
      </w:pPr>
    </w:p>
    <w:p w:rsidR="00966036" w:rsidRDefault="00966036" w:rsidP="00966036">
      <w:pPr>
        <w:spacing w:after="0" w:line="240" w:lineRule="auto"/>
        <w:rPr>
          <w:bCs/>
        </w:rPr>
      </w:pPr>
      <w:r>
        <w:rPr>
          <w:bCs/>
        </w:rPr>
        <w:t>Slide 19</w:t>
      </w:r>
    </w:p>
    <w:p w:rsidR="00966036" w:rsidRDefault="00966036" w:rsidP="003D196E">
      <w:pPr>
        <w:spacing w:after="0" w:line="240" w:lineRule="auto"/>
        <w:rPr>
          <w:b/>
          <w:bCs/>
        </w:rPr>
      </w:pPr>
      <w:r w:rsidRPr="00966036">
        <w:rPr>
          <w:b/>
          <w:bCs/>
        </w:rPr>
        <w:t>Early Successes from One Care Plans-Endnotes</w:t>
      </w:r>
    </w:p>
    <w:p w:rsidR="00966036" w:rsidRPr="00966036" w:rsidRDefault="00966036" w:rsidP="00966036">
      <w:pPr>
        <w:spacing w:after="0" w:line="240" w:lineRule="auto"/>
        <w:rPr>
          <w:bCs/>
        </w:rPr>
      </w:pPr>
      <w:r w:rsidRPr="00966036">
        <w:rPr>
          <w:bCs/>
          <w:i/>
          <w:iCs/>
          <w:vertAlign w:val="superscript"/>
        </w:rPr>
        <w:t xml:space="preserve">1 </w:t>
      </w:r>
      <w:r w:rsidRPr="00966036">
        <w:rPr>
          <w:bCs/>
          <w:i/>
          <w:iCs/>
        </w:rPr>
        <w:t>Charts based on data from “Early Review of One Care Performance.” Commonwealth Care Alliance.  August 14, 2015.  Data based on analysis of  4,559 individuals continuously enrolled for 12+ months through December 2014 preceded by 12+ months continuously eligible for MassHealth and Medicare.  Part D claims excluded from analysis due to limitations on data availability.  Medicare claims may be incomplete.</w:t>
      </w:r>
    </w:p>
    <w:p w:rsidR="00966036" w:rsidRPr="00966036" w:rsidRDefault="00966036" w:rsidP="00966036">
      <w:pPr>
        <w:spacing w:after="0" w:line="240" w:lineRule="auto"/>
        <w:rPr>
          <w:bCs/>
        </w:rPr>
      </w:pPr>
      <w:r w:rsidRPr="00966036">
        <w:rPr>
          <w:bCs/>
          <w:i/>
          <w:iCs/>
          <w:vertAlign w:val="superscript"/>
        </w:rPr>
        <w:t>2</w:t>
      </w:r>
      <w:r w:rsidRPr="00966036">
        <w:rPr>
          <w:bCs/>
          <w:i/>
          <w:iCs/>
        </w:rPr>
        <w:t xml:space="preserve"> The One Care Early Indicators Project, “Findings from the One Care Member Experience Survey (2014),” May 2015. Available at </w:t>
      </w:r>
      <w:hyperlink r:id="rId6" w:history="1">
        <w:r w:rsidRPr="00966036">
          <w:rPr>
            <w:rStyle w:val="Hyperlink"/>
            <w:bCs/>
            <w:i/>
            <w:iCs/>
          </w:rPr>
          <w:t>http://www.mass.gov/eohhs/docs/masshealth/onecare/eip-survey-2-report.pdf</w:t>
        </w:r>
      </w:hyperlink>
      <w:r w:rsidRPr="00966036">
        <w:rPr>
          <w:bCs/>
          <w:i/>
          <w:iCs/>
        </w:rPr>
        <w:t xml:space="preserve"> </w:t>
      </w:r>
    </w:p>
    <w:p w:rsidR="00966036" w:rsidRPr="00966036" w:rsidRDefault="00966036" w:rsidP="00966036">
      <w:pPr>
        <w:spacing w:after="0" w:line="240" w:lineRule="auto"/>
        <w:rPr>
          <w:bCs/>
        </w:rPr>
      </w:pPr>
      <w:r w:rsidRPr="00966036">
        <w:rPr>
          <w:bCs/>
          <w:i/>
          <w:iCs/>
          <w:vertAlign w:val="superscript"/>
        </w:rPr>
        <w:t xml:space="preserve">3 </w:t>
      </w:r>
      <w:r w:rsidRPr="00966036">
        <w:rPr>
          <w:bCs/>
          <w:i/>
          <w:iCs/>
        </w:rPr>
        <w:t>Medicare Advantage and Prescription Drug Plan CAHPS for 2015 conducted in Spring 2015, as reported in “Early Review of One Care Performance.” Commonwealth Care Alliance.  August 14, 2015.</w:t>
      </w:r>
    </w:p>
    <w:p w:rsidR="00966036" w:rsidRPr="00966036" w:rsidRDefault="00966036" w:rsidP="00966036">
      <w:pPr>
        <w:spacing w:after="0" w:line="240" w:lineRule="auto"/>
        <w:rPr>
          <w:bCs/>
        </w:rPr>
      </w:pPr>
      <w:r w:rsidRPr="00966036">
        <w:rPr>
          <w:bCs/>
          <w:i/>
          <w:iCs/>
          <w:vertAlign w:val="superscript"/>
        </w:rPr>
        <w:t xml:space="preserve">4 </w:t>
      </w:r>
      <w:r w:rsidRPr="00966036">
        <w:rPr>
          <w:bCs/>
          <w:i/>
          <w:iCs/>
        </w:rPr>
        <w:t>“Early Review of One Care Performance.” Commonwealth Care Alliance.  August 14, 2015.</w:t>
      </w:r>
    </w:p>
    <w:p w:rsidR="00966036" w:rsidRPr="00966036" w:rsidRDefault="00966036" w:rsidP="00966036">
      <w:pPr>
        <w:spacing w:after="0" w:line="240" w:lineRule="auto"/>
        <w:rPr>
          <w:bCs/>
        </w:rPr>
      </w:pPr>
      <w:r w:rsidRPr="00966036">
        <w:rPr>
          <w:bCs/>
          <w:i/>
          <w:iCs/>
          <w:vertAlign w:val="superscript"/>
        </w:rPr>
        <w:t>5</w:t>
      </w:r>
      <w:r w:rsidRPr="00966036">
        <w:rPr>
          <w:bCs/>
          <w:i/>
          <w:iCs/>
        </w:rPr>
        <w:t xml:space="preserve"> Information provided by Tufts Health Plan – Network Health, August 24, 2015.</w:t>
      </w:r>
    </w:p>
    <w:p w:rsidR="00966036" w:rsidRDefault="00966036" w:rsidP="003D196E">
      <w:pPr>
        <w:spacing w:after="0" w:line="240" w:lineRule="auto"/>
        <w:rPr>
          <w:bCs/>
        </w:rPr>
      </w:pPr>
    </w:p>
    <w:p w:rsidR="00966036" w:rsidRDefault="00966036" w:rsidP="00966036">
      <w:pPr>
        <w:spacing w:after="0" w:line="240" w:lineRule="auto"/>
        <w:rPr>
          <w:bCs/>
        </w:rPr>
      </w:pPr>
      <w:r>
        <w:rPr>
          <w:bCs/>
        </w:rPr>
        <w:t>Slide 20</w:t>
      </w:r>
    </w:p>
    <w:p w:rsidR="002C4C53" w:rsidRDefault="002C4C53" w:rsidP="00966036">
      <w:pPr>
        <w:spacing w:after="0" w:line="240" w:lineRule="auto"/>
        <w:rPr>
          <w:bCs/>
        </w:rPr>
      </w:pPr>
      <w:r w:rsidRPr="002C4C53">
        <w:rPr>
          <w:b/>
          <w:bCs/>
        </w:rPr>
        <w:t>Sharing Quality and Financial Data</w:t>
      </w:r>
    </w:p>
    <w:p w:rsidR="0085416A" w:rsidRPr="00A95AEA" w:rsidRDefault="004A1A5A" w:rsidP="00A95AEA">
      <w:pPr>
        <w:pStyle w:val="ListParagraph"/>
        <w:numPr>
          <w:ilvl w:val="0"/>
          <w:numId w:val="15"/>
        </w:numPr>
        <w:spacing w:after="0" w:line="240" w:lineRule="auto"/>
        <w:rPr>
          <w:bCs/>
        </w:rPr>
      </w:pPr>
      <w:r w:rsidRPr="00A95AEA">
        <w:rPr>
          <w:bCs/>
        </w:rPr>
        <w:t>MassHealth commits to spending a future Open Meeting on quality and financial data and analysis</w:t>
      </w:r>
    </w:p>
    <w:p w:rsidR="0085416A" w:rsidRPr="00A95AEA" w:rsidRDefault="004A1A5A" w:rsidP="00A95AEA">
      <w:pPr>
        <w:pStyle w:val="ListParagraph"/>
        <w:numPr>
          <w:ilvl w:val="0"/>
          <w:numId w:val="15"/>
        </w:numPr>
        <w:spacing w:after="0" w:line="240" w:lineRule="auto"/>
        <w:rPr>
          <w:bCs/>
        </w:rPr>
      </w:pPr>
      <w:r w:rsidRPr="00A95AEA">
        <w:rPr>
          <w:bCs/>
        </w:rPr>
        <w:t>MassHealth will also continue to share:</w:t>
      </w:r>
    </w:p>
    <w:p w:rsidR="0085416A" w:rsidRPr="00A95AEA" w:rsidRDefault="004A1A5A" w:rsidP="00A95AEA">
      <w:pPr>
        <w:pStyle w:val="ListParagraph"/>
        <w:numPr>
          <w:ilvl w:val="0"/>
          <w:numId w:val="16"/>
        </w:numPr>
        <w:spacing w:after="0" w:line="240" w:lineRule="auto"/>
        <w:ind w:left="1440"/>
        <w:rPr>
          <w:bCs/>
        </w:rPr>
      </w:pPr>
      <w:r w:rsidRPr="00A95AEA">
        <w:rPr>
          <w:bCs/>
        </w:rPr>
        <w:t>Monthly enrollment reports</w:t>
      </w:r>
    </w:p>
    <w:p w:rsidR="0085416A" w:rsidRPr="00A95AEA" w:rsidRDefault="004A1A5A" w:rsidP="00A95AEA">
      <w:pPr>
        <w:pStyle w:val="ListParagraph"/>
        <w:numPr>
          <w:ilvl w:val="0"/>
          <w:numId w:val="16"/>
        </w:numPr>
        <w:spacing w:after="0" w:line="240" w:lineRule="auto"/>
        <w:ind w:left="1440"/>
        <w:rPr>
          <w:bCs/>
        </w:rPr>
      </w:pPr>
      <w:r w:rsidRPr="00A95AEA">
        <w:rPr>
          <w:bCs/>
        </w:rPr>
        <w:t>Quarterly reports on plan assessment completion and referrals to LTS Coordinators</w:t>
      </w:r>
    </w:p>
    <w:p w:rsidR="0085416A" w:rsidRPr="00A95AEA" w:rsidRDefault="004A1A5A" w:rsidP="00A95AEA">
      <w:pPr>
        <w:pStyle w:val="ListParagraph"/>
        <w:numPr>
          <w:ilvl w:val="0"/>
          <w:numId w:val="15"/>
        </w:numPr>
        <w:spacing w:after="0" w:line="240" w:lineRule="auto"/>
        <w:rPr>
          <w:bCs/>
        </w:rPr>
      </w:pPr>
      <w:r w:rsidRPr="00A95AEA">
        <w:rPr>
          <w:bCs/>
        </w:rPr>
        <w:t>The CMS/RTI Evaluation Report on the first year of the Demonstration is expected to be released during 2016</w:t>
      </w:r>
    </w:p>
    <w:p w:rsidR="00966036" w:rsidRDefault="00966036" w:rsidP="003D196E">
      <w:pPr>
        <w:spacing w:after="0" w:line="240" w:lineRule="auto"/>
        <w:rPr>
          <w:bCs/>
        </w:rPr>
      </w:pPr>
    </w:p>
    <w:p w:rsidR="00966036" w:rsidRDefault="00966036" w:rsidP="00966036">
      <w:pPr>
        <w:spacing w:after="0" w:line="240" w:lineRule="auto"/>
        <w:rPr>
          <w:bCs/>
        </w:rPr>
      </w:pPr>
      <w:r>
        <w:rPr>
          <w:bCs/>
        </w:rPr>
        <w:t>Slide 21</w:t>
      </w:r>
    </w:p>
    <w:p w:rsidR="00D14ACE" w:rsidRPr="00D14ACE" w:rsidRDefault="00D14ACE" w:rsidP="00D14ACE">
      <w:pPr>
        <w:spacing w:after="0" w:line="240" w:lineRule="auto"/>
        <w:rPr>
          <w:bCs/>
        </w:rPr>
      </w:pPr>
      <w:r w:rsidRPr="00D14ACE">
        <w:rPr>
          <w:b/>
          <w:bCs/>
        </w:rPr>
        <w:t>Questions/Discussion</w:t>
      </w:r>
    </w:p>
    <w:p w:rsidR="00966036" w:rsidRDefault="00966036" w:rsidP="003D196E">
      <w:pPr>
        <w:spacing w:after="0" w:line="240" w:lineRule="auto"/>
        <w:rPr>
          <w:bCs/>
        </w:rPr>
      </w:pPr>
    </w:p>
    <w:p w:rsidR="00966036" w:rsidRDefault="00966036" w:rsidP="00966036">
      <w:pPr>
        <w:spacing w:after="0" w:line="240" w:lineRule="auto"/>
        <w:rPr>
          <w:bCs/>
        </w:rPr>
      </w:pPr>
      <w:r>
        <w:rPr>
          <w:bCs/>
        </w:rPr>
        <w:t>Slide 22</w:t>
      </w:r>
    </w:p>
    <w:p w:rsidR="003D196E" w:rsidRDefault="003D196E" w:rsidP="003D196E">
      <w:pPr>
        <w:spacing w:after="0" w:line="240" w:lineRule="auto"/>
        <w:rPr>
          <w:b/>
          <w:bCs/>
        </w:rPr>
      </w:pPr>
      <w:r w:rsidRPr="003D196E">
        <w:rPr>
          <w:b/>
          <w:bCs/>
        </w:rPr>
        <w:t xml:space="preserve">Visit us at </w:t>
      </w:r>
      <w:hyperlink r:id="rId7" w:history="1">
        <w:r w:rsidRPr="003D196E">
          <w:rPr>
            <w:rStyle w:val="Hyperlink"/>
            <w:b/>
            <w:bCs/>
          </w:rPr>
          <w:t>www.mass.gov/masshealth/onecare</w:t>
        </w:r>
      </w:hyperlink>
    </w:p>
    <w:p w:rsidR="003D196E" w:rsidRPr="003D196E" w:rsidRDefault="003D196E" w:rsidP="003D196E">
      <w:pPr>
        <w:spacing w:after="0" w:line="240" w:lineRule="auto"/>
        <w:rPr>
          <w:bCs/>
        </w:rPr>
      </w:pPr>
      <w:r w:rsidRPr="003D196E">
        <w:rPr>
          <w:b/>
          <w:bCs/>
        </w:rPr>
        <w:t xml:space="preserve">Email us at </w:t>
      </w:r>
      <w:hyperlink r:id="rId8" w:history="1">
        <w:r w:rsidRPr="003D196E">
          <w:rPr>
            <w:rStyle w:val="Hyperlink"/>
            <w:b/>
            <w:bCs/>
          </w:rPr>
          <w:t>OneCare@state.ma.us</w:t>
        </w:r>
      </w:hyperlink>
    </w:p>
    <w:sectPr w:rsidR="003D196E" w:rsidRPr="003D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90D"/>
    <w:multiLevelType w:val="hybridMultilevel"/>
    <w:tmpl w:val="43326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A54120"/>
    <w:multiLevelType w:val="hybridMultilevel"/>
    <w:tmpl w:val="49D4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266C"/>
    <w:multiLevelType w:val="hybridMultilevel"/>
    <w:tmpl w:val="4928E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65755C"/>
    <w:multiLevelType w:val="hybridMultilevel"/>
    <w:tmpl w:val="13EA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426B2"/>
    <w:multiLevelType w:val="hybridMultilevel"/>
    <w:tmpl w:val="888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04990"/>
    <w:multiLevelType w:val="hybridMultilevel"/>
    <w:tmpl w:val="B1081E0E"/>
    <w:lvl w:ilvl="0" w:tplc="735E6C1E">
      <w:start w:val="1"/>
      <w:numFmt w:val="bullet"/>
      <w:lvlText w:val=""/>
      <w:lvlJc w:val="left"/>
      <w:pPr>
        <w:tabs>
          <w:tab w:val="num" w:pos="720"/>
        </w:tabs>
        <w:ind w:left="720" w:hanging="360"/>
      </w:pPr>
      <w:rPr>
        <w:rFonts w:ascii="Wingdings" w:hAnsi="Wingdings" w:hint="default"/>
      </w:rPr>
    </w:lvl>
    <w:lvl w:ilvl="1" w:tplc="2DC2CBB6">
      <w:start w:val="1"/>
      <w:numFmt w:val="bullet"/>
      <w:lvlText w:val=""/>
      <w:lvlJc w:val="left"/>
      <w:pPr>
        <w:tabs>
          <w:tab w:val="num" w:pos="1440"/>
        </w:tabs>
        <w:ind w:left="1440" w:hanging="360"/>
      </w:pPr>
      <w:rPr>
        <w:rFonts w:ascii="Wingdings" w:hAnsi="Wingdings" w:hint="default"/>
      </w:rPr>
    </w:lvl>
    <w:lvl w:ilvl="2" w:tplc="BF8041E8" w:tentative="1">
      <w:start w:val="1"/>
      <w:numFmt w:val="bullet"/>
      <w:lvlText w:val=""/>
      <w:lvlJc w:val="left"/>
      <w:pPr>
        <w:tabs>
          <w:tab w:val="num" w:pos="2160"/>
        </w:tabs>
        <w:ind w:left="2160" w:hanging="360"/>
      </w:pPr>
      <w:rPr>
        <w:rFonts w:ascii="Wingdings" w:hAnsi="Wingdings" w:hint="default"/>
      </w:rPr>
    </w:lvl>
    <w:lvl w:ilvl="3" w:tplc="F232F3AA">
      <w:start w:val="1904"/>
      <w:numFmt w:val="bullet"/>
      <w:lvlText w:val="o"/>
      <w:lvlJc w:val="left"/>
      <w:pPr>
        <w:tabs>
          <w:tab w:val="num" w:pos="2880"/>
        </w:tabs>
        <w:ind w:left="2880" w:hanging="360"/>
      </w:pPr>
      <w:rPr>
        <w:rFonts w:ascii="Courier New" w:hAnsi="Courier New" w:hint="default"/>
      </w:rPr>
    </w:lvl>
    <w:lvl w:ilvl="4" w:tplc="5E3481C8">
      <w:start w:val="1"/>
      <w:numFmt w:val="bullet"/>
      <w:lvlText w:val=""/>
      <w:lvlJc w:val="left"/>
      <w:pPr>
        <w:tabs>
          <w:tab w:val="num" w:pos="3600"/>
        </w:tabs>
        <w:ind w:left="3600" w:hanging="360"/>
      </w:pPr>
      <w:rPr>
        <w:rFonts w:ascii="Wingdings" w:hAnsi="Wingdings" w:hint="default"/>
      </w:rPr>
    </w:lvl>
    <w:lvl w:ilvl="5" w:tplc="73AE6EF0" w:tentative="1">
      <w:start w:val="1"/>
      <w:numFmt w:val="bullet"/>
      <w:lvlText w:val=""/>
      <w:lvlJc w:val="left"/>
      <w:pPr>
        <w:tabs>
          <w:tab w:val="num" w:pos="4320"/>
        </w:tabs>
        <w:ind w:left="4320" w:hanging="360"/>
      </w:pPr>
      <w:rPr>
        <w:rFonts w:ascii="Wingdings" w:hAnsi="Wingdings" w:hint="default"/>
      </w:rPr>
    </w:lvl>
    <w:lvl w:ilvl="6" w:tplc="56A68A46" w:tentative="1">
      <w:start w:val="1"/>
      <w:numFmt w:val="bullet"/>
      <w:lvlText w:val=""/>
      <w:lvlJc w:val="left"/>
      <w:pPr>
        <w:tabs>
          <w:tab w:val="num" w:pos="5040"/>
        </w:tabs>
        <w:ind w:left="5040" w:hanging="360"/>
      </w:pPr>
      <w:rPr>
        <w:rFonts w:ascii="Wingdings" w:hAnsi="Wingdings" w:hint="default"/>
      </w:rPr>
    </w:lvl>
    <w:lvl w:ilvl="7" w:tplc="156C3B1A" w:tentative="1">
      <w:start w:val="1"/>
      <w:numFmt w:val="bullet"/>
      <w:lvlText w:val=""/>
      <w:lvlJc w:val="left"/>
      <w:pPr>
        <w:tabs>
          <w:tab w:val="num" w:pos="5760"/>
        </w:tabs>
        <w:ind w:left="5760" w:hanging="360"/>
      </w:pPr>
      <w:rPr>
        <w:rFonts w:ascii="Wingdings" w:hAnsi="Wingdings" w:hint="default"/>
      </w:rPr>
    </w:lvl>
    <w:lvl w:ilvl="8" w:tplc="DFC89740" w:tentative="1">
      <w:start w:val="1"/>
      <w:numFmt w:val="bullet"/>
      <w:lvlText w:val=""/>
      <w:lvlJc w:val="left"/>
      <w:pPr>
        <w:tabs>
          <w:tab w:val="num" w:pos="6480"/>
        </w:tabs>
        <w:ind w:left="6480" w:hanging="360"/>
      </w:pPr>
      <w:rPr>
        <w:rFonts w:ascii="Wingdings" w:hAnsi="Wingdings" w:hint="default"/>
      </w:rPr>
    </w:lvl>
  </w:abstractNum>
  <w:abstractNum w:abstractNumId="6">
    <w:nsid w:val="1A1A0F60"/>
    <w:multiLevelType w:val="hybridMultilevel"/>
    <w:tmpl w:val="31C22B34"/>
    <w:lvl w:ilvl="0" w:tplc="04090001">
      <w:start w:val="1"/>
      <w:numFmt w:val="bullet"/>
      <w:lvlText w:val=""/>
      <w:lvlJc w:val="left"/>
      <w:pPr>
        <w:tabs>
          <w:tab w:val="num" w:pos="720"/>
        </w:tabs>
        <w:ind w:left="720" w:hanging="360"/>
      </w:pPr>
      <w:rPr>
        <w:rFonts w:ascii="Symbol" w:hAnsi="Symbol" w:hint="default"/>
      </w:rPr>
    </w:lvl>
    <w:lvl w:ilvl="1" w:tplc="85EE8CC8" w:tentative="1">
      <w:start w:val="1"/>
      <w:numFmt w:val="bullet"/>
      <w:lvlText w:val="■"/>
      <w:lvlJc w:val="left"/>
      <w:pPr>
        <w:tabs>
          <w:tab w:val="num" w:pos="1440"/>
        </w:tabs>
        <w:ind w:left="1440" w:hanging="360"/>
      </w:pPr>
      <w:rPr>
        <w:rFonts w:ascii="Arial" w:hAnsi="Arial" w:hint="default"/>
      </w:rPr>
    </w:lvl>
    <w:lvl w:ilvl="2" w:tplc="78B4F12A" w:tentative="1">
      <w:start w:val="1"/>
      <w:numFmt w:val="bullet"/>
      <w:lvlText w:val="■"/>
      <w:lvlJc w:val="left"/>
      <w:pPr>
        <w:tabs>
          <w:tab w:val="num" w:pos="2160"/>
        </w:tabs>
        <w:ind w:left="2160" w:hanging="360"/>
      </w:pPr>
      <w:rPr>
        <w:rFonts w:ascii="Arial" w:hAnsi="Arial" w:hint="default"/>
      </w:rPr>
    </w:lvl>
    <w:lvl w:ilvl="3" w:tplc="5A8E948C" w:tentative="1">
      <w:start w:val="1"/>
      <w:numFmt w:val="bullet"/>
      <w:lvlText w:val="■"/>
      <w:lvlJc w:val="left"/>
      <w:pPr>
        <w:tabs>
          <w:tab w:val="num" w:pos="2880"/>
        </w:tabs>
        <w:ind w:left="2880" w:hanging="360"/>
      </w:pPr>
      <w:rPr>
        <w:rFonts w:ascii="Arial" w:hAnsi="Arial" w:hint="default"/>
      </w:rPr>
    </w:lvl>
    <w:lvl w:ilvl="4" w:tplc="2B9418B4" w:tentative="1">
      <w:start w:val="1"/>
      <w:numFmt w:val="bullet"/>
      <w:lvlText w:val="■"/>
      <w:lvlJc w:val="left"/>
      <w:pPr>
        <w:tabs>
          <w:tab w:val="num" w:pos="3600"/>
        </w:tabs>
        <w:ind w:left="3600" w:hanging="360"/>
      </w:pPr>
      <w:rPr>
        <w:rFonts w:ascii="Arial" w:hAnsi="Arial" w:hint="default"/>
      </w:rPr>
    </w:lvl>
    <w:lvl w:ilvl="5" w:tplc="25E4E91C" w:tentative="1">
      <w:start w:val="1"/>
      <w:numFmt w:val="bullet"/>
      <w:lvlText w:val="■"/>
      <w:lvlJc w:val="left"/>
      <w:pPr>
        <w:tabs>
          <w:tab w:val="num" w:pos="4320"/>
        </w:tabs>
        <w:ind w:left="4320" w:hanging="360"/>
      </w:pPr>
      <w:rPr>
        <w:rFonts w:ascii="Arial" w:hAnsi="Arial" w:hint="default"/>
      </w:rPr>
    </w:lvl>
    <w:lvl w:ilvl="6" w:tplc="7BE0CA9A" w:tentative="1">
      <w:start w:val="1"/>
      <w:numFmt w:val="bullet"/>
      <w:lvlText w:val="■"/>
      <w:lvlJc w:val="left"/>
      <w:pPr>
        <w:tabs>
          <w:tab w:val="num" w:pos="5040"/>
        </w:tabs>
        <w:ind w:left="5040" w:hanging="360"/>
      </w:pPr>
      <w:rPr>
        <w:rFonts w:ascii="Arial" w:hAnsi="Arial" w:hint="default"/>
      </w:rPr>
    </w:lvl>
    <w:lvl w:ilvl="7" w:tplc="19BA47AA" w:tentative="1">
      <w:start w:val="1"/>
      <w:numFmt w:val="bullet"/>
      <w:lvlText w:val="■"/>
      <w:lvlJc w:val="left"/>
      <w:pPr>
        <w:tabs>
          <w:tab w:val="num" w:pos="5760"/>
        </w:tabs>
        <w:ind w:left="5760" w:hanging="360"/>
      </w:pPr>
      <w:rPr>
        <w:rFonts w:ascii="Arial" w:hAnsi="Arial" w:hint="default"/>
      </w:rPr>
    </w:lvl>
    <w:lvl w:ilvl="8" w:tplc="CE46DB70" w:tentative="1">
      <w:start w:val="1"/>
      <w:numFmt w:val="bullet"/>
      <w:lvlText w:val="■"/>
      <w:lvlJc w:val="left"/>
      <w:pPr>
        <w:tabs>
          <w:tab w:val="num" w:pos="6480"/>
        </w:tabs>
        <w:ind w:left="6480" w:hanging="360"/>
      </w:pPr>
      <w:rPr>
        <w:rFonts w:ascii="Arial" w:hAnsi="Arial" w:hint="default"/>
      </w:rPr>
    </w:lvl>
  </w:abstractNum>
  <w:abstractNum w:abstractNumId="7">
    <w:nsid w:val="202E38F4"/>
    <w:multiLevelType w:val="hybridMultilevel"/>
    <w:tmpl w:val="AC7C8102"/>
    <w:lvl w:ilvl="0" w:tplc="4D90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B113B9"/>
    <w:multiLevelType w:val="hybridMultilevel"/>
    <w:tmpl w:val="C6A2DA3E"/>
    <w:lvl w:ilvl="0" w:tplc="149E4C56">
      <w:start w:val="1"/>
      <w:numFmt w:val="bullet"/>
      <w:lvlText w:val="•"/>
      <w:lvlJc w:val="left"/>
      <w:pPr>
        <w:tabs>
          <w:tab w:val="num" w:pos="720"/>
        </w:tabs>
        <w:ind w:left="720" w:hanging="360"/>
      </w:pPr>
      <w:rPr>
        <w:rFonts w:ascii="Arial" w:hAnsi="Arial" w:hint="default"/>
      </w:rPr>
    </w:lvl>
    <w:lvl w:ilvl="1" w:tplc="E54E618A">
      <w:start w:val="1"/>
      <w:numFmt w:val="bullet"/>
      <w:lvlText w:val="•"/>
      <w:lvlJc w:val="left"/>
      <w:pPr>
        <w:tabs>
          <w:tab w:val="num" w:pos="1440"/>
        </w:tabs>
        <w:ind w:left="1440" w:hanging="360"/>
      </w:pPr>
      <w:rPr>
        <w:rFonts w:ascii="Arial" w:hAnsi="Arial" w:hint="default"/>
      </w:rPr>
    </w:lvl>
    <w:lvl w:ilvl="2" w:tplc="7C30AD30" w:tentative="1">
      <w:start w:val="1"/>
      <w:numFmt w:val="bullet"/>
      <w:lvlText w:val="•"/>
      <w:lvlJc w:val="left"/>
      <w:pPr>
        <w:tabs>
          <w:tab w:val="num" w:pos="2160"/>
        </w:tabs>
        <w:ind w:left="2160" w:hanging="360"/>
      </w:pPr>
      <w:rPr>
        <w:rFonts w:ascii="Arial" w:hAnsi="Arial" w:hint="default"/>
      </w:rPr>
    </w:lvl>
    <w:lvl w:ilvl="3" w:tplc="8F7045AE" w:tentative="1">
      <w:start w:val="1"/>
      <w:numFmt w:val="bullet"/>
      <w:lvlText w:val="•"/>
      <w:lvlJc w:val="left"/>
      <w:pPr>
        <w:tabs>
          <w:tab w:val="num" w:pos="2880"/>
        </w:tabs>
        <w:ind w:left="2880" w:hanging="360"/>
      </w:pPr>
      <w:rPr>
        <w:rFonts w:ascii="Arial" w:hAnsi="Arial" w:hint="default"/>
      </w:rPr>
    </w:lvl>
    <w:lvl w:ilvl="4" w:tplc="78EA43BC" w:tentative="1">
      <w:start w:val="1"/>
      <w:numFmt w:val="bullet"/>
      <w:lvlText w:val="•"/>
      <w:lvlJc w:val="left"/>
      <w:pPr>
        <w:tabs>
          <w:tab w:val="num" w:pos="3600"/>
        </w:tabs>
        <w:ind w:left="3600" w:hanging="360"/>
      </w:pPr>
      <w:rPr>
        <w:rFonts w:ascii="Arial" w:hAnsi="Arial" w:hint="default"/>
      </w:rPr>
    </w:lvl>
    <w:lvl w:ilvl="5" w:tplc="FC90AF30" w:tentative="1">
      <w:start w:val="1"/>
      <w:numFmt w:val="bullet"/>
      <w:lvlText w:val="•"/>
      <w:lvlJc w:val="left"/>
      <w:pPr>
        <w:tabs>
          <w:tab w:val="num" w:pos="4320"/>
        </w:tabs>
        <w:ind w:left="4320" w:hanging="360"/>
      </w:pPr>
      <w:rPr>
        <w:rFonts w:ascii="Arial" w:hAnsi="Arial" w:hint="default"/>
      </w:rPr>
    </w:lvl>
    <w:lvl w:ilvl="6" w:tplc="5936D288" w:tentative="1">
      <w:start w:val="1"/>
      <w:numFmt w:val="bullet"/>
      <w:lvlText w:val="•"/>
      <w:lvlJc w:val="left"/>
      <w:pPr>
        <w:tabs>
          <w:tab w:val="num" w:pos="5040"/>
        </w:tabs>
        <w:ind w:left="5040" w:hanging="360"/>
      </w:pPr>
      <w:rPr>
        <w:rFonts w:ascii="Arial" w:hAnsi="Arial" w:hint="default"/>
      </w:rPr>
    </w:lvl>
    <w:lvl w:ilvl="7" w:tplc="62141C68" w:tentative="1">
      <w:start w:val="1"/>
      <w:numFmt w:val="bullet"/>
      <w:lvlText w:val="•"/>
      <w:lvlJc w:val="left"/>
      <w:pPr>
        <w:tabs>
          <w:tab w:val="num" w:pos="5760"/>
        </w:tabs>
        <w:ind w:left="5760" w:hanging="360"/>
      </w:pPr>
      <w:rPr>
        <w:rFonts w:ascii="Arial" w:hAnsi="Arial" w:hint="default"/>
      </w:rPr>
    </w:lvl>
    <w:lvl w:ilvl="8" w:tplc="2BA82B0C" w:tentative="1">
      <w:start w:val="1"/>
      <w:numFmt w:val="bullet"/>
      <w:lvlText w:val="•"/>
      <w:lvlJc w:val="left"/>
      <w:pPr>
        <w:tabs>
          <w:tab w:val="num" w:pos="6480"/>
        </w:tabs>
        <w:ind w:left="6480" w:hanging="360"/>
      </w:pPr>
      <w:rPr>
        <w:rFonts w:ascii="Arial" w:hAnsi="Arial" w:hint="default"/>
      </w:rPr>
    </w:lvl>
  </w:abstractNum>
  <w:abstractNum w:abstractNumId="9">
    <w:nsid w:val="30474FB5"/>
    <w:multiLevelType w:val="hybridMultilevel"/>
    <w:tmpl w:val="46FEE620"/>
    <w:lvl w:ilvl="0" w:tplc="07A24396">
      <w:start w:val="1"/>
      <w:numFmt w:val="bullet"/>
      <w:lvlText w:val="■"/>
      <w:lvlJc w:val="left"/>
      <w:pPr>
        <w:tabs>
          <w:tab w:val="num" w:pos="720"/>
        </w:tabs>
        <w:ind w:left="720" w:hanging="360"/>
      </w:pPr>
      <w:rPr>
        <w:rFonts w:ascii="Arial" w:hAnsi="Arial" w:hint="default"/>
      </w:rPr>
    </w:lvl>
    <w:lvl w:ilvl="1" w:tplc="202A3772">
      <w:start w:val="1"/>
      <w:numFmt w:val="bullet"/>
      <w:lvlText w:val="■"/>
      <w:lvlJc w:val="left"/>
      <w:pPr>
        <w:tabs>
          <w:tab w:val="num" w:pos="1440"/>
        </w:tabs>
        <w:ind w:left="1440" w:hanging="360"/>
      </w:pPr>
      <w:rPr>
        <w:rFonts w:ascii="Arial" w:hAnsi="Arial" w:hint="default"/>
      </w:rPr>
    </w:lvl>
    <w:lvl w:ilvl="2" w:tplc="58985A62" w:tentative="1">
      <w:start w:val="1"/>
      <w:numFmt w:val="bullet"/>
      <w:lvlText w:val="■"/>
      <w:lvlJc w:val="left"/>
      <w:pPr>
        <w:tabs>
          <w:tab w:val="num" w:pos="2160"/>
        </w:tabs>
        <w:ind w:left="2160" w:hanging="360"/>
      </w:pPr>
      <w:rPr>
        <w:rFonts w:ascii="Arial" w:hAnsi="Arial" w:hint="default"/>
      </w:rPr>
    </w:lvl>
    <w:lvl w:ilvl="3" w:tplc="BEEAC096" w:tentative="1">
      <w:start w:val="1"/>
      <w:numFmt w:val="bullet"/>
      <w:lvlText w:val="■"/>
      <w:lvlJc w:val="left"/>
      <w:pPr>
        <w:tabs>
          <w:tab w:val="num" w:pos="2880"/>
        </w:tabs>
        <w:ind w:left="2880" w:hanging="360"/>
      </w:pPr>
      <w:rPr>
        <w:rFonts w:ascii="Arial" w:hAnsi="Arial" w:hint="default"/>
      </w:rPr>
    </w:lvl>
    <w:lvl w:ilvl="4" w:tplc="C67AF236" w:tentative="1">
      <w:start w:val="1"/>
      <w:numFmt w:val="bullet"/>
      <w:lvlText w:val="■"/>
      <w:lvlJc w:val="left"/>
      <w:pPr>
        <w:tabs>
          <w:tab w:val="num" w:pos="3600"/>
        </w:tabs>
        <w:ind w:left="3600" w:hanging="360"/>
      </w:pPr>
      <w:rPr>
        <w:rFonts w:ascii="Arial" w:hAnsi="Arial" w:hint="default"/>
      </w:rPr>
    </w:lvl>
    <w:lvl w:ilvl="5" w:tplc="A02C5522" w:tentative="1">
      <w:start w:val="1"/>
      <w:numFmt w:val="bullet"/>
      <w:lvlText w:val="■"/>
      <w:lvlJc w:val="left"/>
      <w:pPr>
        <w:tabs>
          <w:tab w:val="num" w:pos="4320"/>
        </w:tabs>
        <w:ind w:left="4320" w:hanging="360"/>
      </w:pPr>
      <w:rPr>
        <w:rFonts w:ascii="Arial" w:hAnsi="Arial" w:hint="default"/>
      </w:rPr>
    </w:lvl>
    <w:lvl w:ilvl="6" w:tplc="84C887A4" w:tentative="1">
      <w:start w:val="1"/>
      <w:numFmt w:val="bullet"/>
      <w:lvlText w:val="■"/>
      <w:lvlJc w:val="left"/>
      <w:pPr>
        <w:tabs>
          <w:tab w:val="num" w:pos="5040"/>
        </w:tabs>
        <w:ind w:left="5040" w:hanging="360"/>
      </w:pPr>
      <w:rPr>
        <w:rFonts w:ascii="Arial" w:hAnsi="Arial" w:hint="default"/>
      </w:rPr>
    </w:lvl>
    <w:lvl w:ilvl="7" w:tplc="2CB6CCFC" w:tentative="1">
      <w:start w:val="1"/>
      <w:numFmt w:val="bullet"/>
      <w:lvlText w:val="■"/>
      <w:lvlJc w:val="left"/>
      <w:pPr>
        <w:tabs>
          <w:tab w:val="num" w:pos="5760"/>
        </w:tabs>
        <w:ind w:left="5760" w:hanging="360"/>
      </w:pPr>
      <w:rPr>
        <w:rFonts w:ascii="Arial" w:hAnsi="Arial" w:hint="default"/>
      </w:rPr>
    </w:lvl>
    <w:lvl w:ilvl="8" w:tplc="67686E76" w:tentative="1">
      <w:start w:val="1"/>
      <w:numFmt w:val="bullet"/>
      <w:lvlText w:val="■"/>
      <w:lvlJc w:val="left"/>
      <w:pPr>
        <w:tabs>
          <w:tab w:val="num" w:pos="6480"/>
        </w:tabs>
        <w:ind w:left="6480" w:hanging="360"/>
      </w:pPr>
      <w:rPr>
        <w:rFonts w:ascii="Arial" w:hAnsi="Arial" w:hint="default"/>
      </w:rPr>
    </w:lvl>
  </w:abstractNum>
  <w:abstractNum w:abstractNumId="10">
    <w:nsid w:val="33E16B17"/>
    <w:multiLevelType w:val="hybridMultilevel"/>
    <w:tmpl w:val="B2C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7313B"/>
    <w:multiLevelType w:val="hybridMultilevel"/>
    <w:tmpl w:val="9DD4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F7472"/>
    <w:multiLevelType w:val="hybridMultilevel"/>
    <w:tmpl w:val="EFFC3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3452B"/>
    <w:multiLevelType w:val="hybridMultilevel"/>
    <w:tmpl w:val="9706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54B83"/>
    <w:multiLevelType w:val="hybridMultilevel"/>
    <w:tmpl w:val="489037E2"/>
    <w:lvl w:ilvl="0" w:tplc="4296F022">
      <w:start w:val="1"/>
      <w:numFmt w:val="decimal"/>
      <w:lvlText w:val="%1."/>
      <w:lvlJc w:val="left"/>
      <w:pPr>
        <w:tabs>
          <w:tab w:val="num" w:pos="720"/>
        </w:tabs>
        <w:ind w:left="720" w:hanging="360"/>
      </w:pPr>
    </w:lvl>
    <w:lvl w:ilvl="1" w:tplc="08B8BDD8" w:tentative="1">
      <w:start w:val="1"/>
      <w:numFmt w:val="decimal"/>
      <w:lvlText w:val="%2."/>
      <w:lvlJc w:val="left"/>
      <w:pPr>
        <w:tabs>
          <w:tab w:val="num" w:pos="1440"/>
        </w:tabs>
        <w:ind w:left="1440" w:hanging="360"/>
      </w:pPr>
    </w:lvl>
    <w:lvl w:ilvl="2" w:tplc="8CC8416E" w:tentative="1">
      <w:start w:val="1"/>
      <w:numFmt w:val="decimal"/>
      <w:lvlText w:val="%3."/>
      <w:lvlJc w:val="left"/>
      <w:pPr>
        <w:tabs>
          <w:tab w:val="num" w:pos="2160"/>
        </w:tabs>
        <w:ind w:left="2160" w:hanging="360"/>
      </w:pPr>
    </w:lvl>
    <w:lvl w:ilvl="3" w:tplc="804445FC" w:tentative="1">
      <w:start w:val="1"/>
      <w:numFmt w:val="decimal"/>
      <w:lvlText w:val="%4."/>
      <w:lvlJc w:val="left"/>
      <w:pPr>
        <w:tabs>
          <w:tab w:val="num" w:pos="2880"/>
        </w:tabs>
        <w:ind w:left="2880" w:hanging="360"/>
      </w:pPr>
    </w:lvl>
    <w:lvl w:ilvl="4" w:tplc="5986EF5E" w:tentative="1">
      <w:start w:val="1"/>
      <w:numFmt w:val="decimal"/>
      <w:lvlText w:val="%5."/>
      <w:lvlJc w:val="left"/>
      <w:pPr>
        <w:tabs>
          <w:tab w:val="num" w:pos="3600"/>
        </w:tabs>
        <w:ind w:left="3600" w:hanging="360"/>
      </w:pPr>
    </w:lvl>
    <w:lvl w:ilvl="5" w:tplc="A93C0F62" w:tentative="1">
      <w:start w:val="1"/>
      <w:numFmt w:val="decimal"/>
      <w:lvlText w:val="%6."/>
      <w:lvlJc w:val="left"/>
      <w:pPr>
        <w:tabs>
          <w:tab w:val="num" w:pos="4320"/>
        </w:tabs>
        <w:ind w:left="4320" w:hanging="360"/>
      </w:pPr>
    </w:lvl>
    <w:lvl w:ilvl="6" w:tplc="958CB59E" w:tentative="1">
      <w:start w:val="1"/>
      <w:numFmt w:val="decimal"/>
      <w:lvlText w:val="%7."/>
      <w:lvlJc w:val="left"/>
      <w:pPr>
        <w:tabs>
          <w:tab w:val="num" w:pos="5040"/>
        </w:tabs>
        <w:ind w:left="5040" w:hanging="360"/>
      </w:pPr>
    </w:lvl>
    <w:lvl w:ilvl="7" w:tplc="1350462E" w:tentative="1">
      <w:start w:val="1"/>
      <w:numFmt w:val="decimal"/>
      <w:lvlText w:val="%8."/>
      <w:lvlJc w:val="left"/>
      <w:pPr>
        <w:tabs>
          <w:tab w:val="num" w:pos="5760"/>
        </w:tabs>
        <w:ind w:left="5760" w:hanging="360"/>
      </w:pPr>
    </w:lvl>
    <w:lvl w:ilvl="8" w:tplc="D3FE6D06" w:tentative="1">
      <w:start w:val="1"/>
      <w:numFmt w:val="decimal"/>
      <w:lvlText w:val="%9."/>
      <w:lvlJc w:val="left"/>
      <w:pPr>
        <w:tabs>
          <w:tab w:val="num" w:pos="6480"/>
        </w:tabs>
        <w:ind w:left="6480" w:hanging="360"/>
      </w:pPr>
    </w:lvl>
  </w:abstractNum>
  <w:abstractNum w:abstractNumId="15">
    <w:nsid w:val="4F21789E"/>
    <w:multiLevelType w:val="hybridMultilevel"/>
    <w:tmpl w:val="440CE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A43AB"/>
    <w:multiLevelType w:val="hybridMultilevel"/>
    <w:tmpl w:val="74EC1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F713D"/>
    <w:multiLevelType w:val="hybridMultilevel"/>
    <w:tmpl w:val="251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082689"/>
    <w:multiLevelType w:val="hybridMultilevel"/>
    <w:tmpl w:val="2F5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616F2"/>
    <w:multiLevelType w:val="hybridMultilevel"/>
    <w:tmpl w:val="04DCD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73A6E7B"/>
    <w:multiLevelType w:val="hybridMultilevel"/>
    <w:tmpl w:val="6746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F30314"/>
    <w:multiLevelType w:val="hybridMultilevel"/>
    <w:tmpl w:val="819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10E02"/>
    <w:multiLevelType w:val="hybridMultilevel"/>
    <w:tmpl w:val="3714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879E2"/>
    <w:multiLevelType w:val="hybridMultilevel"/>
    <w:tmpl w:val="718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F4E0C"/>
    <w:multiLevelType w:val="hybridMultilevel"/>
    <w:tmpl w:val="AE08E8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FCD38C1"/>
    <w:multiLevelType w:val="hybridMultilevel"/>
    <w:tmpl w:val="F9EA1DB2"/>
    <w:lvl w:ilvl="0" w:tplc="735E6C1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BF8041E8" w:tentative="1">
      <w:start w:val="1"/>
      <w:numFmt w:val="bullet"/>
      <w:lvlText w:val=""/>
      <w:lvlJc w:val="left"/>
      <w:pPr>
        <w:tabs>
          <w:tab w:val="num" w:pos="2160"/>
        </w:tabs>
        <w:ind w:left="2160" w:hanging="360"/>
      </w:pPr>
      <w:rPr>
        <w:rFonts w:ascii="Wingdings" w:hAnsi="Wingdings" w:hint="default"/>
      </w:rPr>
    </w:lvl>
    <w:lvl w:ilvl="3" w:tplc="F232F3AA">
      <w:start w:val="1904"/>
      <w:numFmt w:val="bullet"/>
      <w:lvlText w:val="o"/>
      <w:lvlJc w:val="left"/>
      <w:pPr>
        <w:tabs>
          <w:tab w:val="num" w:pos="2880"/>
        </w:tabs>
        <w:ind w:left="2880" w:hanging="360"/>
      </w:pPr>
      <w:rPr>
        <w:rFonts w:ascii="Courier New" w:hAnsi="Courier New" w:hint="default"/>
      </w:rPr>
    </w:lvl>
    <w:lvl w:ilvl="4" w:tplc="5E3481C8">
      <w:start w:val="1"/>
      <w:numFmt w:val="bullet"/>
      <w:lvlText w:val=""/>
      <w:lvlJc w:val="left"/>
      <w:pPr>
        <w:tabs>
          <w:tab w:val="num" w:pos="3600"/>
        </w:tabs>
        <w:ind w:left="3600" w:hanging="360"/>
      </w:pPr>
      <w:rPr>
        <w:rFonts w:ascii="Wingdings" w:hAnsi="Wingdings" w:hint="default"/>
      </w:rPr>
    </w:lvl>
    <w:lvl w:ilvl="5" w:tplc="73AE6EF0" w:tentative="1">
      <w:start w:val="1"/>
      <w:numFmt w:val="bullet"/>
      <w:lvlText w:val=""/>
      <w:lvlJc w:val="left"/>
      <w:pPr>
        <w:tabs>
          <w:tab w:val="num" w:pos="4320"/>
        </w:tabs>
        <w:ind w:left="4320" w:hanging="360"/>
      </w:pPr>
      <w:rPr>
        <w:rFonts w:ascii="Wingdings" w:hAnsi="Wingdings" w:hint="default"/>
      </w:rPr>
    </w:lvl>
    <w:lvl w:ilvl="6" w:tplc="56A68A46" w:tentative="1">
      <w:start w:val="1"/>
      <w:numFmt w:val="bullet"/>
      <w:lvlText w:val=""/>
      <w:lvlJc w:val="left"/>
      <w:pPr>
        <w:tabs>
          <w:tab w:val="num" w:pos="5040"/>
        </w:tabs>
        <w:ind w:left="5040" w:hanging="360"/>
      </w:pPr>
      <w:rPr>
        <w:rFonts w:ascii="Wingdings" w:hAnsi="Wingdings" w:hint="default"/>
      </w:rPr>
    </w:lvl>
    <w:lvl w:ilvl="7" w:tplc="156C3B1A" w:tentative="1">
      <w:start w:val="1"/>
      <w:numFmt w:val="bullet"/>
      <w:lvlText w:val=""/>
      <w:lvlJc w:val="left"/>
      <w:pPr>
        <w:tabs>
          <w:tab w:val="num" w:pos="5760"/>
        </w:tabs>
        <w:ind w:left="5760" w:hanging="360"/>
      </w:pPr>
      <w:rPr>
        <w:rFonts w:ascii="Wingdings" w:hAnsi="Wingdings" w:hint="default"/>
      </w:rPr>
    </w:lvl>
    <w:lvl w:ilvl="8" w:tplc="DFC8974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6"/>
  </w:num>
  <w:num w:numId="4">
    <w:abstractNumId w:val="20"/>
  </w:num>
  <w:num w:numId="5">
    <w:abstractNumId w:val="15"/>
  </w:num>
  <w:num w:numId="6">
    <w:abstractNumId w:val="17"/>
  </w:num>
  <w:num w:numId="7">
    <w:abstractNumId w:val="11"/>
  </w:num>
  <w:num w:numId="8">
    <w:abstractNumId w:val="3"/>
  </w:num>
  <w:num w:numId="9">
    <w:abstractNumId w:val="1"/>
  </w:num>
  <w:num w:numId="10">
    <w:abstractNumId w:val="12"/>
  </w:num>
  <w:num w:numId="11">
    <w:abstractNumId w:val="2"/>
  </w:num>
  <w:num w:numId="12">
    <w:abstractNumId w:val="19"/>
  </w:num>
  <w:num w:numId="13">
    <w:abstractNumId w:val="7"/>
  </w:num>
  <w:num w:numId="14">
    <w:abstractNumId w:val="5"/>
  </w:num>
  <w:num w:numId="15">
    <w:abstractNumId w:val="22"/>
  </w:num>
  <w:num w:numId="16">
    <w:abstractNumId w:val="0"/>
  </w:num>
  <w:num w:numId="17">
    <w:abstractNumId w:val="4"/>
  </w:num>
  <w:num w:numId="18">
    <w:abstractNumId w:val="23"/>
  </w:num>
  <w:num w:numId="19">
    <w:abstractNumId w:val="18"/>
  </w:num>
  <w:num w:numId="20">
    <w:abstractNumId w:val="21"/>
  </w:num>
  <w:num w:numId="21">
    <w:abstractNumId w:val="10"/>
  </w:num>
  <w:num w:numId="22">
    <w:abstractNumId w:val="16"/>
  </w:num>
  <w:num w:numId="23">
    <w:abstractNumId w:val="9"/>
  </w:num>
  <w:num w:numId="24">
    <w:abstractNumId w:val="13"/>
  </w:num>
  <w:num w:numId="25">
    <w:abstractNumId w:val="24"/>
  </w:num>
  <w:num w:numId="2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226F9A"/>
    <w:rsid w:val="002B0561"/>
    <w:rsid w:val="002C4C53"/>
    <w:rsid w:val="00314779"/>
    <w:rsid w:val="0032400B"/>
    <w:rsid w:val="003979A2"/>
    <w:rsid w:val="003A0CD5"/>
    <w:rsid w:val="003D196E"/>
    <w:rsid w:val="0044437A"/>
    <w:rsid w:val="00490234"/>
    <w:rsid w:val="004A1A5A"/>
    <w:rsid w:val="005110E0"/>
    <w:rsid w:val="006B6085"/>
    <w:rsid w:val="0078642D"/>
    <w:rsid w:val="008302CA"/>
    <w:rsid w:val="0085416A"/>
    <w:rsid w:val="008665E9"/>
    <w:rsid w:val="00925B1F"/>
    <w:rsid w:val="0094543F"/>
    <w:rsid w:val="00966036"/>
    <w:rsid w:val="009A73EC"/>
    <w:rsid w:val="009B7A17"/>
    <w:rsid w:val="00A511AE"/>
    <w:rsid w:val="00A95AEA"/>
    <w:rsid w:val="00AC1D38"/>
    <w:rsid w:val="00BC78F4"/>
    <w:rsid w:val="00BE2C73"/>
    <w:rsid w:val="00C31248"/>
    <w:rsid w:val="00C64E97"/>
    <w:rsid w:val="00D14ACE"/>
    <w:rsid w:val="00D469DE"/>
    <w:rsid w:val="00D851E7"/>
    <w:rsid w:val="00E3281D"/>
    <w:rsid w:val="00FA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hyperlink" Target="http://www.mass.gov/masshealth/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docs/masshealth/onecare/eip-survey-2-repor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2017-10-02T15:50:00Z</dcterms:created>
  <dcterms:modified xsi:type="dcterms:W3CDTF">2017-10-02T15:50:00Z</dcterms:modified>
</cp:coreProperties>
</file>