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5E" w:rsidRPr="00DD1B92" w:rsidRDefault="0017155E">
      <w:pPr>
        <w:pStyle w:val="Heading1"/>
        <w:ind w:left="0" w:firstLine="0"/>
        <w:rPr>
          <w:rFonts w:ascii="Calibri" w:hAnsi="Calibri" w:cs="Arial"/>
          <w:bCs w:val="0"/>
          <w:color w:val="auto"/>
          <w:sz w:val="24"/>
          <w:szCs w:val="24"/>
        </w:rPr>
      </w:pPr>
      <w:bookmarkStart w:id="0" w:name="_GoBack"/>
      <w:bookmarkEnd w:id="0"/>
      <w:r w:rsidRPr="00DD1B92">
        <w:rPr>
          <w:rFonts w:ascii="Calibri" w:hAnsi="Calibri" w:cs="Arial"/>
          <w:bCs w:val="0"/>
          <w:color w:val="auto"/>
          <w:sz w:val="24"/>
          <w:szCs w:val="24"/>
        </w:rPr>
        <w:t>Slide 1:</w:t>
      </w:r>
    </w:p>
    <w:p w:rsidR="0046271D" w:rsidRPr="00DD1B92" w:rsidRDefault="0046271D">
      <w:pPr>
        <w:pStyle w:val="Heading1"/>
        <w:ind w:left="0" w:firstLine="0"/>
        <w:rPr>
          <w:rFonts w:ascii="Calibri" w:hAnsi="Calibri" w:cs="Arial"/>
          <w:bCs w:val="0"/>
          <w:color w:val="auto"/>
          <w:sz w:val="24"/>
          <w:szCs w:val="24"/>
        </w:rPr>
      </w:pPr>
    </w:p>
    <w:p w:rsidR="0017155E" w:rsidRPr="00DD1B92" w:rsidRDefault="0017155E">
      <w:pPr>
        <w:pStyle w:val="Heading1"/>
        <w:ind w:left="0" w:firstLine="0"/>
        <w:rPr>
          <w:rFonts w:ascii="Calibri" w:hAnsi="Calibri" w:cs="Arial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Cs w:val="0"/>
          <w:color w:val="auto"/>
          <w:sz w:val="24"/>
          <w:szCs w:val="24"/>
        </w:rPr>
        <w:t>One Care: MassHealth plus Medicare</w:t>
      </w:r>
    </w:p>
    <w:p w:rsidR="0046271D" w:rsidRPr="00DD1B92" w:rsidRDefault="0046271D">
      <w:pPr>
        <w:pStyle w:val="Heading1"/>
        <w:ind w:left="0" w:firstLine="0"/>
        <w:rPr>
          <w:rFonts w:ascii="Calibri" w:hAnsi="Calibri" w:cs="Arial"/>
          <w:b w:val="0"/>
          <w:bCs w:val="0"/>
          <w:color w:val="auto"/>
          <w:sz w:val="24"/>
          <w:szCs w:val="24"/>
        </w:rPr>
      </w:pPr>
    </w:p>
    <w:p w:rsidR="0046271D" w:rsidRPr="00DD1B92" w:rsidRDefault="0017155E" w:rsidP="0017155E">
      <w:pPr>
        <w:pStyle w:val="Heading1"/>
        <w:ind w:left="0" w:firstLine="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MassHealth Demonstration </w:t>
      </w:r>
      <w:r w:rsidR="002E7953"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>to In</w:t>
      </w:r>
      <w:r w:rsidR="0063102E">
        <w:rPr>
          <w:rFonts w:ascii="Calibri" w:hAnsi="Calibri" w:cs="Arial"/>
          <w:b w:val="0"/>
          <w:bCs w:val="0"/>
          <w:color w:val="auto"/>
          <w:sz w:val="24"/>
          <w:szCs w:val="24"/>
        </w:rPr>
        <w:t>tegrate Care for Dual Eligibles</w:t>
      </w:r>
    </w:p>
    <w:p w:rsidR="0017155E" w:rsidRPr="00DD1B92" w:rsidRDefault="0017155E" w:rsidP="0017155E">
      <w:pPr>
        <w:pStyle w:val="Heading1"/>
        <w:ind w:left="0" w:firstLine="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>Implementation Council Meeting</w:t>
      </w:r>
    </w:p>
    <w:p w:rsidR="0017155E" w:rsidRPr="00DD1B92" w:rsidRDefault="0017155E" w:rsidP="0017155E">
      <w:pPr>
        <w:pStyle w:val="Heading1"/>
        <w:ind w:left="0" w:firstLine="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>January 9, 2015 1:00 PM – 3:00 PM</w:t>
      </w:r>
    </w:p>
    <w:p w:rsidR="0017155E" w:rsidRPr="00DD1B92" w:rsidRDefault="0017155E" w:rsidP="0017155E">
      <w:pPr>
        <w:pStyle w:val="Heading1"/>
        <w:ind w:left="0" w:firstLine="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>State Transportation Building</w:t>
      </w:r>
    </w:p>
    <w:p w:rsidR="0017155E" w:rsidRPr="00DD1B92" w:rsidRDefault="0017155E" w:rsidP="0017155E">
      <w:pPr>
        <w:pStyle w:val="Heading1"/>
        <w:ind w:left="0" w:firstLine="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>Boston, MA</w:t>
      </w:r>
    </w:p>
    <w:p w:rsidR="0017155E" w:rsidRPr="00DD1B92" w:rsidRDefault="0017155E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</w:p>
    <w:p w:rsidR="0017155E" w:rsidRPr="00DD1B92" w:rsidRDefault="0017155E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  <w:r w:rsidRPr="00DD1B92">
        <w:rPr>
          <w:rFonts w:ascii="Calibri" w:hAnsi="Calibri" w:cs="Arial"/>
          <w:color w:val="auto"/>
          <w:sz w:val="24"/>
          <w:szCs w:val="24"/>
        </w:rPr>
        <w:t xml:space="preserve">Slide 2: </w:t>
      </w:r>
    </w:p>
    <w:p w:rsidR="002E7953" w:rsidRPr="00DD1B92" w:rsidRDefault="002E7953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  <w:r w:rsidRPr="00DD1B92">
        <w:rPr>
          <w:rFonts w:ascii="Calibri" w:hAnsi="Calibri" w:cs="Arial"/>
          <w:color w:val="auto"/>
          <w:sz w:val="24"/>
          <w:szCs w:val="24"/>
        </w:rPr>
        <w:t>Agenda for Today</w:t>
      </w:r>
    </w:p>
    <w:p w:rsidR="0017155E" w:rsidRPr="00DD1B92" w:rsidRDefault="002E7953" w:rsidP="0046271D">
      <w:pPr>
        <w:pStyle w:val="Heading2"/>
        <w:numPr>
          <w:ilvl w:val="0"/>
          <w:numId w:val="1"/>
        </w:numPr>
        <w:ind w:left="720" w:hanging="3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>One Care Reporting</w:t>
      </w:r>
    </w:p>
    <w:p w:rsidR="0017155E" w:rsidRPr="00DD1B92" w:rsidRDefault="002E7953" w:rsidP="0046271D">
      <w:pPr>
        <w:pStyle w:val="Heading2"/>
        <w:numPr>
          <w:ilvl w:val="0"/>
          <w:numId w:val="14"/>
        </w:numPr>
        <w:ind w:left="108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>Total Enrollment by Rating Category</w:t>
      </w:r>
    </w:p>
    <w:p w:rsidR="002E7953" w:rsidRPr="00DD1B92" w:rsidRDefault="002E7953" w:rsidP="0046271D">
      <w:pPr>
        <w:pStyle w:val="Heading2"/>
        <w:numPr>
          <w:ilvl w:val="0"/>
          <w:numId w:val="14"/>
        </w:numPr>
        <w:ind w:left="108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>One Care Spending</w:t>
      </w:r>
    </w:p>
    <w:p w:rsidR="002E7953" w:rsidRPr="00DD1B92" w:rsidRDefault="002E7953" w:rsidP="0046271D">
      <w:pPr>
        <w:pStyle w:val="Heading2"/>
        <w:numPr>
          <w:ilvl w:val="0"/>
          <w:numId w:val="1"/>
        </w:numPr>
        <w:ind w:left="720" w:hanging="3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>Encounter Data</w:t>
      </w:r>
    </w:p>
    <w:p w:rsidR="002E7953" w:rsidRPr="00DD1B92" w:rsidRDefault="002E7953" w:rsidP="0046271D">
      <w:pPr>
        <w:pStyle w:val="Heading2"/>
        <w:numPr>
          <w:ilvl w:val="0"/>
          <w:numId w:val="1"/>
        </w:numPr>
        <w:ind w:left="720" w:hanging="3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>Updates to Financial Methodology</w:t>
      </w:r>
    </w:p>
    <w:p w:rsidR="002E7953" w:rsidRPr="00DD1B92" w:rsidRDefault="002E7953" w:rsidP="0046271D">
      <w:pPr>
        <w:pStyle w:val="Heading2"/>
        <w:numPr>
          <w:ilvl w:val="0"/>
          <w:numId w:val="1"/>
        </w:numPr>
        <w:ind w:left="720" w:hanging="3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>Implementation Council Vacancies</w:t>
      </w:r>
    </w:p>
    <w:p w:rsidR="002E7953" w:rsidRPr="00DD1B92" w:rsidRDefault="002E7953">
      <w:pPr>
        <w:pStyle w:val="Heading2"/>
        <w:ind w:left="54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</w:p>
    <w:p w:rsidR="002E7953" w:rsidRPr="00DD1B92" w:rsidRDefault="0017155E" w:rsidP="0017155E">
      <w:pPr>
        <w:pStyle w:val="Heading2"/>
        <w:ind w:left="0" w:firstLine="0"/>
        <w:rPr>
          <w:rFonts w:ascii="Calibri" w:hAnsi="Calibri" w:cs="Arial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Cs w:val="0"/>
          <w:color w:val="auto"/>
          <w:sz w:val="24"/>
          <w:szCs w:val="24"/>
        </w:rPr>
        <w:t xml:space="preserve">Slide 3: </w:t>
      </w:r>
    </w:p>
    <w:p w:rsidR="00DD1B92" w:rsidRDefault="002E7953" w:rsidP="00721FF1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  <w:r w:rsidRPr="00DD1B92">
        <w:rPr>
          <w:rFonts w:ascii="Calibri" w:hAnsi="Calibri" w:cs="Arial"/>
          <w:color w:val="auto"/>
          <w:sz w:val="24"/>
          <w:szCs w:val="24"/>
        </w:rPr>
        <w:t>Tota</w:t>
      </w:r>
      <w:r w:rsidR="00721FF1">
        <w:rPr>
          <w:rFonts w:ascii="Calibri" w:hAnsi="Calibri" w:cs="Arial"/>
          <w:color w:val="auto"/>
          <w:sz w:val="24"/>
          <w:szCs w:val="24"/>
        </w:rPr>
        <w:t>l Enrollment by Rating Category</w:t>
      </w:r>
    </w:p>
    <w:tbl>
      <w:tblPr>
        <w:tblStyle w:val="TableGrid"/>
        <w:tblpPr w:leftFromText="180" w:rightFromText="180" w:vertAnchor="text" w:horzAnchor="margin" w:tblpY="206"/>
        <w:tblW w:w="10476" w:type="dxa"/>
        <w:tblLook w:val="04A0" w:firstRow="1" w:lastRow="0" w:firstColumn="1" w:lastColumn="0" w:noHBand="0" w:noVBand="1"/>
      </w:tblPr>
      <w:tblGrid>
        <w:gridCol w:w="1818"/>
        <w:gridCol w:w="1280"/>
        <w:gridCol w:w="1280"/>
        <w:gridCol w:w="1280"/>
        <w:gridCol w:w="1280"/>
        <w:gridCol w:w="1280"/>
        <w:gridCol w:w="1268"/>
        <w:gridCol w:w="990"/>
      </w:tblGrid>
      <w:tr w:rsidR="00721FF1" w:rsidRPr="0063102E" w:rsidTr="004D269C">
        <w:trPr>
          <w:trHeight w:hRule="exact" w:val="302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Total Enrolled</w:t>
            </w:r>
          </w:p>
        </w:tc>
        <w:tc>
          <w:tcPr>
            <w:tcW w:w="8658" w:type="dxa"/>
            <w:gridSpan w:val="7"/>
            <w:hideMark/>
          </w:tcPr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Rating Category</w:t>
            </w:r>
          </w:p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 </w:t>
            </w:r>
          </w:p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 </w:t>
            </w:r>
          </w:p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 </w:t>
            </w:r>
          </w:p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 </w:t>
            </w:r>
          </w:p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 </w:t>
            </w:r>
          </w:p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 </w:t>
            </w:r>
          </w:p>
        </w:tc>
      </w:tr>
      <w:tr w:rsidR="00721FF1" w:rsidRPr="0063102E" w:rsidTr="00721FF1">
        <w:trPr>
          <w:trHeight w:hRule="exact" w:val="1166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Month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C1 - Community Other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C2A - Community High BH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C2B - Community Very High BH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C3A - High Community Need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C3B - Very High Community Need</w:t>
            </w:r>
          </w:p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F1 - Facility-based Care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pPr>
              <w:rPr>
                <w:b/>
              </w:rPr>
            </w:pPr>
            <w:r w:rsidRPr="0063102E">
              <w:rPr>
                <w:b/>
              </w:rPr>
              <w:t>Grand Total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October-2013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1,012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382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 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381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 </w:t>
            </w:r>
          </w:p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2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1,777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November-2013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2,166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873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/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742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/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6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3,787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December-2013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2,635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1,142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/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929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/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8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4,714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January-2014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6,556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1,394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245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1,162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111</w:t>
            </w:r>
          </w:p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14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9,482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February-2014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6,126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1,638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267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1,361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112</w:t>
            </w:r>
          </w:p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16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9,520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March-2014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5,794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1,848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295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1,636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113</w:t>
            </w:r>
          </w:p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15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9,701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April-2014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6,805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3,172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640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2,384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143</w:t>
            </w:r>
          </w:p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22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13,166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May-2014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6,806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3,161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635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2,493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133</w:t>
            </w:r>
          </w:p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25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13,253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June-2014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6,820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3,198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643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2,584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135</w:t>
            </w:r>
          </w:p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20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13,400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July-2014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10,982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3,875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767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3,031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140</w:t>
            </w:r>
          </w:p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22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18,817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August-2014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10,315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3,825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761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2,996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141</w:t>
            </w:r>
          </w:p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22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18,060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September-2014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10,039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3,776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776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2,969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143</w:t>
            </w:r>
          </w:p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27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17,730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October-2014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9,619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3,830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781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3,064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148</w:t>
            </w:r>
          </w:p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24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17,466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November-2014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9,475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4,131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940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3,374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151</w:t>
            </w:r>
          </w:p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28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18,099</w:t>
            </w:r>
          </w:p>
        </w:tc>
      </w:tr>
      <w:tr w:rsidR="00721FF1" w:rsidRPr="0063102E" w:rsidTr="00721FF1">
        <w:trPr>
          <w:trHeight w:hRule="exact" w:val="360"/>
        </w:trPr>
        <w:tc>
          <w:tcPr>
            <w:tcW w:w="1818" w:type="dxa"/>
            <w:noWrap/>
            <w:hideMark/>
          </w:tcPr>
          <w:p w:rsidR="00721FF1" w:rsidRPr="0063102E" w:rsidRDefault="00721FF1" w:rsidP="004D269C">
            <w:r w:rsidRPr="0063102E">
              <w:t>Grand Total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95,150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36,245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6,750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29,106</w:t>
            </w:r>
          </w:p>
        </w:tc>
        <w:tc>
          <w:tcPr>
            <w:tcW w:w="1280" w:type="dxa"/>
            <w:noWrap/>
            <w:hideMark/>
          </w:tcPr>
          <w:p w:rsidR="00721FF1" w:rsidRPr="0063102E" w:rsidRDefault="00721FF1" w:rsidP="004D269C">
            <w:r w:rsidRPr="0063102E">
              <w:t>1,470</w:t>
            </w:r>
          </w:p>
        </w:tc>
        <w:tc>
          <w:tcPr>
            <w:tcW w:w="1268" w:type="dxa"/>
            <w:noWrap/>
            <w:hideMark/>
          </w:tcPr>
          <w:p w:rsidR="00721FF1" w:rsidRPr="0063102E" w:rsidRDefault="00721FF1" w:rsidP="004D269C">
            <w:r w:rsidRPr="0063102E">
              <w:t>251</w:t>
            </w:r>
          </w:p>
        </w:tc>
        <w:tc>
          <w:tcPr>
            <w:tcW w:w="990" w:type="dxa"/>
            <w:noWrap/>
            <w:hideMark/>
          </w:tcPr>
          <w:p w:rsidR="00721FF1" w:rsidRPr="0063102E" w:rsidRDefault="00721FF1" w:rsidP="004D269C">
            <w:r w:rsidRPr="0063102E">
              <w:t>168,972</w:t>
            </w:r>
          </w:p>
        </w:tc>
      </w:tr>
    </w:tbl>
    <w:p w:rsidR="00721FF1" w:rsidRDefault="00721FF1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</w:p>
    <w:p w:rsidR="0046271D" w:rsidRPr="00DD1B92" w:rsidRDefault="0046271D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  <w:r w:rsidRPr="00DD1B92">
        <w:rPr>
          <w:rFonts w:ascii="Calibri" w:hAnsi="Calibri" w:cs="Arial"/>
          <w:color w:val="auto"/>
          <w:sz w:val="24"/>
          <w:szCs w:val="24"/>
        </w:rPr>
        <w:t>Slide 4:</w:t>
      </w:r>
    </w:p>
    <w:p w:rsidR="002E7953" w:rsidRPr="00DD1B92" w:rsidRDefault="002E7953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  <w:r w:rsidRPr="00DD1B92">
        <w:rPr>
          <w:rFonts w:ascii="Calibri" w:hAnsi="Calibri" w:cs="Arial"/>
          <w:color w:val="auto"/>
          <w:sz w:val="24"/>
          <w:szCs w:val="24"/>
        </w:rPr>
        <w:t>Enrollment by Rating Category</w:t>
      </w:r>
      <w:r w:rsidR="0046271D" w:rsidRPr="00DD1B92">
        <w:rPr>
          <w:rFonts w:ascii="Calibri" w:hAnsi="Calibri" w:cs="Arial"/>
          <w:color w:val="auto"/>
          <w:sz w:val="24"/>
          <w:szCs w:val="24"/>
        </w:rPr>
        <w:t xml:space="preserve"> -</w:t>
      </w:r>
      <w:r w:rsidRPr="00DD1B92">
        <w:rPr>
          <w:rFonts w:ascii="Calibri" w:hAnsi="Calibri" w:cs="Arial"/>
          <w:color w:val="auto"/>
          <w:sz w:val="24"/>
          <w:szCs w:val="24"/>
        </w:rPr>
        <w:t xml:space="preserve"> Impact on Spending</w:t>
      </w:r>
    </w:p>
    <w:p w:rsidR="0046271D" w:rsidRPr="00DD1B92" w:rsidRDefault="002E7953" w:rsidP="007262EB">
      <w:pPr>
        <w:pStyle w:val="Heading2"/>
        <w:numPr>
          <w:ilvl w:val="0"/>
          <w:numId w:val="3"/>
        </w:numPr>
        <w:ind w:left="108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The distribution of members across the rating categories has been uneven from month to month.  </w:t>
      </w:r>
    </w:p>
    <w:p w:rsidR="002E7953" w:rsidRPr="00DD1B92" w:rsidRDefault="002E7953" w:rsidP="007262EB">
      <w:pPr>
        <w:pStyle w:val="Heading2"/>
        <w:numPr>
          <w:ilvl w:val="0"/>
          <w:numId w:val="15"/>
        </w:numPr>
        <w:ind w:left="14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>Impacts the aggregate spending category distribution, especially for HCBS/Home Health service spending.</w:t>
      </w:r>
    </w:p>
    <w:p w:rsidR="0046271D" w:rsidRPr="00DD1B92" w:rsidRDefault="002E7953" w:rsidP="007262EB">
      <w:pPr>
        <w:pStyle w:val="Heading2"/>
        <w:numPr>
          <w:ilvl w:val="0"/>
          <w:numId w:val="3"/>
        </w:numPr>
        <w:ind w:left="108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>We expect to see the majority of HCBS/Home Health spending for One Care enrollees in C3A and C3B.</w:t>
      </w:r>
    </w:p>
    <w:p w:rsidR="0046271D" w:rsidRPr="00DD1B92" w:rsidRDefault="002E7953" w:rsidP="007262EB">
      <w:pPr>
        <w:pStyle w:val="Heading2"/>
        <w:numPr>
          <w:ilvl w:val="0"/>
          <w:numId w:val="16"/>
        </w:numPr>
        <w:ind w:left="12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October 2013: </w:t>
      </w:r>
      <w:r w:rsidRPr="00DD1B92">
        <w:rPr>
          <w:rFonts w:ascii="Calibri" w:hAnsi="Calibri" w:cs="Arial"/>
          <w:color w:val="auto"/>
          <w:sz w:val="24"/>
          <w:szCs w:val="24"/>
        </w:rPr>
        <w:t>69%</w:t>
      </w: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 of One Care enrollees were in C1; </w:t>
      </w:r>
      <w:r w:rsidRPr="00DD1B92">
        <w:rPr>
          <w:rFonts w:ascii="Calibri" w:hAnsi="Calibri" w:cs="Arial"/>
          <w:color w:val="auto"/>
          <w:sz w:val="24"/>
          <w:szCs w:val="24"/>
        </w:rPr>
        <w:t>16%</w:t>
      </w: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 were in C3A.</w:t>
      </w:r>
    </w:p>
    <w:p w:rsidR="0046271D" w:rsidRPr="00DD1B92" w:rsidRDefault="002E7953" w:rsidP="007262EB">
      <w:pPr>
        <w:pStyle w:val="Heading2"/>
        <w:numPr>
          <w:ilvl w:val="0"/>
          <w:numId w:val="16"/>
        </w:numPr>
        <w:ind w:left="12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January 2014: </w:t>
      </w:r>
      <w:r w:rsidRPr="00DD1B92">
        <w:rPr>
          <w:rFonts w:ascii="Calibri" w:hAnsi="Calibri" w:cs="Arial"/>
          <w:color w:val="auto"/>
          <w:sz w:val="24"/>
          <w:szCs w:val="24"/>
        </w:rPr>
        <w:t>79%</w:t>
      </w: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 of One Care enrollees were in C1; </w:t>
      </w:r>
      <w:r w:rsidRPr="00DD1B92">
        <w:rPr>
          <w:rFonts w:ascii="Calibri" w:hAnsi="Calibri" w:cs="Arial"/>
          <w:color w:val="auto"/>
          <w:sz w:val="24"/>
          <w:szCs w:val="24"/>
        </w:rPr>
        <w:t>8%</w:t>
      </w: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 were in C3A or C3B.</w:t>
      </w:r>
    </w:p>
    <w:p w:rsidR="002E7953" w:rsidRPr="00DD1B92" w:rsidRDefault="002E7953" w:rsidP="007262EB">
      <w:pPr>
        <w:pStyle w:val="Heading2"/>
        <w:numPr>
          <w:ilvl w:val="0"/>
          <w:numId w:val="16"/>
        </w:numPr>
        <w:ind w:left="12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June 2014: </w:t>
      </w:r>
      <w:r w:rsidRPr="00DD1B92">
        <w:rPr>
          <w:rFonts w:ascii="Calibri" w:hAnsi="Calibri" w:cs="Arial"/>
          <w:color w:val="auto"/>
          <w:sz w:val="24"/>
          <w:szCs w:val="24"/>
        </w:rPr>
        <w:t>56%</w:t>
      </w: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 of One Care enrollees were in C1; </w:t>
      </w:r>
      <w:r w:rsidRPr="00DD1B92">
        <w:rPr>
          <w:rFonts w:ascii="Calibri" w:hAnsi="Calibri" w:cs="Arial"/>
          <w:color w:val="auto"/>
          <w:sz w:val="24"/>
          <w:szCs w:val="24"/>
        </w:rPr>
        <w:t>17%</w:t>
      </w: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 were in C3A or C3B.</w:t>
      </w:r>
    </w:p>
    <w:p w:rsidR="002E7953" w:rsidRPr="00DD1B92" w:rsidRDefault="002E7953" w:rsidP="007262EB">
      <w:pPr>
        <w:pStyle w:val="Heading2"/>
        <w:numPr>
          <w:ilvl w:val="0"/>
          <w:numId w:val="3"/>
        </w:numPr>
        <w:ind w:left="108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DD1B92">
        <w:rPr>
          <w:rFonts w:ascii="Calibri" w:hAnsi="Calibri" w:cs="Arial"/>
          <w:b w:val="0"/>
          <w:bCs w:val="0"/>
          <w:color w:val="auto"/>
          <w:sz w:val="24"/>
          <w:szCs w:val="24"/>
        </w:rPr>
        <w:t>Enrollment by rating category and plan in June 2014:</w:t>
      </w:r>
    </w:p>
    <w:p w:rsidR="00DD1B92" w:rsidRDefault="00DD1B92" w:rsidP="00DD1B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031"/>
        <w:gridCol w:w="1031"/>
        <w:gridCol w:w="1031"/>
        <w:gridCol w:w="1031"/>
        <w:gridCol w:w="1031"/>
        <w:gridCol w:w="1031"/>
        <w:gridCol w:w="1032"/>
      </w:tblGrid>
      <w:tr w:rsidR="008075AA" w:rsidTr="007262EB">
        <w:tc>
          <w:tcPr>
            <w:tcW w:w="2358" w:type="dxa"/>
          </w:tcPr>
          <w:p w:rsidR="00DD1B92" w:rsidRPr="007262EB" w:rsidRDefault="00DD1B92" w:rsidP="00DD1B92">
            <w:pPr>
              <w:rPr>
                <w:b/>
              </w:rPr>
            </w:pPr>
            <w:r w:rsidRPr="007262EB">
              <w:rPr>
                <w:b/>
              </w:rPr>
              <w:t>One Care Plan Enrollment (Enrollees)</w:t>
            </w:r>
          </w:p>
        </w:tc>
        <w:tc>
          <w:tcPr>
            <w:tcW w:w="1031" w:type="dxa"/>
          </w:tcPr>
          <w:p w:rsidR="00DD1B92" w:rsidRPr="007262EB" w:rsidRDefault="00DD1B92" w:rsidP="00DD1B92">
            <w:pPr>
              <w:rPr>
                <w:b/>
              </w:rPr>
            </w:pPr>
            <w:r w:rsidRPr="007262EB">
              <w:rPr>
                <w:b/>
              </w:rPr>
              <w:t>C1</w:t>
            </w:r>
          </w:p>
        </w:tc>
        <w:tc>
          <w:tcPr>
            <w:tcW w:w="1031" w:type="dxa"/>
          </w:tcPr>
          <w:p w:rsidR="00DD1B92" w:rsidRPr="007262EB" w:rsidRDefault="00DD1B92" w:rsidP="00DD1B92">
            <w:pPr>
              <w:rPr>
                <w:b/>
              </w:rPr>
            </w:pPr>
            <w:r w:rsidRPr="007262EB">
              <w:rPr>
                <w:b/>
              </w:rPr>
              <w:t>C2A</w:t>
            </w:r>
          </w:p>
        </w:tc>
        <w:tc>
          <w:tcPr>
            <w:tcW w:w="1031" w:type="dxa"/>
          </w:tcPr>
          <w:p w:rsidR="00DD1B92" w:rsidRPr="007262EB" w:rsidRDefault="00DD1B92" w:rsidP="00DD1B92">
            <w:pPr>
              <w:rPr>
                <w:b/>
              </w:rPr>
            </w:pPr>
            <w:r w:rsidRPr="007262EB">
              <w:rPr>
                <w:b/>
              </w:rPr>
              <w:t>C2B</w:t>
            </w:r>
          </w:p>
        </w:tc>
        <w:tc>
          <w:tcPr>
            <w:tcW w:w="1031" w:type="dxa"/>
          </w:tcPr>
          <w:p w:rsidR="00DD1B92" w:rsidRPr="007262EB" w:rsidRDefault="00DD1B92" w:rsidP="00DD1B92">
            <w:pPr>
              <w:rPr>
                <w:b/>
              </w:rPr>
            </w:pPr>
            <w:r w:rsidRPr="007262EB">
              <w:rPr>
                <w:b/>
              </w:rPr>
              <w:t>C3A</w:t>
            </w:r>
          </w:p>
        </w:tc>
        <w:tc>
          <w:tcPr>
            <w:tcW w:w="1031" w:type="dxa"/>
          </w:tcPr>
          <w:p w:rsidR="00DD1B92" w:rsidRPr="007262EB" w:rsidRDefault="00DD1B92" w:rsidP="00DD1B92">
            <w:pPr>
              <w:rPr>
                <w:b/>
              </w:rPr>
            </w:pPr>
            <w:r w:rsidRPr="007262EB">
              <w:rPr>
                <w:b/>
              </w:rPr>
              <w:t>C3B</w:t>
            </w:r>
          </w:p>
        </w:tc>
        <w:tc>
          <w:tcPr>
            <w:tcW w:w="1031" w:type="dxa"/>
          </w:tcPr>
          <w:p w:rsidR="00DD1B92" w:rsidRPr="007262EB" w:rsidRDefault="00DD1B92" w:rsidP="00DD1B92">
            <w:pPr>
              <w:rPr>
                <w:b/>
              </w:rPr>
            </w:pPr>
            <w:r w:rsidRPr="007262EB">
              <w:rPr>
                <w:b/>
              </w:rPr>
              <w:t>F1</w:t>
            </w:r>
          </w:p>
        </w:tc>
        <w:tc>
          <w:tcPr>
            <w:tcW w:w="1032" w:type="dxa"/>
          </w:tcPr>
          <w:p w:rsidR="00DD1B92" w:rsidRPr="007262EB" w:rsidRDefault="00DD1B92" w:rsidP="00DD1B92">
            <w:pPr>
              <w:rPr>
                <w:b/>
              </w:rPr>
            </w:pPr>
            <w:r w:rsidRPr="007262EB">
              <w:rPr>
                <w:b/>
              </w:rPr>
              <w:t>Total by Plan</w:t>
            </w:r>
          </w:p>
        </w:tc>
      </w:tr>
      <w:tr w:rsidR="008075AA" w:rsidTr="007262EB">
        <w:tc>
          <w:tcPr>
            <w:tcW w:w="2358" w:type="dxa"/>
          </w:tcPr>
          <w:p w:rsidR="00DD1B92" w:rsidRDefault="00DD1B92" w:rsidP="00DD1B92">
            <w:r>
              <w:t>Commonwealth Care Alliance</w:t>
            </w:r>
          </w:p>
        </w:tc>
        <w:tc>
          <w:tcPr>
            <w:tcW w:w="1031" w:type="dxa"/>
          </w:tcPr>
          <w:p w:rsidR="00DD1B92" w:rsidRDefault="00371277" w:rsidP="00DD1B92">
            <w:r>
              <w:t>4,580</w:t>
            </w:r>
          </w:p>
        </w:tc>
        <w:tc>
          <w:tcPr>
            <w:tcW w:w="1031" w:type="dxa"/>
          </w:tcPr>
          <w:p w:rsidR="00DD1B92" w:rsidRDefault="00371277" w:rsidP="00DD1B92">
            <w:r>
              <w:t>1,375</w:t>
            </w:r>
          </w:p>
        </w:tc>
        <w:tc>
          <w:tcPr>
            <w:tcW w:w="1031" w:type="dxa"/>
          </w:tcPr>
          <w:p w:rsidR="00DD1B92" w:rsidRDefault="00371277" w:rsidP="00DD1B92">
            <w:r>
              <w:t>266</w:t>
            </w:r>
          </w:p>
        </w:tc>
        <w:tc>
          <w:tcPr>
            <w:tcW w:w="1031" w:type="dxa"/>
          </w:tcPr>
          <w:p w:rsidR="00DD1B92" w:rsidRDefault="00371277" w:rsidP="00DD1B92">
            <w:r>
              <w:t>1,491</w:t>
            </w:r>
          </w:p>
        </w:tc>
        <w:tc>
          <w:tcPr>
            <w:tcW w:w="1031" w:type="dxa"/>
          </w:tcPr>
          <w:p w:rsidR="00DD1B92" w:rsidRDefault="00371277" w:rsidP="00DD1B92">
            <w:r>
              <w:t>118</w:t>
            </w:r>
          </w:p>
        </w:tc>
        <w:tc>
          <w:tcPr>
            <w:tcW w:w="1031" w:type="dxa"/>
          </w:tcPr>
          <w:p w:rsidR="00DD1B92" w:rsidRDefault="00371277" w:rsidP="00DD1B92">
            <w:r>
              <w:t>16</w:t>
            </w:r>
          </w:p>
        </w:tc>
        <w:tc>
          <w:tcPr>
            <w:tcW w:w="1032" w:type="dxa"/>
          </w:tcPr>
          <w:p w:rsidR="00DD1B92" w:rsidRDefault="00371277" w:rsidP="00DD1B92">
            <w:r>
              <w:t>7,846</w:t>
            </w:r>
          </w:p>
        </w:tc>
      </w:tr>
      <w:tr w:rsidR="008075AA" w:rsidTr="007262EB">
        <w:tc>
          <w:tcPr>
            <w:tcW w:w="2358" w:type="dxa"/>
          </w:tcPr>
          <w:p w:rsidR="00DD1B92" w:rsidRDefault="00DD1B92" w:rsidP="00DD1B92">
            <w:r>
              <w:t>Fallon Total Care</w:t>
            </w:r>
          </w:p>
        </w:tc>
        <w:tc>
          <w:tcPr>
            <w:tcW w:w="1031" w:type="dxa"/>
          </w:tcPr>
          <w:p w:rsidR="00DD1B92" w:rsidRDefault="00371277" w:rsidP="00DD1B92">
            <w:r>
              <w:t xml:space="preserve">2,504 </w:t>
            </w:r>
          </w:p>
        </w:tc>
        <w:tc>
          <w:tcPr>
            <w:tcW w:w="1031" w:type="dxa"/>
          </w:tcPr>
          <w:p w:rsidR="00DD1B92" w:rsidRDefault="00371277" w:rsidP="00DD1B92">
            <w:r>
              <w:t>1,253</w:t>
            </w:r>
          </w:p>
        </w:tc>
        <w:tc>
          <w:tcPr>
            <w:tcW w:w="1031" w:type="dxa"/>
          </w:tcPr>
          <w:p w:rsidR="00DD1B92" w:rsidRDefault="00371277" w:rsidP="00DD1B92">
            <w:r>
              <w:t>282</w:t>
            </w:r>
          </w:p>
        </w:tc>
        <w:tc>
          <w:tcPr>
            <w:tcW w:w="1031" w:type="dxa"/>
          </w:tcPr>
          <w:p w:rsidR="00DD1B92" w:rsidRDefault="00371277" w:rsidP="00DD1B92">
            <w:r>
              <w:t>596</w:t>
            </w:r>
          </w:p>
        </w:tc>
        <w:tc>
          <w:tcPr>
            <w:tcW w:w="1031" w:type="dxa"/>
          </w:tcPr>
          <w:p w:rsidR="00DD1B92" w:rsidRDefault="00371277" w:rsidP="00DD1B92">
            <w:r>
              <w:t>22</w:t>
            </w:r>
          </w:p>
        </w:tc>
        <w:tc>
          <w:tcPr>
            <w:tcW w:w="1031" w:type="dxa"/>
          </w:tcPr>
          <w:p w:rsidR="00DD1B92" w:rsidRDefault="00371277" w:rsidP="00DD1B92">
            <w:r>
              <w:t>2</w:t>
            </w:r>
          </w:p>
        </w:tc>
        <w:tc>
          <w:tcPr>
            <w:tcW w:w="1032" w:type="dxa"/>
          </w:tcPr>
          <w:p w:rsidR="00DD1B92" w:rsidRDefault="00371277" w:rsidP="00DD1B92">
            <w:r>
              <w:t>4,659</w:t>
            </w:r>
          </w:p>
        </w:tc>
      </w:tr>
      <w:tr w:rsidR="008075AA" w:rsidTr="007262EB">
        <w:trPr>
          <w:trHeight w:val="584"/>
        </w:trPr>
        <w:tc>
          <w:tcPr>
            <w:tcW w:w="2358" w:type="dxa"/>
          </w:tcPr>
          <w:p w:rsidR="00DD1B92" w:rsidRDefault="00DD1B92" w:rsidP="00DD1B92">
            <w:r>
              <w:t>Tufts Health Plan – Network Health</w:t>
            </w:r>
          </w:p>
        </w:tc>
        <w:tc>
          <w:tcPr>
            <w:tcW w:w="1031" w:type="dxa"/>
          </w:tcPr>
          <w:p w:rsidR="00DD1B92" w:rsidRDefault="00371277" w:rsidP="00DD1B92">
            <w:r>
              <w:t>388</w:t>
            </w:r>
          </w:p>
        </w:tc>
        <w:tc>
          <w:tcPr>
            <w:tcW w:w="1031" w:type="dxa"/>
          </w:tcPr>
          <w:p w:rsidR="00DD1B92" w:rsidRDefault="00371277" w:rsidP="00DD1B92">
            <w:r>
              <w:t>373</w:t>
            </w:r>
          </w:p>
        </w:tc>
        <w:tc>
          <w:tcPr>
            <w:tcW w:w="1031" w:type="dxa"/>
          </w:tcPr>
          <w:p w:rsidR="00DD1B92" w:rsidRDefault="00371277" w:rsidP="00DD1B92">
            <w:r>
              <w:t>75</w:t>
            </w:r>
          </w:p>
        </w:tc>
        <w:tc>
          <w:tcPr>
            <w:tcW w:w="1031" w:type="dxa"/>
          </w:tcPr>
          <w:p w:rsidR="00DD1B92" w:rsidRDefault="00371277" w:rsidP="00DD1B92">
            <w:r>
              <w:t>63</w:t>
            </w:r>
          </w:p>
        </w:tc>
        <w:tc>
          <w:tcPr>
            <w:tcW w:w="1031" w:type="dxa"/>
          </w:tcPr>
          <w:p w:rsidR="00DD1B92" w:rsidRDefault="00371277" w:rsidP="00DD1B92">
            <w:r>
              <w:t>3</w:t>
            </w:r>
          </w:p>
        </w:tc>
        <w:tc>
          <w:tcPr>
            <w:tcW w:w="1031" w:type="dxa"/>
          </w:tcPr>
          <w:p w:rsidR="00DD1B92" w:rsidRDefault="00371277" w:rsidP="00DD1B92">
            <w:r>
              <w:t>0</w:t>
            </w:r>
          </w:p>
        </w:tc>
        <w:tc>
          <w:tcPr>
            <w:tcW w:w="1032" w:type="dxa"/>
          </w:tcPr>
          <w:p w:rsidR="00DD1B92" w:rsidRDefault="00371277" w:rsidP="00DD1B92">
            <w:r>
              <w:t>902</w:t>
            </w:r>
          </w:p>
        </w:tc>
      </w:tr>
      <w:tr w:rsidR="008075AA" w:rsidTr="007262EB">
        <w:tc>
          <w:tcPr>
            <w:tcW w:w="2358" w:type="dxa"/>
          </w:tcPr>
          <w:p w:rsidR="00DD1B92" w:rsidRPr="007262EB" w:rsidRDefault="00DD1B92" w:rsidP="00DD1B92">
            <w:pPr>
              <w:rPr>
                <w:b/>
              </w:rPr>
            </w:pPr>
            <w:r w:rsidRPr="007262EB">
              <w:rPr>
                <w:b/>
              </w:rPr>
              <w:t>Total by Rating Category*</w:t>
            </w:r>
          </w:p>
        </w:tc>
        <w:tc>
          <w:tcPr>
            <w:tcW w:w="1031" w:type="dxa"/>
          </w:tcPr>
          <w:p w:rsidR="00DD1B92" w:rsidRDefault="00371277" w:rsidP="00DD1B92">
            <w:r>
              <w:t>7,472</w:t>
            </w:r>
          </w:p>
        </w:tc>
        <w:tc>
          <w:tcPr>
            <w:tcW w:w="1031" w:type="dxa"/>
          </w:tcPr>
          <w:p w:rsidR="00DD1B92" w:rsidRDefault="00371277" w:rsidP="00DD1B92">
            <w:r>
              <w:t>3,001</w:t>
            </w:r>
          </w:p>
        </w:tc>
        <w:tc>
          <w:tcPr>
            <w:tcW w:w="1031" w:type="dxa"/>
          </w:tcPr>
          <w:p w:rsidR="00DD1B92" w:rsidRDefault="00371277" w:rsidP="00DD1B92">
            <w:r>
              <w:t>623</w:t>
            </w:r>
          </w:p>
        </w:tc>
        <w:tc>
          <w:tcPr>
            <w:tcW w:w="1031" w:type="dxa"/>
          </w:tcPr>
          <w:p w:rsidR="00DD1B92" w:rsidRDefault="00371277" w:rsidP="00DD1B92">
            <w:r>
              <w:t>2,105</w:t>
            </w:r>
          </w:p>
        </w:tc>
        <w:tc>
          <w:tcPr>
            <w:tcW w:w="1031" w:type="dxa"/>
          </w:tcPr>
          <w:p w:rsidR="00DD1B92" w:rsidRDefault="00371277" w:rsidP="00DD1B92">
            <w:r>
              <w:t>143</w:t>
            </w:r>
          </w:p>
        </w:tc>
        <w:tc>
          <w:tcPr>
            <w:tcW w:w="1031" w:type="dxa"/>
          </w:tcPr>
          <w:p w:rsidR="00DD1B92" w:rsidRDefault="00371277" w:rsidP="00DD1B92">
            <w:r>
              <w:t>18</w:t>
            </w:r>
          </w:p>
        </w:tc>
        <w:tc>
          <w:tcPr>
            <w:tcW w:w="1032" w:type="dxa"/>
          </w:tcPr>
          <w:p w:rsidR="00DD1B92" w:rsidRDefault="00371277" w:rsidP="00DD1B92">
            <w:r>
              <w:t>13,407</w:t>
            </w:r>
          </w:p>
        </w:tc>
      </w:tr>
      <w:tr w:rsidR="008075AA" w:rsidTr="007262EB">
        <w:tc>
          <w:tcPr>
            <w:tcW w:w="2358" w:type="dxa"/>
          </w:tcPr>
          <w:p w:rsidR="00DD1B92" w:rsidRPr="007262EB" w:rsidRDefault="00DD1B92" w:rsidP="00DD1B92">
            <w:pPr>
              <w:rPr>
                <w:i/>
              </w:rPr>
            </w:pPr>
            <w:r w:rsidRPr="007262EB">
              <w:rPr>
                <w:i/>
              </w:rPr>
              <w:t>Rating Category % of Total Enrollment</w:t>
            </w:r>
          </w:p>
        </w:tc>
        <w:tc>
          <w:tcPr>
            <w:tcW w:w="1031" w:type="dxa"/>
          </w:tcPr>
          <w:p w:rsidR="00DD1B92" w:rsidRPr="007262EB" w:rsidRDefault="00371277" w:rsidP="00DD1B92">
            <w:pPr>
              <w:rPr>
                <w:i/>
              </w:rPr>
            </w:pPr>
            <w:r w:rsidRPr="007262EB">
              <w:rPr>
                <w:i/>
              </w:rPr>
              <w:t>56%</w:t>
            </w:r>
          </w:p>
        </w:tc>
        <w:tc>
          <w:tcPr>
            <w:tcW w:w="1031" w:type="dxa"/>
          </w:tcPr>
          <w:p w:rsidR="00DD1B92" w:rsidRPr="007262EB" w:rsidRDefault="00371277" w:rsidP="00DD1B92">
            <w:pPr>
              <w:rPr>
                <w:i/>
              </w:rPr>
            </w:pPr>
            <w:r w:rsidRPr="007262EB">
              <w:rPr>
                <w:i/>
              </w:rPr>
              <w:t>22%</w:t>
            </w:r>
          </w:p>
        </w:tc>
        <w:tc>
          <w:tcPr>
            <w:tcW w:w="1031" w:type="dxa"/>
          </w:tcPr>
          <w:p w:rsidR="00DD1B92" w:rsidRPr="007262EB" w:rsidRDefault="00371277" w:rsidP="00DD1B92">
            <w:pPr>
              <w:rPr>
                <w:i/>
              </w:rPr>
            </w:pPr>
            <w:r w:rsidRPr="007262EB">
              <w:rPr>
                <w:i/>
              </w:rPr>
              <w:t>5%</w:t>
            </w:r>
          </w:p>
        </w:tc>
        <w:tc>
          <w:tcPr>
            <w:tcW w:w="1031" w:type="dxa"/>
          </w:tcPr>
          <w:p w:rsidR="00DD1B92" w:rsidRPr="007262EB" w:rsidRDefault="00371277" w:rsidP="00DD1B92">
            <w:pPr>
              <w:rPr>
                <w:i/>
              </w:rPr>
            </w:pPr>
            <w:r w:rsidRPr="007262EB">
              <w:rPr>
                <w:i/>
              </w:rPr>
              <w:t>16%</w:t>
            </w:r>
          </w:p>
        </w:tc>
        <w:tc>
          <w:tcPr>
            <w:tcW w:w="1031" w:type="dxa"/>
          </w:tcPr>
          <w:p w:rsidR="00DD1B92" w:rsidRPr="007262EB" w:rsidRDefault="00371277" w:rsidP="00DD1B92">
            <w:pPr>
              <w:rPr>
                <w:i/>
              </w:rPr>
            </w:pPr>
            <w:r w:rsidRPr="007262EB">
              <w:rPr>
                <w:i/>
              </w:rPr>
              <w:t>1%</w:t>
            </w:r>
          </w:p>
        </w:tc>
        <w:tc>
          <w:tcPr>
            <w:tcW w:w="1031" w:type="dxa"/>
          </w:tcPr>
          <w:p w:rsidR="00DD1B92" w:rsidRPr="007262EB" w:rsidRDefault="00371277" w:rsidP="00DD1B92">
            <w:pPr>
              <w:rPr>
                <w:i/>
              </w:rPr>
            </w:pPr>
            <w:r w:rsidRPr="007262EB">
              <w:rPr>
                <w:i/>
              </w:rPr>
              <w:t>0%</w:t>
            </w:r>
          </w:p>
        </w:tc>
        <w:tc>
          <w:tcPr>
            <w:tcW w:w="1032" w:type="dxa"/>
          </w:tcPr>
          <w:p w:rsidR="00DD1B92" w:rsidRPr="007262EB" w:rsidRDefault="00371277" w:rsidP="00DD1B92">
            <w:pPr>
              <w:rPr>
                <w:i/>
              </w:rPr>
            </w:pPr>
            <w:r w:rsidRPr="007262EB">
              <w:rPr>
                <w:i/>
              </w:rPr>
              <w:t>100%</w:t>
            </w:r>
          </w:p>
        </w:tc>
      </w:tr>
    </w:tbl>
    <w:p w:rsidR="002E7953" w:rsidRDefault="002E7953">
      <w:pPr>
        <w:pStyle w:val="Heading2"/>
        <w:ind w:left="0" w:firstLine="0"/>
        <w:rPr>
          <w:rFonts w:ascii="Calibri" w:hAnsi="Calibri" w:cs="Arial"/>
          <w:b w:val="0"/>
          <w:bCs w:val="0"/>
          <w:i/>
          <w:iCs/>
          <w:sz w:val="24"/>
          <w:szCs w:val="24"/>
        </w:rPr>
      </w:pPr>
      <w:r w:rsidRPr="0017155E">
        <w:rPr>
          <w:rFonts w:ascii="Calibri" w:hAnsi="Calibri" w:cs="Arial"/>
          <w:b w:val="0"/>
          <w:bCs w:val="0"/>
          <w:i/>
          <w:iCs/>
          <w:sz w:val="24"/>
          <w:szCs w:val="24"/>
        </w:rPr>
        <w:t>*The RC status was unavailable for 2 enrollments in this month; the reported total enrollment for 6/1/14 was 13,409.</w:t>
      </w:r>
    </w:p>
    <w:p w:rsidR="007262EB" w:rsidRPr="007262EB" w:rsidRDefault="007262EB" w:rsidP="007262EB"/>
    <w:p w:rsidR="007262EB" w:rsidRPr="007262EB" w:rsidRDefault="007262EB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  <w:r w:rsidRPr="007262EB">
        <w:rPr>
          <w:rFonts w:ascii="Calibri" w:hAnsi="Calibri" w:cs="Arial"/>
          <w:color w:val="auto"/>
          <w:sz w:val="24"/>
          <w:szCs w:val="24"/>
        </w:rPr>
        <w:t>Slide 5:</w:t>
      </w:r>
    </w:p>
    <w:p w:rsidR="002E7953" w:rsidRPr="007262EB" w:rsidRDefault="002E7953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  <w:r w:rsidRPr="007262EB">
        <w:rPr>
          <w:rFonts w:ascii="Calibri" w:hAnsi="Calibri" w:cs="Arial"/>
          <w:color w:val="auto"/>
          <w:sz w:val="24"/>
          <w:szCs w:val="24"/>
        </w:rPr>
        <w:t>Length of Enrollment Impact on Spending</w:t>
      </w:r>
    </w:p>
    <w:p w:rsidR="002E7953" w:rsidRPr="007262EB" w:rsidRDefault="002E7953" w:rsidP="007262EB">
      <w:pPr>
        <w:pStyle w:val="Heading2"/>
        <w:numPr>
          <w:ilvl w:val="0"/>
          <w:numId w:val="6"/>
        </w:numPr>
        <w:ind w:left="126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From date of enrollment, 90 days for assessment and care planning process</w:t>
      </w:r>
    </w:p>
    <w:p w:rsidR="002E7953" w:rsidRPr="007262EB" w:rsidRDefault="002E7953" w:rsidP="007262EB">
      <w:pPr>
        <w:pStyle w:val="Heading3"/>
        <w:numPr>
          <w:ilvl w:val="0"/>
          <w:numId w:val="7"/>
        </w:numPr>
        <w:ind w:left="190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Members’ prior services, provider relationships, and service authorizations are protected through this Continuity of Care period.</w:t>
      </w:r>
    </w:p>
    <w:p w:rsidR="002E7953" w:rsidRPr="007262EB" w:rsidRDefault="002E7953" w:rsidP="007262EB">
      <w:pPr>
        <w:pStyle w:val="Heading3"/>
        <w:numPr>
          <w:ilvl w:val="0"/>
          <w:numId w:val="7"/>
        </w:numPr>
        <w:ind w:left="190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One Care plans continue to pay these claims until member’s new care plan in place</w:t>
      </w:r>
    </w:p>
    <w:p w:rsidR="002E7953" w:rsidRPr="007262EB" w:rsidRDefault="002E7953" w:rsidP="007262EB">
      <w:pPr>
        <w:pStyle w:val="Heading3"/>
        <w:numPr>
          <w:ilvl w:val="0"/>
          <w:numId w:val="7"/>
        </w:numPr>
        <w:ind w:left="190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Continuity of Care period spending likely reflects FFS trends more than impact of One Care’s care model</w:t>
      </w:r>
    </w:p>
    <w:p w:rsidR="002E7953" w:rsidRPr="007262EB" w:rsidRDefault="002E7953" w:rsidP="007262EB">
      <w:pPr>
        <w:pStyle w:val="Heading2"/>
        <w:numPr>
          <w:ilvl w:val="0"/>
          <w:numId w:val="6"/>
        </w:numPr>
        <w:ind w:left="126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For the first 3 quarters of spending (Oct. 2013 – June 2014), much of the One Care </w:t>
      </w: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lastRenderedPageBreak/>
        <w:t>plans’ spending reflects enrollees’ Continuity of Care periods.</w:t>
      </w:r>
    </w:p>
    <w:p w:rsidR="002E7953" w:rsidRPr="007262EB" w:rsidRDefault="002E7953" w:rsidP="007262EB">
      <w:pPr>
        <w:pStyle w:val="Heading3"/>
        <w:numPr>
          <w:ilvl w:val="0"/>
          <w:numId w:val="7"/>
        </w:numPr>
        <w:ind w:left="190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December 2013: 100% of enrollees in One Care 3 months or less  (1st quarter spending)</w:t>
      </w:r>
    </w:p>
    <w:p w:rsidR="002E7953" w:rsidRPr="007262EB" w:rsidRDefault="002E7953" w:rsidP="007262EB">
      <w:pPr>
        <w:pStyle w:val="Heading3"/>
        <w:numPr>
          <w:ilvl w:val="0"/>
          <w:numId w:val="7"/>
        </w:numPr>
        <w:ind w:left="190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March 2014: 58% of enrollees in One Care 3 months or less</w:t>
      </w: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br/>
        <w:t>(2</w:t>
      </w: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  <w:vertAlign w:val="superscript"/>
        </w:rPr>
        <w:t>nd</w:t>
      </w: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 quarter spending)</w:t>
      </w:r>
    </w:p>
    <w:p w:rsidR="002E7953" w:rsidRPr="007262EB" w:rsidRDefault="002E7953" w:rsidP="007262EB">
      <w:pPr>
        <w:pStyle w:val="Heading3"/>
        <w:numPr>
          <w:ilvl w:val="0"/>
          <w:numId w:val="7"/>
        </w:numPr>
        <w:ind w:left="190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June 2014: 35% of enrollees in One Care 3 months or less</w:t>
      </w: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br/>
        <w:t>(3</w:t>
      </w: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  <w:vertAlign w:val="superscript"/>
        </w:rPr>
        <w:t>rd</w:t>
      </w: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 quarter spending)</w:t>
      </w:r>
    </w:p>
    <w:p w:rsidR="002E7953" w:rsidRPr="007262EB" w:rsidRDefault="002E7953">
      <w:pPr>
        <w:pStyle w:val="Heading1"/>
        <w:rPr>
          <w:rFonts w:ascii="Calibri" w:hAnsi="Calibri" w:cs="Arial"/>
          <w:color w:val="auto"/>
          <w:sz w:val="24"/>
          <w:szCs w:val="24"/>
        </w:rPr>
      </w:pPr>
    </w:p>
    <w:p w:rsidR="007262EB" w:rsidRPr="007262EB" w:rsidRDefault="007262EB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  <w:r w:rsidRPr="007262EB">
        <w:rPr>
          <w:rFonts w:ascii="Calibri" w:hAnsi="Calibri" w:cs="Arial"/>
          <w:color w:val="auto"/>
          <w:sz w:val="24"/>
          <w:szCs w:val="24"/>
        </w:rPr>
        <w:t>Slide 6:</w:t>
      </w:r>
    </w:p>
    <w:p w:rsidR="007262EB" w:rsidRDefault="007262EB" w:rsidP="007262EB">
      <w:pPr>
        <w:rPr>
          <w:b/>
        </w:rPr>
      </w:pPr>
      <w:r w:rsidRPr="007262EB">
        <w:rPr>
          <w:b/>
        </w:rPr>
        <w:t>One Care: Aggregate Medical and LTSS Spending through June 30, 2014 ($ Millions)</w:t>
      </w:r>
    </w:p>
    <w:p w:rsidR="007262EB" w:rsidRPr="007262EB" w:rsidRDefault="007262EB" w:rsidP="007262EB">
      <w:r w:rsidRPr="007262EB">
        <w:t>Aggregate One Care Plan medical and LTSS spending from October 1, 2013 – June 30, 2014 as reported by One Care plans, subject to verification by MassHealth and CMS.</w:t>
      </w:r>
    </w:p>
    <w:p w:rsidR="007262EB" w:rsidRDefault="007262EB" w:rsidP="007262EB">
      <w:pPr>
        <w:numPr>
          <w:ilvl w:val="0"/>
          <w:numId w:val="17"/>
        </w:numPr>
      </w:pPr>
      <w:r>
        <w:t>Inpatient $21.86 (16%)</w:t>
      </w:r>
    </w:p>
    <w:p w:rsidR="007262EB" w:rsidRDefault="007262EB" w:rsidP="007262EB">
      <w:pPr>
        <w:numPr>
          <w:ilvl w:val="0"/>
          <w:numId w:val="17"/>
        </w:numPr>
      </w:pPr>
      <w:r>
        <w:t>LTC Facility $1.84 (1%)</w:t>
      </w:r>
    </w:p>
    <w:p w:rsidR="007262EB" w:rsidRDefault="007262EB" w:rsidP="007262EB">
      <w:pPr>
        <w:numPr>
          <w:ilvl w:val="0"/>
          <w:numId w:val="17"/>
        </w:numPr>
      </w:pPr>
      <w:r>
        <w:t>Outpatient/Professional $34.17 (24%)</w:t>
      </w:r>
    </w:p>
    <w:p w:rsidR="007262EB" w:rsidRDefault="007262EB" w:rsidP="007262EB">
      <w:pPr>
        <w:numPr>
          <w:ilvl w:val="0"/>
          <w:numId w:val="17"/>
        </w:numPr>
      </w:pPr>
      <w:r>
        <w:t>Pharmacy $34.36 (25%)</w:t>
      </w:r>
    </w:p>
    <w:p w:rsidR="007262EB" w:rsidRDefault="007262EB" w:rsidP="007262EB">
      <w:pPr>
        <w:numPr>
          <w:ilvl w:val="0"/>
          <w:numId w:val="17"/>
        </w:numPr>
      </w:pPr>
      <w:r>
        <w:t>Transportation $3.55 (3%)</w:t>
      </w:r>
    </w:p>
    <w:p w:rsidR="007262EB" w:rsidRDefault="007262EB" w:rsidP="007262EB">
      <w:pPr>
        <w:numPr>
          <w:ilvl w:val="0"/>
          <w:numId w:val="17"/>
        </w:numPr>
      </w:pPr>
      <w:r>
        <w:t>HCBS/Home Health $19.40 (14%)</w:t>
      </w:r>
    </w:p>
    <w:p w:rsidR="007262EB" w:rsidRDefault="007262EB" w:rsidP="007262EB">
      <w:pPr>
        <w:numPr>
          <w:ilvl w:val="0"/>
          <w:numId w:val="17"/>
        </w:numPr>
      </w:pPr>
      <w:r>
        <w:t xml:space="preserve">Other $12.70 (9%) </w:t>
      </w:r>
    </w:p>
    <w:p w:rsidR="007262EB" w:rsidRDefault="007262EB" w:rsidP="007262EB">
      <w:pPr>
        <w:numPr>
          <w:ilvl w:val="0"/>
          <w:numId w:val="17"/>
        </w:numPr>
      </w:pPr>
      <w:r>
        <w:t>IBNR $11.40 (8%)</w:t>
      </w:r>
    </w:p>
    <w:p w:rsidR="007262EB" w:rsidRPr="007262EB" w:rsidRDefault="007262EB" w:rsidP="007262EB">
      <w:r>
        <w:t xml:space="preserve">IBNR: </w:t>
      </w:r>
      <w:r w:rsidRPr="007262EB">
        <w:rPr>
          <w:iCs/>
        </w:rPr>
        <w:t>Incurred but not reported spending is an estimate of costs that have been incurred for services provided during the reporting period, but that have not yet been billed or adjudicated.</w:t>
      </w:r>
    </w:p>
    <w:p w:rsidR="007262EB" w:rsidRDefault="007262EB" w:rsidP="007262EB">
      <w:pPr>
        <w:rPr>
          <w:iCs/>
        </w:rPr>
      </w:pPr>
      <w:r w:rsidRPr="007262EB">
        <w:rPr>
          <w:bCs/>
          <w:iCs/>
        </w:rPr>
        <w:t>Other:</w:t>
      </w:r>
      <w:r w:rsidRPr="007262EB">
        <w:rPr>
          <w:iCs/>
        </w:rPr>
        <w:t xml:space="preserve"> Includes dental and vision services</w:t>
      </w:r>
      <w:r>
        <w:rPr>
          <w:iCs/>
        </w:rPr>
        <w:t>.</w:t>
      </w:r>
    </w:p>
    <w:p w:rsidR="007262EB" w:rsidRPr="007262EB" w:rsidRDefault="007262EB" w:rsidP="007262EB"/>
    <w:p w:rsidR="007262EB" w:rsidRDefault="007262EB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>Slide 7:</w:t>
      </w:r>
    </w:p>
    <w:p w:rsidR="002E7953" w:rsidRPr="007262EB" w:rsidRDefault="002E7953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  <w:r w:rsidRPr="007262EB">
        <w:rPr>
          <w:rFonts w:ascii="Calibri" w:hAnsi="Calibri" w:cs="Arial"/>
          <w:color w:val="auto"/>
          <w:sz w:val="24"/>
          <w:szCs w:val="24"/>
        </w:rPr>
        <w:t>Encounter Data</w:t>
      </w:r>
    </w:p>
    <w:p w:rsidR="002E7953" w:rsidRPr="007262EB" w:rsidRDefault="002E7953" w:rsidP="007262EB">
      <w:pPr>
        <w:pStyle w:val="Heading2"/>
        <w:numPr>
          <w:ilvl w:val="0"/>
          <w:numId w:val="6"/>
        </w:numPr>
        <w:ind w:left="108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MassHealth will collect encounter data going back to the beginning of the implementation of One Care (October 2013)</w:t>
      </w:r>
    </w:p>
    <w:p w:rsidR="002E7953" w:rsidRPr="007262EB" w:rsidRDefault="002E7953" w:rsidP="007262EB">
      <w:pPr>
        <w:pStyle w:val="Heading2"/>
        <w:numPr>
          <w:ilvl w:val="0"/>
          <w:numId w:val="6"/>
        </w:numPr>
        <w:ind w:left="108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Timeline</w:t>
      </w:r>
    </w:p>
    <w:p w:rsidR="002E7953" w:rsidRPr="007262EB" w:rsidRDefault="002E7953" w:rsidP="007262EB">
      <w:pPr>
        <w:pStyle w:val="Heading3"/>
        <w:numPr>
          <w:ilvl w:val="0"/>
          <w:numId w:val="7"/>
        </w:numPr>
        <w:ind w:left="172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Testing</w:t>
      </w:r>
    </w:p>
    <w:p w:rsidR="002E7953" w:rsidRPr="007262EB" w:rsidRDefault="002E7953" w:rsidP="007262EB">
      <w:pPr>
        <w:pStyle w:val="Heading4"/>
        <w:numPr>
          <w:ilvl w:val="0"/>
          <w:numId w:val="8"/>
        </w:numPr>
        <w:ind w:left="23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Phase 1: end of December 2014 – on target</w:t>
      </w:r>
    </w:p>
    <w:p w:rsidR="002E7953" w:rsidRPr="007262EB" w:rsidRDefault="002E7953" w:rsidP="007262EB">
      <w:pPr>
        <w:pStyle w:val="Heading4"/>
        <w:numPr>
          <w:ilvl w:val="0"/>
          <w:numId w:val="8"/>
        </w:numPr>
        <w:ind w:left="23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Phase 2: end of January 2015</w:t>
      </w:r>
    </w:p>
    <w:p w:rsidR="002E7953" w:rsidRPr="007262EB" w:rsidRDefault="002E7953" w:rsidP="007262EB">
      <w:pPr>
        <w:pStyle w:val="Heading3"/>
        <w:numPr>
          <w:ilvl w:val="0"/>
          <w:numId w:val="7"/>
        </w:numPr>
        <w:ind w:left="172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Encounter data submissions expected (“go live”): end of March 2015</w:t>
      </w:r>
    </w:p>
    <w:p w:rsidR="002E7953" w:rsidRPr="007262EB" w:rsidRDefault="002E7953" w:rsidP="007262EB">
      <w:pPr>
        <w:pStyle w:val="Heading3"/>
        <w:numPr>
          <w:ilvl w:val="0"/>
          <w:numId w:val="7"/>
        </w:numPr>
        <w:ind w:left="172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Data validation and analysis will begin following submissions</w:t>
      </w:r>
    </w:p>
    <w:p w:rsidR="002E7953" w:rsidRPr="007262EB" w:rsidRDefault="002E7953" w:rsidP="007262EB">
      <w:pPr>
        <w:pStyle w:val="Heading2"/>
        <w:numPr>
          <w:ilvl w:val="0"/>
          <w:numId w:val="6"/>
        </w:numPr>
        <w:ind w:left="108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lastRenderedPageBreak/>
        <w:t>Encounter Data workgroup</w:t>
      </w:r>
    </w:p>
    <w:p w:rsidR="002E7953" w:rsidRPr="007262EB" w:rsidRDefault="002E7953" w:rsidP="007262EB">
      <w:pPr>
        <w:pStyle w:val="Heading3"/>
        <w:numPr>
          <w:ilvl w:val="0"/>
          <w:numId w:val="7"/>
        </w:numPr>
        <w:ind w:left="172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Representatives from the Implementation Council, MassHealth and UMMS will participate on the workgroup and define the group’s overall objective(s)</w:t>
      </w:r>
    </w:p>
    <w:p w:rsidR="002E7953" w:rsidRPr="007262EB" w:rsidRDefault="002E7953" w:rsidP="007262EB">
      <w:pPr>
        <w:pStyle w:val="Heading3"/>
        <w:numPr>
          <w:ilvl w:val="0"/>
          <w:numId w:val="7"/>
        </w:numPr>
        <w:ind w:left="172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Provide recommendations on the specific services to explore and analyze in detail, e.g., PCA utilization, hospital admissions, behavioral health diversionary service utilization vs. inpatient psych</w:t>
      </w:r>
    </w:p>
    <w:p w:rsidR="007262EB" w:rsidRDefault="007262EB" w:rsidP="007262EB">
      <w:pPr>
        <w:pStyle w:val="Heading1"/>
        <w:ind w:firstLine="0"/>
        <w:rPr>
          <w:rFonts w:ascii="Calibri" w:hAnsi="Calibri" w:cs="Arial"/>
          <w:color w:val="auto"/>
          <w:sz w:val="24"/>
          <w:szCs w:val="24"/>
        </w:rPr>
      </w:pPr>
    </w:p>
    <w:p w:rsidR="007262EB" w:rsidRDefault="007262EB" w:rsidP="007262EB">
      <w:pPr>
        <w:pStyle w:val="Heading1"/>
        <w:ind w:left="-90" w:firstLine="0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>Slide 8:</w:t>
      </w:r>
    </w:p>
    <w:p w:rsidR="002E7953" w:rsidRPr="007262EB" w:rsidRDefault="002E7953" w:rsidP="007262EB">
      <w:pPr>
        <w:pStyle w:val="Heading1"/>
        <w:ind w:left="-90" w:firstLine="0"/>
        <w:rPr>
          <w:rFonts w:ascii="Calibri" w:hAnsi="Calibri" w:cs="Arial"/>
          <w:color w:val="auto"/>
          <w:sz w:val="24"/>
          <w:szCs w:val="24"/>
        </w:rPr>
      </w:pPr>
      <w:r w:rsidRPr="007262EB">
        <w:rPr>
          <w:rFonts w:ascii="Calibri" w:hAnsi="Calibri" w:cs="Arial"/>
          <w:color w:val="auto"/>
          <w:sz w:val="24"/>
          <w:szCs w:val="24"/>
        </w:rPr>
        <w:t>Updates to Financial Methodology</w:t>
      </w:r>
    </w:p>
    <w:p w:rsidR="002E7953" w:rsidRPr="007262EB" w:rsidRDefault="002E7953" w:rsidP="007262EB">
      <w:pPr>
        <w:pStyle w:val="Heading2"/>
        <w:numPr>
          <w:ilvl w:val="0"/>
          <w:numId w:val="9"/>
        </w:numPr>
        <w:ind w:left="108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In January 2015, EOHHS, MassHealth, and the three One Care plans amended the One Care three-way contract through a second addendum:</w:t>
      </w:r>
    </w:p>
    <w:p w:rsidR="002E7953" w:rsidRPr="007262EB" w:rsidRDefault="002E7953" w:rsidP="007262EB">
      <w:pPr>
        <w:pStyle w:val="Heading3"/>
        <w:numPr>
          <w:ilvl w:val="0"/>
          <w:numId w:val="10"/>
        </w:numPr>
        <w:ind w:left="172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Savings Percentages</w:t>
      </w:r>
    </w:p>
    <w:p w:rsidR="002E7953" w:rsidRPr="007262EB" w:rsidRDefault="002E7953" w:rsidP="007262EB">
      <w:pPr>
        <w:pStyle w:val="Heading3"/>
        <w:numPr>
          <w:ilvl w:val="0"/>
          <w:numId w:val="10"/>
        </w:numPr>
        <w:ind w:left="172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High Cost Risk Pools</w:t>
      </w:r>
    </w:p>
    <w:p w:rsidR="002E7953" w:rsidRPr="007262EB" w:rsidRDefault="002E7953" w:rsidP="007262EB">
      <w:pPr>
        <w:pStyle w:val="Heading3"/>
        <w:numPr>
          <w:ilvl w:val="0"/>
          <w:numId w:val="10"/>
        </w:numPr>
        <w:ind w:left="172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Risk Corridors  </w:t>
      </w:r>
    </w:p>
    <w:p w:rsidR="002E7953" w:rsidRPr="007262EB" w:rsidRDefault="002E7953" w:rsidP="007262EB">
      <w:pPr>
        <w:pStyle w:val="Heading2"/>
        <w:numPr>
          <w:ilvl w:val="0"/>
          <w:numId w:val="9"/>
        </w:numPr>
        <w:ind w:left="108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color w:val="auto"/>
          <w:sz w:val="24"/>
          <w:szCs w:val="24"/>
        </w:rPr>
        <w:t xml:space="preserve">Savings Percentages: </w:t>
      </w: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The three-way contract includes savings percentages that are applied to the MassHealth and Medicare Parts A &amp; B rate components.</w:t>
      </w:r>
    </w:p>
    <w:p w:rsidR="002E7953" w:rsidRPr="007262EB" w:rsidRDefault="002E7953" w:rsidP="007262EB">
      <w:pPr>
        <w:pStyle w:val="Heading3"/>
        <w:numPr>
          <w:ilvl w:val="0"/>
          <w:numId w:val="10"/>
        </w:numPr>
        <w:ind w:left="172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This addendum reduced the savings percentages for Demonstration Years 2 and 3</w:t>
      </w:r>
    </w:p>
    <w:p w:rsidR="002E7953" w:rsidRPr="007262EB" w:rsidRDefault="002E7953" w:rsidP="007262EB">
      <w:pPr>
        <w:pStyle w:val="Heading4"/>
        <w:numPr>
          <w:ilvl w:val="0"/>
          <w:numId w:val="11"/>
        </w:numPr>
        <w:ind w:left="23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Year 2: Reduced by 1% (from 1.5% to 0.5%)</w:t>
      </w:r>
    </w:p>
    <w:p w:rsidR="002E7953" w:rsidRPr="007262EB" w:rsidRDefault="002E7953" w:rsidP="007262EB">
      <w:pPr>
        <w:pStyle w:val="Heading4"/>
        <w:numPr>
          <w:ilvl w:val="0"/>
          <w:numId w:val="11"/>
        </w:numPr>
        <w:ind w:left="23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Year 3: Reduced by 2% (from &gt;4% to 2%)</w:t>
      </w:r>
    </w:p>
    <w:p w:rsidR="002E7953" w:rsidRPr="007262EB" w:rsidRDefault="002E7953" w:rsidP="007262EB">
      <w:pPr>
        <w:pStyle w:val="Heading3"/>
        <w:numPr>
          <w:ilvl w:val="0"/>
          <w:numId w:val="10"/>
        </w:numPr>
        <w:ind w:left="172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This means the One Care plans will receive higher payments from MassHealth and from Medicare </w:t>
      </w:r>
    </w:p>
    <w:p w:rsidR="002E7953" w:rsidRPr="007262EB" w:rsidRDefault="002E7953" w:rsidP="007262EB">
      <w:pPr>
        <w:pStyle w:val="Heading2"/>
        <w:numPr>
          <w:ilvl w:val="0"/>
          <w:numId w:val="9"/>
        </w:numPr>
        <w:ind w:left="108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color w:val="auto"/>
          <w:sz w:val="24"/>
          <w:szCs w:val="24"/>
        </w:rPr>
        <w:t xml:space="preserve">High Cost Risk Pools (HCRPs): </w:t>
      </w: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The three-way contract established HCRPs funded by a percentage of the MassHealth capitation.  HCRPs are designed to redistribute funding between the One Care plans in the event of disproportionate enrollment of high-cost individuals.</w:t>
      </w:r>
    </w:p>
    <w:p w:rsidR="002E7953" w:rsidRPr="007262EB" w:rsidRDefault="002E7953" w:rsidP="0017155E">
      <w:pPr>
        <w:pStyle w:val="Heading3"/>
        <w:numPr>
          <w:ilvl w:val="0"/>
          <w:numId w:val="10"/>
        </w:numPr>
        <w:ind w:left="118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This addendum eliminated the HCRPs for 2013 and 2014 (Demonstration Year 1)</w:t>
      </w:r>
    </w:p>
    <w:p w:rsidR="002E7953" w:rsidRPr="007262EB" w:rsidRDefault="002E7953" w:rsidP="0017155E">
      <w:pPr>
        <w:pStyle w:val="Heading4"/>
        <w:numPr>
          <w:ilvl w:val="0"/>
          <w:numId w:val="11"/>
        </w:numPr>
        <w:ind w:left="180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One Care plans expected this change to be budget neutral</w:t>
      </w:r>
    </w:p>
    <w:p w:rsidR="002E7953" w:rsidRPr="007262EB" w:rsidRDefault="002E7953" w:rsidP="0017155E">
      <w:pPr>
        <w:pStyle w:val="Heading4"/>
        <w:numPr>
          <w:ilvl w:val="0"/>
          <w:numId w:val="11"/>
        </w:numPr>
        <w:ind w:left="180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HCRP withholdings will be refunded to each plan</w:t>
      </w:r>
    </w:p>
    <w:p w:rsidR="007262EB" w:rsidRDefault="007262EB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</w:p>
    <w:p w:rsidR="007262EB" w:rsidRDefault="007262EB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</w:p>
    <w:p w:rsidR="007262EB" w:rsidRDefault="007262EB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 xml:space="preserve">Slide 9: </w:t>
      </w:r>
    </w:p>
    <w:p w:rsidR="002E7953" w:rsidRPr="007262EB" w:rsidRDefault="002E7953">
      <w:pPr>
        <w:pStyle w:val="Heading1"/>
        <w:ind w:left="0" w:firstLine="0"/>
        <w:rPr>
          <w:rFonts w:ascii="Calibri" w:hAnsi="Calibri" w:cs="Arial"/>
          <w:i/>
          <w:iCs/>
          <w:color w:val="auto"/>
          <w:sz w:val="24"/>
          <w:szCs w:val="24"/>
        </w:rPr>
      </w:pPr>
      <w:r w:rsidRPr="007262EB">
        <w:rPr>
          <w:rFonts w:ascii="Calibri" w:hAnsi="Calibri" w:cs="Arial"/>
          <w:color w:val="auto"/>
          <w:sz w:val="24"/>
          <w:szCs w:val="24"/>
        </w:rPr>
        <w:t xml:space="preserve">Updates to Financial Methodology, </w:t>
      </w:r>
      <w:r w:rsidRPr="007262EB">
        <w:rPr>
          <w:rFonts w:ascii="Calibri" w:hAnsi="Calibri" w:cs="Arial"/>
          <w:i/>
          <w:iCs/>
          <w:color w:val="auto"/>
          <w:sz w:val="24"/>
          <w:szCs w:val="24"/>
        </w:rPr>
        <w:t>cont’d</w:t>
      </w:r>
    </w:p>
    <w:p w:rsidR="002E7953" w:rsidRPr="007262EB" w:rsidRDefault="002E7953" w:rsidP="007262EB">
      <w:pPr>
        <w:pStyle w:val="Heading2"/>
        <w:numPr>
          <w:ilvl w:val="0"/>
          <w:numId w:val="3"/>
        </w:numPr>
        <w:ind w:left="126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color w:val="auto"/>
          <w:sz w:val="24"/>
          <w:szCs w:val="24"/>
        </w:rPr>
        <w:t xml:space="preserve">Risk Corridors: </w:t>
      </w: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Risk-sharing mechanism intended to mitigate the financial risk One Care plans assume as they begin to implement the integrated care model and provide coordinated services to One Care enrollees</w:t>
      </w:r>
    </w:p>
    <w:p w:rsidR="002E7953" w:rsidRPr="007262EB" w:rsidRDefault="002E7953" w:rsidP="007262EB">
      <w:pPr>
        <w:pStyle w:val="Heading3"/>
        <w:numPr>
          <w:ilvl w:val="0"/>
          <w:numId w:val="4"/>
        </w:numPr>
        <w:ind w:left="190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The three-way contract established risk corridors for the first year of the demonstration</w:t>
      </w:r>
    </w:p>
    <w:p w:rsidR="002E7953" w:rsidRPr="007262EB" w:rsidRDefault="002E7953" w:rsidP="007262EB">
      <w:pPr>
        <w:pStyle w:val="Heading3"/>
        <w:numPr>
          <w:ilvl w:val="0"/>
          <w:numId w:val="4"/>
        </w:numPr>
        <w:ind w:left="190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MassHealth and CMS amended the three-way contract in September 2014 to extend risk corridors for the second and third years</w:t>
      </w:r>
    </w:p>
    <w:p w:rsidR="002E7953" w:rsidRPr="007262EB" w:rsidRDefault="002E7953" w:rsidP="007262EB">
      <w:pPr>
        <w:pStyle w:val="Heading3"/>
        <w:ind w:left="190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</w:p>
    <w:p w:rsidR="002E7953" w:rsidRPr="007262EB" w:rsidRDefault="002E7953" w:rsidP="007262EB">
      <w:pPr>
        <w:pStyle w:val="Heading2"/>
        <w:numPr>
          <w:ilvl w:val="0"/>
          <w:numId w:val="3"/>
        </w:numPr>
        <w:ind w:left="126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This addendum increased risk sharing for Demonstration Year 1:</w:t>
      </w:r>
    </w:p>
    <w:p w:rsidR="002E7953" w:rsidRPr="007262EB" w:rsidRDefault="002E7953" w:rsidP="007262EB">
      <w:pPr>
        <w:pStyle w:val="Heading4"/>
        <w:numPr>
          <w:ilvl w:val="0"/>
          <w:numId w:val="12"/>
        </w:numPr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For plan gains/losses up to 1%, no sharing (no change)</w:t>
      </w:r>
    </w:p>
    <w:p w:rsidR="002E7953" w:rsidRPr="007262EB" w:rsidRDefault="002E7953" w:rsidP="007262EB">
      <w:pPr>
        <w:pStyle w:val="Heading4"/>
        <w:numPr>
          <w:ilvl w:val="0"/>
          <w:numId w:val="12"/>
        </w:numPr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For plan gains/losses 1.1% - 10%, 10% plan share, 90% </w:t>
      </w: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lastRenderedPageBreak/>
        <w:t>CMS/MassHealth share</w:t>
      </w:r>
    </w:p>
    <w:p w:rsidR="002E7953" w:rsidRPr="007262EB" w:rsidRDefault="002E7953" w:rsidP="007262EB">
      <w:pPr>
        <w:pStyle w:val="Heading4"/>
        <w:numPr>
          <w:ilvl w:val="0"/>
          <w:numId w:val="12"/>
        </w:numPr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For plan gains/losses 10.1% - 20%, 50%-50% sharing between plan and CMS/MassHealth</w:t>
      </w:r>
    </w:p>
    <w:p w:rsidR="002E7953" w:rsidRPr="007262EB" w:rsidRDefault="002E7953" w:rsidP="007262EB">
      <w:pPr>
        <w:pStyle w:val="Heading4"/>
        <w:numPr>
          <w:ilvl w:val="0"/>
          <w:numId w:val="12"/>
        </w:numPr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For plan gains/losses &gt;20%, no sharing (no change)</w:t>
      </w:r>
    </w:p>
    <w:p w:rsidR="002E7953" w:rsidRPr="007262EB" w:rsidRDefault="002E7953" w:rsidP="007262EB">
      <w:pPr>
        <w:pStyle w:val="Heading4"/>
        <w:numPr>
          <w:ilvl w:val="0"/>
          <w:numId w:val="12"/>
        </w:numPr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Additional participation from Medicare at higher levels of risk sharing</w:t>
      </w:r>
    </w:p>
    <w:p w:rsidR="007262EB" w:rsidRDefault="007262EB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</w:p>
    <w:p w:rsidR="007262EB" w:rsidRDefault="007262EB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>Slide 10:</w:t>
      </w:r>
    </w:p>
    <w:p w:rsidR="002E7953" w:rsidRPr="007262EB" w:rsidRDefault="002E7953">
      <w:pPr>
        <w:pStyle w:val="Heading1"/>
        <w:ind w:left="0" w:firstLine="0"/>
        <w:rPr>
          <w:rFonts w:ascii="Calibri" w:hAnsi="Calibri" w:cs="Arial"/>
          <w:color w:val="auto"/>
          <w:sz w:val="24"/>
          <w:szCs w:val="24"/>
        </w:rPr>
      </w:pPr>
      <w:r w:rsidRPr="007262EB">
        <w:rPr>
          <w:rFonts w:ascii="Calibri" w:hAnsi="Calibri" w:cs="Arial"/>
          <w:color w:val="auto"/>
          <w:sz w:val="24"/>
          <w:szCs w:val="24"/>
        </w:rPr>
        <w:t>Implementation Council Vacancies</w:t>
      </w:r>
    </w:p>
    <w:p w:rsidR="002E7953" w:rsidRPr="007262EB" w:rsidRDefault="002E7953" w:rsidP="007262EB">
      <w:pPr>
        <w:pStyle w:val="Heading2"/>
        <w:numPr>
          <w:ilvl w:val="0"/>
          <w:numId w:val="1"/>
        </w:numPr>
        <w:ind w:left="126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MassHealth intends to reprocure to address vacancies on the Council</w:t>
      </w:r>
    </w:p>
    <w:p w:rsidR="002E7953" w:rsidRPr="007262EB" w:rsidRDefault="002E7953" w:rsidP="007262EB">
      <w:pPr>
        <w:pStyle w:val="Heading3"/>
        <w:numPr>
          <w:ilvl w:val="0"/>
          <w:numId w:val="2"/>
        </w:numPr>
        <w:ind w:left="190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MassHealth is aware of 3 vacancies at this time</w:t>
      </w:r>
    </w:p>
    <w:p w:rsidR="002E7953" w:rsidRPr="007262EB" w:rsidRDefault="002E7953" w:rsidP="007262EB">
      <w:pPr>
        <w:pStyle w:val="Heading2"/>
        <w:numPr>
          <w:ilvl w:val="0"/>
          <w:numId w:val="1"/>
        </w:numPr>
        <w:ind w:left="126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Similar process as the Fall 2012 Implementation Council procurement</w:t>
      </w:r>
    </w:p>
    <w:p w:rsidR="002E7953" w:rsidRPr="007262EB" w:rsidRDefault="002E7953" w:rsidP="007262EB">
      <w:pPr>
        <w:pStyle w:val="Heading3"/>
        <w:numPr>
          <w:ilvl w:val="0"/>
          <w:numId w:val="7"/>
        </w:numPr>
        <w:ind w:left="190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At least half of Council from MassHealth members with disabilities, or family members or guardians of MassHealth members with disabilities</w:t>
      </w:r>
    </w:p>
    <w:p w:rsidR="002E7953" w:rsidRPr="007262EB" w:rsidRDefault="002E7953" w:rsidP="007262EB">
      <w:pPr>
        <w:pStyle w:val="Heading3"/>
        <w:numPr>
          <w:ilvl w:val="0"/>
          <w:numId w:val="7"/>
        </w:numPr>
        <w:ind w:left="190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Others to represent community-based organizations, advocacy organizations, unions, and providers</w:t>
      </w:r>
    </w:p>
    <w:p w:rsidR="002E7953" w:rsidRPr="007262EB" w:rsidRDefault="002E7953" w:rsidP="007262EB">
      <w:pPr>
        <w:pStyle w:val="Heading2"/>
        <w:numPr>
          <w:ilvl w:val="0"/>
          <w:numId w:val="1"/>
        </w:numPr>
        <w:ind w:left="1260" w:hanging="54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UMMS will be reaching out to all Council members to:</w:t>
      </w:r>
    </w:p>
    <w:p w:rsidR="002E7953" w:rsidRPr="007262EB" w:rsidRDefault="002E7953" w:rsidP="007262EB">
      <w:pPr>
        <w:pStyle w:val="Heading3"/>
        <w:numPr>
          <w:ilvl w:val="0"/>
          <w:numId w:val="2"/>
        </w:numPr>
        <w:ind w:left="190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 xml:space="preserve">Discuss their engagement on the Council and any barriers they may be experiencing  </w:t>
      </w:r>
    </w:p>
    <w:p w:rsidR="002E7953" w:rsidRPr="007262EB" w:rsidRDefault="002E7953" w:rsidP="007262EB">
      <w:pPr>
        <w:pStyle w:val="Heading3"/>
        <w:numPr>
          <w:ilvl w:val="0"/>
          <w:numId w:val="2"/>
        </w:numPr>
        <w:ind w:left="1900" w:hanging="460"/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Share a recommitment form and request that each Council member indicate their intention to continue to participate on the Council</w:t>
      </w:r>
    </w:p>
    <w:p w:rsidR="002E7953" w:rsidRPr="007262EB" w:rsidRDefault="002E7953" w:rsidP="007262EB">
      <w:pPr>
        <w:pStyle w:val="Heading4"/>
        <w:numPr>
          <w:ilvl w:val="0"/>
          <w:numId w:val="13"/>
        </w:numPr>
        <w:rPr>
          <w:rFonts w:ascii="Calibri" w:hAnsi="Calibri" w:cs="Arial"/>
          <w:b w:val="0"/>
          <w:bCs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bCs w:val="0"/>
          <w:color w:val="auto"/>
          <w:sz w:val="24"/>
          <w:szCs w:val="24"/>
        </w:rPr>
        <w:t>Requesting responses by February 2015</w:t>
      </w:r>
    </w:p>
    <w:p w:rsidR="002E7953" w:rsidRPr="007262EB" w:rsidRDefault="002E7953">
      <w:pPr>
        <w:pStyle w:val="Heading1"/>
        <w:rPr>
          <w:rFonts w:ascii="Calibri" w:hAnsi="Calibri" w:cs="Arial"/>
          <w:color w:val="auto"/>
          <w:sz w:val="24"/>
          <w:szCs w:val="24"/>
        </w:rPr>
      </w:pPr>
    </w:p>
    <w:p w:rsidR="002E7953" w:rsidRPr="007262EB" w:rsidRDefault="002E7953" w:rsidP="00721FF1">
      <w:pPr>
        <w:pStyle w:val="Heading2"/>
        <w:ind w:left="0" w:firstLine="0"/>
        <w:rPr>
          <w:rFonts w:ascii="Calibri" w:hAnsi="Calibri" w:cs="Arial"/>
          <w:color w:val="auto"/>
          <w:sz w:val="24"/>
          <w:szCs w:val="24"/>
        </w:rPr>
      </w:pPr>
    </w:p>
    <w:p w:rsidR="002E7953" w:rsidRDefault="007262EB" w:rsidP="007262EB">
      <w:pPr>
        <w:pStyle w:val="Heading2"/>
        <w:ind w:left="540" w:hanging="540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color w:val="auto"/>
          <w:sz w:val="24"/>
          <w:szCs w:val="24"/>
        </w:rPr>
        <w:t>Slide 11:</w:t>
      </w:r>
    </w:p>
    <w:p w:rsidR="007262EB" w:rsidRDefault="007262EB" w:rsidP="007262EB">
      <w:pPr>
        <w:pStyle w:val="Heading2"/>
        <w:ind w:left="540" w:hanging="540"/>
        <w:rPr>
          <w:rFonts w:ascii="Calibri" w:hAnsi="Calibri" w:cs="Arial"/>
          <w:b w:val="0"/>
          <w:color w:val="auto"/>
          <w:sz w:val="24"/>
          <w:szCs w:val="24"/>
        </w:rPr>
      </w:pPr>
    </w:p>
    <w:p w:rsidR="002E7953" w:rsidRPr="007262EB" w:rsidRDefault="002E7953" w:rsidP="007262EB">
      <w:pPr>
        <w:pStyle w:val="Heading2"/>
        <w:ind w:left="540" w:hanging="540"/>
        <w:rPr>
          <w:rFonts w:ascii="Calibri" w:hAnsi="Calibri" w:cs="Arial"/>
          <w:b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color w:val="auto"/>
          <w:sz w:val="24"/>
          <w:szCs w:val="24"/>
        </w:rPr>
        <w:t xml:space="preserve">Visit us at </w:t>
      </w:r>
      <w:r w:rsidRPr="007262EB">
        <w:rPr>
          <w:rFonts w:ascii="Calibri" w:hAnsi="Calibri" w:cs="Arial"/>
          <w:b w:val="0"/>
          <w:color w:val="auto"/>
          <w:sz w:val="24"/>
          <w:szCs w:val="24"/>
          <w:u w:val="single"/>
        </w:rPr>
        <w:t>www.mass.gov/masshealth/onecare</w:t>
      </w:r>
      <w:r w:rsidRPr="007262EB">
        <w:rPr>
          <w:rFonts w:ascii="Calibri" w:hAnsi="Calibri" w:cs="Arial"/>
          <w:b w:val="0"/>
          <w:color w:val="auto"/>
          <w:sz w:val="24"/>
          <w:szCs w:val="24"/>
        </w:rPr>
        <w:t xml:space="preserve"> </w:t>
      </w:r>
    </w:p>
    <w:p w:rsidR="002E7953" w:rsidRPr="007262EB" w:rsidRDefault="002E7953" w:rsidP="007262EB">
      <w:pPr>
        <w:pStyle w:val="Heading2"/>
        <w:ind w:left="0" w:firstLine="0"/>
        <w:rPr>
          <w:rFonts w:ascii="Calibri" w:hAnsi="Calibri" w:cs="Arial"/>
          <w:b w:val="0"/>
          <w:color w:val="auto"/>
          <w:sz w:val="24"/>
          <w:szCs w:val="24"/>
        </w:rPr>
      </w:pPr>
      <w:r w:rsidRPr="007262EB">
        <w:rPr>
          <w:rFonts w:ascii="Calibri" w:hAnsi="Calibri" w:cs="Arial"/>
          <w:b w:val="0"/>
          <w:color w:val="auto"/>
          <w:sz w:val="24"/>
          <w:szCs w:val="24"/>
        </w:rPr>
        <w:t xml:space="preserve">Email us at </w:t>
      </w:r>
      <w:r w:rsidRPr="007262EB">
        <w:rPr>
          <w:rFonts w:ascii="Calibri" w:hAnsi="Calibri" w:cs="Arial"/>
          <w:b w:val="0"/>
          <w:color w:val="auto"/>
          <w:sz w:val="24"/>
          <w:szCs w:val="24"/>
          <w:u w:val="single"/>
        </w:rPr>
        <w:t>OneCare@state.ma.us</w:t>
      </w:r>
    </w:p>
    <w:p w:rsidR="007262EB" w:rsidRPr="007262EB" w:rsidRDefault="007262EB">
      <w:pPr>
        <w:pStyle w:val="Heading2"/>
        <w:ind w:left="540" w:hanging="540"/>
        <w:rPr>
          <w:rFonts w:ascii="Calibri" w:hAnsi="Calibri" w:cs="Arial"/>
          <w:color w:val="auto"/>
          <w:sz w:val="24"/>
          <w:szCs w:val="24"/>
        </w:rPr>
      </w:pPr>
    </w:p>
    <w:sectPr w:rsidR="007262EB" w:rsidRPr="007262EB" w:rsidSect="00721FF1">
      <w:footerReference w:type="default" r:id="rId8"/>
      <w:pgSz w:w="12240" w:h="15840"/>
      <w:pgMar w:top="864" w:right="1440" w:bottom="86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893" w:rsidRDefault="00C52893" w:rsidP="0017155E">
      <w:pPr>
        <w:spacing w:after="0" w:line="240" w:lineRule="auto"/>
      </w:pPr>
      <w:r>
        <w:separator/>
      </w:r>
    </w:p>
  </w:endnote>
  <w:endnote w:type="continuationSeparator" w:id="0">
    <w:p w:rsidR="00C52893" w:rsidRDefault="00C52893" w:rsidP="0017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2EB" w:rsidRDefault="007262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22FB">
      <w:rPr>
        <w:noProof/>
      </w:rPr>
      <w:t>1</w:t>
    </w:r>
    <w:r>
      <w:fldChar w:fldCharType="end"/>
    </w:r>
  </w:p>
  <w:p w:rsidR="0017155E" w:rsidRDefault="00171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893" w:rsidRDefault="00C52893" w:rsidP="0017155E">
      <w:pPr>
        <w:spacing w:after="0" w:line="240" w:lineRule="auto"/>
      </w:pPr>
      <w:r>
        <w:separator/>
      </w:r>
    </w:p>
  </w:footnote>
  <w:footnote w:type="continuationSeparator" w:id="0">
    <w:p w:rsidR="00C52893" w:rsidRDefault="00C52893" w:rsidP="00171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44D2DA"/>
    <w:lvl w:ilvl="0">
      <w:numFmt w:val="bullet"/>
      <w:lvlText w:val="*"/>
      <w:lvlJc w:val="left"/>
    </w:lvl>
  </w:abstractNum>
  <w:abstractNum w:abstractNumId="1">
    <w:nsid w:val="1F4B31E9"/>
    <w:multiLevelType w:val="hybridMultilevel"/>
    <w:tmpl w:val="E3E2F824"/>
    <w:lvl w:ilvl="0" w:tplc="5FEC62C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B208F"/>
    <w:multiLevelType w:val="hybridMultilevel"/>
    <w:tmpl w:val="9A7C2956"/>
    <w:lvl w:ilvl="0" w:tplc="5FEC62C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7079D"/>
    <w:multiLevelType w:val="hybridMultilevel"/>
    <w:tmpl w:val="95EE4EE4"/>
    <w:lvl w:ilvl="0" w:tplc="5FEC62C4">
      <w:start w:val="1"/>
      <w:numFmt w:val="bullet"/>
      <w:lvlText w:val="-"/>
      <w:lvlJc w:val="left"/>
      <w:pPr>
        <w:ind w:left="90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65B801FB"/>
    <w:multiLevelType w:val="hybridMultilevel"/>
    <w:tmpl w:val="54D293D4"/>
    <w:lvl w:ilvl="0" w:tplc="5FEC62C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3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5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6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40"/>
        </w:rPr>
      </w:lvl>
    </w:lvlOverride>
  </w:num>
  <w:num w:numId="9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10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32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44"/>
        </w:rPr>
      </w:lvl>
    </w:lvlOverride>
  </w:num>
  <w:num w:numId="14">
    <w:abstractNumId w:val="1"/>
  </w:num>
  <w:num w:numId="15">
    <w:abstractNumId w:val="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5E"/>
    <w:rsid w:val="001322FB"/>
    <w:rsid w:val="0017155E"/>
    <w:rsid w:val="002E7953"/>
    <w:rsid w:val="00371277"/>
    <w:rsid w:val="0046271D"/>
    <w:rsid w:val="004D269C"/>
    <w:rsid w:val="0063102E"/>
    <w:rsid w:val="00721FF1"/>
    <w:rsid w:val="007262EB"/>
    <w:rsid w:val="00750D05"/>
    <w:rsid w:val="008075AA"/>
    <w:rsid w:val="00C52893"/>
    <w:rsid w:val="00DD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0" w:hanging="460"/>
      <w:outlineLvl w:val="1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b/>
      <w:bCs/>
      <w:color w:val="000000"/>
      <w:sz w:val="56"/>
      <w:szCs w:val="5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1715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155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71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155E"/>
    <w:rPr>
      <w:rFonts w:cs="Times New Roman"/>
    </w:rPr>
  </w:style>
  <w:style w:type="table" w:styleId="TableGrid">
    <w:name w:val="Table Grid"/>
    <w:basedOn w:val="TableNormal"/>
    <w:uiPriority w:val="59"/>
    <w:rsid w:val="00DD1B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62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80" w:hanging="460"/>
      <w:outlineLvl w:val="1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Arial" w:eastAsia="MS PGothic" w:hAnsi="Times New Roman" w:cs="MS PGothic"/>
      <w:b/>
      <w:bCs/>
      <w:color w:val="000000"/>
      <w:sz w:val="56"/>
      <w:szCs w:val="5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b/>
      <w:bCs/>
      <w:color w:val="000000"/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b/>
      <w:bCs/>
      <w:color w:val="000000"/>
      <w:sz w:val="56"/>
      <w:szCs w:val="5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1715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155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71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155E"/>
    <w:rPr>
      <w:rFonts w:cs="Times New Roman"/>
    </w:rPr>
  </w:style>
  <w:style w:type="table" w:styleId="TableGrid">
    <w:name w:val="Table Grid"/>
    <w:basedOn w:val="TableNormal"/>
    <w:uiPriority w:val="59"/>
    <w:rsid w:val="00DD1B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62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8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Kate</dc:creator>
  <cp:lastModifiedBy>Jenna</cp:lastModifiedBy>
  <cp:revision>2</cp:revision>
  <dcterms:created xsi:type="dcterms:W3CDTF">2017-10-30T14:27:00Z</dcterms:created>
  <dcterms:modified xsi:type="dcterms:W3CDTF">2017-10-30T14:27:00Z</dcterms:modified>
</cp:coreProperties>
</file>