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87" w:rsidRPr="004413AE" w:rsidRDefault="005463B9">
      <w:pPr>
        <w:rPr>
          <w:rFonts w:ascii="Times New Roman" w:hAnsi="Times New Roman" w:cs="Times New Roman"/>
          <w:b/>
          <w:sz w:val="28"/>
          <w:szCs w:val="28"/>
          <w:u w:val="single"/>
        </w:rPr>
      </w:pPr>
      <w:bookmarkStart w:id="0" w:name="_GoBack"/>
      <w:bookmarkEnd w:id="0"/>
      <w:r w:rsidRPr="004413AE">
        <w:rPr>
          <w:rFonts w:ascii="Times New Roman" w:hAnsi="Times New Roman" w:cs="Times New Roman"/>
          <w:b/>
          <w:sz w:val="28"/>
          <w:szCs w:val="28"/>
          <w:u w:val="single"/>
        </w:rPr>
        <w:t>Slide 1</w:t>
      </w:r>
    </w:p>
    <w:p w:rsidR="005463B9" w:rsidRPr="004413AE" w:rsidRDefault="005463B9">
      <w:pPr>
        <w:rPr>
          <w:rFonts w:ascii="Times New Roman" w:hAnsi="Times New Roman" w:cs="Times New Roman"/>
          <w:b/>
          <w:sz w:val="28"/>
          <w:szCs w:val="28"/>
          <w:u w:val="single"/>
        </w:rPr>
      </w:pPr>
    </w:p>
    <w:p w:rsidR="005463B9" w:rsidRPr="004413AE" w:rsidRDefault="005463B9" w:rsidP="005463B9">
      <w:pPr>
        <w:rPr>
          <w:rFonts w:ascii="Times New Roman" w:eastAsia="Times New Roman" w:hAnsi="Times New Roman" w:cs="Times New Roman"/>
          <w:sz w:val="28"/>
          <w:szCs w:val="28"/>
        </w:rPr>
      </w:pPr>
      <w:r w:rsidRPr="004413AE">
        <w:rPr>
          <w:rFonts w:ascii="Times New Roman" w:eastAsiaTheme="minorEastAsia" w:hAnsi="Times New Roman" w:cs="Times New Roman"/>
          <w:kern w:val="24"/>
          <w:sz w:val="28"/>
          <w:szCs w:val="28"/>
        </w:rPr>
        <w:t xml:space="preserve">One Care: </w:t>
      </w:r>
    </w:p>
    <w:p w:rsidR="005463B9" w:rsidRPr="004413AE" w:rsidRDefault="005463B9" w:rsidP="005463B9">
      <w:pPr>
        <w:rPr>
          <w:rFonts w:ascii="Times New Roman" w:eastAsiaTheme="minorEastAsia" w:hAnsi="Times New Roman" w:cs="Times New Roman"/>
          <w:kern w:val="24"/>
          <w:sz w:val="28"/>
          <w:szCs w:val="28"/>
        </w:rPr>
      </w:pPr>
      <w:r w:rsidRPr="004413AE">
        <w:rPr>
          <w:rFonts w:ascii="Times New Roman" w:eastAsiaTheme="minorEastAsia" w:hAnsi="Times New Roman" w:cs="Times New Roman"/>
          <w:kern w:val="24"/>
          <w:sz w:val="28"/>
          <w:szCs w:val="28"/>
        </w:rPr>
        <w:t>Implementation Council Meeting</w:t>
      </w:r>
    </w:p>
    <w:p w:rsidR="005463B9" w:rsidRPr="004413AE" w:rsidRDefault="005463B9" w:rsidP="005463B9">
      <w:pPr>
        <w:rPr>
          <w:rFonts w:ascii="Times New Roman" w:eastAsiaTheme="minorEastAsia" w:hAnsi="Times New Roman" w:cs="Times New Roman"/>
          <w:kern w:val="24"/>
          <w:sz w:val="28"/>
          <w:szCs w:val="28"/>
        </w:rPr>
      </w:pPr>
    </w:p>
    <w:p w:rsidR="005463B9" w:rsidRPr="004413AE" w:rsidRDefault="005463B9" w:rsidP="005463B9">
      <w:pPr>
        <w:pStyle w:val="NormalWeb"/>
        <w:spacing w:before="0" w:beforeAutospacing="0" w:after="0" w:afterAutospacing="0"/>
        <w:rPr>
          <w:rFonts w:eastAsiaTheme="minorEastAsia"/>
          <w:sz w:val="28"/>
          <w:szCs w:val="28"/>
        </w:rPr>
      </w:pPr>
      <w:r w:rsidRPr="004413AE">
        <w:rPr>
          <w:rFonts w:eastAsiaTheme="minorEastAsia"/>
          <w:sz w:val="28"/>
          <w:szCs w:val="28"/>
        </w:rPr>
        <w:t>Executive Office of Health &amp; Human Services</w:t>
      </w:r>
    </w:p>
    <w:p w:rsidR="005463B9" w:rsidRPr="004413AE" w:rsidRDefault="005463B9" w:rsidP="005463B9">
      <w:pPr>
        <w:pStyle w:val="NormalWeb"/>
        <w:spacing w:before="0" w:beforeAutospacing="0" w:after="0" w:afterAutospacing="0"/>
        <w:rPr>
          <w:rFonts w:eastAsiaTheme="minorEastAsia"/>
          <w:sz w:val="28"/>
          <w:szCs w:val="28"/>
        </w:rPr>
      </w:pPr>
    </w:p>
    <w:p w:rsidR="005463B9" w:rsidRPr="004413AE" w:rsidRDefault="005463B9" w:rsidP="005463B9">
      <w:pPr>
        <w:pStyle w:val="NormalWeb"/>
        <w:spacing w:before="0" w:beforeAutospacing="0" w:after="0" w:afterAutospacing="0"/>
        <w:rPr>
          <w:rFonts w:eastAsiaTheme="minorEastAsia"/>
          <w:kern w:val="24"/>
          <w:sz w:val="28"/>
          <w:szCs w:val="28"/>
        </w:rPr>
      </w:pPr>
      <w:r w:rsidRPr="004413AE">
        <w:rPr>
          <w:rFonts w:eastAsiaTheme="minorEastAsia"/>
          <w:kern w:val="24"/>
          <w:sz w:val="28"/>
          <w:szCs w:val="28"/>
        </w:rPr>
        <w:t xml:space="preserve">MassHealth Demonstration </w:t>
      </w:r>
      <w:r w:rsidRPr="004413AE">
        <w:rPr>
          <w:rFonts w:eastAsiaTheme="minorEastAsia"/>
          <w:kern w:val="24"/>
          <w:sz w:val="28"/>
          <w:szCs w:val="28"/>
        </w:rPr>
        <w:br/>
        <w:t>to Integrate Care for Dual Eligibles</w:t>
      </w:r>
    </w:p>
    <w:p w:rsidR="005463B9" w:rsidRPr="004413AE" w:rsidRDefault="005463B9" w:rsidP="005463B9">
      <w:pPr>
        <w:pStyle w:val="NormalWeb"/>
        <w:spacing w:before="0" w:beforeAutospacing="0" w:after="0" w:afterAutospacing="0"/>
        <w:rPr>
          <w:rFonts w:eastAsiaTheme="minorEastAsia"/>
          <w:kern w:val="24"/>
          <w:sz w:val="28"/>
          <w:szCs w:val="28"/>
        </w:rPr>
      </w:pPr>
    </w:p>
    <w:p w:rsidR="005463B9" w:rsidRPr="004413AE" w:rsidRDefault="005463B9" w:rsidP="005463B9">
      <w:pPr>
        <w:pStyle w:val="NormalWeb"/>
        <w:spacing w:before="0" w:beforeAutospacing="0" w:after="0" w:afterAutospacing="0"/>
        <w:rPr>
          <w:sz w:val="28"/>
          <w:szCs w:val="28"/>
        </w:rPr>
      </w:pPr>
      <w:r w:rsidRPr="004413AE">
        <w:rPr>
          <w:rFonts w:eastAsiaTheme="minorEastAsia"/>
          <w:kern w:val="24"/>
          <w:sz w:val="28"/>
          <w:szCs w:val="28"/>
        </w:rPr>
        <w:t>June 17, 2016, 1:00 PM – 3:00 PM</w:t>
      </w:r>
    </w:p>
    <w:p w:rsidR="005463B9" w:rsidRPr="004413AE" w:rsidRDefault="005463B9" w:rsidP="005463B9">
      <w:pPr>
        <w:pStyle w:val="NormalWeb"/>
        <w:spacing w:before="0" w:beforeAutospacing="0" w:after="0" w:afterAutospacing="0"/>
        <w:rPr>
          <w:sz w:val="28"/>
          <w:szCs w:val="28"/>
        </w:rPr>
      </w:pPr>
      <w:r w:rsidRPr="004413AE">
        <w:rPr>
          <w:rFonts w:eastAsiaTheme="minorEastAsia"/>
          <w:kern w:val="24"/>
          <w:sz w:val="28"/>
          <w:szCs w:val="28"/>
        </w:rPr>
        <w:t xml:space="preserve">250 Washington Street, 2nd Floor </w:t>
      </w:r>
    </w:p>
    <w:p w:rsidR="005463B9" w:rsidRPr="004413AE" w:rsidRDefault="005463B9" w:rsidP="005463B9">
      <w:pPr>
        <w:pStyle w:val="NormalWeb"/>
        <w:spacing w:before="0" w:beforeAutospacing="0" w:after="0" w:afterAutospacing="0"/>
        <w:rPr>
          <w:rFonts w:eastAsiaTheme="minorEastAsia"/>
          <w:kern w:val="24"/>
          <w:sz w:val="28"/>
          <w:szCs w:val="28"/>
        </w:rPr>
      </w:pPr>
      <w:r w:rsidRPr="004413AE">
        <w:rPr>
          <w:rFonts w:eastAsiaTheme="minorEastAsia"/>
          <w:kern w:val="24"/>
          <w:sz w:val="28"/>
          <w:szCs w:val="28"/>
        </w:rPr>
        <w:t>Public Health Conference Room</w:t>
      </w:r>
      <w:r w:rsidRPr="004413AE">
        <w:rPr>
          <w:rFonts w:eastAsiaTheme="minorEastAsia"/>
          <w:kern w:val="24"/>
          <w:sz w:val="28"/>
          <w:szCs w:val="28"/>
        </w:rPr>
        <w:br/>
        <w:t>Boston, MA</w:t>
      </w:r>
    </w:p>
    <w:p w:rsidR="005463B9" w:rsidRPr="004413AE" w:rsidRDefault="005463B9" w:rsidP="005463B9">
      <w:pPr>
        <w:pStyle w:val="NormalWeb"/>
        <w:spacing w:before="0" w:beforeAutospacing="0" w:after="0" w:afterAutospacing="0"/>
        <w:rPr>
          <w:rFonts w:eastAsiaTheme="minorEastAsia"/>
          <w:kern w:val="24"/>
          <w:sz w:val="28"/>
          <w:szCs w:val="28"/>
        </w:rPr>
      </w:pPr>
    </w:p>
    <w:p w:rsidR="005463B9" w:rsidRPr="004413AE" w:rsidRDefault="005463B9" w:rsidP="005463B9">
      <w:pPr>
        <w:pStyle w:val="NormalWeb"/>
        <w:spacing w:before="0" w:beforeAutospacing="0" w:after="0" w:afterAutospacing="0"/>
        <w:rPr>
          <w:rFonts w:eastAsiaTheme="minorEastAsia"/>
          <w:b/>
          <w:kern w:val="24"/>
          <w:sz w:val="28"/>
          <w:szCs w:val="28"/>
          <w:u w:val="single"/>
        </w:rPr>
      </w:pPr>
      <w:r w:rsidRPr="004413AE">
        <w:rPr>
          <w:rFonts w:eastAsiaTheme="minorEastAsia"/>
          <w:b/>
          <w:kern w:val="24"/>
          <w:sz w:val="28"/>
          <w:szCs w:val="28"/>
          <w:u w:val="single"/>
        </w:rPr>
        <w:t>Slide 2</w:t>
      </w:r>
    </w:p>
    <w:p w:rsidR="005463B9" w:rsidRPr="004413AE" w:rsidRDefault="005463B9" w:rsidP="005463B9">
      <w:pPr>
        <w:pStyle w:val="NormalWeb"/>
        <w:spacing w:before="0" w:beforeAutospacing="0" w:after="0" w:afterAutospacing="0"/>
        <w:rPr>
          <w:rFonts w:eastAsiaTheme="minorEastAsia"/>
          <w:b/>
          <w:kern w:val="24"/>
          <w:sz w:val="28"/>
          <w:szCs w:val="28"/>
          <w:u w:val="single"/>
        </w:rPr>
      </w:pPr>
    </w:p>
    <w:p w:rsidR="005463B9" w:rsidRPr="004413AE" w:rsidRDefault="005463B9" w:rsidP="005463B9">
      <w:pPr>
        <w:pStyle w:val="NormalWeb"/>
        <w:spacing w:before="0" w:beforeAutospacing="0" w:after="0" w:afterAutospacing="0"/>
        <w:rPr>
          <w:rFonts w:eastAsiaTheme="majorEastAsia"/>
          <w:b/>
          <w:bCs/>
          <w:position w:val="1"/>
          <w:sz w:val="28"/>
          <w:szCs w:val="28"/>
        </w:rPr>
      </w:pPr>
      <w:r w:rsidRPr="004413AE">
        <w:rPr>
          <w:rFonts w:eastAsiaTheme="majorEastAsia"/>
          <w:b/>
          <w:bCs/>
          <w:position w:val="1"/>
          <w:sz w:val="28"/>
          <w:szCs w:val="28"/>
        </w:rPr>
        <w:t>One Care Enrollment Update</w:t>
      </w:r>
    </w:p>
    <w:p w:rsidR="005463B9" w:rsidRPr="004413AE" w:rsidRDefault="005463B9" w:rsidP="005463B9">
      <w:pPr>
        <w:pStyle w:val="NormalWeb"/>
        <w:spacing w:before="0" w:beforeAutospacing="0" w:after="0" w:afterAutospacing="0"/>
        <w:rPr>
          <w:rFonts w:eastAsiaTheme="majorEastAsia"/>
          <w:b/>
          <w:bCs/>
          <w:position w:val="1"/>
          <w:sz w:val="28"/>
          <w:szCs w:val="28"/>
        </w:rPr>
      </w:pPr>
    </w:p>
    <w:p w:rsidR="005463B9" w:rsidRPr="004413AE" w:rsidRDefault="005463B9" w:rsidP="005463B9">
      <w:pPr>
        <w:pStyle w:val="ListParagraph"/>
        <w:numPr>
          <w:ilvl w:val="0"/>
          <w:numId w:val="1"/>
        </w:numPr>
        <w:spacing w:line="216" w:lineRule="auto"/>
        <w:rPr>
          <w:sz w:val="28"/>
          <w:szCs w:val="28"/>
        </w:rPr>
      </w:pPr>
      <w:r w:rsidRPr="004413AE">
        <w:rPr>
          <w:rFonts w:eastAsiaTheme="minorEastAsia"/>
          <w:kern w:val="24"/>
          <w:sz w:val="28"/>
          <w:szCs w:val="28"/>
        </w:rPr>
        <w:t xml:space="preserve">We are very pleased to announce that Commonwealth Care Alliance (CCA) is accepting new One Care enrollments in </w:t>
      </w:r>
      <w:r w:rsidRPr="004413AE">
        <w:rPr>
          <w:rFonts w:eastAsiaTheme="minorEastAsia"/>
          <w:b/>
          <w:bCs/>
          <w:kern w:val="24"/>
          <w:sz w:val="28"/>
          <w:szCs w:val="28"/>
        </w:rPr>
        <w:t>all of their covered counties</w:t>
      </w:r>
      <w:r w:rsidRPr="004413AE">
        <w:rPr>
          <w:rFonts w:eastAsiaTheme="minorEastAsia"/>
          <w:kern w:val="24"/>
          <w:sz w:val="28"/>
          <w:szCs w:val="28"/>
        </w:rPr>
        <w:t>.</w:t>
      </w:r>
      <w:r w:rsidRPr="004413AE">
        <w:rPr>
          <w:rFonts w:eastAsiaTheme="minorEastAsia"/>
          <w:kern w:val="24"/>
          <w:sz w:val="28"/>
          <w:szCs w:val="28"/>
        </w:rPr>
        <w:br/>
        <w:t xml:space="preserve">  </w:t>
      </w:r>
    </w:p>
    <w:p w:rsidR="005463B9" w:rsidRPr="004413AE" w:rsidRDefault="005463B9" w:rsidP="005463B9">
      <w:pPr>
        <w:pStyle w:val="ListParagraph"/>
        <w:numPr>
          <w:ilvl w:val="0"/>
          <w:numId w:val="1"/>
        </w:numPr>
        <w:spacing w:line="216" w:lineRule="auto"/>
        <w:rPr>
          <w:sz w:val="28"/>
          <w:szCs w:val="28"/>
        </w:rPr>
      </w:pPr>
      <w:r w:rsidRPr="004413AE">
        <w:rPr>
          <w:rFonts w:eastAsiaTheme="minorEastAsia"/>
          <w:kern w:val="24"/>
          <w:sz w:val="28"/>
          <w:szCs w:val="28"/>
        </w:rPr>
        <w:t>This is a great sign that the package of financial adjustments made by MassHealth and CMS last fall is helping to bring stability to the One Care program.</w:t>
      </w:r>
      <w:r w:rsidRPr="004413AE">
        <w:rPr>
          <w:rFonts w:eastAsiaTheme="minorEastAsia"/>
          <w:kern w:val="24"/>
          <w:sz w:val="28"/>
          <w:szCs w:val="28"/>
        </w:rPr>
        <w:br/>
      </w:r>
    </w:p>
    <w:p w:rsidR="005463B9" w:rsidRPr="004413AE" w:rsidRDefault="005463B9" w:rsidP="005463B9">
      <w:pPr>
        <w:pStyle w:val="ListParagraph"/>
        <w:numPr>
          <w:ilvl w:val="0"/>
          <w:numId w:val="1"/>
        </w:numPr>
        <w:spacing w:line="216" w:lineRule="auto"/>
        <w:rPr>
          <w:sz w:val="28"/>
          <w:szCs w:val="28"/>
        </w:rPr>
      </w:pPr>
      <w:r w:rsidRPr="004413AE">
        <w:rPr>
          <w:rFonts w:eastAsiaTheme="minorEastAsia"/>
          <w:kern w:val="24"/>
          <w:sz w:val="28"/>
          <w:szCs w:val="28"/>
        </w:rPr>
        <w:t>Eligible members in Suffolk and Worcester counties can now choose to enroll in One Care through either CCA or Tufts Health Unify.</w:t>
      </w:r>
      <w:r w:rsidRPr="004413AE">
        <w:rPr>
          <w:rFonts w:eastAsiaTheme="minorEastAsia"/>
          <w:kern w:val="24"/>
          <w:sz w:val="28"/>
          <w:szCs w:val="28"/>
        </w:rPr>
        <w:br/>
      </w:r>
    </w:p>
    <w:p w:rsidR="005463B9" w:rsidRPr="004413AE" w:rsidRDefault="005463B9" w:rsidP="005463B9">
      <w:pPr>
        <w:pStyle w:val="ListParagraph"/>
        <w:numPr>
          <w:ilvl w:val="0"/>
          <w:numId w:val="1"/>
        </w:numPr>
        <w:spacing w:line="216" w:lineRule="auto"/>
        <w:rPr>
          <w:sz w:val="28"/>
          <w:szCs w:val="28"/>
        </w:rPr>
      </w:pPr>
      <w:r w:rsidRPr="004413AE">
        <w:rPr>
          <w:rFonts w:eastAsiaTheme="minorEastAsia"/>
          <w:kern w:val="24"/>
          <w:sz w:val="28"/>
          <w:szCs w:val="28"/>
        </w:rPr>
        <w:t>Eligible members in the following additional counties can now enroll in One Care through CCA: Essex, Franklin, Hampden, Hampshire, Middlesex, Norfolk, and Plymouth*</w:t>
      </w:r>
      <w:r w:rsidRPr="004413AE">
        <w:rPr>
          <w:rFonts w:eastAsiaTheme="minorEastAsia"/>
          <w:kern w:val="24"/>
          <w:sz w:val="28"/>
          <w:szCs w:val="28"/>
        </w:rPr>
        <w:br/>
      </w:r>
    </w:p>
    <w:p w:rsidR="005463B9" w:rsidRPr="004413AE" w:rsidRDefault="005463B9" w:rsidP="005463B9">
      <w:pPr>
        <w:pStyle w:val="ListParagraph"/>
        <w:numPr>
          <w:ilvl w:val="0"/>
          <w:numId w:val="1"/>
        </w:numPr>
        <w:spacing w:line="216" w:lineRule="auto"/>
        <w:rPr>
          <w:sz w:val="28"/>
          <w:szCs w:val="28"/>
        </w:rPr>
      </w:pPr>
      <w:r w:rsidRPr="004413AE">
        <w:rPr>
          <w:rFonts w:eastAsiaTheme="minorEastAsia"/>
          <w:kern w:val="24"/>
          <w:sz w:val="28"/>
          <w:szCs w:val="28"/>
        </w:rPr>
        <w:t xml:space="preserve">To enroll in One Care, contact MassHealth Customer Service (Monday–Friday, 8:00 a.m. – 5:00 p.m.) at 1-800-841-2900 or TTY: 1-800-497-4648 (for people who are deaf, hard of hearing, or speech disabled). The call is free. For more information about One Care, please visit: </w:t>
      </w:r>
      <w:hyperlink r:id="rId6" w:history="1">
        <w:r w:rsidRPr="004413AE">
          <w:rPr>
            <w:rStyle w:val="Hyperlink"/>
            <w:rFonts w:eastAsiaTheme="minorEastAsia"/>
            <w:color w:val="auto"/>
            <w:kern w:val="24"/>
            <w:sz w:val="28"/>
            <w:szCs w:val="28"/>
          </w:rPr>
          <w:t>www.mass.gov/masshealth/onecare</w:t>
        </w:r>
      </w:hyperlink>
      <w:r w:rsidRPr="004413AE">
        <w:rPr>
          <w:rFonts w:eastAsiaTheme="minorEastAsia"/>
          <w:kern w:val="24"/>
          <w:sz w:val="28"/>
          <w:szCs w:val="28"/>
        </w:rPr>
        <w:t>.</w:t>
      </w:r>
    </w:p>
    <w:p w:rsidR="006B6F65" w:rsidRPr="004413AE" w:rsidRDefault="006B6F65" w:rsidP="006B6F65">
      <w:pPr>
        <w:spacing w:line="216" w:lineRule="auto"/>
        <w:ind w:left="360"/>
        <w:rPr>
          <w:sz w:val="28"/>
          <w:szCs w:val="28"/>
        </w:rPr>
      </w:pPr>
    </w:p>
    <w:p w:rsidR="006B6F65" w:rsidRPr="004413AE" w:rsidRDefault="006B6F65" w:rsidP="006B6F65">
      <w:pPr>
        <w:spacing w:line="216" w:lineRule="auto"/>
        <w:ind w:left="360"/>
        <w:rPr>
          <w:sz w:val="28"/>
          <w:szCs w:val="28"/>
        </w:rPr>
      </w:pPr>
      <w:r w:rsidRPr="004413AE">
        <w:rPr>
          <w:i/>
          <w:iCs/>
          <w:sz w:val="28"/>
          <w:szCs w:val="28"/>
        </w:rPr>
        <w:t>*Commonwealth Care Alliance’s service area includes all of Plymouth County except for the towns of East Wareham, Lakeville, Marion, Mattapoisett, Wareham, and West Wareham.</w:t>
      </w:r>
    </w:p>
    <w:p w:rsidR="006B6F65" w:rsidRPr="004413AE" w:rsidRDefault="006B6F65" w:rsidP="006B6F65">
      <w:pPr>
        <w:spacing w:line="216" w:lineRule="auto"/>
        <w:rPr>
          <w:sz w:val="28"/>
          <w:szCs w:val="28"/>
        </w:rPr>
      </w:pPr>
    </w:p>
    <w:p w:rsidR="005463B9" w:rsidRPr="004413AE" w:rsidRDefault="005463B9" w:rsidP="005463B9">
      <w:pPr>
        <w:pStyle w:val="NormalWeb"/>
        <w:spacing w:before="0" w:beforeAutospacing="0" w:after="0" w:afterAutospacing="0"/>
        <w:rPr>
          <w:b/>
          <w:sz w:val="28"/>
          <w:szCs w:val="28"/>
          <w:u w:val="single"/>
        </w:rPr>
      </w:pPr>
    </w:p>
    <w:p w:rsidR="005463B9" w:rsidRPr="004413AE" w:rsidRDefault="005463B9" w:rsidP="005463B9">
      <w:pPr>
        <w:pStyle w:val="NormalWeb"/>
        <w:spacing w:before="0" w:beforeAutospacing="0" w:after="0" w:afterAutospacing="0"/>
        <w:rPr>
          <w:b/>
          <w:sz w:val="28"/>
          <w:szCs w:val="28"/>
          <w:u w:val="single"/>
        </w:rPr>
      </w:pPr>
      <w:r w:rsidRPr="004413AE">
        <w:rPr>
          <w:b/>
          <w:sz w:val="28"/>
          <w:szCs w:val="28"/>
          <w:u w:val="single"/>
        </w:rPr>
        <w:lastRenderedPageBreak/>
        <w:t>Slide 3</w:t>
      </w:r>
    </w:p>
    <w:p w:rsidR="005463B9" w:rsidRPr="004413AE" w:rsidRDefault="005463B9" w:rsidP="005463B9">
      <w:pPr>
        <w:pStyle w:val="NormalWeb"/>
        <w:spacing w:before="0" w:beforeAutospacing="0" w:after="0" w:afterAutospacing="0"/>
        <w:rPr>
          <w:rFonts w:eastAsiaTheme="minorEastAsia"/>
          <w:b/>
          <w:kern w:val="24"/>
          <w:sz w:val="28"/>
          <w:szCs w:val="28"/>
        </w:rPr>
      </w:pPr>
      <w:r w:rsidRPr="004413AE">
        <w:rPr>
          <w:rFonts w:eastAsiaTheme="minorEastAsia"/>
          <w:b/>
          <w:kern w:val="24"/>
          <w:sz w:val="28"/>
          <w:szCs w:val="28"/>
        </w:rPr>
        <w:t>Overview of Quality and Financ</w:t>
      </w:r>
      <w:r w:rsidR="006B6F65" w:rsidRPr="004413AE">
        <w:rPr>
          <w:rFonts w:eastAsiaTheme="minorEastAsia"/>
          <w:b/>
          <w:kern w:val="24"/>
          <w:sz w:val="28"/>
          <w:szCs w:val="28"/>
        </w:rPr>
        <w:t>ial Data Presented at the May 24</w:t>
      </w:r>
      <w:r w:rsidR="00DB4269">
        <w:rPr>
          <w:rFonts w:eastAsiaTheme="minorEastAsia"/>
          <w:b/>
          <w:kern w:val="24"/>
          <w:sz w:val="28"/>
          <w:szCs w:val="28"/>
          <w:vertAlign w:val="superscript"/>
        </w:rPr>
        <w:t xml:space="preserve"> </w:t>
      </w:r>
      <w:r w:rsidRPr="004413AE">
        <w:rPr>
          <w:rFonts w:eastAsiaTheme="minorEastAsia"/>
          <w:b/>
          <w:kern w:val="24"/>
          <w:sz w:val="28"/>
          <w:szCs w:val="28"/>
        </w:rPr>
        <w:t xml:space="preserve">Open Meeting </w:t>
      </w:r>
    </w:p>
    <w:p w:rsidR="005463B9" w:rsidRPr="004413AE" w:rsidRDefault="005463B9" w:rsidP="005463B9">
      <w:pPr>
        <w:pStyle w:val="NormalWeb"/>
        <w:spacing w:before="0" w:beforeAutospacing="0" w:after="0" w:afterAutospacing="0"/>
        <w:rPr>
          <w:rFonts w:eastAsiaTheme="minorEastAsia"/>
          <w:b/>
          <w:kern w:val="24"/>
          <w:sz w:val="28"/>
          <w:szCs w:val="28"/>
        </w:rPr>
      </w:pPr>
    </w:p>
    <w:p w:rsidR="005463B9" w:rsidRPr="004413AE" w:rsidRDefault="005463B9" w:rsidP="005463B9">
      <w:pPr>
        <w:pStyle w:val="NormalWeb"/>
        <w:numPr>
          <w:ilvl w:val="0"/>
          <w:numId w:val="4"/>
        </w:numPr>
        <w:spacing w:before="0" w:beforeAutospacing="0" w:after="0" w:afterAutospacing="0"/>
        <w:rPr>
          <w:sz w:val="28"/>
          <w:szCs w:val="28"/>
        </w:rPr>
      </w:pPr>
      <w:r w:rsidRPr="004413AE">
        <w:rPr>
          <w:rFonts w:eastAsiaTheme="minorEastAsia"/>
          <w:kern w:val="24"/>
          <w:sz w:val="28"/>
          <w:szCs w:val="28"/>
        </w:rPr>
        <w:t>At the May 2</w:t>
      </w:r>
      <w:r w:rsidR="00DB4269">
        <w:rPr>
          <w:rFonts w:eastAsiaTheme="minorEastAsia"/>
          <w:kern w:val="24"/>
          <w:sz w:val="28"/>
          <w:szCs w:val="28"/>
        </w:rPr>
        <w:t>4</w:t>
      </w:r>
      <w:r w:rsidR="006B6F65" w:rsidRPr="004413AE">
        <w:rPr>
          <w:rFonts w:eastAsiaTheme="minorEastAsia"/>
          <w:kern w:val="24"/>
          <w:sz w:val="28"/>
          <w:szCs w:val="28"/>
        </w:rPr>
        <w:t xml:space="preserve"> </w:t>
      </w:r>
      <w:r w:rsidRPr="004413AE">
        <w:rPr>
          <w:rFonts w:eastAsiaTheme="minorEastAsia"/>
          <w:kern w:val="24"/>
          <w:sz w:val="28"/>
          <w:szCs w:val="28"/>
        </w:rPr>
        <w:t>Open Meeting, MassHealth presented One Care quality performance and financial data</w:t>
      </w:r>
    </w:p>
    <w:p w:rsidR="005463B9" w:rsidRPr="004413AE" w:rsidRDefault="005463B9" w:rsidP="005463B9">
      <w:pPr>
        <w:pStyle w:val="NormalWeb"/>
        <w:numPr>
          <w:ilvl w:val="1"/>
          <w:numId w:val="4"/>
        </w:numPr>
        <w:spacing w:before="0" w:beforeAutospacing="0" w:after="0" w:afterAutospacing="0"/>
        <w:rPr>
          <w:sz w:val="28"/>
          <w:szCs w:val="28"/>
        </w:rPr>
      </w:pPr>
      <w:r w:rsidRPr="004413AE">
        <w:rPr>
          <w:rFonts w:eastAsiaTheme="minorEastAsia"/>
          <w:kern w:val="24"/>
          <w:sz w:val="28"/>
          <w:szCs w:val="28"/>
        </w:rPr>
        <w:t>Information on quality performance included data from the following sources:</w:t>
      </w:r>
    </w:p>
    <w:p w:rsidR="005463B9" w:rsidRPr="004413AE" w:rsidRDefault="005463B9" w:rsidP="005463B9">
      <w:pPr>
        <w:pStyle w:val="ListParagraph"/>
        <w:numPr>
          <w:ilvl w:val="2"/>
          <w:numId w:val="5"/>
        </w:numPr>
        <w:rPr>
          <w:sz w:val="28"/>
          <w:szCs w:val="28"/>
        </w:rPr>
      </w:pPr>
      <w:r w:rsidRPr="004413AE">
        <w:rPr>
          <w:rFonts w:eastAsiaTheme="minorEastAsia"/>
          <w:sz w:val="28"/>
          <w:szCs w:val="28"/>
        </w:rPr>
        <w:t>Quality Withhold Performance</w:t>
      </w:r>
    </w:p>
    <w:p w:rsidR="005463B9" w:rsidRPr="004413AE" w:rsidRDefault="005463B9" w:rsidP="005463B9">
      <w:pPr>
        <w:pStyle w:val="ListParagraph"/>
        <w:numPr>
          <w:ilvl w:val="2"/>
          <w:numId w:val="5"/>
        </w:numPr>
        <w:rPr>
          <w:sz w:val="28"/>
          <w:szCs w:val="28"/>
        </w:rPr>
      </w:pPr>
      <w:r w:rsidRPr="004413AE">
        <w:rPr>
          <w:rFonts w:eastAsiaTheme="minorEastAsia"/>
          <w:kern w:val="24"/>
          <w:sz w:val="28"/>
          <w:szCs w:val="28"/>
        </w:rPr>
        <w:t>Consumer Assessment of Healthcare Providers and Systems Survey (</w:t>
      </w:r>
      <w:r w:rsidRPr="004413AE">
        <w:rPr>
          <w:rFonts w:eastAsiaTheme="minorEastAsia"/>
          <w:sz w:val="28"/>
          <w:szCs w:val="28"/>
        </w:rPr>
        <w:t>CAHPS)</w:t>
      </w:r>
    </w:p>
    <w:p w:rsidR="005463B9" w:rsidRPr="004413AE" w:rsidRDefault="005463B9" w:rsidP="005463B9">
      <w:pPr>
        <w:pStyle w:val="ListParagraph"/>
        <w:numPr>
          <w:ilvl w:val="2"/>
          <w:numId w:val="5"/>
        </w:numPr>
        <w:rPr>
          <w:sz w:val="28"/>
          <w:szCs w:val="28"/>
        </w:rPr>
      </w:pPr>
      <w:r w:rsidRPr="004413AE">
        <w:rPr>
          <w:rFonts w:eastAsiaTheme="minorEastAsia"/>
          <w:kern w:val="24"/>
          <w:sz w:val="28"/>
          <w:szCs w:val="28"/>
        </w:rPr>
        <w:t>Healthcare Effectiveness Data and Information Set (</w:t>
      </w:r>
      <w:r w:rsidRPr="004413AE">
        <w:rPr>
          <w:rFonts w:eastAsiaTheme="minorEastAsia"/>
          <w:sz w:val="28"/>
          <w:szCs w:val="28"/>
        </w:rPr>
        <w:t>HEDIS)</w:t>
      </w:r>
    </w:p>
    <w:p w:rsidR="00675689" w:rsidRPr="004413AE" w:rsidRDefault="005463B9" w:rsidP="00DB4269">
      <w:pPr>
        <w:pStyle w:val="ListParagraph"/>
        <w:numPr>
          <w:ilvl w:val="2"/>
          <w:numId w:val="5"/>
        </w:numPr>
        <w:rPr>
          <w:sz w:val="28"/>
          <w:szCs w:val="28"/>
        </w:rPr>
      </w:pPr>
      <w:r w:rsidRPr="004413AE">
        <w:rPr>
          <w:rFonts w:eastAsiaTheme="minorEastAsia"/>
          <w:sz w:val="28"/>
          <w:szCs w:val="28"/>
        </w:rPr>
        <w:t>Grievance Reporting (previously presented to the Council on April 14)</w:t>
      </w:r>
    </w:p>
    <w:p w:rsidR="005463B9" w:rsidRPr="004413AE" w:rsidRDefault="005463B9" w:rsidP="00675689">
      <w:pPr>
        <w:pStyle w:val="ListParagraph"/>
        <w:numPr>
          <w:ilvl w:val="1"/>
          <w:numId w:val="5"/>
        </w:numPr>
        <w:rPr>
          <w:sz w:val="28"/>
          <w:szCs w:val="28"/>
        </w:rPr>
      </w:pPr>
      <w:r w:rsidRPr="004413AE">
        <w:rPr>
          <w:rFonts w:eastAsiaTheme="minorEastAsia"/>
          <w:kern w:val="24"/>
          <w:sz w:val="28"/>
          <w:szCs w:val="28"/>
        </w:rPr>
        <w:t xml:space="preserve">Financial data included: </w:t>
      </w:r>
    </w:p>
    <w:p w:rsidR="005463B9" w:rsidRPr="004413AE" w:rsidRDefault="005463B9" w:rsidP="00675689">
      <w:pPr>
        <w:pStyle w:val="ListParagraph"/>
        <w:numPr>
          <w:ilvl w:val="2"/>
          <w:numId w:val="6"/>
        </w:numPr>
        <w:rPr>
          <w:sz w:val="28"/>
          <w:szCs w:val="28"/>
        </w:rPr>
      </w:pPr>
      <w:r w:rsidRPr="004413AE">
        <w:rPr>
          <w:rFonts w:eastAsiaTheme="minorEastAsia"/>
          <w:sz w:val="28"/>
          <w:szCs w:val="28"/>
        </w:rPr>
        <w:t>Plan financial overviews</w:t>
      </w:r>
    </w:p>
    <w:p w:rsidR="005463B9" w:rsidRPr="004413AE" w:rsidRDefault="005463B9" w:rsidP="00675689">
      <w:pPr>
        <w:pStyle w:val="ListParagraph"/>
        <w:numPr>
          <w:ilvl w:val="2"/>
          <w:numId w:val="6"/>
        </w:numPr>
        <w:rPr>
          <w:sz w:val="28"/>
          <w:szCs w:val="28"/>
        </w:rPr>
      </w:pPr>
      <w:r w:rsidRPr="004413AE">
        <w:rPr>
          <w:rFonts w:eastAsiaTheme="minorEastAsia"/>
          <w:sz w:val="28"/>
          <w:szCs w:val="28"/>
        </w:rPr>
        <w:t>Per Member Per Month (PMPM) spending (by plan and by rating category)</w:t>
      </w:r>
      <w:r w:rsidR="00675689" w:rsidRPr="004413AE">
        <w:rPr>
          <w:rFonts w:eastAsiaTheme="minorEastAsia"/>
          <w:sz w:val="28"/>
          <w:szCs w:val="28"/>
        </w:rPr>
        <w:br/>
      </w:r>
    </w:p>
    <w:p w:rsidR="005463B9" w:rsidRPr="004413AE" w:rsidRDefault="005463B9" w:rsidP="00675689">
      <w:pPr>
        <w:pStyle w:val="ListParagraph"/>
        <w:numPr>
          <w:ilvl w:val="0"/>
          <w:numId w:val="7"/>
        </w:numPr>
        <w:rPr>
          <w:sz w:val="28"/>
          <w:szCs w:val="28"/>
        </w:rPr>
      </w:pPr>
      <w:r w:rsidRPr="004413AE">
        <w:rPr>
          <w:rFonts w:eastAsiaTheme="minorEastAsia"/>
          <w:sz w:val="28"/>
          <w:szCs w:val="28"/>
        </w:rPr>
        <w:t xml:space="preserve">The next few slides are intended to provide a brief summary of some of the data presented at the Open Meeting; Council members are strongly encouraged to view the full deck on the website at: </w:t>
      </w:r>
      <w:hyperlink r:id="rId7" w:history="1">
        <w:r w:rsidRPr="004413AE">
          <w:rPr>
            <w:rStyle w:val="Hyperlink"/>
            <w:rFonts w:eastAsiaTheme="minorEastAsia"/>
            <w:color w:val="auto"/>
            <w:kern w:val="24"/>
            <w:sz w:val="28"/>
            <w:szCs w:val="28"/>
          </w:rPr>
          <w:t>http://</w:t>
        </w:r>
      </w:hyperlink>
      <w:hyperlink r:id="rId8" w:history="1">
        <w:r w:rsidRPr="004413AE">
          <w:rPr>
            <w:rStyle w:val="Hyperlink"/>
            <w:rFonts w:eastAsiaTheme="minorEastAsia"/>
            <w:color w:val="auto"/>
            <w:kern w:val="24"/>
            <w:sz w:val="28"/>
            <w:szCs w:val="28"/>
          </w:rPr>
          <w:t>www.mass.gov/masshealth/duals</w:t>
        </w:r>
      </w:hyperlink>
      <w:r w:rsidR="00675689" w:rsidRPr="004413AE">
        <w:rPr>
          <w:rFonts w:eastAsiaTheme="minorEastAsia"/>
          <w:kern w:val="24"/>
          <w:sz w:val="28"/>
          <w:szCs w:val="28"/>
        </w:rPr>
        <w:br/>
      </w:r>
    </w:p>
    <w:p w:rsidR="005463B9" w:rsidRPr="004413AE" w:rsidRDefault="005463B9" w:rsidP="00675689">
      <w:pPr>
        <w:pStyle w:val="ListParagraph"/>
        <w:numPr>
          <w:ilvl w:val="0"/>
          <w:numId w:val="7"/>
        </w:numPr>
        <w:rPr>
          <w:sz w:val="28"/>
          <w:szCs w:val="28"/>
        </w:rPr>
      </w:pPr>
      <w:r w:rsidRPr="004413AE">
        <w:rPr>
          <w:rFonts w:eastAsiaTheme="minorEastAsia"/>
          <w:sz w:val="28"/>
          <w:szCs w:val="28"/>
        </w:rPr>
        <w:t xml:space="preserve"> MassHealth will be meeting with Council members on the quality workgroup to discuss additional quality metrics the Council is interested in reviewing</w:t>
      </w:r>
    </w:p>
    <w:p w:rsidR="00675689" w:rsidRPr="004413AE" w:rsidRDefault="00675689" w:rsidP="00675689">
      <w:pPr>
        <w:rPr>
          <w:sz w:val="28"/>
          <w:szCs w:val="28"/>
        </w:rPr>
      </w:pPr>
    </w:p>
    <w:p w:rsidR="00675689" w:rsidRPr="004413AE" w:rsidRDefault="00675689" w:rsidP="00675689">
      <w:pPr>
        <w:rPr>
          <w:rFonts w:ascii="Times New Roman" w:hAnsi="Times New Roman" w:cs="Times New Roman"/>
          <w:b/>
          <w:sz w:val="28"/>
          <w:szCs w:val="28"/>
          <w:u w:val="single"/>
        </w:rPr>
      </w:pPr>
      <w:r w:rsidRPr="004413AE">
        <w:rPr>
          <w:rFonts w:ascii="Times New Roman" w:hAnsi="Times New Roman" w:cs="Times New Roman"/>
          <w:b/>
          <w:sz w:val="28"/>
          <w:szCs w:val="28"/>
          <w:u w:val="single"/>
        </w:rPr>
        <w:t>Slide 4</w:t>
      </w:r>
    </w:p>
    <w:p w:rsidR="00675689" w:rsidRPr="004413AE" w:rsidRDefault="00675689" w:rsidP="00675689">
      <w:pPr>
        <w:rPr>
          <w:rFonts w:ascii="Times New Roman" w:hAnsi="Times New Roman" w:cs="Times New Roman"/>
          <w:b/>
          <w:sz w:val="28"/>
          <w:szCs w:val="28"/>
          <w:u w:val="single"/>
        </w:rPr>
      </w:pPr>
    </w:p>
    <w:p w:rsidR="00675689" w:rsidRPr="004413AE" w:rsidRDefault="00675689" w:rsidP="00675689">
      <w:pPr>
        <w:rPr>
          <w:rFonts w:ascii="Times New Roman" w:eastAsia="MS PGothic" w:hAnsi="Times New Roman" w:cs="Times New Roman"/>
          <w:b/>
          <w:sz w:val="28"/>
          <w:szCs w:val="28"/>
        </w:rPr>
      </w:pPr>
      <w:r w:rsidRPr="004413AE">
        <w:rPr>
          <w:rFonts w:ascii="Times New Roman" w:eastAsia="MS PGothic" w:hAnsi="Times New Roman" w:cs="Times New Roman"/>
          <w:b/>
          <w:sz w:val="28"/>
          <w:szCs w:val="28"/>
        </w:rPr>
        <w:t>Brief Summary of Quality and Financial Data Presented at May 2</w:t>
      </w:r>
      <w:r w:rsidR="006B6F65" w:rsidRPr="004413AE">
        <w:rPr>
          <w:rFonts w:ascii="Times New Roman" w:eastAsia="MS PGothic" w:hAnsi="Times New Roman" w:cs="Times New Roman"/>
          <w:b/>
          <w:sz w:val="28"/>
          <w:szCs w:val="28"/>
        </w:rPr>
        <w:t xml:space="preserve">4 </w:t>
      </w:r>
      <w:r w:rsidRPr="004413AE">
        <w:rPr>
          <w:rFonts w:ascii="Times New Roman" w:eastAsia="MS PGothic" w:hAnsi="Times New Roman" w:cs="Times New Roman"/>
          <w:b/>
          <w:sz w:val="28"/>
          <w:szCs w:val="28"/>
        </w:rPr>
        <w:t xml:space="preserve">Open Meeting </w:t>
      </w:r>
    </w:p>
    <w:p w:rsidR="00675689" w:rsidRPr="004413AE" w:rsidRDefault="00675689" w:rsidP="00675689">
      <w:pPr>
        <w:rPr>
          <w:rFonts w:ascii="Times New Roman" w:eastAsia="MS PGothic" w:hAnsi="Times New Roman" w:cs="Times New Roman"/>
          <w:b/>
          <w:sz w:val="28"/>
          <w:szCs w:val="28"/>
        </w:rPr>
      </w:pPr>
    </w:p>
    <w:p w:rsidR="00675689" w:rsidRPr="004413AE" w:rsidRDefault="00675689" w:rsidP="000E5C37">
      <w:pPr>
        <w:pStyle w:val="ListParagraph"/>
        <w:numPr>
          <w:ilvl w:val="0"/>
          <w:numId w:val="8"/>
        </w:numPr>
        <w:rPr>
          <w:sz w:val="28"/>
          <w:szCs w:val="28"/>
        </w:rPr>
      </w:pPr>
      <w:r w:rsidRPr="004413AE">
        <w:rPr>
          <w:rFonts w:eastAsiaTheme="minorEastAsia"/>
          <w:kern w:val="24"/>
          <w:sz w:val="28"/>
          <w:szCs w:val="28"/>
        </w:rPr>
        <w:t>Consumer Assessment of Healthcare Providers and Systems Survey (CAHPS) data (Jul 2014-Dec. 2014):</w:t>
      </w:r>
    </w:p>
    <w:p w:rsidR="000E5C37" w:rsidRPr="004413AE" w:rsidRDefault="00675689" w:rsidP="000E5C37">
      <w:pPr>
        <w:pStyle w:val="ListParagraph"/>
        <w:numPr>
          <w:ilvl w:val="1"/>
          <w:numId w:val="8"/>
        </w:numPr>
        <w:rPr>
          <w:sz w:val="28"/>
          <w:szCs w:val="28"/>
        </w:rPr>
      </w:pPr>
      <w:r w:rsidRPr="004413AE">
        <w:rPr>
          <w:rFonts w:eastAsiaTheme="minorEastAsia"/>
          <w:kern w:val="24"/>
          <w:sz w:val="28"/>
          <w:szCs w:val="28"/>
        </w:rPr>
        <w:t>CCA and Tufts consistently performed better than the Medicare Advantage Average and the Medicare-Medicaid Plan (MMP) Average (capitated model duals demonstrations)</w:t>
      </w:r>
    </w:p>
    <w:p w:rsidR="000E5C37" w:rsidRPr="004413AE" w:rsidRDefault="00675689" w:rsidP="000E5C37">
      <w:pPr>
        <w:pStyle w:val="ListParagraph"/>
        <w:numPr>
          <w:ilvl w:val="1"/>
          <w:numId w:val="8"/>
        </w:numPr>
        <w:rPr>
          <w:sz w:val="28"/>
          <w:szCs w:val="28"/>
        </w:rPr>
      </w:pPr>
      <w:r w:rsidRPr="004413AE">
        <w:rPr>
          <w:rFonts w:eastAsiaTheme="minorEastAsia"/>
          <w:kern w:val="24"/>
          <w:sz w:val="28"/>
          <w:szCs w:val="28"/>
        </w:rPr>
        <w:t xml:space="preserve">CCA out-performed the national averages for Medicare Advantage plans and MMPs on </w:t>
      </w:r>
      <w:r w:rsidRPr="004413AE">
        <w:rPr>
          <w:rFonts w:eastAsiaTheme="minorEastAsia"/>
          <w:kern w:val="24"/>
          <w:sz w:val="28"/>
          <w:szCs w:val="28"/>
          <w:u w:val="single"/>
        </w:rPr>
        <w:t>all composite scores</w:t>
      </w:r>
      <w:r w:rsidRPr="004413AE">
        <w:rPr>
          <w:rFonts w:eastAsiaTheme="minorEastAsia"/>
          <w:kern w:val="24"/>
          <w:sz w:val="28"/>
          <w:szCs w:val="28"/>
        </w:rPr>
        <w:t xml:space="preserve"> and </w:t>
      </w:r>
      <w:r w:rsidRPr="004413AE">
        <w:rPr>
          <w:rFonts w:eastAsiaTheme="minorEastAsia"/>
          <w:kern w:val="24"/>
          <w:sz w:val="28"/>
          <w:szCs w:val="28"/>
          <w:u w:val="single"/>
        </w:rPr>
        <w:t>all individual scores</w:t>
      </w:r>
      <w:r w:rsidRPr="004413AE">
        <w:rPr>
          <w:rFonts w:eastAsiaTheme="minorEastAsia"/>
          <w:kern w:val="24"/>
          <w:sz w:val="28"/>
          <w:szCs w:val="28"/>
        </w:rPr>
        <w:t xml:space="preserve"> for CAHPS patient experience measures</w:t>
      </w:r>
    </w:p>
    <w:p w:rsidR="00675689" w:rsidRPr="004413AE" w:rsidRDefault="00675689" w:rsidP="000E5C37">
      <w:pPr>
        <w:pStyle w:val="ListParagraph"/>
        <w:numPr>
          <w:ilvl w:val="1"/>
          <w:numId w:val="8"/>
        </w:numPr>
        <w:rPr>
          <w:sz w:val="28"/>
          <w:szCs w:val="28"/>
        </w:rPr>
      </w:pPr>
      <w:r w:rsidRPr="004413AE">
        <w:rPr>
          <w:rFonts w:eastAsiaTheme="minorEastAsia"/>
          <w:kern w:val="24"/>
          <w:sz w:val="28"/>
          <w:szCs w:val="28"/>
        </w:rPr>
        <w:t>In each measure, CCA members reported highest satisfaction, followed closely by Tufts members on 3 of their 4 measures</w:t>
      </w:r>
    </w:p>
    <w:p w:rsidR="000E5C37" w:rsidRPr="004413AE" w:rsidRDefault="000E5C37" w:rsidP="000E5C37">
      <w:pPr>
        <w:pStyle w:val="ListParagraph"/>
        <w:ind w:left="1440"/>
        <w:rPr>
          <w:sz w:val="28"/>
          <w:szCs w:val="28"/>
        </w:rPr>
      </w:pPr>
    </w:p>
    <w:p w:rsidR="00675689" w:rsidRPr="004413AE" w:rsidRDefault="00675689" w:rsidP="000E5C37">
      <w:pPr>
        <w:pStyle w:val="ListParagraph"/>
        <w:numPr>
          <w:ilvl w:val="0"/>
          <w:numId w:val="8"/>
        </w:numPr>
        <w:rPr>
          <w:sz w:val="28"/>
          <w:szCs w:val="28"/>
        </w:rPr>
      </w:pPr>
      <w:r w:rsidRPr="004413AE">
        <w:rPr>
          <w:rFonts w:eastAsiaTheme="minorEastAsia"/>
          <w:kern w:val="24"/>
          <w:sz w:val="28"/>
          <w:szCs w:val="28"/>
        </w:rPr>
        <w:lastRenderedPageBreak/>
        <w:t xml:space="preserve">Healthcare Effectiveness Data and Information Set (HEDIS) data (Jan. 2014-Dec. 2014): </w:t>
      </w:r>
    </w:p>
    <w:p w:rsidR="000E5C37" w:rsidRPr="004413AE" w:rsidRDefault="00675689" w:rsidP="000E5C37">
      <w:pPr>
        <w:pStyle w:val="ListParagraph"/>
        <w:numPr>
          <w:ilvl w:val="1"/>
          <w:numId w:val="8"/>
        </w:numPr>
        <w:rPr>
          <w:sz w:val="28"/>
          <w:szCs w:val="28"/>
        </w:rPr>
      </w:pPr>
      <w:r w:rsidRPr="004413AE">
        <w:rPr>
          <w:rFonts w:eastAsiaTheme="minorEastAsia"/>
          <w:kern w:val="24"/>
          <w:sz w:val="28"/>
          <w:szCs w:val="28"/>
        </w:rPr>
        <w:t xml:space="preserve">All three plans participating in Demonstration </w:t>
      </w:r>
      <w:r w:rsidR="00DB4269">
        <w:rPr>
          <w:rFonts w:eastAsiaTheme="minorEastAsia"/>
          <w:kern w:val="24"/>
          <w:sz w:val="28"/>
          <w:szCs w:val="28"/>
        </w:rPr>
        <w:t xml:space="preserve">Year 1 (DY1) scored above the ninetieth </w:t>
      </w:r>
      <w:r w:rsidRPr="004413AE">
        <w:rPr>
          <w:rFonts w:eastAsiaTheme="minorEastAsia"/>
          <w:kern w:val="24"/>
          <w:sz w:val="28"/>
          <w:szCs w:val="28"/>
        </w:rPr>
        <w:t xml:space="preserve">percentile for national Medicaid managed care plans for Adults’ Access to Preventative/Ambulatory Health Services.  </w:t>
      </w:r>
    </w:p>
    <w:p w:rsidR="00675689" w:rsidRPr="004413AE" w:rsidRDefault="00675689" w:rsidP="000E5C37">
      <w:pPr>
        <w:pStyle w:val="ListParagraph"/>
        <w:numPr>
          <w:ilvl w:val="1"/>
          <w:numId w:val="8"/>
        </w:numPr>
        <w:rPr>
          <w:sz w:val="28"/>
          <w:szCs w:val="28"/>
        </w:rPr>
      </w:pPr>
      <w:r w:rsidRPr="004413AE">
        <w:rPr>
          <w:rFonts w:eastAsiaTheme="minorEastAsia"/>
          <w:kern w:val="24"/>
          <w:sz w:val="28"/>
          <w:szCs w:val="28"/>
        </w:rPr>
        <w:t>All three plans had scores m</w:t>
      </w:r>
      <w:r w:rsidR="00DB4269">
        <w:rPr>
          <w:rFonts w:eastAsiaTheme="minorEastAsia"/>
          <w:kern w:val="24"/>
          <w:sz w:val="28"/>
          <w:szCs w:val="28"/>
        </w:rPr>
        <w:t xml:space="preserve">ore than twice as high as the ninetieth </w:t>
      </w:r>
      <w:r w:rsidRPr="004413AE">
        <w:rPr>
          <w:rFonts w:eastAsiaTheme="minorEastAsia"/>
          <w:kern w:val="24"/>
          <w:sz w:val="28"/>
          <w:szCs w:val="28"/>
        </w:rPr>
        <w:t>percentile for the Identification of Alcohol and Other Drug Services, meaning that One Care members with documented substance use issues were more likely to get into treatment services than individuals in the Medicaid managed care population.</w:t>
      </w:r>
    </w:p>
    <w:p w:rsidR="000E5C37" w:rsidRPr="004413AE" w:rsidRDefault="000E5C37" w:rsidP="000E5C37">
      <w:pPr>
        <w:rPr>
          <w:sz w:val="28"/>
          <w:szCs w:val="28"/>
        </w:rPr>
      </w:pPr>
    </w:p>
    <w:p w:rsidR="000E5C37" w:rsidRPr="004413AE" w:rsidRDefault="000E5C37" w:rsidP="000E5C37">
      <w:pPr>
        <w:rPr>
          <w:rFonts w:ascii="Times New Roman" w:hAnsi="Times New Roman" w:cs="Times New Roman"/>
          <w:b/>
          <w:sz w:val="28"/>
          <w:szCs w:val="28"/>
          <w:u w:val="single"/>
        </w:rPr>
      </w:pPr>
      <w:r w:rsidRPr="004413AE">
        <w:rPr>
          <w:rFonts w:ascii="Times New Roman" w:hAnsi="Times New Roman" w:cs="Times New Roman"/>
          <w:b/>
          <w:sz w:val="28"/>
          <w:szCs w:val="28"/>
          <w:u w:val="single"/>
        </w:rPr>
        <w:t>Slide 5</w:t>
      </w:r>
    </w:p>
    <w:p w:rsidR="000E5C37" w:rsidRPr="004413AE" w:rsidRDefault="000E5C37" w:rsidP="000E5C37">
      <w:pPr>
        <w:rPr>
          <w:rFonts w:ascii="Times New Roman" w:hAnsi="Times New Roman" w:cs="Times New Roman"/>
          <w:b/>
          <w:sz w:val="28"/>
          <w:szCs w:val="28"/>
          <w:u w:val="single"/>
        </w:rPr>
      </w:pPr>
    </w:p>
    <w:p w:rsidR="000E5C37" w:rsidRPr="004413AE" w:rsidRDefault="000E5C37" w:rsidP="000E5C37">
      <w:pPr>
        <w:rPr>
          <w:rFonts w:ascii="Times New Roman" w:eastAsia="MS PGothic" w:hAnsi="Times New Roman" w:cs="Times New Roman"/>
          <w:b/>
          <w:sz w:val="28"/>
          <w:szCs w:val="28"/>
        </w:rPr>
      </w:pPr>
      <w:r w:rsidRPr="004413AE">
        <w:rPr>
          <w:rFonts w:ascii="Times New Roman" w:eastAsia="MS PGothic" w:hAnsi="Times New Roman" w:cs="Times New Roman"/>
          <w:b/>
          <w:sz w:val="28"/>
          <w:szCs w:val="28"/>
        </w:rPr>
        <w:t>Brief Summary of Quality and Financial Data Presented at May 24</w:t>
      </w:r>
      <w:r w:rsidR="00DB4269">
        <w:rPr>
          <w:rFonts w:ascii="Times New Roman" w:eastAsia="MS PGothic" w:hAnsi="Times New Roman" w:cs="Times New Roman"/>
          <w:b/>
          <w:position w:val="17"/>
          <w:sz w:val="28"/>
          <w:szCs w:val="28"/>
          <w:vertAlign w:val="superscript"/>
        </w:rPr>
        <w:t xml:space="preserve"> </w:t>
      </w:r>
      <w:r w:rsidRPr="004413AE">
        <w:rPr>
          <w:rFonts w:ascii="Times New Roman" w:eastAsia="MS PGothic" w:hAnsi="Times New Roman" w:cs="Times New Roman"/>
          <w:b/>
          <w:sz w:val="28"/>
          <w:szCs w:val="28"/>
        </w:rPr>
        <w:t>Open Meeting (cont.)</w:t>
      </w:r>
    </w:p>
    <w:p w:rsidR="000E5C37" w:rsidRPr="004413AE" w:rsidRDefault="000E5C37" w:rsidP="000E5C37">
      <w:pPr>
        <w:rPr>
          <w:rFonts w:ascii="Times New Roman" w:eastAsia="MS PGothic" w:hAnsi="Times New Roman" w:cs="Times New Roman"/>
          <w:b/>
          <w:sz w:val="28"/>
          <w:szCs w:val="28"/>
        </w:rPr>
      </w:pPr>
    </w:p>
    <w:p w:rsidR="000E5C37" w:rsidRPr="004413AE" w:rsidRDefault="000E5C37" w:rsidP="000E5C37">
      <w:pPr>
        <w:pStyle w:val="ListParagraph"/>
        <w:numPr>
          <w:ilvl w:val="0"/>
          <w:numId w:val="9"/>
        </w:numPr>
        <w:rPr>
          <w:sz w:val="28"/>
          <w:szCs w:val="28"/>
        </w:rPr>
      </w:pPr>
      <w:r w:rsidRPr="004413AE">
        <w:rPr>
          <w:rFonts w:eastAsiaTheme="minorEastAsia"/>
          <w:kern w:val="24"/>
          <w:sz w:val="28"/>
          <w:szCs w:val="28"/>
        </w:rPr>
        <w:t>Plan Performance on Quality Withhold Measures for Demonstration Year (DY) 1:</w:t>
      </w:r>
    </w:p>
    <w:p w:rsidR="000E5C37" w:rsidRPr="004413AE" w:rsidRDefault="000E5C37" w:rsidP="000E5C37">
      <w:pPr>
        <w:pStyle w:val="ListParagraph"/>
        <w:numPr>
          <w:ilvl w:val="1"/>
          <w:numId w:val="9"/>
        </w:numPr>
        <w:rPr>
          <w:sz w:val="28"/>
          <w:szCs w:val="28"/>
        </w:rPr>
      </w:pPr>
      <w:r w:rsidRPr="004413AE">
        <w:rPr>
          <w:rFonts w:eastAsiaTheme="minorEastAsia"/>
          <w:kern w:val="24"/>
          <w:sz w:val="28"/>
          <w:szCs w:val="28"/>
        </w:rPr>
        <w:t>All three plans passed each measure (Core 2.1, 5.3 and MA 5.1) in 2013 and earned back 100% of their quality payments.</w:t>
      </w:r>
    </w:p>
    <w:p w:rsidR="000E5C37" w:rsidRPr="004413AE" w:rsidRDefault="000E5C37" w:rsidP="000E5C37">
      <w:pPr>
        <w:pStyle w:val="ListParagraph"/>
        <w:numPr>
          <w:ilvl w:val="1"/>
          <w:numId w:val="9"/>
        </w:numPr>
        <w:rPr>
          <w:sz w:val="28"/>
          <w:szCs w:val="28"/>
        </w:rPr>
      </w:pPr>
      <w:r w:rsidRPr="004413AE">
        <w:rPr>
          <w:rFonts w:eastAsiaTheme="minorEastAsia"/>
          <w:kern w:val="24"/>
          <w:sz w:val="28"/>
          <w:szCs w:val="28"/>
        </w:rPr>
        <w:t xml:space="preserve">In 2014, CCA earned 50% back; Fallon earned 100% back, and Tufts earned 75% back; see table below for more details: </w:t>
      </w:r>
    </w:p>
    <w:p w:rsidR="000E5C37" w:rsidRPr="004413AE" w:rsidRDefault="000E5C37" w:rsidP="000E5C37">
      <w:pPr>
        <w:rPr>
          <w:sz w:val="28"/>
          <w:szCs w:val="28"/>
        </w:rPr>
      </w:pPr>
    </w:p>
    <w:p w:rsidR="000E5C37" w:rsidRDefault="000E5C37" w:rsidP="000E5C37">
      <w:pPr>
        <w:rPr>
          <w:rFonts w:ascii="Times New Roman" w:hAnsi="Times New Roman" w:cs="Times New Roman"/>
          <w:b/>
          <w:sz w:val="28"/>
          <w:szCs w:val="28"/>
        </w:rPr>
      </w:pPr>
      <w:r w:rsidRPr="004413AE">
        <w:rPr>
          <w:rFonts w:ascii="Times New Roman" w:hAnsi="Times New Roman" w:cs="Times New Roman"/>
          <w:b/>
          <w:sz w:val="28"/>
          <w:szCs w:val="28"/>
        </w:rPr>
        <w:t>2014 Withhold Measures</w:t>
      </w:r>
    </w:p>
    <w:tbl>
      <w:tblPr>
        <w:tblStyle w:val="TableGrid"/>
        <w:tblW w:w="0" w:type="auto"/>
        <w:tblLook w:val="04A0" w:firstRow="1" w:lastRow="0" w:firstColumn="1" w:lastColumn="0" w:noHBand="0" w:noVBand="1"/>
      </w:tblPr>
      <w:tblGrid>
        <w:gridCol w:w="1287"/>
        <w:gridCol w:w="1341"/>
        <w:gridCol w:w="1287"/>
        <w:gridCol w:w="1287"/>
        <w:gridCol w:w="1287"/>
        <w:gridCol w:w="1287"/>
        <w:gridCol w:w="1365"/>
        <w:gridCol w:w="1287"/>
      </w:tblGrid>
      <w:tr w:rsidR="00FE1EB9" w:rsidTr="00FE1EB9">
        <w:tc>
          <w:tcPr>
            <w:tcW w:w="1287" w:type="dxa"/>
          </w:tcPr>
          <w:p w:rsidR="00FE1EB9" w:rsidRPr="00DB4269" w:rsidRDefault="00FE1EB9" w:rsidP="00237C7C">
            <w:pPr>
              <w:jc w:val="center"/>
              <w:rPr>
                <w:rFonts w:ascii="Times New Roman" w:hAnsi="Times New Roman" w:cs="Times New Roman"/>
                <w:b/>
              </w:rPr>
            </w:pPr>
          </w:p>
        </w:tc>
        <w:tc>
          <w:tcPr>
            <w:tcW w:w="1287" w:type="dxa"/>
          </w:tcPr>
          <w:p w:rsidR="00FE1EB9" w:rsidRPr="00DB4269" w:rsidRDefault="00FE1EB9" w:rsidP="00237C7C">
            <w:pPr>
              <w:jc w:val="center"/>
              <w:rPr>
                <w:rFonts w:ascii="Times New Roman" w:hAnsi="Times New Roman" w:cs="Times New Roman"/>
                <w:vertAlign w:val="superscript"/>
              </w:rPr>
            </w:pPr>
            <w:r w:rsidRPr="00DB4269">
              <w:rPr>
                <w:rFonts w:ascii="Times New Roman" w:hAnsi="Times New Roman" w:cs="Times New Roman"/>
              </w:rPr>
              <w:t>Core 2.1</w:t>
            </w:r>
            <w:r w:rsidRPr="00DB4269">
              <w:rPr>
                <w:rFonts w:ascii="Times New Roman" w:hAnsi="Times New Roman" w:cs="Times New Roman"/>
                <w:vertAlign w:val="superscript"/>
              </w:rPr>
              <w:t>*</w:t>
            </w:r>
          </w:p>
          <w:p w:rsidR="00FE1EB9" w:rsidRPr="00DB4269" w:rsidRDefault="00FE1EB9" w:rsidP="00237C7C">
            <w:pPr>
              <w:jc w:val="center"/>
              <w:rPr>
                <w:rFonts w:ascii="Times New Roman" w:hAnsi="Times New Roman" w:cs="Times New Roman"/>
              </w:rPr>
            </w:pPr>
            <w:r w:rsidRPr="00DB4269">
              <w:rPr>
                <w:rFonts w:ascii="Times New Roman" w:hAnsi="Times New Roman" w:cs="Times New Roman"/>
              </w:rPr>
              <w:t>Completed</w:t>
            </w:r>
          </w:p>
          <w:p w:rsidR="00FE1EB9" w:rsidRPr="00DB4269" w:rsidRDefault="00FE1EB9" w:rsidP="00237C7C">
            <w:pPr>
              <w:jc w:val="center"/>
              <w:rPr>
                <w:rFonts w:ascii="Times New Roman" w:hAnsi="Times New Roman" w:cs="Times New Roman"/>
                <w:b/>
              </w:rPr>
            </w:pPr>
            <w:r w:rsidRPr="00DB4269">
              <w:rPr>
                <w:rFonts w:ascii="Times New Roman" w:hAnsi="Times New Roman" w:cs="Times New Roman"/>
              </w:rPr>
              <w:t>Assessments</w:t>
            </w:r>
          </w:p>
        </w:tc>
        <w:tc>
          <w:tcPr>
            <w:tcW w:w="1287" w:type="dxa"/>
          </w:tcPr>
          <w:p w:rsidR="00FE1EB9" w:rsidRPr="00DB4269" w:rsidRDefault="00FE1EB9" w:rsidP="00237C7C">
            <w:pPr>
              <w:jc w:val="center"/>
              <w:rPr>
                <w:rFonts w:ascii="Times New Roman" w:hAnsi="Times New Roman" w:cs="Times New Roman"/>
                <w:b/>
              </w:rPr>
            </w:pPr>
            <w:r w:rsidRPr="00DB4269">
              <w:rPr>
                <w:rFonts w:ascii="Times New Roman" w:hAnsi="Times New Roman" w:cs="Times New Roman"/>
              </w:rPr>
              <w:t>Core 5.3</w:t>
            </w:r>
            <w:r w:rsidRPr="00DB4269">
              <w:rPr>
                <w:rFonts w:ascii="Times New Roman" w:hAnsi="Times New Roman" w:cs="Times New Roman"/>
                <w:vertAlign w:val="superscript"/>
              </w:rPr>
              <w:t xml:space="preserve">* </w:t>
            </w:r>
            <w:r w:rsidRPr="00DB4269">
              <w:rPr>
                <w:rFonts w:ascii="Times New Roman" w:hAnsi="Times New Roman" w:cs="Times New Roman"/>
              </w:rPr>
              <w:t>Consumer Advisory Board</w:t>
            </w:r>
          </w:p>
        </w:tc>
        <w:tc>
          <w:tcPr>
            <w:tcW w:w="1287" w:type="dxa"/>
          </w:tcPr>
          <w:p w:rsidR="00FE1EB9" w:rsidRPr="00DB4269" w:rsidRDefault="00FE1EB9" w:rsidP="00237C7C">
            <w:pPr>
              <w:jc w:val="center"/>
              <w:rPr>
                <w:rFonts w:ascii="Times New Roman" w:hAnsi="Times New Roman" w:cs="Times New Roman"/>
                <w:b/>
              </w:rPr>
            </w:pPr>
            <w:r w:rsidRPr="00DB4269">
              <w:rPr>
                <w:rFonts w:ascii="Times New Roman" w:hAnsi="Times New Roman" w:cs="Times New Roman"/>
              </w:rPr>
              <w:t>MA 5.1</w:t>
            </w:r>
            <w:r w:rsidRPr="00DB4269">
              <w:rPr>
                <w:rFonts w:ascii="Times New Roman" w:hAnsi="Times New Roman" w:cs="Times New Roman"/>
                <w:vertAlign w:val="superscript"/>
              </w:rPr>
              <w:t xml:space="preserve">* </w:t>
            </w:r>
            <w:r w:rsidRPr="00DB4269">
              <w:rPr>
                <w:rFonts w:ascii="Times New Roman" w:hAnsi="Times New Roman" w:cs="Times New Roman"/>
              </w:rPr>
              <w:t>Centralized Enrollee Record</w:t>
            </w:r>
          </w:p>
        </w:tc>
        <w:tc>
          <w:tcPr>
            <w:tcW w:w="1287" w:type="dxa"/>
          </w:tcPr>
          <w:p w:rsidR="00FE1EB9" w:rsidRPr="00DB4269" w:rsidRDefault="00FE1EB9" w:rsidP="00237C7C">
            <w:pPr>
              <w:jc w:val="center"/>
              <w:rPr>
                <w:rFonts w:ascii="Times New Roman" w:hAnsi="Times New Roman" w:cs="Times New Roman"/>
                <w:b/>
              </w:rPr>
            </w:pPr>
            <w:r w:rsidRPr="00DB4269">
              <w:rPr>
                <w:rFonts w:ascii="Times New Roman" w:hAnsi="Times New Roman" w:cs="Times New Roman"/>
              </w:rPr>
              <w:t>Encounter Data</w:t>
            </w:r>
          </w:p>
        </w:tc>
        <w:tc>
          <w:tcPr>
            <w:tcW w:w="1287" w:type="dxa"/>
          </w:tcPr>
          <w:p w:rsidR="00FE1EB9" w:rsidRPr="00DB4269" w:rsidRDefault="00FE1EB9" w:rsidP="00237C7C">
            <w:pPr>
              <w:ind w:right="-54"/>
              <w:jc w:val="center"/>
              <w:rPr>
                <w:rFonts w:ascii="Times New Roman" w:hAnsi="Times New Roman" w:cs="Times New Roman"/>
                <w:b/>
              </w:rPr>
            </w:pPr>
            <w:r w:rsidRPr="00DB4269">
              <w:rPr>
                <w:rFonts w:ascii="Times New Roman" w:hAnsi="Times New Roman" w:cs="Times New Roman"/>
              </w:rPr>
              <w:t>MA 1.2 Documented Discussion of Care Goals</w:t>
            </w:r>
          </w:p>
        </w:tc>
        <w:tc>
          <w:tcPr>
            <w:tcW w:w="1287" w:type="dxa"/>
          </w:tcPr>
          <w:p w:rsidR="00FE1EB9" w:rsidRPr="00DB4269" w:rsidRDefault="00FE1EB9" w:rsidP="00237C7C">
            <w:pPr>
              <w:jc w:val="center"/>
              <w:rPr>
                <w:rFonts w:ascii="Times New Roman" w:hAnsi="Times New Roman" w:cs="Times New Roman"/>
              </w:rPr>
            </w:pPr>
            <w:r w:rsidRPr="00DB4269">
              <w:rPr>
                <w:rFonts w:ascii="Times New Roman" w:hAnsi="Times New Roman" w:cs="Times New Roman"/>
              </w:rPr>
              <w:t>MA 1.3</w:t>
            </w:r>
          </w:p>
          <w:p w:rsidR="00FE1EB9" w:rsidRPr="00DB4269" w:rsidRDefault="00FE1EB9" w:rsidP="00237C7C">
            <w:pPr>
              <w:jc w:val="center"/>
              <w:rPr>
                <w:rFonts w:ascii="Times New Roman" w:hAnsi="Times New Roman" w:cs="Times New Roman"/>
                <w:b/>
              </w:rPr>
            </w:pPr>
            <w:r w:rsidRPr="00DB4269">
              <w:rPr>
                <w:rFonts w:ascii="Times New Roman" w:hAnsi="Times New Roman" w:cs="Times New Roman"/>
              </w:rPr>
              <w:t>Access to LTS Coordinators</w:t>
            </w:r>
          </w:p>
        </w:tc>
        <w:tc>
          <w:tcPr>
            <w:tcW w:w="1287" w:type="dxa"/>
          </w:tcPr>
          <w:p w:rsidR="00FE1EB9" w:rsidRPr="00DB4269" w:rsidRDefault="00FE1EB9" w:rsidP="00237C7C">
            <w:pPr>
              <w:jc w:val="center"/>
              <w:rPr>
                <w:rFonts w:ascii="Times New Roman" w:hAnsi="Times New Roman" w:cs="Times New Roman"/>
                <w:b/>
              </w:rPr>
            </w:pPr>
            <w:r w:rsidRPr="00DB4269">
              <w:rPr>
                <w:rFonts w:ascii="Times New Roman" w:hAnsi="Times New Roman" w:cs="Times New Roman"/>
              </w:rPr>
              <w:t># Measures Passed</w:t>
            </w:r>
          </w:p>
        </w:tc>
      </w:tr>
      <w:tr w:rsidR="00FE1EB9" w:rsidTr="00FE1EB9">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Benchmark</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78.2%</w:t>
            </w:r>
          </w:p>
        </w:tc>
        <w:tc>
          <w:tcPr>
            <w:tcW w:w="1287" w:type="dxa"/>
          </w:tcPr>
          <w:p w:rsidR="00FE1EB9" w:rsidRPr="00DB4269" w:rsidRDefault="00FE1EB9" w:rsidP="000E5C37">
            <w:pPr>
              <w:rPr>
                <w:rFonts w:ascii="Times New Roman" w:hAnsi="Times New Roman" w:cs="Times New Roman"/>
              </w:rPr>
            </w:pPr>
            <w:r w:rsidRPr="00DB4269">
              <w:rPr>
                <w:rFonts w:ascii="Times New Roman" w:hAnsi="Times New Roman" w:cs="Times New Roman"/>
              </w:rPr>
              <w:t>100% compliance</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71.7%</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Successful submission</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90.0%</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90.0%</w:t>
            </w:r>
          </w:p>
        </w:tc>
        <w:tc>
          <w:tcPr>
            <w:tcW w:w="1287" w:type="dxa"/>
          </w:tcPr>
          <w:p w:rsidR="00FE1EB9" w:rsidRPr="00DB4269" w:rsidRDefault="00FE1EB9" w:rsidP="000E5C37">
            <w:pPr>
              <w:rPr>
                <w:rFonts w:ascii="Times New Roman" w:hAnsi="Times New Roman" w:cs="Times New Roman"/>
                <w:b/>
              </w:rPr>
            </w:pPr>
          </w:p>
        </w:tc>
      </w:tr>
      <w:tr w:rsidR="00FE1EB9" w:rsidTr="00FE1EB9">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CCA</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64.4%</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Pass</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59.2%</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Pass</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90.0%</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69.9%</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3 out of 6</w:t>
            </w:r>
          </w:p>
        </w:tc>
      </w:tr>
      <w:tr w:rsidR="00FE1EB9" w:rsidTr="00FE1EB9">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FTC</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45.3%</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Pass</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81.7%</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Pass</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100.0%</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100.0%</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5 out of 6</w:t>
            </w:r>
          </w:p>
        </w:tc>
      </w:tr>
      <w:tr w:rsidR="00FE1EB9" w:rsidTr="00FE1EB9">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Tufts</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88.2%</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Pass</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65.4%</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Pass</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91.9%</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81.2%</w:t>
            </w:r>
          </w:p>
        </w:tc>
        <w:tc>
          <w:tcPr>
            <w:tcW w:w="1287" w:type="dxa"/>
          </w:tcPr>
          <w:p w:rsidR="00FE1EB9" w:rsidRPr="00DB4269" w:rsidRDefault="00FE1EB9" w:rsidP="000E5C37">
            <w:pPr>
              <w:rPr>
                <w:rFonts w:ascii="Times New Roman" w:hAnsi="Times New Roman" w:cs="Times New Roman"/>
                <w:b/>
              </w:rPr>
            </w:pPr>
            <w:r w:rsidRPr="00DB4269">
              <w:rPr>
                <w:rFonts w:ascii="Times New Roman" w:hAnsi="Times New Roman" w:cs="Times New Roman"/>
              </w:rPr>
              <w:t>4 out of 6</w:t>
            </w:r>
          </w:p>
        </w:tc>
      </w:tr>
    </w:tbl>
    <w:p w:rsidR="00A362DF" w:rsidRPr="004413AE" w:rsidRDefault="00A362DF" w:rsidP="00424AD8">
      <w:pPr>
        <w:rPr>
          <w:rFonts w:ascii="Times New Roman" w:hAnsi="Times New Roman" w:cs="Times New Roman"/>
        </w:rPr>
      </w:pPr>
      <w:r w:rsidRPr="004413AE">
        <w:rPr>
          <w:rFonts w:ascii="Times New Roman" w:hAnsi="Times New Roman" w:cs="Times New Roman"/>
        </w:rPr>
        <w:t>*Denotes that the measure was also a 2013 quality withhold measure.</w:t>
      </w:r>
    </w:p>
    <w:p w:rsidR="00A362DF" w:rsidRPr="004413AE" w:rsidRDefault="00A362DF" w:rsidP="000E5C37">
      <w:pPr>
        <w:rPr>
          <w:rFonts w:ascii="Times New Roman" w:hAnsi="Times New Roman" w:cs="Times New Roman"/>
        </w:rPr>
      </w:pPr>
    </w:p>
    <w:p w:rsidR="00A362DF" w:rsidRPr="004413AE" w:rsidRDefault="00A362DF" w:rsidP="00A362DF">
      <w:pPr>
        <w:pStyle w:val="ListParagraph"/>
        <w:numPr>
          <w:ilvl w:val="0"/>
          <w:numId w:val="9"/>
        </w:numPr>
        <w:rPr>
          <w:sz w:val="28"/>
          <w:szCs w:val="28"/>
        </w:rPr>
      </w:pPr>
      <w:r w:rsidRPr="004413AE">
        <w:rPr>
          <w:rFonts w:eastAsiaTheme="minorEastAsia"/>
          <w:kern w:val="24"/>
          <w:sz w:val="28"/>
          <w:szCs w:val="28"/>
        </w:rPr>
        <w:t>One Care Financials: CCA and Tufts saw significant improvements in their financials for DY2 (2015) compared to DY1 (2013/2014). This is a great sign that financial adjustments are helping to bring stability to the One Care program:</w:t>
      </w:r>
    </w:p>
    <w:p w:rsidR="00A362DF" w:rsidRPr="004413AE" w:rsidRDefault="00A362DF" w:rsidP="00A362DF">
      <w:pPr>
        <w:pStyle w:val="ListParagraph"/>
        <w:numPr>
          <w:ilvl w:val="1"/>
          <w:numId w:val="9"/>
        </w:numPr>
        <w:rPr>
          <w:sz w:val="28"/>
          <w:szCs w:val="28"/>
        </w:rPr>
      </w:pPr>
      <w:r w:rsidRPr="004413AE">
        <w:rPr>
          <w:rFonts w:eastAsiaTheme="minorEastAsia"/>
          <w:kern w:val="24"/>
          <w:sz w:val="28"/>
          <w:szCs w:val="28"/>
        </w:rPr>
        <w:t xml:space="preserve">CCA’s performance improved from a projected net loss of -6.7% in DY1 to a projected net loss of -0.1% in DY2.  </w:t>
      </w:r>
    </w:p>
    <w:p w:rsidR="00A362DF" w:rsidRPr="004413AE" w:rsidRDefault="00A362DF" w:rsidP="00A362DF">
      <w:pPr>
        <w:pStyle w:val="ListParagraph"/>
        <w:numPr>
          <w:ilvl w:val="1"/>
          <w:numId w:val="9"/>
        </w:numPr>
        <w:rPr>
          <w:sz w:val="28"/>
          <w:szCs w:val="28"/>
        </w:rPr>
      </w:pPr>
      <w:r w:rsidRPr="004413AE">
        <w:rPr>
          <w:rFonts w:eastAsiaTheme="minorEastAsia"/>
          <w:kern w:val="24"/>
          <w:sz w:val="28"/>
          <w:szCs w:val="28"/>
        </w:rPr>
        <w:t>Tufts’ performance improved from a projected net loss of -1.5% in DY1 to a projected net gain of 5.5% in DY2.</w:t>
      </w:r>
    </w:p>
    <w:p w:rsidR="00A362DF" w:rsidRPr="004413AE" w:rsidRDefault="00A362DF" w:rsidP="00A362DF">
      <w:pPr>
        <w:rPr>
          <w:sz w:val="28"/>
          <w:szCs w:val="28"/>
        </w:rPr>
      </w:pPr>
    </w:p>
    <w:p w:rsidR="00A362DF" w:rsidRPr="004413AE" w:rsidRDefault="00A362DF" w:rsidP="00A362DF">
      <w:pPr>
        <w:rPr>
          <w:rFonts w:ascii="Times New Roman" w:hAnsi="Times New Roman" w:cs="Times New Roman"/>
          <w:b/>
          <w:sz w:val="28"/>
          <w:szCs w:val="28"/>
          <w:u w:val="single"/>
        </w:rPr>
      </w:pPr>
      <w:r w:rsidRPr="004413AE">
        <w:rPr>
          <w:rFonts w:ascii="Times New Roman" w:hAnsi="Times New Roman" w:cs="Times New Roman"/>
          <w:b/>
          <w:sz w:val="28"/>
          <w:szCs w:val="28"/>
          <w:u w:val="single"/>
        </w:rPr>
        <w:lastRenderedPageBreak/>
        <w:t>Slide 6</w:t>
      </w:r>
    </w:p>
    <w:p w:rsidR="00A362DF" w:rsidRPr="004413AE" w:rsidRDefault="00A362DF" w:rsidP="00A362DF">
      <w:pPr>
        <w:rPr>
          <w:rFonts w:ascii="Times New Roman" w:hAnsi="Times New Roman" w:cs="Times New Roman"/>
          <w:b/>
          <w:sz w:val="28"/>
          <w:szCs w:val="28"/>
          <w:u w:val="single"/>
        </w:rPr>
      </w:pPr>
    </w:p>
    <w:p w:rsidR="00A362DF" w:rsidRPr="004413AE" w:rsidRDefault="00A362DF" w:rsidP="00A362DF">
      <w:pPr>
        <w:rPr>
          <w:rFonts w:ascii="Times New Roman" w:eastAsia="MS PGothic" w:hAnsi="Times New Roman" w:cs="Times New Roman"/>
          <w:b/>
          <w:sz w:val="28"/>
          <w:szCs w:val="28"/>
        </w:rPr>
      </w:pPr>
      <w:r w:rsidRPr="004413AE">
        <w:rPr>
          <w:rFonts w:ascii="Times New Roman" w:eastAsia="MS PGothic" w:hAnsi="Times New Roman" w:cs="Times New Roman"/>
          <w:b/>
          <w:sz w:val="28"/>
          <w:szCs w:val="28"/>
        </w:rPr>
        <w:t>Process for Amending the Three-Way Contract</w:t>
      </w:r>
    </w:p>
    <w:p w:rsidR="00A362DF" w:rsidRPr="004413AE" w:rsidRDefault="00A362DF" w:rsidP="00A362DF">
      <w:pPr>
        <w:rPr>
          <w:rFonts w:ascii="Times New Roman" w:eastAsia="Times New Roman" w:hAnsi="Times New Roman" w:cs="Times New Roman"/>
          <w:sz w:val="28"/>
          <w:szCs w:val="28"/>
        </w:rPr>
      </w:pPr>
      <w:r w:rsidRPr="004413AE">
        <w:rPr>
          <w:rFonts w:ascii="Times New Roman" w:eastAsiaTheme="minorEastAsia" w:hAnsi="Times New Roman" w:cs="Times New Roman"/>
          <w:kern w:val="24"/>
          <w:sz w:val="28"/>
          <w:szCs w:val="28"/>
        </w:rPr>
        <w:t>MassHealth and CMS are splitting the current amendment to the Three-Way Contract into two separate amendments:</w:t>
      </w:r>
    </w:p>
    <w:p w:rsidR="00A362DF" w:rsidRPr="004413AE" w:rsidRDefault="00A362DF" w:rsidP="00A362DF">
      <w:pPr>
        <w:pStyle w:val="ListParagraph"/>
        <w:numPr>
          <w:ilvl w:val="0"/>
          <w:numId w:val="9"/>
        </w:numPr>
        <w:rPr>
          <w:sz w:val="28"/>
          <w:szCs w:val="28"/>
        </w:rPr>
      </w:pPr>
      <w:r w:rsidRPr="004413AE">
        <w:rPr>
          <w:rFonts w:eastAsiaTheme="minorEastAsia"/>
          <w:kern w:val="24"/>
          <w:sz w:val="28"/>
          <w:szCs w:val="28"/>
        </w:rPr>
        <w:t>Extension Amendment</w:t>
      </w:r>
    </w:p>
    <w:p w:rsidR="00A362DF" w:rsidRPr="004413AE" w:rsidRDefault="00A362DF" w:rsidP="00A362DF">
      <w:pPr>
        <w:pStyle w:val="ListParagraph"/>
        <w:numPr>
          <w:ilvl w:val="1"/>
          <w:numId w:val="9"/>
        </w:numPr>
        <w:rPr>
          <w:sz w:val="28"/>
          <w:szCs w:val="28"/>
        </w:rPr>
      </w:pPr>
      <w:r w:rsidRPr="004413AE">
        <w:rPr>
          <w:rFonts w:eastAsiaTheme="minorEastAsia"/>
          <w:kern w:val="24"/>
          <w:sz w:val="28"/>
          <w:szCs w:val="28"/>
        </w:rPr>
        <w:t xml:space="preserve">To ensure no interruptions to enrollment or operations, MassHealth and CMS are working on an amendment to extend the Demonstration through December 2018. </w:t>
      </w:r>
    </w:p>
    <w:p w:rsidR="00A362DF" w:rsidRPr="004413AE" w:rsidRDefault="00A362DF" w:rsidP="00A362DF">
      <w:pPr>
        <w:pStyle w:val="ListParagraph"/>
        <w:numPr>
          <w:ilvl w:val="2"/>
          <w:numId w:val="9"/>
        </w:numPr>
        <w:rPr>
          <w:sz w:val="28"/>
          <w:szCs w:val="28"/>
        </w:rPr>
      </w:pPr>
      <w:r w:rsidRPr="004413AE">
        <w:rPr>
          <w:rFonts w:eastAsiaTheme="minorEastAsia"/>
          <w:kern w:val="24"/>
          <w:sz w:val="28"/>
          <w:szCs w:val="28"/>
        </w:rPr>
        <w:t>Amendment to the Three-Way Contract</w:t>
      </w:r>
    </w:p>
    <w:p w:rsidR="00A362DF" w:rsidRPr="004413AE" w:rsidRDefault="00A362DF" w:rsidP="00A362DF">
      <w:pPr>
        <w:pStyle w:val="ListParagraph"/>
        <w:numPr>
          <w:ilvl w:val="2"/>
          <w:numId w:val="9"/>
        </w:numPr>
        <w:rPr>
          <w:sz w:val="28"/>
          <w:szCs w:val="28"/>
        </w:rPr>
      </w:pPr>
      <w:r w:rsidRPr="004413AE">
        <w:rPr>
          <w:rFonts w:eastAsiaTheme="minorEastAsia"/>
          <w:kern w:val="24"/>
          <w:sz w:val="28"/>
          <w:szCs w:val="28"/>
        </w:rPr>
        <w:t>Extension to the Memorandum of Understanding</w:t>
      </w:r>
    </w:p>
    <w:p w:rsidR="00A362DF" w:rsidRPr="004413AE" w:rsidRDefault="00A362DF" w:rsidP="00A362DF">
      <w:pPr>
        <w:pStyle w:val="ListParagraph"/>
        <w:numPr>
          <w:ilvl w:val="1"/>
          <w:numId w:val="9"/>
        </w:numPr>
        <w:rPr>
          <w:sz w:val="28"/>
          <w:szCs w:val="28"/>
        </w:rPr>
      </w:pPr>
      <w:r w:rsidRPr="004413AE">
        <w:rPr>
          <w:rFonts w:eastAsiaTheme="minorEastAsia"/>
          <w:kern w:val="24"/>
          <w:sz w:val="28"/>
          <w:szCs w:val="28"/>
        </w:rPr>
        <w:t>If selected in the reprocurement, current plans would be able to continue in the Demonstration</w:t>
      </w:r>
    </w:p>
    <w:p w:rsidR="00A362DF" w:rsidRPr="004413AE" w:rsidRDefault="00A362DF" w:rsidP="00A362DF">
      <w:pPr>
        <w:pStyle w:val="ListParagraph"/>
        <w:numPr>
          <w:ilvl w:val="1"/>
          <w:numId w:val="9"/>
        </w:numPr>
        <w:rPr>
          <w:sz w:val="28"/>
          <w:szCs w:val="28"/>
        </w:rPr>
      </w:pPr>
      <w:r w:rsidRPr="004413AE">
        <w:rPr>
          <w:rFonts w:eastAsiaTheme="minorEastAsia"/>
          <w:kern w:val="24"/>
          <w:sz w:val="28"/>
          <w:szCs w:val="28"/>
        </w:rPr>
        <w:t xml:space="preserve">MassHealth anticipates that this addendum will be fully executed by the end of June 2016. </w:t>
      </w:r>
      <w:r w:rsidRPr="004413AE">
        <w:rPr>
          <w:rFonts w:eastAsiaTheme="minorEastAsia"/>
          <w:kern w:val="24"/>
          <w:sz w:val="28"/>
          <w:szCs w:val="28"/>
        </w:rPr>
        <w:br/>
      </w:r>
    </w:p>
    <w:p w:rsidR="00A362DF" w:rsidRPr="004413AE" w:rsidRDefault="00A362DF" w:rsidP="00A362DF">
      <w:pPr>
        <w:pStyle w:val="ListParagraph"/>
        <w:numPr>
          <w:ilvl w:val="0"/>
          <w:numId w:val="9"/>
        </w:numPr>
        <w:rPr>
          <w:sz w:val="28"/>
          <w:szCs w:val="28"/>
        </w:rPr>
      </w:pPr>
      <w:r w:rsidRPr="004413AE">
        <w:rPr>
          <w:rFonts w:eastAsiaTheme="minorEastAsia"/>
          <w:kern w:val="24"/>
          <w:sz w:val="28"/>
          <w:szCs w:val="28"/>
        </w:rPr>
        <w:t>Policy Amendment</w:t>
      </w:r>
    </w:p>
    <w:p w:rsidR="00A362DF" w:rsidRPr="004413AE" w:rsidRDefault="00A362DF" w:rsidP="00A362DF">
      <w:pPr>
        <w:pStyle w:val="ListParagraph"/>
        <w:numPr>
          <w:ilvl w:val="1"/>
          <w:numId w:val="9"/>
        </w:numPr>
        <w:rPr>
          <w:sz w:val="28"/>
          <w:szCs w:val="28"/>
        </w:rPr>
      </w:pPr>
      <w:r w:rsidRPr="004413AE">
        <w:rPr>
          <w:rFonts w:eastAsiaTheme="minorEastAsia"/>
          <w:kern w:val="24"/>
          <w:sz w:val="28"/>
          <w:szCs w:val="28"/>
        </w:rPr>
        <w:t>Is expected to include technical fixes and policy/program updates, including input from the Implementation Council and the One Care Ombudsman (OCO)</w:t>
      </w:r>
    </w:p>
    <w:p w:rsidR="00A362DF" w:rsidRPr="004413AE" w:rsidRDefault="00A362DF" w:rsidP="00A362DF">
      <w:pPr>
        <w:pStyle w:val="ListParagraph"/>
        <w:numPr>
          <w:ilvl w:val="1"/>
          <w:numId w:val="9"/>
        </w:numPr>
        <w:rPr>
          <w:sz w:val="28"/>
          <w:szCs w:val="28"/>
        </w:rPr>
      </w:pPr>
      <w:r w:rsidRPr="004413AE">
        <w:rPr>
          <w:rFonts w:eastAsiaTheme="minorEastAsia"/>
          <w:kern w:val="24"/>
          <w:sz w:val="28"/>
          <w:szCs w:val="28"/>
        </w:rPr>
        <w:t>MassHealth plans to convene 1-2 working sessions with members of the Implementation Council (and the OCO as applicable) to discuss the Council’s recommendations to the Contract</w:t>
      </w:r>
    </w:p>
    <w:p w:rsidR="00A362DF" w:rsidRPr="004413AE" w:rsidRDefault="00A362DF" w:rsidP="00A362DF">
      <w:pPr>
        <w:pStyle w:val="ListParagraph"/>
        <w:numPr>
          <w:ilvl w:val="1"/>
          <w:numId w:val="9"/>
        </w:numPr>
        <w:rPr>
          <w:sz w:val="28"/>
          <w:szCs w:val="28"/>
        </w:rPr>
      </w:pPr>
      <w:r w:rsidRPr="004413AE">
        <w:rPr>
          <w:rFonts w:eastAsiaTheme="minorEastAsia"/>
          <w:kern w:val="24"/>
          <w:sz w:val="28"/>
          <w:szCs w:val="28"/>
        </w:rPr>
        <w:t>MassHealth anticipates that the first meeting will be held in early July 2016</w:t>
      </w:r>
    </w:p>
    <w:p w:rsidR="00A362DF" w:rsidRPr="004413AE" w:rsidRDefault="00A362DF" w:rsidP="00A362DF">
      <w:pPr>
        <w:rPr>
          <w:sz w:val="28"/>
          <w:szCs w:val="28"/>
        </w:rPr>
      </w:pPr>
    </w:p>
    <w:p w:rsidR="00A362DF" w:rsidRPr="004413AE" w:rsidRDefault="00A362DF" w:rsidP="00A362DF">
      <w:pPr>
        <w:rPr>
          <w:rFonts w:ascii="Times New Roman" w:hAnsi="Times New Roman" w:cs="Times New Roman"/>
          <w:b/>
          <w:sz w:val="28"/>
          <w:szCs w:val="28"/>
          <w:u w:val="single"/>
        </w:rPr>
      </w:pPr>
      <w:r w:rsidRPr="004413AE">
        <w:rPr>
          <w:rFonts w:ascii="Times New Roman" w:hAnsi="Times New Roman" w:cs="Times New Roman"/>
          <w:b/>
          <w:sz w:val="28"/>
          <w:szCs w:val="28"/>
          <w:u w:val="single"/>
        </w:rPr>
        <w:t>Slide 7</w:t>
      </w:r>
    </w:p>
    <w:p w:rsidR="00A362DF" w:rsidRPr="004413AE" w:rsidRDefault="00A362DF" w:rsidP="00A362DF">
      <w:pPr>
        <w:rPr>
          <w:rFonts w:ascii="Times New Roman" w:hAnsi="Times New Roman" w:cs="Times New Roman"/>
          <w:b/>
          <w:sz w:val="28"/>
          <w:szCs w:val="28"/>
          <w:u w:val="single"/>
        </w:rPr>
      </w:pPr>
    </w:p>
    <w:p w:rsidR="00A362DF" w:rsidRPr="004413AE" w:rsidRDefault="00A362DF" w:rsidP="00A362DF">
      <w:pPr>
        <w:rPr>
          <w:rFonts w:ascii="Times New Roman" w:eastAsia="Times New Roman" w:hAnsi="Times New Roman" w:cs="Times New Roman"/>
          <w:sz w:val="28"/>
          <w:szCs w:val="28"/>
        </w:rPr>
      </w:pPr>
      <w:r w:rsidRPr="004413AE">
        <w:rPr>
          <w:rFonts w:ascii="Times New Roman" w:eastAsiaTheme="minorEastAsia" w:hAnsi="Times New Roman" w:cs="Times New Roman"/>
          <w:b/>
          <w:bCs/>
          <w:kern w:val="24"/>
          <w:sz w:val="28"/>
          <w:szCs w:val="28"/>
        </w:rPr>
        <w:t xml:space="preserve">Visit us at: </w:t>
      </w:r>
      <w:hyperlink r:id="rId9" w:history="1">
        <w:r w:rsidRPr="004413AE">
          <w:rPr>
            <w:rFonts w:ascii="Times New Roman" w:eastAsiaTheme="minorEastAsia" w:hAnsi="Times New Roman" w:cs="Times New Roman"/>
            <w:b/>
            <w:bCs/>
            <w:kern w:val="24"/>
            <w:sz w:val="28"/>
            <w:szCs w:val="28"/>
            <w:u w:val="single"/>
          </w:rPr>
          <w:t>www.mass.gov/masshealth/onecare</w:t>
        </w:r>
      </w:hyperlink>
      <w:r w:rsidRPr="004413AE">
        <w:rPr>
          <w:rFonts w:ascii="Times New Roman" w:eastAsiaTheme="minorEastAsia" w:hAnsi="Times New Roman" w:cs="Times New Roman"/>
          <w:b/>
          <w:bCs/>
          <w:kern w:val="24"/>
          <w:sz w:val="28"/>
          <w:szCs w:val="28"/>
        </w:rPr>
        <w:t xml:space="preserve"> </w:t>
      </w:r>
    </w:p>
    <w:p w:rsidR="00A362DF" w:rsidRPr="004413AE" w:rsidRDefault="00A362DF" w:rsidP="00A362DF">
      <w:pPr>
        <w:jc w:val="center"/>
        <w:rPr>
          <w:rFonts w:ascii="Times New Roman" w:eastAsiaTheme="minorEastAsia" w:hAnsi="Times New Roman" w:cs="Times New Roman"/>
          <w:b/>
          <w:bCs/>
          <w:kern w:val="24"/>
          <w:sz w:val="28"/>
          <w:szCs w:val="28"/>
        </w:rPr>
      </w:pPr>
    </w:p>
    <w:p w:rsidR="005463B9" w:rsidRPr="00424AD8" w:rsidRDefault="00A362DF" w:rsidP="005463B9">
      <w:pPr>
        <w:rPr>
          <w:rFonts w:ascii="Times New Roman" w:eastAsia="Times New Roman" w:hAnsi="Times New Roman" w:cs="Times New Roman"/>
          <w:sz w:val="28"/>
          <w:szCs w:val="28"/>
        </w:rPr>
      </w:pPr>
      <w:r w:rsidRPr="004413AE">
        <w:rPr>
          <w:rFonts w:ascii="Times New Roman" w:eastAsiaTheme="minorEastAsia" w:hAnsi="Times New Roman" w:cs="Times New Roman"/>
          <w:b/>
          <w:bCs/>
          <w:kern w:val="24"/>
          <w:sz w:val="28"/>
          <w:szCs w:val="28"/>
        </w:rPr>
        <w:t xml:space="preserve">Email us at: </w:t>
      </w:r>
      <w:hyperlink r:id="rId10" w:history="1">
        <w:r w:rsidRPr="004413AE">
          <w:rPr>
            <w:rFonts w:ascii="Times New Roman" w:eastAsiaTheme="minorEastAsia" w:hAnsi="Times New Roman" w:cs="Times New Roman"/>
            <w:b/>
            <w:bCs/>
            <w:kern w:val="24"/>
            <w:sz w:val="28"/>
            <w:szCs w:val="28"/>
            <w:u w:val="single"/>
          </w:rPr>
          <w:t>OneCare@state.ma.us</w:t>
        </w:r>
      </w:hyperlink>
    </w:p>
    <w:sectPr w:rsidR="005463B9" w:rsidRPr="00424AD8" w:rsidSect="00DB4269">
      <w:pgSz w:w="12240" w:h="15840"/>
      <w:pgMar w:top="1440" w:right="63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BEA"/>
    <w:multiLevelType w:val="hybridMultilevel"/>
    <w:tmpl w:val="2312B772"/>
    <w:lvl w:ilvl="0" w:tplc="66A2C9EA">
      <w:start w:val="1"/>
      <w:numFmt w:val="bullet"/>
      <w:lvlText w:val="o"/>
      <w:lvlJc w:val="left"/>
      <w:pPr>
        <w:tabs>
          <w:tab w:val="num" w:pos="720"/>
        </w:tabs>
        <w:ind w:left="720" w:hanging="360"/>
      </w:pPr>
      <w:rPr>
        <w:rFonts w:ascii="Courier New" w:hAnsi="Courier New" w:hint="default"/>
      </w:rPr>
    </w:lvl>
    <w:lvl w:ilvl="1" w:tplc="93CC6536"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E31C3C38" w:tentative="1">
      <w:start w:val="1"/>
      <w:numFmt w:val="bullet"/>
      <w:lvlText w:val="o"/>
      <w:lvlJc w:val="left"/>
      <w:pPr>
        <w:tabs>
          <w:tab w:val="num" w:pos="2880"/>
        </w:tabs>
        <w:ind w:left="2880" w:hanging="360"/>
      </w:pPr>
      <w:rPr>
        <w:rFonts w:ascii="Courier New" w:hAnsi="Courier New" w:hint="default"/>
      </w:rPr>
    </w:lvl>
    <w:lvl w:ilvl="4" w:tplc="B658EF6C" w:tentative="1">
      <w:start w:val="1"/>
      <w:numFmt w:val="bullet"/>
      <w:lvlText w:val="o"/>
      <w:lvlJc w:val="left"/>
      <w:pPr>
        <w:tabs>
          <w:tab w:val="num" w:pos="3600"/>
        </w:tabs>
        <w:ind w:left="3600" w:hanging="360"/>
      </w:pPr>
      <w:rPr>
        <w:rFonts w:ascii="Courier New" w:hAnsi="Courier New" w:hint="default"/>
      </w:rPr>
    </w:lvl>
    <w:lvl w:ilvl="5" w:tplc="BA447868" w:tentative="1">
      <w:start w:val="1"/>
      <w:numFmt w:val="bullet"/>
      <w:lvlText w:val="o"/>
      <w:lvlJc w:val="left"/>
      <w:pPr>
        <w:tabs>
          <w:tab w:val="num" w:pos="4320"/>
        </w:tabs>
        <w:ind w:left="4320" w:hanging="360"/>
      </w:pPr>
      <w:rPr>
        <w:rFonts w:ascii="Courier New" w:hAnsi="Courier New" w:hint="default"/>
      </w:rPr>
    </w:lvl>
    <w:lvl w:ilvl="6" w:tplc="9AB230B0" w:tentative="1">
      <w:start w:val="1"/>
      <w:numFmt w:val="bullet"/>
      <w:lvlText w:val="o"/>
      <w:lvlJc w:val="left"/>
      <w:pPr>
        <w:tabs>
          <w:tab w:val="num" w:pos="5040"/>
        </w:tabs>
        <w:ind w:left="5040" w:hanging="360"/>
      </w:pPr>
      <w:rPr>
        <w:rFonts w:ascii="Courier New" w:hAnsi="Courier New" w:hint="default"/>
      </w:rPr>
    </w:lvl>
    <w:lvl w:ilvl="7" w:tplc="596AB4AC" w:tentative="1">
      <w:start w:val="1"/>
      <w:numFmt w:val="bullet"/>
      <w:lvlText w:val="o"/>
      <w:lvlJc w:val="left"/>
      <w:pPr>
        <w:tabs>
          <w:tab w:val="num" w:pos="5760"/>
        </w:tabs>
        <w:ind w:left="5760" w:hanging="360"/>
      </w:pPr>
      <w:rPr>
        <w:rFonts w:ascii="Courier New" w:hAnsi="Courier New" w:hint="default"/>
      </w:rPr>
    </w:lvl>
    <w:lvl w:ilvl="8" w:tplc="B27497FE" w:tentative="1">
      <w:start w:val="1"/>
      <w:numFmt w:val="bullet"/>
      <w:lvlText w:val="o"/>
      <w:lvlJc w:val="left"/>
      <w:pPr>
        <w:tabs>
          <w:tab w:val="num" w:pos="6480"/>
        </w:tabs>
        <w:ind w:left="6480" w:hanging="360"/>
      </w:pPr>
      <w:rPr>
        <w:rFonts w:ascii="Courier New" w:hAnsi="Courier New" w:hint="default"/>
      </w:rPr>
    </w:lvl>
  </w:abstractNum>
  <w:abstractNum w:abstractNumId="1">
    <w:nsid w:val="101815FD"/>
    <w:multiLevelType w:val="hybridMultilevel"/>
    <w:tmpl w:val="BE86C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B59BB"/>
    <w:multiLevelType w:val="hybridMultilevel"/>
    <w:tmpl w:val="2B3C1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992896"/>
    <w:multiLevelType w:val="hybridMultilevel"/>
    <w:tmpl w:val="86EEF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1C4F08"/>
    <w:multiLevelType w:val="hybridMultilevel"/>
    <w:tmpl w:val="59E4E3AA"/>
    <w:lvl w:ilvl="0" w:tplc="04090001">
      <w:start w:val="1"/>
      <w:numFmt w:val="bullet"/>
      <w:lvlText w:val=""/>
      <w:lvlJc w:val="left"/>
      <w:pPr>
        <w:tabs>
          <w:tab w:val="num" w:pos="720"/>
        </w:tabs>
        <w:ind w:left="720" w:hanging="360"/>
      </w:pPr>
      <w:rPr>
        <w:rFonts w:ascii="Symbol" w:hAnsi="Symbol" w:hint="default"/>
      </w:rPr>
    </w:lvl>
    <w:lvl w:ilvl="1" w:tplc="93CC6536" w:tentative="1">
      <w:start w:val="1"/>
      <w:numFmt w:val="bullet"/>
      <w:lvlText w:val="o"/>
      <w:lvlJc w:val="left"/>
      <w:pPr>
        <w:tabs>
          <w:tab w:val="num" w:pos="1440"/>
        </w:tabs>
        <w:ind w:left="1440" w:hanging="360"/>
      </w:pPr>
      <w:rPr>
        <w:rFonts w:ascii="Courier New" w:hAnsi="Courier New" w:hint="default"/>
      </w:rPr>
    </w:lvl>
    <w:lvl w:ilvl="2" w:tplc="3B545BD2">
      <w:start w:val="1"/>
      <w:numFmt w:val="bullet"/>
      <w:lvlText w:val="o"/>
      <w:lvlJc w:val="left"/>
      <w:pPr>
        <w:tabs>
          <w:tab w:val="num" w:pos="2160"/>
        </w:tabs>
        <w:ind w:left="2160" w:hanging="360"/>
      </w:pPr>
      <w:rPr>
        <w:rFonts w:ascii="Courier New" w:hAnsi="Courier New" w:hint="default"/>
      </w:rPr>
    </w:lvl>
    <w:lvl w:ilvl="3" w:tplc="E31C3C38" w:tentative="1">
      <w:start w:val="1"/>
      <w:numFmt w:val="bullet"/>
      <w:lvlText w:val="o"/>
      <w:lvlJc w:val="left"/>
      <w:pPr>
        <w:tabs>
          <w:tab w:val="num" w:pos="2880"/>
        </w:tabs>
        <w:ind w:left="2880" w:hanging="360"/>
      </w:pPr>
      <w:rPr>
        <w:rFonts w:ascii="Courier New" w:hAnsi="Courier New" w:hint="default"/>
      </w:rPr>
    </w:lvl>
    <w:lvl w:ilvl="4" w:tplc="B658EF6C" w:tentative="1">
      <w:start w:val="1"/>
      <w:numFmt w:val="bullet"/>
      <w:lvlText w:val="o"/>
      <w:lvlJc w:val="left"/>
      <w:pPr>
        <w:tabs>
          <w:tab w:val="num" w:pos="3600"/>
        </w:tabs>
        <w:ind w:left="3600" w:hanging="360"/>
      </w:pPr>
      <w:rPr>
        <w:rFonts w:ascii="Courier New" w:hAnsi="Courier New" w:hint="default"/>
      </w:rPr>
    </w:lvl>
    <w:lvl w:ilvl="5" w:tplc="BA447868" w:tentative="1">
      <w:start w:val="1"/>
      <w:numFmt w:val="bullet"/>
      <w:lvlText w:val="o"/>
      <w:lvlJc w:val="left"/>
      <w:pPr>
        <w:tabs>
          <w:tab w:val="num" w:pos="4320"/>
        </w:tabs>
        <w:ind w:left="4320" w:hanging="360"/>
      </w:pPr>
      <w:rPr>
        <w:rFonts w:ascii="Courier New" w:hAnsi="Courier New" w:hint="default"/>
      </w:rPr>
    </w:lvl>
    <w:lvl w:ilvl="6" w:tplc="9AB230B0" w:tentative="1">
      <w:start w:val="1"/>
      <w:numFmt w:val="bullet"/>
      <w:lvlText w:val="o"/>
      <w:lvlJc w:val="left"/>
      <w:pPr>
        <w:tabs>
          <w:tab w:val="num" w:pos="5040"/>
        </w:tabs>
        <w:ind w:left="5040" w:hanging="360"/>
      </w:pPr>
      <w:rPr>
        <w:rFonts w:ascii="Courier New" w:hAnsi="Courier New" w:hint="default"/>
      </w:rPr>
    </w:lvl>
    <w:lvl w:ilvl="7" w:tplc="596AB4AC" w:tentative="1">
      <w:start w:val="1"/>
      <w:numFmt w:val="bullet"/>
      <w:lvlText w:val="o"/>
      <w:lvlJc w:val="left"/>
      <w:pPr>
        <w:tabs>
          <w:tab w:val="num" w:pos="5760"/>
        </w:tabs>
        <w:ind w:left="5760" w:hanging="360"/>
      </w:pPr>
      <w:rPr>
        <w:rFonts w:ascii="Courier New" w:hAnsi="Courier New" w:hint="default"/>
      </w:rPr>
    </w:lvl>
    <w:lvl w:ilvl="8" w:tplc="B27497FE" w:tentative="1">
      <w:start w:val="1"/>
      <w:numFmt w:val="bullet"/>
      <w:lvlText w:val="o"/>
      <w:lvlJc w:val="left"/>
      <w:pPr>
        <w:tabs>
          <w:tab w:val="num" w:pos="6480"/>
        </w:tabs>
        <w:ind w:left="6480" w:hanging="360"/>
      </w:pPr>
      <w:rPr>
        <w:rFonts w:ascii="Courier New" w:hAnsi="Courier New" w:hint="default"/>
      </w:rPr>
    </w:lvl>
  </w:abstractNum>
  <w:abstractNum w:abstractNumId="5">
    <w:nsid w:val="5D654738"/>
    <w:multiLevelType w:val="hybridMultilevel"/>
    <w:tmpl w:val="0BD6792C"/>
    <w:lvl w:ilvl="0" w:tplc="24786458">
      <w:start w:val="1"/>
      <w:numFmt w:val="bullet"/>
      <w:lvlText w:val="o"/>
      <w:lvlJc w:val="left"/>
      <w:pPr>
        <w:tabs>
          <w:tab w:val="num" w:pos="720"/>
        </w:tabs>
        <w:ind w:left="720" w:hanging="360"/>
      </w:pPr>
      <w:rPr>
        <w:rFonts w:ascii="Courier New" w:hAnsi="Courier New" w:hint="default"/>
      </w:rPr>
    </w:lvl>
    <w:lvl w:ilvl="1" w:tplc="1FECE966">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79341EBE" w:tentative="1">
      <w:start w:val="1"/>
      <w:numFmt w:val="bullet"/>
      <w:lvlText w:val="o"/>
      <w:lvlJc w:val="left"/>
      <w:pPr>
        <w:tabs>
          <w:tab w:val="num" w:pos="2880"/>
        </w:tabs>
        <w:ind w:left="2880" w:hanging="360"/>
      </w:pPr>
      <w:rPr>
        <w:rFonts w:ascii="Courier New" w:hAnsi="Courier New" w:hint="default"/>
      </w:rPr>
    </w:lvl>
    <w:lvl w:ilvl="4" w:tplc="DA94099E" w:tentative="1">
      <w:start w:val="1"/>
      <w:numFmt w:val="bullet"/>
      <w:lvlText w:val="o"/>
      <w:lvlJc w:val="left"/>
      <w:pPr>
        <w:tabs>
          <w:tab w:val="num" w:pos="3600"/>
        </w:tabs>
        <w:ind w:left="3600" w:hanging="360"/>
      </w:pPr>
      <w:rPr>
        <w:rFonts w:ascii="Courier New" w:hAnsi="Courier New" w:hint="default"/>
      </w:rPr>
    </w:lvl>
    <w:lvl w:ilvl="5" w:tplc="64C42F2E" w:tentative="1">
      <w:start w:val="1"/>
      <w:numFmt w:val="bullet"/>
      <w:lvlText w:val="o"/>
      <w:lvlJc w:val="left"/>
      <w:pPr>
        <w:tabs>
          <w:tab w:val="num" w:pos="4320"/>
        </w:tabs>
        <w:ind w:left="4320" w:hanging="360"/>
      </w:pPr>
      <w:rPr>
        <w:rFonts w:ascii="Courier New" w:hAnsi="Courier New" w:hint="default"/>
      </w:rPr>
    </w:lvl>
    <w:lvl w:ilvl="6" w:tplc="3E280C92" w:tentative="1">
      <w:start w:val="1"/>
      <w:numFmt w:val="bullet"/>
      <w:lvlText w:val="o"/>
      <w:lvlJc w:val="left"/>
      <w:pPr>
        <w:tabs>
          <w:tab w:val="num" w:pos="5040"/>
        </w:tabs>
        <w:ind w:left="5040" w:hanging="360"/>
      </w:pPr>
      <w:rPr>
        <w:rFonts w:ascii="Courier New" w:hAnsi="Courier New" w:hint="default"/>
      </w:rPr>
    </w:lvl>
    <w:lvl w:ilvl="7" w:tplc="855A442E" w:tentative="1">
      <w:start w:val="1"/>
      <w:numFmt w:val="bullet"/>
      <w:lvlText w:val="o"/>
      <w:lvlJc w:val="left"/>
      <w:pPr>
        <w:tabs>
          <w:tab w:val="num" w:pos="5760"/>
        </w:tabs>
        <w:ind w:left="5760" w:hanging="360"/>
      </w:pPr>
      <w:rPr>
        <w:rFonts w:ascii="Courier New" w:hAnsi="Courier New" w:hint="default"/>
      </w:rPr>
    </w:lvl>
    <w:lvl w:ilvl="8" w:tplc="11821C7A" w:tentative="1">
      <w:start w:val="1"/>
      <w:numFmt w:val="bullet"/>
      <w:lvlText w:val="o"/>
      <w:lvlJc w:val="left"/>
      <w:pPr>
        <w:tabs>
          <w:tab w:val="num" w:pos="6480"/>
        </w:tabs>
        <w:ind w:left="6480" w:hanging="360"/>
      </w:pPr>
      <w:rPr>
        <w:rFonts w:ascii="Courier New" w:hAnsi="Courier New" w:hint="default"/>
      </w:rPr>
    </w:lvl>
  </w:abstractNum>
  <w:abstractNum w:abstractNumId="6">
    <w:nsid w:val="5EC33252"/>
    <w:multiLevelType w:val="hybridMultilevel"/>
    <w:tmpl w:val="4FD2A504"/>
    <w:lvl w:ilvl="0" w:tplc="05E0CF2A">
      <w:start w:val="1"/>
      <w:numFmt w:val="bullet"/>
      <w:lvlText w:val="•"/>
      <w:lvlJc w:val="left"/>
      <w:pPr>
        <w:tabs>
          <w:tab w:val="num" w:pos="720"/>
        </w:tabs>
        <w:ind w:left="720" w:hanging="360"/>
      </w:pPr>
      <w:rPr>
        <w:rFonts w:ascii="Arial" w:hAnsi="Arial" w:hint="default"/>
      </w:rPr>
    </w:lvl>
    <w:lvl w:ilvl="1" w:tplc="311C58E4" w:tentative="1">
      <w:start w:val="1"/>
      <w:numFmt w:val="bullet"/>
      <w:lvlText w:val="•"/>
      <w:lvlJc w:val="left"/>
      <w:pPr>
        <w:tabs>
          <w:tab w:val="num" w:pos="1440"/>
        </w:tabs>
        <w:ind w:left="1440" w:hanging="360"/>
      </w:pPr>
      <w:rPr>
        <w:rFonts w:ascii="Arial" w:hAnsi="Arial" w:hint="default"/>
      </w:rPr>
    </w:lvl>
    <w:lvl w:ilvl="2" w:tplc="A27030C0" w:tentative="1">
      <w:start w:val="1"/>
      <w:numFmt w:val="bullet"/>
      <w:lvlText w:val="•"/>
      <w:lvlJc w:val="left"/>
      <w:pPr>
        <w:tabs>
          <w:tab w:val="num" w:pos="2160"/>
        </w:tabs>
        <w:ind w:left="2160" w:hanging="360"/>
      </w:pPr>
      <w:rPr>
        <w:rFonts w:ascii="Arial" w:hAnsi="Arial" w:hint="default"/>
      </w:rPr>
    </w:lvl>
    <w:lvl w:ilvl="3" w:tplc="882C6F32" w:tentative="1">
      <w:start w:val="1"/>
      <w:numFmt w:val="bullet"/>
      <w:lvlText w:val="•"/>
      <w:lvlJc w:val="left"/>
      <w:pPr>
        <w:tabs>
          <w:tab w:val="num" w:pos="2880"/>
        </w:tabs>
        <w:ind w:left="2880" w:hanging="360"/>
      </w:pPr>
      <w:rPr>
        <w:rFonts w:ascii="Arial" w:hAnsi="Arial" w:hint="default"/>
      </w:rPr>
    </w:lvl>
    <w:lvl w:ilvl="4" w:tplc="51B022B8" w:tentative="1">
      <w:start w:val="1"/>
      <w:numFmt w:val="bullet"/>
      <w:lvlText w:val="•"/>
      <w:lvlJc w:val="left"/>
      <w:pPr>
        <w:tabs>
          <w:tab w:val="num" w:pos="3600"/>
        </w:tabs>
        <w:ind w:left="3600" w:hanging="360"/>
      </w:pPr>
      <w:rPr>
        <w:rFonts w:ascii="Arial" w:hAnsi="Arial" w:hint="default"/>
      </w:rPr>
    </w:lvl>
    <w:lvl w:ilvl="5" w:tplc="31D05E06" w:tentative="1">
      <w:start w:val="1"/>
      <w:numFmt w:val="bullet"/>
      <w:lvlText w:val="•"/>
      <w:lvlJc w:val="left"/>
      <w:pPr>
        <w:tabs>
          <w:tab w:val="num" w:pos="4320"/>
        </w:tabs>
        <w:ind w:left="4320" w:hanging="360"/>
      </w:pPr>
      <w:rPr>
        <w:rFonts w:ascii="Arial" w:hAnsi="Arial" w:hint="default"/>
      </w:rPr>
    </w:lvl>
    <w:lvl w:ilvl="6" w:tplc="83BE9EDA" w:tentative="1">
      <w:start w:val="1"/>
      <w:numFmt w:val="bullet"/>
      <w:lvlText w:val="•"/>
      <w:lvlJc w:val="left"/>
      <w:pPr>
        <w:tabs>
          <w:tab w:val="num" w:pos="5040"/>
        </w:tabs>
        <w:ind w:left="5040" w:hanging="360"/>
      </w:pPr>
      <w:rPr>
        <w:rFonts w:ascii="Arial" w:hAnsi="Arial" w:hint="default"/>
      </w:rPr>
    </w:lvl>
    <w:lvl w:ilvl="7" w:tplc="9DC2B476" w:tentative="1">
      <w:start w:val="1"/>
      <w:numFmt w:val="bullet"/>
      <w:lvlText w:val="•"/>
      <w:lvlJc w:val="left"/>
      <w:pPr>
        <w:tabs>
          <w:tab w:val="num" w:pos="5760"/>
        </w:tabs>
        <w:ind w:left="5760" w:hanging="360"/>
      </w:pPr>
      <w:rPr>
        <w:rFonts w:ascii="Arial" w:hAnsi="Arial" w:hint="default"/>
      </w:rPr>
    </w:lvl>
    <w:lvl w:ilvl="8" w:tplc="A2F8939A" w:tentative="1">
      <w:start w:val="1"/>
      <w:numFmt w:val="bullet"/>
      <w:lvlText w:val="•"/>
      <w:lvlJc w:val="left"/>
      <w:pPr>
        <w:tabs>
          <w:tab w:val="num" w:pos="6480"/>
        </w:tabs>
        <w:ind w:left="6480" w:hanging="360"/>
      </w:pPr>
      <w:rPr>
        <w:rFonts w:ascii="Arial" w:hAnsi="Arial" w:hint="default"/>
      </w:rPr>
    </w:lvl>
  </w:abstractNum>
  <w:abstractNum w:abstractNumId="7">
    <w:nsid w:val="5FA91284"/>
    <w:multiLevelType w:val="hybridMultilevel"/>
    <w:tmpl w:val="05DE5D00"/>
    <w:lvl w:ilvl="0" w:tplc="24786458">
      <w:start w:val="1"/>
      <w:numFmt w:val="bullet"/>
      <w:lvlText w:val="o"/>
      <w:lvlJc w:val="left"/>
      <w:pPr>
        <w:tabs>
          <w:tab w:val="num" w:pos="720"/>
        </w:tabs>
        <w:ind w:left="720" w:hanging="360"/>
      </w:pPr>
      <w:rPr>
        <w:rFonts w:ascii="Courier New" w:hAnsi="Courier New" w:hint="default"/>
      </w:rPr>
    </w:lvl>
    <w:lvl w:ilvl="1" w:tplc="1FECE966" w:tentative="1">
      <w:start w:val="1"/>
      <w:numFmt w:val="bullet"/>
      <w:lvlText w:val="o"/>
      <w:lvlJc w:val="left"/>
      <w:pPr>
        <w:tabs>
          <w:tab w:val="num" w:pos="1440"/>
        </w:tabs>
        <w:ind w:left="1440" w:hanging="360"/>
      </w:pPr>
      <w:rPr>
        <w:rFonts w:ascii="Courier New" w:hAnsi="Courier New" w:hint="default"/>
      </w:rPr>
    </w:lvl>
    <w:lvl w:ilvl="2" w:tplc="725A4DD0">
      <w:start w:val="1"/>
      <w:numFmt w:val="bullet"/>
      <w:lvlText w:val="o"/>
      <w:lvlJc w:val="left"/>
      <w:pPr>
        <w:tabs>
          <w:tab w:val="num" w:pos="2160"/>
        </w:tabs>
        <w:ind w:left="2160" w:hanging="360"/>
      </w:pPr>
      <w:rPr>
        <w:rFonts w:ascii="Courier New" w:hAnsi="Courier New" w:hint="default"/>
      </w:rPr>
    </w:lvl>
    <w:lvl w:ilvl="3" w:tplc="79341EBE" w:tentative="1">
      <w:start w:val="1"/>
      <w:numFmt w:val="bullet"/>
      <w:lvlText w:val="o"/>
      <w:lvlJc w:val="left"/>
      <w:pPr>
        <w:tabs>
          <w:tab w:val="num" w:pos="2880"/>
        </w:tabs>
        <w:ind w:left="2880" w:hanging="360"/>
      </w:pPr>
      <w:rPr>
        <w:rFonts w:ascii="Courier New" w:hAnsi="Courier New" w:hint="default"/>
      </w:rPr>
    </w:lvl>
    <w:lvl w:ilvl="4" w:tplc="DA94099E" w:tentative="1">
      <w:start w:val="1"/>
      <w:numFmt w:val="bullet"/>
      <w:lvlText w:val="o"/>
      <w:lvlJc w:val="left"/>
      <w:pPr>
        <w:tabs>
          <w:tab w:val="num" w:pos="3600"/>
        </w:tabs>
        <w:ind w:left="3600" w:hanging="360"/>
      </w:pPr>
      <w:rPr>
        <w:rFonts w:ascii="Courier New" w:hAnsi="Courier New" w:hint="default"/>
      </w:rPr>
    </w:lvl>
    <w:lvl w:ilvl="5" w:tplc="64C42F2E" w:tentative="1">
      <w:start w:val="1"/>
      <w:numFmt w:val="bullet"/>
      <w:lvlText w:val="o"/>
      <w:lvlJc w:val="left"/>
      <w:pPr>
        <w:tabs>
          <w:tab w:val="num" w:pos="4320"/>
        </w:tabs>
        <w:ind w:left="4320" w:hanging="360"/>
      </w:pPr>
      <w:rPr>
        <w:rFonts w:ascii="Courier New" w:hAnsi="Courier New" w:hint="default"/>
      </w:rPr>
    </w:lvl>
    <w:lvl w:ilvl="6" w:tplc="3E280C92" w:tentative="1">
      <w:start w:val="1"/>
      <w:numFmt w:val="bullet"/>
      <w:lvlText w:val="o"/>
      <w:lvlJc w:val="left"/>
      <w:pPr>
        <w:tabs>
          <w:tab w:val="num" w:pos="5040"/>
        </w:tabs>
        <w:ind w:left="5040" w:hanging="360"/>
      </w:pPr>
      <w:rPr>
        <w:rFonts w:ascii="Courier New" w:hAnsi="Courier New" w:hint="default"/>
      </w:rPr>
    </w:lvl>
    <w:lvl w:ilvl="7" w:tplc="855A442E" w:tentative="1">
      <w:start w:val="1"/>
      <w:numFmt w:val="bullet"/>
      <w:lvlText w:val="o"/>
      <w:lvlJc w:val="left"/>
      <w:pPr>
        <w:tabs>
          <w:tab w:val="num" w:pos="5760"/>
        </w:tabs>
        <w:ind w:left="5760" w:hanging="360"/>
      </w:pPr>
      <w:rPr>
        <w:rFonts w:ascii="Courier New" w:hAnsi="Courier New" w:hint="default"/>
      </w:rPr>
    </w:lvl>
    <w:lvl w:ilvl="8" w:tplc="11821C7A" w:tentative="1">
      <w:start w:val="1"/>
      <w:numFmt w:val="bullet"/>
      <w:lvlText w:val="o"/>
      <w:lvlJc w:val="left"/>
      <w:pPr>
        <w:tabs>
          <w:tab w:val="num" w:pos="6480"/>
        </w:tabs>
        <w:ind w:left="6480" w:hanging="360"/>
      </w:pPr>
      <w:rPr>
        <w:rFonts w:ascii="Courier New" w:hAnsi="Courier New" w:hint="default"/>
      </w:rPr>
    </w:lvl>
  </w:abstractNum>
  <w:abstractNum w:abstractNumId="8">
    <w:nsid w:val="78ED7807"/>
    <w:multiLevelType w:val="hybridMultilevel"/>
    <w:tmpl w:val="CDB8B81A"/>
    <w:lvl w:ilvl="0" w:tplc="66A2C9EA">
      <w:start w:val="1"/>
      <w:numFmt w:val="bullet"/>
      <w:lvlText w:val="o"/>
      <w:lvlJc w:val="left"/>
      <w:pPr>
        <w:tabs>
          <w:tab w:val="num" w:pos="720"/>
        </w:tabs>
        <w:ind w:left="720" w:hanging="360"/>
      </w:pPr>
      <w:rPr>
        <w:rFonts w:ascii="Courier New" w:hAnsi="Courier New" w:hint="default"/>
      </w:rPr>
    </w:lvl>
    <w:lvl w:ilvl="1" w:tplc="93CC6536" w:tentative="1">
      <w:start w:val="1"/>
      <w:numFmt w:val="bullet"/>
      <w:lvlText w:val="o"/>
      <w:lvlJc w:val="left"/>
      <w:pPr>
        <w:tabs>
          <w:tab w:val="num" w:pos="1440"/>
        </w:tabs>
        <w:ind w:left="1440" w:hanging="360"/>
      </w:pPr>
      <w:rPr>
        <w:rFonts w:ascii="Courier New" w:hAnsi="Courier New" w:hint="default"/>
      </w:rPr>
    </w:lvl>
    <w:lvl w:ilvl="2" w:tplc="3B545BD2">
      <w:start w:val="1"/>
      <w:numFmt w:val="bullet"/>
      <w:lvlText w:val="o"/>
      <w:lvlJc w:val="left"/>
      <w:pPr>
        <w:tabs>
          <w:tab w:val="num" w:pos="2160"/>
        </w:tabs>
        <w:ind w:left="2160" w:hanging="360"/>
      </w:pPr>
      <w:rPr>
        <w:rFonts w:ascii="Courier New" w:hAnsi="Courier New" w:hint="default"/>
      </w:rPr>
    </w:lvl>
    <w:lvl w:ilvl="3" w:tplc="E31C3C38" w:tentative="1">
      <w:start w:val="1"/>
      <w:numFmt w:val="bullet"/>
      <w:lvlText w:val="o"/>
      <w:lvlJc w:val="left"/>
      <w:pPr>
        <w:tabs>
          <w:tab w:val="num" w:pos="2880"/>
        </w:tabs>
        <w:ind w:left="2880" w:hanging="360"/>
      </w:pPr>
      <w:rPr>
        <w:rFonts w:ascii="Courier New" w:hAnsi="Courier New" w:hint="default"/>
      </w:rPr>
    </w:lvl>
    <w:lvl w:ilvl="4" w:tplc="B658EF6C" w:tentative="1">
      <w:start w:val="1"/>
      <w:numFmt w:val="bullet"/>
      <w:lvlText w:val="o"/>
      <w:lvlJc w:val="left"/>
      <w:pPr>
        <w:tabs>
          <w:tab w:val="num" w:pos="3600"/>
        </w:tabs>
        <w:ind w:left="3600" w:hanging="360"/>
      </w:pPr>
      <w:rPr>
        <w:rFonts w:ascii="Courier New" w:hAnsi="Courier New" w:hint="default"/>
      </w:rPr>
    </w:lvl>
    <w:lvl w:ilvl="5" w:tplc="BA447868" w:tentative="1">
      <w:start w:val="1"/>
      <w:numFmt w:val="bullet"/>
      <w:lvlText w:val="o"/>
      <w:lvlJc w:val="left"/>
      <w:pPr>
        <w:tabs>
          <w:tab w:val="num" w:pos="4320"/>
        </w:tabs>
        <w:ind w:left="4320" w:hanging="360"/>
      </w:pPr>
      <w:rPr>
        <w:rFonts w:ascii="Courier New" w:hAnsi="Courier New" w:hint="default"/>
      </w:rPr>
    </w:lvl>
    <w:lvl w:ilvl="6" w:tplc="9AB230B0" w:tentative="1">
      <w:start w:val="1"/>
      <w:numFmt w:val="bullet"/>
      <w:lvlText w:val="o"/>
      <w:lvlJc w:val="left"/>
      <w:pPr>
        <w:tabs>
          <w:tab w:val="num" w:pos="5040"/>
        </w:tabs>
        <w:ind w:left="5040" w:hanging="360"/>
      </w:pPr>
      <w:rPr>
        <w:rFonts w:ascii="Courier New" w:hAnsi="Courier New" w:hint="default"/>
      </w:rPr>
    </w:lvl>
    <w:lvl w:ilvl="7" w:tplc="596AB4AC" w:tentative="1">
      <w:start w:val="1"/>
      <w:numFmt w:val="bullet"/>
      <w:lvlText w:val="o"/>
      <w:lvlJc w:val="left"/>
      <w:pPr>
        <w:tabs>
          <w:tab w:val="num" w:pos="5760"/>
        </w:tabs>
        <w:ind w:left="5760" w:hanging="360"/>
      </w:pPr>
      <w:rPr>
        <w:rFonts w:ascii="Courier New" w:hAnsi="Courier New" w:hint="default"/>
      </w:rPr>
    </w:lvl>
    <w:lvl w:ilvl="8" w:tplc="B27497FE" w:tentative="1">
      <w:start w:val="1"/>
      <w:numFmt w:val="bullet"/>
      <w:lvlText w:val="o"/>
      <w:lvlJc w:val="left"/>
      <w:pPr>
        <w:tabs>
          <w:tab w:val="num" w:pos="6480"/>
        </w:tabs>
        <w:ind w:left="6480" w:hanging="360"/>
      </w:pPr>
      <w:rPr>
        <w:rFonts w:ascii="Courier New" w:hAnsi="Courier New" w:hint="default"/>
      </w:rPr>
    </w:lvl>
  </w:abstractNum>
  <w:num w:numId="1">
    <w:abstractNumId w:val="6"/>
  </w:num>
  <w:num w:numId="2">
    <w:abstractNumId w:val="7"/>
  </w:num>
  <w:num w:numId="3">
    <w:abstractNumId w:val="8"/>
  </w:num>
  <w:num w:numId="4">
    <w:abstractNumId w:val="3"/>
  </w:num>
  <w:num w:numId="5">
    <w:abstractNumId w:val="5"/>
  </w:num>
  <w:num w:numId="6">
    <w:abstractNumId w:val="0"/>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B9"/>
    <w:rsid w:val="0005309C"/>
    <w:rsid w:val="000E5C37"/>
    <w:rsid w:val="00144ED9"/>
    <w:rsid w:val="00157028"/>
    <w:rsid w:val="001709EA"/>
    <w:rsid w:val="00181FDC"/>
    <w:rsid w:val="001D0DF5"/>
    <w:rsid w:val="001F75B5"/>
    <w:rsid w:val="002343B5"/>
    <w:rsid w:val="00237C7C"/>
    <w:rsid w:val="0024042F"/>
    <w:rsid w:val="002D4935"/>
    <w:rsid w:val="002E54C9"/>
    <w:rsid w:val="002F1985"/>
    <w:rsid w:val="002F1D31"/>
    <w:rsid w:val="003772D2"/>
    <w:rsid w:val="003A4A17"/>
    <w:rsid w:val="003B42AA"/>
    <w:rsid w:val="003F3A11"/>
    <w:rsid w:val="00424AD8"/>
    <w:rsid w:val="004413AE"/>
    <w:rsid w:val="004B72FB"/>
    <w:rsid w:val="00523B76"/>
    <w:rsid w:val="005449C8"/>
    <w:rsid w:val="005463B9"/>
    <w:rsid w:val="00657632"/>
    <w:rsid w:val="00675689"/>
    <w:rsid w:val="006817A3"/>
    <w:rsid w:val="006B6F65"/>
    <w:rsid w:val="00825381"/>
    <w:rsid w:val="00872548"/>
    <w:rsid w:val="008A1A69"/>
    <w:rsid w:val="008A4044"/>
    <w:rsid w:val="008B1D28"/>
    <w:rsid w:val="008F263C"/>
    <w:rsid w:val="008F59E1"/>
    <w:rsid w:val="00947898"/>
    <w:rsid w:val="00962D56"/>
    <w:rsid w:val="009E0B7A"/>
    <w:rsid w:val="00A04C71"/>
    <w:rsid w:val="00A16DBE"/>
    <w:rsid w:val="00A362DF"/>
    <w:rsid w:val="00AA06FF"/>
    <w:rsid w:val="00C24799"/>
    <w:rsid w:val="00CA1D58"/>
    <w:rsid w:val="00CB37CF"/>
    <w:rsid w:val="00CD4FCF"/>
    <w:rsid w:val="00CE0D05"/>
    <w:rsid w:val="00CE17A3"/>
    <w:rsid w:val="00CF32F5"/>
    <w:rsid w:val="00D53D4A"/>
    <w:rsid w:val="00DB0079"/>
    <w:rsid w:val="00DB4269"/>
    <w:rsid w:val="00E61306"/>
    <w:rsid w:val="00EE003D"/>
    <w:rsid w:val="00F36EFB"/>
    <w:rsid w:val="00F61D2D"/>
    <w:rsid w:val="00FD61FB"/>
    <w:rsid w:val="00FE1EB9"/>
    <w:rsid w:val="00FF0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63B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463B9"/>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63B9"/>
    <w:rPr>
      <w:color w:val="0000FF"/>
      <w:u w:val="single"/>
    </w:rPr>
  </w:style>
  <w:style w:type="table" w:styleId="TableGrid">
    <w:name w:val="Table Grid"/>
    <w:basedOn w:val="TableNormal"/>
    <w:uiPriority w:val="59"/>
    <w:rsid w:val="00FE1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63B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463B9"/>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63B9"/>
    <w:rPr>
      <w:color w:val="0000FF"/>
      <w:u w:val="single"/>
    </w:rPr>
  </w:style>
  <w:style w:type="table" w:styleId="TableGrid">
    <w:name w:val="Table Grid"/>
    <w:basedOn w:val="TableNormal"/>
    <w:uiPriority w:val="59"/>
    <w:rsid w:val="00FE1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51297">
      <w:bodyDiv w:val="1"/>
      <w:marLeft w:val="0"/>
      <w:marRight w:val="0"/>
      <w:marTop w:val="0"/>
      <w:marBottom w:val="0"/>
      <w:divBdr>
        <w:top w:val="none" w:sz="0" w:space="0" w:color="auto"/>
        <w:left w:val="none" w:sz="0" w:space="0" w:color="auto"/>
        <w:bottom w:val="none" w:sz="0" w:space="0" w:color="auto"/>
        <w:right w:val="none" w:sz="0" w:space="0" w:color="auto"/>
      </w:divBdr>
    </w:div>
    <w:div w:id="397288728">
      <w:bodyDiv w:val="1"/>
      <w:marLeft w:val="0"/>
      <w:marRight w:val="0"/>
      <w:marTop w:val="0"/>
      <w:marBottom w:val="0"/>
      <w:divBdr>
        <w:top w:val="none" w:sz="0" w:space="0" w:color="auto"/>
        <w:left w:val="none" w:sz="0" w:space="0" w:color="auto"/>
        <w:bottom w:val="none" w:sz="0" w:space="0" w:color="auto"/>
        <w:right w:val="none" w:sz="0" w:space="0" w:color="auto"/>
      </w:divBdr>
    </w:div>
    <w:div w:id="424688109">
      <w:bodyDiv w:val="1"/>
      <w:marLeft w:val="0"/>
      <w:marRight w:val="0"/>
      <w:marTop w:val="0"/>
      <w:marBottom w:val="0"/>
      <w:divBdr>
        <w:top w:val="none" w:sz="0" w:space="0" w:color="auto"/>
        <w:left w:val="none" w:sz="0" w:space="0" w:color="auto"/>
        <w:bottom w:val="none" w:sz="0" w:space="0" w:color="auto"/>
        <w:right w:val="none" w:sz="0" w:space="0" w:color="auto"/>
      </w:divBdr>
    </w:div>
    <w:div w:id="511334063">
      <w:bodyDiv w:val="1"/>
      <w:marLeft w:val="0"/>
      <w:marRight w:val="0"/>
      <w:marTop w:val="0"/>
      <w:marBottom w:val="0"/>
      <w:divBdr>
        <w:top w:val="none" w:sz="0" w:space="0" w:color="auto"/>
        <w:left w:val="none" w:sz="0" w:space="0" w:color="auto"/>
        <w:bottom w:val="none" w:sz="0" w:space="0" w:color="auto"/>
        <w:right w:val="none" w:sz="0" w:space="0" w:color="auto"/>
      </w:divBdr>
    </w:div>
    <w:div w:id="613942520">
      <w:bodyDiv w:val="1"/>
      <w:marLeft w:val="0"/>
      <w:marRight w:val="0"/>
      <w:marTop w:val="0"/>
      <w:marBottom w:val="0"/>
      <w:divBdr>
        <w:top w:val="none" w:sz="0" w:space="0" w:color="auto"/>
        <w:left w:val="none" w:sz="0" w:space="0" w:color="auto"/>
        <w:bottom w:val="none" w:sz="0" w:space="0" w:color="auto"/>
        <w:right w:val="none" w:sz="0" w:space="0" w:color="auto"/>
      </w:divBdr>
    </w:div>
    <w:div w:id="676344190">
      <w:bodyDiv w:val="1"/>
      <w:marLeft w:val="0"/>
      <w:marRight w:val="0"/>
      <w:marTop w:val="0"/>
      <w:marBottom w:val="0"/>
      <w:divBdr>
        <w:top w:val="none" w:sz="0" w:space="0" w:color="auto"/>
        <w:left w:val="none" w:sz="0" w:space="0" w:color="auto"/>
        <w:bottom w:val="none" w:sz="0" w:space="0" w:color="auto"/>
        <w:right w:val="none" w:sz="0" w:space="0" w:color="auto"/>
      </w:divBdr>
    </w:div>
    <w:div w:id="739670939">
      <w:bodyDiv w:val="1"/>
      <w:marLeft w:val="0"/>
      <w:marRight w:val="0"/>
      <w:marTop w:val="0"/>
      <w:marBottom w:val="0"/>
      <w:divBdr>
        <w:top w:val="none" w:sz="0" w:space="0" w:color="auto"/>
        <w:left w:val="none" w:sz="0" w:space="0" w:color="auto"/>
        <w:bottom w:val="none" w:sz="0" w:space="0" w:color="auto"/>
        <w:right w:val="none" w:sz="0" w:space="0" w:color="auto"/>
      </w:divBdr>
    </w:div>
    <w:div w:id="747465307">
      <w:bodyDiv w:val="1"/>
      <w:marLeft w:val="0"/>
      <w:marRight w:val="0"/>
      <w:marTop w:val="0"/>
      <w:marBottom w:val="0"/>
      <w:divBdr>
        <w:top w:val="none" w:sz="0" w:space="0" w:color="auto"/>
        <w:left w:val="none" w:sz="0" w:space="0" w:color="auto"/>
        <w:bottom w:val="none" w:sz="0" w:space="0" w:color="auto"/>
        <w:right w:val="none" w:sz="0" w:space="0" w:color="auto"/>
      </w:divBdr>
    </w:div>
    <w:div w:id="1174034337">
      <w:bodyDiv w:val="1"/>
      <w:marLeft w:val="0"/>
      <w:marRight w:val="0"/>
      <w:marTop w:val="0"/>
      <w:marBottom w:val="0"/>
      <w:divBdr>
        <w:top w:val="none" w:sz="0" w:space="0" w:color="auto"/>
        <w:left w:val="none" w:sz="0" w:space="0" w:color="auto"/>
        <w:bottom w:val="none" w:sz="0" w:space="0" w:color="auto"/>
        <w:right w:val="none" w:sz="0" w:space="0" w:color="auto"/>
      </w:divBdr>
    </w:div>
    <w:div w:id="1427001918">
      <w:bodyDiv w:val="1"/>
      <w:marLeft w:val="0"/>
      <w:marRight w:val="0"/>
      <w:marTop w:val="0"/>
      <w:marBottom w:val="0"/>
      <w:divBdr>
        <w:top w:val="none" w:sz="0" w:space="0" w:color="auto"/>
        <w:left w:val="none" w:sz="0" w:space="0" w:color="auto"/>
        <w:bottom w:val="none" w:sz="0" w:space="0" w:color="auto"/>
        <w:right w:val="none" w:sz="0" w:space="0" w:color="auto"/>
      </w:divBdr>
    </w:div>
    <w:div w:id="1464691260">
      <w:bodyDiv w:val="1"/>
      <w:marLeft w:val="0"/>
      <w:marRight w:val="0"/>
      <w:marTop w:val="0"/>
      <w:marBottom w:val="0"/>
      <w:divBdr>
        <w:top w:val="none" w:sz="0" w:space="0" w:color="auto"/>
        <w:left w:val="none" w:sz="0" w:space="0" w:color="auto"/>
        <w:bottom w:val="none" w:sz="0" w:space="0" w:color="auto"/>
        <w:right w:val="none" w:sz="0" w:space="0" w:color="auto"/>
      </w:divBdr>
    </w:div>
    <w:div w:id="1474058290">
      <w:bodyDiv w:val="1"/>
      <w:marLeft w:val="0"/>
      <w:marRight w:val="0"/>
      <w:marTop w:val="0"/>
      <w:marBottom w:val="0"/>
      <w:divBdr>
        <w:top w:val="none" w:sz="0" w:space="0" w:color="auto"/>
        <w:left w:val="none" w:sz="0" w:space="0" w:color="auto"/>
        <w:bottom w:val="none" w:sz="0" w:space="0" w:color="auto"/>
        <w:right w:val="none" w:sz="0" w:space="0" w:color="auto"/>
      </w:divBdr>
    </w:div>
    <w:div w:id="1557010421">
      <w:bodyDiv w:val="1"/>
      <w:marLeft w:val="0"/>
      <w:marRight w:val="0"/>
      <w:marTop w:val="0"/>
      <w:marBottom w:val="0"/>
      <w:divBdr>
        <w:top w:val="none" w:sz="0" w:space="0" w:color="auto"/>
        <w:left w:val="none" w:sz="0" w:space="0" w:color="auto"/>
        <w:bottom w:val="none" w:sz="0" w:space="0" w:color="auto"/>
        <w:right w:val="none" w:sz="0" w:space="0" w:color="auto"/>
      </w:divBdr>
    </w:div>
    <w:div w:id="1806119847">
      <w:bodyDiv w:val="1"/>
      <w:marLeft w:val="0"/>
      <w:marRight w:val="0"/>
      <w:marTop w:val="0"/>
      <w:marBottom w:val="0"/>
      <w:divBdr>
        <w:top w:val="none" w:sz="0" w:space="0" w:color="auto"/>
        <w:left w:val="none" w:sz="0" w:space="0" w:color="auto"/>
        <w:bottom w:val="none" w:sz="0" w:space="0" w:color="auto"/>
        <w:right w:val="none" w:sz="0" w:space="0" w:color="auto"/>
      </w:divBdr>
      <w:divsChild>
        <w:div w:id="49890810">
          <w:marLeft w:val="446"/>
          <w:marRight w:val="0"/>
          <w:marTop w:val="0"/>
          <w:marBottom w:val="0"/>
          <w:divBdr>
            <w:top w:val="none" w:sz="0" w:space="0" w:color="auto"/>
            <w:left w:val="none" w:sz="0" w:space="0" w:color="auto"/>
            <w:bottom w:val="none" w:sz="0" w:space="0" w:color="auto"/>
            <w:right w:val="none" w:sz="0" w:space="0" w:color="auto"/>
          </w:divBdr>
        </w:div>
        <w:div w:id="280114730">
          <w:marLeft w:val="446"/>
          <w:marRight w:val="0"/>
          <w:marTop w:val="0"/>
          <w:marBottom w:val="0"/>
          <w:divBdr>
            <w:top w:val="none" w:sz="0" w:space="0" w:color="auto"/>
            <w:left w:val="none" w:sz="0" w:space="0" w:color="auto"/>
            <w:bottom w:val="none" w:sz="0" w:space="0" w:color="auto"/>
            <w:right w:val="none" w:sz="0" w:space="0" w:color="auto"/>
          </w:divBdr>
        </w:div>
        <w:div w:id="1071537596">
          <w:marLeft w:val="446"/>
          <w:marRight w:val="0"/>
          <w:marTop w:val="0"/>
          <w:marBottom w:val="0"/>
          <w:divBdr>
            <w:top w:val="none" w:sz="0" w:space="0" w:color="auto"/>
            <w:left w:val="none" w:sz="0" w:space="0" w:color="auto"/>
            <w:bottom w:val="none" w:sz="0" w:space="0" w:color="auto"/>
            <w:right w:val="none" w:sz="0" w:space="0" w:color="auto"/>
          </w:divBdr>
        </w:div>
        <w:div w:id="731468400">
          <w:marLeft w:val="446"/>
          <w:marRight w:val="0"/>
          <w:marTop w:val="0"/>
          <w:marBottom w:val="0"/>
          <w:divBdr>
            <w:top w:val="none" w:sz="0" w:space="0" w:color="auto"/>
            <w:left w:val="none" w:sz="0" w:space="0" w:color="auto"/>
            <w:bottom w:val="none" w:sz="0" w:space="0" w:color="auto"/>
            <w:right w:val="none" w:sz="0" w:space="0" w:color="auto"/>
          </w:divBdr>
        </w:div>
        <w:div w:id="59327462">
          <w:marLeft w:val="446"/>
          <w:marRight w:val="0"/>
          <w:marTop w:val="0"/>
          <w:marBottom w:val="0"/>
          <w:divBdr>
            <w:top w:val="none" w:sz="0" w:space="0" w:color="auto"/>
            <w:left w:val="none" w:sz="0" w:space="0" w:color="auto"/>
            <w:bottom w:val="none" w:sz="0" w:space="0" w:color="auto"/>
            <w:right w:val="none" w:sz="0" w:space="0" w:color="auto"/>
          </w:divBdr>
        </w:div>
      </w:divsChild>
    </w:div>
    <w:div w:id="1816138729">
      <w:bodyDiv w:val="1"/>
      <w:marLeft w:val="0"/>
      <w:marRight w:val="0"/>
      <w:marTop w:val="0"/>
      <w:marBottom w:val="0"/>
      <w:divBdr>
        <w:top w:val="none" w:sz="0" w:space="0" w:color="auto"/>
        <w:left w:val="none" w:sz="0" w:space="0" w:color="auto"/>
        <w:bottom w:val="none" w:sz="0" w:space="0" w:color="auto"/>
        <w:right w:val="none" w:sz="0" w:space="0" w:color="auto"/>
      </w:divBdr>
    </w:div>
    <w:div w:id="1942911713">
      <w:bodyDiv w:val="1"/>
      <w:marLeft w:val="0"/>
      <w:marRight w:val="0"/>
      <w:marTop w:val="0"/>
      <w:marBottom w:val="0"/>
      <w:divBdr>
        <w:top w:val="none" w:sz="0" w:space="0" w:color="auto"/>
        <w:left w:val="none" w:sz="0" w:space="0" w:color="auto"/>
        <w:bottom w:val="none" w:sz="0" w:space="0" w:color="auto"/>
        <w:right w:val="none" w:sz="0" w:space="0" w:color="auto"/>
      </w:divBdr>
      <w:divsChild>
        <w:div w:id="2057463552">
          <w:marLeft w:val="1786"/>
          <w:marRight w:val="0"/>
          <w:marTop w:val="0"/>
          <w:marBottom w:val="0"/>
          <w:divBdr>
            <w:top w:val="none" w:sz="0" w:space="0" w:color="auto"/>
            <w:left w:val="none" w:sz="0" w:space="0" w:color="auto"/>
            <w:bottom w:val="none" w:sz="0" w:space="0" w:color="auto"/>
            <w:right w:val="none" w:sz="0" w:space="0" w:color="auto"/>
          </w:divBdr>
        </w:div>
        <w:div w:id="1991252732">
          <w:marLeft w:val="1786"/>
          <w:marRight w:val="0"/>
          <w:marTop w:val="0"/>
          <w:marBottom w:val="0"/>
          <w:divBdr>
            <w:top w:val="none" w:sz="0" w:space="0" w:color="auto"/>
            <w:left w:val="none" w:sz="0" w:space="0" w:color="auto"/>
            <w:bottom w:val="none" w:sz="0" w:space="0" w:color="auto"/>
            <w:right w:val="none" w:sz="0" w:space="0" w:color="auto"/>
          </w:divBdr>
        </w:div>
        <w:div w:id="435248804">
          <w:marLeft w:val="1786"/>
          <w:marRight w:val="0"/>
          <w:marTop w:val="0"/>
          <w:marBottom w:val="0"/>
          <w:divBdr>
            <w:top w:val="none" w:sz="0" w:space="0" w:color="auto"/>
            <w:left w:val="none" w:sz="0" w:space="0" w:color="auto"/>
            <w:bottom w:val="none" w:sz="0" w:space="0" w:color="auto"/>
            <w:right w:val="none" w:sz="0" w:space="0" w:color="auto"/>
          </w:divBdr>
        </w:div>
        <w:div w:id="1433554269">
          <w:marLeft w:val="1786"/>
          <w:marRight w:val="0"/>
          <w:marTop w:val="0"/>
          <w:marBottom w:val="0"/>
          <w:divBdr>
            <w:top w:val="none" w:sz="0" w:space="0" w:color="auto"/>
            <w:left w:val="none" w:sz="0" w:space="0" w:color="auto"/>
            <w:bottom w:val="none" w:sz="0" w:space="0" w:color="auto"/>
            <w:right w:val="none" w:sz="0" w:space="0" w:color="auto"/>
          </w:divBdr>
        </w:div>
        <w:div w:id="173737455">
          <w:marLeft w:val="1872"/>
          <w:marRight w:val="0"/>
          <w:marTop w:val="0"/>
          <w:marBottom w:val="0"/>
          <w:divBdr>
            <w:top w:val="none" w:sz="0" w:space="0" w:color="auto"/>
            <w:left w:val="none" w:sz="0" w:space="0" w:color="auto"/>
            <w:bottom w:val="none" w:sz="0" w:space="0" w:color="auto"/>
            <w:right w:val="none" w:sz="0" w:space="0" w:color="auto"/>
          </w:divBdr>
        </w:div>
        <w:div w:id="1719625732">
          <w:marLeft w:val="1872"/>
          <w:marRight w:val="0"/>
          <w:marTop w:val="0"/>
          <w:marBottom w:val="0"/>
          <w:divBdr>
            <w:top w:val="none" w:sz="0" w:space="0" w:color="auto"/>
            <w:left w:val="none" w:sz="0" w:space="0" w:color="auto"/>
            <w:bottom w:val="none" w:sz="0" w:space="0" w:color="auto"/>
            <w:right w:val="none" w:sz="0" w:space="0" w:color="auto"/>
          </w:divBdr>
        </w:div>
        <w:div w:id="1510024078">
          <w:marLeft w:val="605"/>
          <w:marRight w:val="0"/>
          <w:marTop w:val="0"/>
          <w:marBottom w:val="0"/>
          <w:divBdr>
            <w:top w:val="none" w:sz="0" w:space="0" w:color="auto"/>
            <w:left w:val="none" w:sz="0" w:space="0" w:color="auto"/>
            <w:bottom w:val="none" w:sz="0" w:space="0" w:color="auto"/>
            <w:right w:val="none" w:sz="0" w:space="0" w:color="auto"/>
          </w:divBdr>
        </w:div>
        <w:div w:id="328560901">
          <w:marLeft w:val="60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duals" TargetMode="External"/><Relationship Id="rId3" Type="http://schemas.microsoft.com/office/2007/relationships/stylesWithEffects" Target="stylesWithEffects.xml"/><Relationship Id="rId7" Type="http://schemas.openxmlformats.org/officeDocument/2006/relationships/hyperlink" Target="http://www.mass.gov/masshealth/dua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masshealth/onecar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neCare@state.ma.us" TargetMode="External"/><Relationship Id="rId4" Type="http://schemas.openxmlformats.org/officeDocument/2006/relationships/settings" Target="settings.xml"/><Relationship Id="rId9" Type="http://schemas.openxmlformats.org/officeDocument/2006/relationships/hyperlink" Target="http://www.mass.gov/masshealth/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Jenna</cp:lastModifiedBy>
  <cp:revision>2</cp:revision>
  <dcterms:created xsi:type="dcterms:W3CDTF">2017-10-26T13:32:00Z</dcterms:created>
  <dcterms:modified xsi:type="dcterms:W3CDTF">2017-10-26T13:32:00Z</dcterms:modified>
</cp:coreProperties>
</file>