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85" w:rsidRDefault="003A0CD5" w:rsidP="003A0CD5">
      <w:pPr>
        <w:spacing w:after="0" w:line="240" w:lineRule="auto"/>
      </w:pPr>
      <w:bookmarkStart w:id="0" w:name="_GoBack"/>
      <w:bookmarkEnd w:id="0"/>
      <w:r>
        <w:t>Slide 1</w:t>
      </w:r>
    </w:p>
    <w:p w:rsidR="003A0CD5" w:rsidRDefault="003A0CD5" w:rsidP="003A0CD5">
      <w:pPr>
        <w:spacing w:after="0" w:line="240" w:lineRule="auto"/>
        <w:rPr>
          <w:b/>
          <w:bCs/>
        </w:rPr>
      </w:pPr>
      <w:r w:rsidRPr="003A0CD5">
        <w:rPr>
          <w:b/>
          <w:bCs/>
        </w:rPr>
        <w:t>One Care: MassHealth plus Medicare</w:t>
      </w:r>
    </w:p>
    <w:p w:rsidR="003A0CD5" w:rsidRDefault="003A0CD5" w:rsidP="003A0CD5">
      <w:pPr>
        <w:spacing w:after="0" w:line="240" w:lineRule="auto"/>
      </w:pPr>
      <w:r w:rsidRPr="003A0CD5">
        <w:t xml:space="preserve">MassHealth Demonstration </w:t>
      </w:r>
      <w:r w:rsidRPr="003A0CD5">
        <w:br/>
        <w:t>to Integrate Care for Dual Eligibles</w:t>
      </w:r>
    </w:p>
    <w:p w:rsidR="003A0CD5" w:rsidRPr="003A0CD5" w:rsidRDefault="003A0CD5" w:rsidP="003A0CD5">
      <w:pPr>
        <w:spacing w:after="0" w:line="240" w:lineRule="auto"/>
      </w:pPr>
      <w:r w:rsidRPr="003A0CD5">
        <w:t>Implementation Council Meeting</w:t>
      </w:r>
    </w:p>
    <w:p w:rsidR="003A0CD5" w:rsidRPr="003A0CD5" w:rsidRDefault="003A0CD5" w:rsidP="003A0CD5">
      <w:pPr>
        <w:spacing w:after="0" w:line="240" w:lineRule="auto"/>
      </w:pPr>
      <w:r w:rsidRPr="003A0CD5">
        <w:t>October 16, 2015 1:30 PM – 3:30 PM</w:t>
      </w:r>
    </w:p>
    <w:p w:rsidR="003A0CD5" w:rsidRPr="003A0CD5" w:rsidRDefault="003A0CD5" w:rsidP="003A0CD5">
      <w:pPr>
        <w:spacing w:after="0" w:line="240" w:lineRule="auto"/>
      </w:pPr>
      <w:r w:rsidRPr="003A0CD5">
        <w:t xml:space="preserve">250 Washington St. </w:t>
      </w:r>
    </w:p>
    <w:p w:rsidR="003A0CD5" w:rsidRPr="003A0CD5" w:rsidRDefault="003A0CD5" w:rsidP="003A0CD5">
      <w:pPr>
        <w:spacing w:after="0" w:line="240" w:lineRule="auto"/>
      </w:pPr>
      <w:r w:rsidRPr="003A0CD5">
        <w:t>Public Health Conference Room, 2nd Floor</w:t>
      </w:r>
    </w:p>
    <w:p w:rsidR="003A0CD5" w:rsidRDefault="003A0CD5" w:rsidP="003A0CD5">
      <w:pPr>
        <w:spacing w:after="0" w:line="240" w:lineRule="auto"/>
      </w:pPr>
      <w:r w:rsidRPr="003A0CD5">
        <w:t>Boston, MA</w:t>
      </w:r>
    </w:p>
    <w:p w:rsidR="003A0CD5" w:rsidRDefault="003A0CD5" w:rsidP="003A0CD5">
      <w:pPr>
        <w:spacing w:after="0" w:line="240" w:lineRule="auto"/>
      </w:pPr>
    </w:p>
    <w:p w:rsidR="003A0CD5" w:rsidRDefault="003A0CD5" w:rsidP="003A0CD5">
      <w:pPr>
        <w:spacing w:after="0" w:line="240" w:lineRule="auto"/>
      </w:pPr>
      <w:r>
        <w:t>Slide 2</w:t>
      </w:r>
    </w:p>
    <w:p w:rsidR="003A0CD5" w:rsidRDefault="003A0CD5" w:rsidP="003A0CD5">
      <w:pPr>
        <w:spacing w:after="0" w:line="240" w:lineRule="auto"/>
        <w:rPr>
          <w:b/>
          <w:bCs/>
        </w:rPr>
      </w:pPr>
      <w:r w:rsidRPr="003A0CD5">
        <w:rPr>
          <w:b/>
          <w:bCs/>
        </w:rPr>
        <w:t>Agenda for Today</w:t>
      </w:r>
    </w:p>
    <w:p w:rsidR="00BE2C73" w:rsidRPr="003A0CD5" w:rsidRDefault="008665E9" w:rsidP="003A0CD5">
      <w:pPr>
        <w:numPr>
          <w:ilvl w:val="0"/>
          <w:numId w:val="2"/>
        </w:numPr>
        <w:spacing w:after="0" w:line="240" w:lineRule="auto"/>
      </w:pPr>
      <w:r w:rsidRPr="003A0CD5">
        <w:t>Fallon Total Care (FTC) Closure Wrap-Up</w:t>
      </w:r>
    </w:p>
    <w:p w:rsidR="00BE2C73" w:rsidRPr="003A0CD5" w:rsidRDefault="008665E9" w:rsidP="003A0CD5">
      <w:pPr>
        <w:numPr>
          <w:ilvl w:val="0"/>
          <w:numId w:val="2"/>
        </w:numPr>
        <w:spacing w:after="0" w:line="240" w:lineRule="auto"/>
      </w:pPr>
      <w:r w:rsidRPr="003A0CD5">
        <w:t>LTS Coordinator Discussions with Tufts and CBOs</w:t>
      </w:r>
    </w:p>
    <w:p w:rsidR="00BE2C73" w:rsidRPr="003A0CD5" w:rsidRDefault="008665E9" w:rsidP="003A0CD5">
      <w:pPr>
        <w:numPr>
          <w:ilvl w:val="0"/>
          <w:numId w:val="2"/>
        </w:numPr>
        <w:spacing w:after="0" w:line="240" w:lineRule="auto"/>
      </w:pPr>
      <w:r w:rsidRPr="003A0CD5">
        <w:t>Moving Forward - Enhanced Outreach</w:t>
      </w:r>
    </w:p>
    <w:p w:rsidR="00BE2C73" w:rsidRPr="003A0CD5" w:rsidRDefault="008665E9" w:rsidP="003A0CD5">
      <w:pPr>
        <w:numPr>
          <w:ilvl w:val="0"/>
          <w:numId w:val="2"/>
        </w:numPr>
        <w:spacing w:after="0" w:line="240" w:lineRule="auto"/>
      </w:pPr>
      <w:r w:rsidRPr="003A0CD5">
        <w:t>Early Successes from One Care Plans</w:t>
      </w:r>
    </w:p>
    <w:p w:rsidR="00BE2C73" w:rsidRDefault="008665E9" w:rsidP="003A0CD5">
      <w:pPr>
        <w:numPr>
          <w:ilvl w:val="0"/>
          <w:numId w:val="2"/>
        </w:numPr>
        <w:spacing w:after="0" w:line="240" w:lineRule="auto"/>
      </w:pPr>
      <w:r w:rsidRPr="003A0CD5">
        <w:t xml:space="preserve">One Care Enrollee Assessment and LTS Coordinator Referral Quarterly Reports </w:t>
      </w:r>
    </w:p>
    <w:p w:rsidR="003A0CD5" w:rsidRDefault="003A0CD5" w:rsidP="003A0CD5">
      <w:pPr>
        <w:spacing w:after="0" w:line="240" w:lineRule="auto"/>
      </w:pPr>
    </w:p>
    <w:p w:rsidR="003A0CD5" w:rsidRDefault="003A0CD5" w:rsidP="003A0CD5">
      <w:pPr>
        <w:spacing w:after="0" w:line="240" w:lineRule="auto"/>
      </w:pPr>
      <w:r>
        <w:t>Slide 3</w:t>
      </w:r>
    </w:p>
    <w:p w:rsidR="003A0CD5" w:rsidRDefault="003A0CD5" w:rsidP="003A0CD5">
      <w:pPr>
        <w:spacing w:after="0" w:line="240" w:lineRule="auto"/>
        <w:rPr>
          <w:b/>
          <w:bCs/>
        </w:rPr>
      </w:pPr>
      <w:r w:rsidRPr="003A0CD5">
        <w:rPr>
          <w:b/>
          <w:bCs/>
        </w:rPr>
        <w:t>FTC Closure Wrap-Up</w:t>
      </w:r>
    </w:p>
    <w:p w:rsidR="00BE2C73" w:rsidRPr="003A0CD5" w:rsidRDefault="008665E9" w:rsidP="003A0CD5">
      <w:pPr>
        <w:numPr>
          <w:ilvl w:val="0"/>
          <w:numId w:val="6"/>
        </w:numPr>
        <w:spacing w:after="0" w:line="240" w:lineRule="auto"/>
      </w:pPr>
      <w:r w:rsidRPr="003A0CD5">
        <w:t>FTC member transition breakdown (note that exact numbers may change):</w:t>
      </w:r>
    </w:p>
    <w:p w:rsidR="00BE2C73" w:rsidRPr="003A0CD5" w:rsidRDefault="008665E9" w:rsidP="003A0CD5">
      <w:pPr>
        <w:numPr>
          <w:ilvl w:val="2"/>
          <w:numId w:val="7"/>
        </w:numPr>
        <w:spacing w:after="0" w:line="240" w:lineRule="auto"/>
        <w:ind w:left="1080"/>
      </w:pPr>
      <w:r w:rsidRPr="003A0CD5">
        <w:t>~ 610 members transitioned from FTC into another One Care plan for effective enrollment dates between August 1 and November 1.</w:t>
      </w:r>
    </w:p>
    <w:p w:rsidR="00BE2C73" w:rsidRPr="003A0CD5" w:rsidRDefault="008665E9" w:rsidP="003A0CD5">
      <w:pPr>
        <w:numPr>
          <w:ilvl w:val="2"/>
          <w:numId w:val="7"/>
        </w:numPr>
        <w:spacing w:after="0" w:line="240" w:lineRule="auto"/>
        <w:ind w:left="1080"/>
      </w:pPr>
      <w:r w:rsidRPr="003A0CD5">
        <w:t>~ 4,700 members transitioned back into Fee For Service.</w:t>
      </w:r>
    </w:p>
    <w:p w:rsidR="00BE2C73" w:rsidRPr="003A0CD5" w:rsidRDefault="008665E9" w:rsidP="003D196E">
      <w:pPr>
        <w:pStyle w:val="ListParagraph"/>
        <w:numPr>
          <w:ilvl w:val="0"/>
          <w:numId w:val="6"/>
        </w:numPr>
        <w:spacing w:after="0" w:line="240" w:lineRule="auto"/>
      </w:pPr>
      <w:r w:rsidRPr="003A0CD5">
        <w:t>We have shared the direct contact information for our One Care contract management team with the customer service center, Implementation Council, SHINE, the OCO, and other stakeholders to escalate any access to care issues that may arise for former FTC members</w:t>
      </w:r>
    </w:p>
    <w:p w:rsidR="00BE2C73" w:rsidRPr="003A0CD5" w:rsidRDefault="008665E9" w:rsidP="003A0CD5">
      <w:pPr>
        <w:numPr>
          <w:ilvl w:val="0"/>
          <w:numId w:val="6"/>
        </w:numPr>
        <w:spacing w:after="0" w:line="240" w:lineRule="auto"/>
      </w:pPr>
      <w:r w:rsidRPr="003A0CD5">
        <w:t xml:space="preserve">On October 1, we sent another targeted mailing to identified high-risk individuals with behavioral health needs to let them know about the availability of DMH services as a resource through this process. </w:t>
      </w:r>
    </w:p>
    <w:p w:rsidR="00BE2C73" w:rsidRPr="003A0CD5" w:rsidRDefault="008665E9" w:rsidP="003A0CD5">
      <w:pPr>
        <w:numPr>
          <w:ilvl w:val="0"/>
          <w:numId w:val="5"/>
        </w:numPr>
        <w:spacing w:after="0" w:line="240" w:lineRule="auto"/>
      </w:pPr>
      <w:r w:rsidRPr="003A0CD5">
        <w:t>MassHealth is working with UMMS to consider how to track and evaluate the experiences of FTC members as they transition to different coverage, and post-transition perspectives on One Care.</w:t>
      </w:r>
    </w:p>
    <w:p w:rsidR="00BE2C73" w:rsidRPr="003A0CD5" w:rsidRDefault="008665E9" w:rsidP="003A0CD5">
      <w:pPr>
        <w:numPr>
          <w:ilvl w:val="0"/>
          <w:numId w:val="6"/>
        </w:numPr>
        <w:spacing w:after="0" w:line="240" w:lineRule="auto"/>
      </w:pPr>
      <w:r w:rsidRPr="003A0CD5">
        <w:t xml:space="preserve">MassHealth has also asked CMS’ evaluator to consider how to capture the experience of FTC members in the One Care evaluation </w:t>
      </w:r>
    </w:p>
    <w:p w:rsidR="003A0CD5" w:rsidRPr="003A0CD5" w:rsidRDefault="003A0CD5" w:rsidP="003A0CD5">
      <w:pPr>
        <w:spacing w:after="0" w:line="240" w:lineRule="auto"/>
      </w:pPr>
    </w:p>
    <w:p w:rsidR="003A0CD5" w:rsidRDefault="003A0CD5" w:rsidP="003A0CD5">
      <w:pPr>
        <w:spacing w:after="0" w:line="240" w:lineRule="auto"/>
      </w:pPr>
      <w:r>
        <w:t>Slide 4</w:t>
      </w:r>
    </w:p>
    <w:p w:rsidR="003A0CD5" w:rsidRDefault="003A0CD5" w:rsidP="003A0CD5">
      <w:pPr>
        <w:spacing w:after="0" w:line="240" w:lineRule="auto"/>
      </w:pPr>
      <w:r w:rsidRPr="003A0CD5">
        <w:rPr>
          <w:b/>
          <w:bCs/>
        </w:rPr>
        <w:t>LTS Coordinator Discussions with Tufts and CBOs</w:t>
      </w:r>
    </w:p>
    <w:p w:rsidR="003A0CD5" w:rsidRPr="003A0CD5" w:rsidRDefault="003A0CD5" w:rsidP="003D196E">
      <w:pPr>
        <w:pStyle w:val="ListParagraph"/>
        <w:numPr>
          <w:ilvl w:val="0"/>
          <w:numId w:val="15"/>
        </w:numPr>
        <w:spacing w:after="0" w:line="240" w:lineRule="auto"/>
      </w:pPr>
      <w:r w:rsidRPr="003A0CD5">
        <w:t>MassHealth continues discussions with Tufts Health Plan and their contracted Community-Based Organizations (CBOs) about the provision of the Long-Term Supports (LTS) Coordinators in Tufts Health Plan</w:t>
      </w:r>
    </w:p>
    <w:p w:rsidR="003A0CD5" w:rsidRPr="003A0CD5" w:rsidRDefault="003A0CD5" w:rsidP="003D196E">
      <w:pPr>
        <w:pStyle w:val="ListParagraph"/>
        <w:numPr>
          <w:ilvl w:val="1"/>
          <w:numId w:val="15"/>
        </w:numPr>
        <w:spacing w:after="0" w:line="240" w:lineRule="auto"/>
      </w:pPr>
      <w:r w:rsidRPr="003A0CD5">
        <w:t>Tufts and the CBOs have been working to strengthen their relationships and to improve communications</w:t>
      </w:r>
    </w:p>
    <w:p w:rsidR="003A0CD5" w:rsidRPr="003A0CD5" w:rsidRDefault="003A0CD5" w:rsidP="003D196E">
      <w:pPr>
        <w:pStyle w:val="ListParagraph"/>
        <w:numPr>
          <w:ilvl w:val="0"/>
          <w:numId w:val="15"/>
        </w:numPr>
        <w:spacing w:after="0" w:line="240" w:lineRule="auto"/>
      </w:pPr>
      <w:r w:rsidRPr="003A0CD5">
        <w:t>By the end of October, Tufts has committed to:</w:t>
      </w:r>
    </w:p>
    <w:p w:rsidR="003A0CD5" w:rsidRPr="003A0CD5" w:rsidRDefault="003A0CD5" w:rsidP="003D196E">
      <w:pPr>
        <w:pStyle w:val="ListParagraph"/>
        <w:numPr>
          <w:ilvl w:val="1"/>
          <w:numId w:val="15"/>
        </w:numPr>
        <w:spacing w:after="0" w:line="240" w:lineRule="auto"/>
      </w:pPr>
      <w:r w:rsidRPr="003A0CD5">
        <w:t>Resolving any outstanding billing and payment issues with the CBOs</w:t>
      </w:r>
    </w:p>
    <w:p w:rsidR="003A0CD5" w:rsidRPr="003A0CD5" w:rsidRDefault="003A0CD5" w:rsidP="003D196E">
      <w:pPr>
        <w:pStyle w:val="ListParagraph"/>
        <w:numPr>
          <w:ilvl w:val="1"/>
          <w:numId w:val="15"/>
        </w:numPr>
        <w:spacing w:after="0" w:line="240" w:lineRule="auto"/>
      </w:pPr>
      <w:r w:rsidRPr="003A0CD5">
        <w:t xml:space="preserve">Working with the CBOs to finalize contract amendments  </w:t>
      </w:r>
    </w:p>
    <w:p w:rsidR="003A0CD5" w:rsidRPr="003A0CD5" w:rsidRDefault="003A0CD5" w:rsidP="003D196E">
      <w:pPr>
        <w:pStyle w:val="ListParagraph"/>
        <w:numPr>
          <w:ilvl w:val="0"/>
          <w:numId w:val="15"/>
        </w:numPr>
        <w:spacing w:after="0" w:line="240" w:lineRule="auto"/>
      </w:pPr>
      <w:r w:rsidRPr="003A0CD5">
        <w:t>MassHealth will reconvene a joint meeting in mid-November with Tufts and the CBOs to discuss progress</w:t>
      </w:r>
    </w:p>
    <w:p w:rsidR="003A0CD5" w:rsidRDefault="003A0CD5" w:rsidP="003A0CD5">
      <w:pPr>
        <w:spacing w:after="0" w:line="240" w:lineRule="auto"/>
      </w:pPr>
    </w:p>
    <w:p w:rsidR="003A0CD5" w:rsidRDefault="003A0CD5" w:rsidP="003A0CD5">
      <w:pPr>
        <w:spacing w:after="0" w:line="240" w:lineRule="auto"/>
      </w:pPr>
      <w:r>
        <w:t>Slide 5</w:t>
      </w:r>
    </w:p>
    <w:p w:rsidR="003A0CD5" w:rsidRPr="003A0CD5" w:rsidRDefault="003A0CD5" w:rsidP="003A0CD5">
      <w:pPr>
        <w:spacing w:after="0" w:line="240" w:lineRule="auto"/>
      </w:pPr>
      <w:r w:rsidRPr="003A0CD5">
        <w:rPr>
          <w:b/>
          <w:bCs/>
        </w:rPr>
        <w:t>Moving Forward – Enhanced Outreach</w:t>
      </w:r>
    </w:p>
    <w:p w:rsidR="00BE2C73" w:rsidRPr="003A0CD5" w:rsidRDefault="008665E9" w:rsidP="003D196E">
      <w:pPr>
        <w:numPr>
          <w:ilvl w:val="0"/>
          <w:numId w:val="16"/>
        </w:numPr>
        <w:spacing w:after="0" w:line="240" w:lineRule="auto"/>
      </w:pPr>
      <w:r w:rsidRPr="003A0CD5">
        <w:t>We need to maintain integrated care options in light of losses felt from FTC’s withdrawal from One Care</w:t>
      </w:r>
    </w:p>
    <w:p w:rsidR="00BE2C73" w:rsidRPr="003A0CD5" w:rsidRDefault="008665E9" w:rsidP="003D196E">
      <w:pPr>
        <w:numPr>
          <w:ilvl w:val="1"/>
          <w:numId w:val="16"/>
        </w:numPr>
        <w:spacing w:after="0" w:line="240" w:lineRule="auto"/>
      </w:pPr>
      <w:r w:rsidRPr="003A0CD5">
        <w:t>Includes up to 500 additional enrollments with Tufts in Worcester County</w:t>
      </w:r>
    </w:p>
    <w:p w:rsidR="00BE2C73" w:rsidRPr="003A0CD5" w:rsidRDefault="008665E9" w:rsidP="003D196E">
      <w:pPr>
        <w:numPr>
          <w:ilvl w:val="0"/>
          <w:numId w:val="16"/>
        </w:numPr>
        <w:spacing w:after="0" w:line="240" w:lineRule="auto"/>
      </w:pPr>
      <w:r w:rsidRPr="003A0CD5">
        <w:t>Tufts wants to expand its footprint in Suffolk County</w:t>
      </w:r>
    </w:p>
    <w:p w:rsidR="00BE2C73" w:rsidRPr="003A0CD5" w:rsidRDefault="008665E9" w:rsidP="003D196E">
      <w:pPr>
        <w:numPr>
          <w:ilvl w:val="1"/>
          <w:numId w:val="16"/>
        </w:numPr>
        <w:spacing w:after="0" w:line="240" w:lineRule="auto"/>
      </w:pPr>
      <w:r w:rsidRPr="003A0CD5">
        <w:t>Will help to offset the market challenges of adding up to 500 Worcester County new enrollees so quickly</w:t>
      </w:r>
    </w:p>
    <w:p w:rsidR="00BE2C73" w:rsidRPr="003A0CD5" w:rsidRDefault="008665E9" w:rsidP="003D196E">
      <w:pPr>
        <w:numPr>
          <w:ilvl w:val="1"/>
          <w:numId w:val="16"/>
        </w:numPr>
        <w:spacing w:after="0" w:line="240" w:lineRule="auto"/>
      </w:pPr>
      <w:r w:rsidRPr="003A0CD5">
        <w:t>Enhanced outreach approach, including passive enrollment of 750 members into Tufts in Suffolk County for January 2016</w:t>
      </w:r>
    </w:p>
    <w:p w:rsidR="00BE2C73" w:rsidRPr="003A0CD5" w:rsidRDefault="008665E9" w:rsidP="003D196E">
      <w:pPr>
        <w:pStyle w:val="ListParagraph"/>
        <w:numPr>
          <w:ilvl w:val="0"/>
          <w:numId w:val="17"/>
        </w:numPr>
        <w:spacing w:after="0" w:line="240" w:lineRule="auto"/>
      </w:pPr>
      <w:r w:rsidRPr="003A0CD5">
        <w:t xml:space="preserve">MassHealth will be partnering with Tufts on a new enhanced outreach strategy: </w:t>
      </w:r>
    </w:p>
    <w:p w:rsidR="00BE2C73" w:rsidRPr="003A0CD5" w:rsidRDefault="008665E9" w:rsidP="003D196E">
      <w:pPr>
        <w:numPr>
          <w:ilvl w:val="1"/>
          <w:numId w:val="16"/>
        </w:numPr>
        <w:spacing w:after="0" w:line="240" w:lineRule="auto"/>
      </w:pPr>
      <w:r w:rsidRPr="003A0CD5">
        <w:t>Targeting local communities with large numbers of members selected for passive enrollment</w:t>
      </w:r>
    </w:p>
    <w:p w:rsidR="00BE2C73" w:rsidRPr="003A0CD5" w:rsidRDefault="008665E9" w:rsidP="003D196E">
      <w:pPr>
        <w:numPr>
          <w:ilvl w:val="1"/>
          <w:numId w:val="16"/>
        </w:numPr>
        <w:spacing w:after="0" w:line="240" w:lineRule="auto"/>
      </w:pPr>
      <w:r w:rsidRPr="003A0CD5">
        <w:t xml:space="preserve">Goal is to reduce the percent of members who opt out </w:t>
      </w:r>
    </w:p>
    <w:p w:rsidR="003A0CD5" w:rsidRDefault="003A0CD5" w:rsidP="003A0CD5">
      <w:pPr>
        <w:spacing w:after="0" w:line="240" w:lineRule="auto"/>
      </w:pPr>
    </w:p>
    <w:p w:rsidR="003A0CD5" w:rsidRDefault="003A0CD5" w:rsidP="003A0CD5">
      <w:pPr>
        <w:spacing w:after="0" w:line="240" w:lineRule="auto"/>
      </w:pPr>
      <w:r>
        <w:t>Slide 6</w:t>
      </w:r>
    </w:p>
    <w:p w:rsidR="003A0CD5" w:rsidRDefault="003A0CD5" w:rsidP="003A0CD5">
      <w:pPr>
        <w:spacing w:after="0" w:line="240" w:lineRule="auto"/>
      </w:pPr>
      <w:r w:rsidRPr="003A0CD5">
        <w:rPr>
          <w:b/>
          <w:bCs/>
        </w:rPr>
        <w:t>Community-Based Outreach Events</w:t>
      </w:r>
    </w:p>
    <w:p w:rsidR="00BE2C73" w:rsidRPr="003A0CD5" w:rsidRDefault="008665E9" w:rsidP="003D196E">
      <w:pPr>
        <w:numPr>
          <w:ilvl w:val="0"/>
          <w:numId w:val="18"/>
        </w:numPr>
        <w:spacing w:after="0" w:line="240" w:lineRule="auto"/>
      </w:pPr>
      <w:r w:rsidRPr="003A0CD5">
        <w:t>MassHealth will be working with Tufts Health Plan to host at least three community-based events in targeted communities between November 9</w:t>
      </w:r>
      <w:r w:rsidRPr="003A0CD5">
        <w:rPr>
          <w:vertAlign w:val="superscript"/>
        </w:rPr>
        <w:t>th</w:t>
      </w:r>
      <w:r w:rsidRPr="003A0CD5">
        <w:t xml:space="preserve"> and December 19</w:t>
      </w:r>
      <w:r w:rsidRPr="003A0CD5">
        <w:rPr>
          <w:vertAlign w:val="superscript"/>
        </w:rPr>
        <w:t>th</w:t>
      </w:r>
      <w:r w:rsidRPr="003A0CD5">
        <w:t>, 2015</w:t>
      </w:r>
    </w:p>
    <w:p w:rsidR="00BE2C73" w:rsidRPr="003A0CD5" w:rsidRDefault="008665E9" w:rsidP="003D196E">
      <w:pPr>
        <w:numPr>
          <w:ilvl w:val="0"/>
          <w:numId w:val="18"/>
        </w:numPr>
        <w:spacing w:after="0" w:line="240" w:lineRule="auto"/>
      </w:pPr>
      <w:r w:rsidRPr="003A0CD5">
        <w:t>Using members’ zip codes, MassHealth has identified four target communities in Suffolk county with a significant number of members selected for passive enrollment:</w:t>
      </w:r>
    </w:p>
    <w:p w:rsidR="00BE2C73" w:rsidRPr="003A0CD5" w:rsidRDefault="008665E9" w:rsidP="003D196E">
      <w:pPr>
        <w:numPr>
          <w:ilvl w:val="1"/>
          <w:numId w:val="18"/>
        </w:numPr>
        <w:spacing w:after="0" w:line="240" w:lineRule="auto"/>
      </w:pPr>
      <w:r w:rsidRPr="003A0CD5">
        <w:t>Chelsea/Revere</w:t>
      </w:r>
    </w:p>
    <w:p w:rsidR="00BE2C73" w:rsidRPr="003A0CD5" w:rsidRDefault="008665E9" w:rsidP="003D196E">
      <w:pPr>
        <w:numPr>
          <w:ilvl w:val="1"/>
          <w:numId w:val="18"/>
        </w:numPr>
        <w:spacing w:after="0" w:line="240" w:lineRule="auto"/>
      </w:pPr>
      <w:r w:rsidRPr="003A0CD5">
        <w:t>Dorchester</w:t>
      </w:r>
    </w:p>
    <w:p w:rsidR="00BE2C73" w:rsidRPr="003A0CD5" w:rsidRDefault="008665E9" w:rsidP="003D196E">
      <w:pPr>
        <w:numPr>
          <w:ilvl w:val="1"/>
          <w:numId w:val="18"/>
        </w:numPr>
        <w:spacing w:after="0" w:line="240" w:lineRule="auto"/>
      </w:pPr>
      <w:r w:rsidRPr="003A0CD5">
        <w:t>Roxbury</w:t>
      </w:r>
    </w:p>
    <w:p w:rsidR="00BE2C73" w:rsidRPr="003A0CD5" w:rsidRDefault="008665E9" w:rsidP="003D196E">
      <w:pPr>
        <w:numPr>
          <w:ilvl w:val="1"/>
          <w:numId w:val="18"/>
        </w:numPr>
        <w:spacing w:after="0" w:line="240" w:lineRule="auto"/>
      </w:pPr>
      <w:r w:rsidRPr="003A0CD5">
        <w:t>Downtown Boston</w:t>
      </w:r>
    </w:p>
    <w:p w:rsidR="00BE2C73" w:rsidRPr="003A0CD5" w:rsidRDefault="008665E9" w:rsidP="003D196E">
      <w:pPr>
        <w:numPr>
          <w:ilvl w:val="0"/>
          <w:numId w:val="18"/>
        </w:numPr>
        <w:spacing w:after="0" w:line="240" w:lineRule="auto"/>
      </w:pPr>
      <w:r w:rsidRPr="003A0CD5">
        <w:t>These events will give members the opportunity to learn more about One Care and Tufts Health Plan and the ability to ask questions face-to-face prior to enrollment</w:t>
      </w:r>
    </w:p>
    <w:p w:rsidR="00BE2C73" w:rsidRPr="003A0CD5" w:rsidRDefault="008665E9" w:rsidP="003D196E">
      <w:pPr>
        <w:numPr>
          <w:ilvl w:val="1"/>
          <w:numId w:val="18"/>
        </w:numPr>
        <w:spacing w:after="0" w:line="240" w:lineRule="auto"/>
      </w:pPr>
      <w:r w:rsidRPr="003A0CD5">
        <w:t xml:space="preserve">The events will include a presentation by Tufts Health Plan, and incentives for member attendance, such as door prizes or a raffle </w:t>
      </w:r>
    </w:p>
    <w:p w:rsidR="00BE2C73" w:rsidRPr="003A0CD5" w:rsidRDefault="008665E9" w:rsidP="003D196E">
      <w:pPr>
        <w:numPr>
          <w:ilvl w:val="0"/>
          <w:numId w:val="18"/>
        </w:numPr>
        <w:spacing w:after="0" w:line="240" w:lineRule="auto"/>
      </w:pPr>
      <w:r w:rsidRPr="003A0CD5">
        <w:t>We are also reaching out to consumers, such as Tufts’ Consumer Advisory Board, to help plan the events and to ensure that peers (currently enrolled One Care members) can be present to answer members’ questions</w:t>
      </w:r>
    </w:p>
    <w:p w:rsidR="00BE2C73" w:rsidRPr="009B7A17" w:rsidRDefault="008665E9" w:rsidP="009B7A17">
      <w:pPr>
        <w:numPr>
          <w:ilvl w:val="1"/>
          <w:numId w:val="18"/>
        </w:numPr>
        <w:spacing w:after="0" w:line="240" w:lineRule="auto"/>
      </w:pPr>
      <w:r w:rsidRPr="009B7A17">
        <w:t>We welcome assistance and attendance from Implementation Council members with this new enhanced outreach approach</w:t>
      </w:r>
    </w:p>
    <w:p w:rsidR="003A0CD5" w:rsidRDefault="003A0CD5" w:rsidP="003A0CD5">
      <w:pPr>
        <w:spacing w:after="0" w:line="240" w:lineRule="auto"/>
      </w:pPr>
    </w:p>
    <w:p w:rsidR="003A0CD5" w:rsidRDefault="003A0CD5" w:rsidP="003A0CD5">
      <w:pPr>
        <w:spacing w:after="0" w:line="240" w:lineRule="auto"/>
      </w:pPr>
      <w:r>
        <w:t>Slide 7</w:t>
      </w:r>
    </w:p>
    <w:p w:rsidR="003A0CD5" w:rsidRDefault="003A0CD5" w:rsidP="003A0CD5">
      <w:pPr>
        <w:spacing w:after="0" w:line="240" w:lineRule="auto"/>
      </w:pPr>
      <w:r w:rsidRPr="003A0CD5">
        <w:rPr>
          <w:b/>
          <w:bCs/>
        </w:rPr>
        <w:t>Additional Enhanced Outreach Efforts</w:t>
      </w:r>
    </w:p>
    <w:p w:rsidR="003A0CD5" w:rsidRPr="003A0CD5" w:rsidRDefault="003A0CD5" w:rsidP="003A0CD5">
      <w:pPr>
        <w:spacing w:after="0" w:line="240" w:lineRule="auto"/>
      </w:pPr>
      <w:r w:rsidRPr="003A0CD5">
        <w:t>MassHealth’s outreach efforts will also involve the following:</w:t>
      </w:r>
    </w:p>
    <w:p w:rsidR="00BE2C73" w:rsidRPr="003A0CD5" w:rsidRDefault="008665E9" w:rsidP="003A0CD5">
      <w:pPr>
        <w:numPr>
          <w:ilvl w:val="0"/>
          <w:numId w:val="10"/>
        </w:numPr>
        <w:spacing w:after="0" w:line="240" w:lineRule="auto"/>
      </w:pPr>
      <w:r w:rsidRPr="003A0CD5">
        <w:t>Considering targeted outreach to providers that serve large numbers of selected members</w:t>
      </w:r>
    </w:p>
    <w:p w:rsidR="00BE2C73" w:rsidRPr="003A0CD5" w:rsidRDefault="008665E9" w:rsidP="003A0CD5">
      <w:pPr>
        <w:numPr>
          <w:ilvl w:val="0"/>
          <w:numId w:val="10"/>
        </w:numPr>
        <w:spacing w:after="0" w:line="240" w:lineRule="auto"/>
      </w:pPr>
      <w:r w:rsidRPr="003A0CD5">
        <w:t>Finding existing community events (for both consumers and providers) happening in Suffolk county over the next two months where we can bring information about One Care to members</w:t>
      </w:r>
    </w:p>
    <w:p w:rsidR="00BE2C73" w:rsidRPr="003A0CD5" w:rsidRDefault="008665E9" w:rsidP="003A0CD5">
      <w:pPr>
        <w:numPr>
          <w:ilvl w:val="0"/>
          <w:numId w:val="10"/>
        </w:numPr>
        <w:spacing w:after="0" w:line="240" w:lineRule="auto"/>
      </w:pPr>
      <w:r w:rsidRPr="003A0CD5">
        <w:t>Identifying additional community spaces (e.g., libraries and pharmacies) for One Care posters or other materials about One Care</w:t>
      </w:r>
    </w:p>
    <w:p w:rsidR="003A0CD5" w:rsidRPr="003A0CD5" w:rsidRDefault="003A0CD5" w:rsidP="003A0CD5">
      <w:pPr>
        <w:spacing w:after="0" w:line="240" w:lineRule="auto"/>
      </w:pPr>
      <w:r w:rsidRPr="003A0CD5">
        <w:t xml:space="preserve">We would like input and assistance from the Implementation Council on these strategies: </w:t>
      </w:r>
    </w:p>
    <w:p w:rsidR="00BE2C73" w:rsidRPr="003A0CD5" w:rsidRDefault="008665E9" w:rsidP="008665E9">
      <w:pPr>
        <w:numPr>
          <w:ilvl w:val="1"/>
          <w:numId w:val="11"/>
        </w:numPr>
        <w:tabs>
          <w:tab w:val="clear" w:pos="1440"/>
        </w:tabs>
        <w:spacing w:after="0" w:line="240" w:lineRule="auto"/>
        <w:ind w:left="720"/>
      </w:pPr>
      <w:r w:rsidRPr="003A0CD5">
        <w:t>Staffing and publicizing events</w:t>
      </w:r>
    </w:p>
    <w:p w:rsidR="00BE2C73" w:rsidRPr="003A0CD5" w:rsidRDefault="008665E9" w:rsidP="008665E9">
      <w:pPr>
        <w:numPr>
          <w:ilvl w:val="1"/>
          <w:numId w:val="11"/>
        </w:numPr>
        <w:tabs>
          <w:tab w:val="clear" w:pos="1440"/>
        </w:tabs>
        <w:spacing w:after="0" w:line="240" w:lineRule="auto"/>
        <w:ind w:left="720"/>
      </w:pPr>
      <w:r w:rsidRPr="003A0CD5">
        <w:lastRenderedPageBreak/>
        <w:t xml:space="preserve">Suggestions for additional community events (for both consumers and providers) in Suffolk county in November and December </w:t>
      </w:r>
    </w:p>
    <w:p w:rsidR="00BE2C73" w:rsidRPr="003A0CD5" w:rsidRDefault="008665E9" w:rsidP="008665E9">
      <w:pPr>
        <w:numPr>
          <w:ilvl w:val="1"/>
          <w:numId w:val="11"/>
        </w:numPr>
        <w:tabs>
          <w:tab w:val="clear" w:pos="1440"/>
        </w:tabs>
        <w:spacing w:after="0" w:line="240" w:lineRule="auto"/>
        <w:ind w:left="720"/>
      </w:pPr>
      <w:r w:rsidRPr="003A0CD5">
        <w:t>Identifying spaces in communities where we could place One Care materials and information</w:t>
      </w:r>
    </w:p>
    <w:p w:rsidR="00BE2C73" w:rsidRPr="003A0CD5" w:rsidRDefault="008665E9" w:rsidP="008665E9">
      <w:pPr>
        <w:numPr>
          <w:ilvl w:val="1"/>
          <w:numId w:val="11"/>
        </w:numPr>
        <w:tabs>
          <w:tab w:val="clear" w:pos="1440"/>
        </w:tabs>
        <w:spacing w:after="0" w:line="240" w:lineRule="auto"/>
        <w:ind w:left="720"/>
      </w:pPr>
      <w:r w:rsidRPr="003A0CD5">
        <w:t xml:space="preserve">Additional ideas you have about outreach </w:t>
      </w:r>
    </w:p>
    <w:p w:rsidR="003A0CD5" w:rsidRDefault="003A0CD5" w:rsidP="003A0CD5">
      <w:pPr>
        <w:spacing w:after="0" w:line="240" w:lineRule="auto"/>
      </w:pPr>
    </w:p>
    <w:p w:rsidR="003A0CD5" w:rsidRDefault="003A0CD5" w:rsidP="003A0CD5">
      <w:pPr>
        <w:spacing w:after="0" w:line="240" w:lineRule="auto"/>
      </w:pPr>
    </w:p>
    <w:p w:rsidR="003A0CD5" w:rsidRDefault="003A0CD5" w:rsidP="003A0CD5">
      <w:pPr>
        <w:spacing w:after="0" w:line="240" w:lineRule="auto"/>
      </w:pPr>
      <w:r>
        <w:t>Slide 8</w:t>
      </w:r>
    </w:p>
    <w:p w:rsidR="00E3281D" w:rsidRPr="00E3281D" w:rsidRDefault="003A0CD5" w:rsidP="003A0CD5">
      <w:pPr>
        <w:spacing w:after="0" w:line="240" w:lineRule="auto"/>
      </w:pPr>
      <w:r w:rsidRPr="003A0CD5">
        <w:rPr>
          <w:b/>
          <w:bCs/>
        </w:rPr>
        <w:t>One Care is Showing Early Signs of Success</w:t>
      </w:r>
    </w:p>
    <w:p w:rsidR="00E3281D" w:rsidRPr="00E3281D" w:rsidRDefault="00C64E97" w:rsidP="003A0CD5">
      <w:pPr>
        <w:spacing w:after="0" w:line="240" w:lineRule="auto"/>
      </w:pPr>
      <w:r>
        <w:t>Two bar graph</w:t>
      </w:r>
      <w:r w:rsidR="0078642D">
        <w:t>s</w:t>
      </w:r>
      <w:r w:rsidR="00E3281D" w:rsidRPr="00E3281D">
        <w:t xml:space="preserve"> depict decreases in utilizations as described below:</w:t>
      </w:r>
    </w:p>
    <w:p w:rsidR="00E3281D" w:rsidRPr="00E3281D" w:rsidRDefault="00E3281D" w:rsidP="003A0CD5">
      <w:pPr>
        <w:spacing w:after="0" w:line="240" w:lineRule="auto"/>
      </w:pPr>
      <w:r>
        <w:t xml:space="preserve">Graph 1: </w:t>
      </w:r>
      <w:r w:rsidRPr="00E3281D">
        <w:t>CCA Inpatient utilization after 12 months</w:t>
      </w:r>
      <w:r w:rsidR="00490234">
        <w:rPr>
          <w:vertAlign w:val="superscript"/>
        </w:rPr>
        <w:t>1</w:t>
      </w:r>
      <w:r w:rsidRPr="00E3281D">
        <w:t xml:space="preserve"> </w:t>
      </w:r>
    </w:p>
    <w:p w:rsidR="00E3281D" w:rsidRPr="00E3281D" w:rsidRDefault="00E3281D" w:rsidP="00E3281D">
      <w:pPr>
        <w:numPr>
          <w:ilvl w:val="0"/>
          <w:numId w:val="26"/>
        </w:numPr>
        <w:spacing w:after="0" w:line="240" w:lineRule="auto"/>
      </w:pPr>
      <w:r w:rsidRPr="00E3281D">
        <w:t>12 months pre-enrollments = 280 admits/1,000 member months</w:t>
      </w:r>
    </w:p>
    <w:p w:rsidR="00E3281D" w:rsidRDefault="00E3281D" w:rsidP="00E3281D">
      <w:pPr>
        <w:numPr>
          <w:ilvl w:val="0"/>
          <w:numId w:val="26"/>
        </w:numPr>
        <w:spacing w:after="0" w:line="240" w:lineRule="auto"/>
      </w:pPr>
      <w:r w:rsidRPr="00E3281D">
        <w:t>12 months post-enrollment = 259 admits/1,000 member months</w:t>
      </w:r>
    </w:p>
    <w:p w:rsidR="00E3281D" w:rsidRDefault="00E3281D" w:rsidP="00E3281D">
      <w:pPr>
        <w:spacing w:after="0" w:line="240" w:lineRule="auto"/>
      </w:pPr>
      <w:r>
        <w:t>The graph shows a decrease in CCA inpatient utilization by 7.5%.</w:t>
      </w:r>
    </w:p>
    <w:p w:rsidR="00E3281D" w:rsidRDefault="00E3281D" w:rsidP="00E3281D">
      <w:pPr>
        <w:spacing w:after="0" w:line="240" w:lineRule="auto"/>
      </w:pPr>
    </w:p>
    <w:p w:rsidR="00E3281D" w:rsidRDefault="00E3281D" w:rsidP="00E3281D">
      <w:pPr>
        <w:spacing w:after="0" w:line="240" w:lineRule="auto"/>
      </w:pPr>
      <w:r>
        <w:t>Graph 2: CCA ED utilization after 12 months</w:t>
      </w:r>
      <w:r w:rsidR="00490234">
        <w:rPr>
          <w:vertAlign w:val="superscript"/>
        </w:rPr>
        <w:t>1</w:t>
      </w:r>
    </w:p>
    <w:p w:rsidR="00E3281D" w:rsidRDefault="00E3281D" w:rsidP="00E3281D">
      <w:pPr>
        <w:numPr>
          <w:ilvl w:val="0"/>
          <w:numId w:val="27"/>
        </w:numPr>
        <w:spacing w:after="0" w:line="240" w:lineRule="auto"/>
      </w:pPr>
      <w:r>
        <w:t>12 months pre-enrollment = 1,250 visits/1,000 member months</w:t>
      </w:r>
    </w:p>
    <w:p w:rsidR="00E3281D" w:rsidRDefault="00E3281D" w:rsidP="00E3281D">
      <w:pPr>
        <w:numPr>
          <w:ilvl w:val="0"/>
          <w:numId w:val="27"/>
        </w:numPr>
        <w:spacing w:after="0" w:line="240" w:lineRule="auto"/>
      </w:pPr>
      <w:r>
        <w:t>12 months post-enrollment = 1,170 visits/1,000 member months</w:t>
      </w:r>
    </w:p>
    <w:p w:rsidR="00E3281D" w:rsidRPr="00E3281D" w:rsidRDefault="00E3281D" w:rsidP="00E3281D">
      <w:pPr>
        <w:spacing w:after="0" w:line="240" w:lineRule="auto"/>
      </w:pPr>
      <w:r>
        <w:t>The graph shows a decrease in CCA ED visits by 6.4%.</w:t>
      </w:r>
    </w:p>
    <w:p w:rsidR="00E3281D" w:rsidRPr="00E3281D" w:rsidRDefault="00E3281D" w:rsidP="003A0CD5">
      <w:pPr>
        <w:spacing w:after="0" w:line="240" w:lineRule="auto"/>
        <w:rPr>
          <w:b/>
        </w:rPr>
      </w:pPr>
    </w:p>
    <w:p w:rsidR="003A0CD5" w:rsidRPr="003A0CD5" w:rsidRDefault="003A0CD5" w:rsidP="003A0CD5">
      <w:pPr>
        <w:spacing w:after="0" w:line="240" w:lineRule="auto"/>
      </w:pPr>
      <w:r w:rsidRPr="003A0CD5">
        <w:rPr>
          <w:i/>
          <w:iCs/>
        </w:rPr>
        <w:t>Note: plans make significant upfront investments in care coordination and other services but observe impact over 12-18 month period. Given rolling enrollment, many One Care members have been in the program &lt; 12 months</w:t>
      </w:r>
    </w:p>
    <w:p w:rsidR="003A0CD5" w:rsidRDefault="003A0CD5" w:rsidP="003A0CD5">
      <w:pPr>
        <w:spacing w:after="0" w:line="240" w:lineRule="auto"/>
      </w:pPr>
    </w:p>
    <w:p w:rsidR="003A0CD5" w:rsidRPr="003A0CD5" w:rsidRDefault="003A0CD5" w:rsidP="003A0CD5">
      <w:pPr>
        <w:spacing w:after="0" w:line="240" w:lineRule="auto"/>
      </w:pPr>
      <w:r w:rsidRPr="003A0CD5">
        <w:t>Other measures of impact:</w:t>
      </w:r>
    </w:p>
    <w:p w:rsidR="003A0CD5" w:rsidRPr="003A0CD5" w:rsidRDefault="003A0CD5" w:rsidP="008665E9">
      <w:pPr>
        <w:pStyle w:val="ListParagraph"/>
        <w:numPr>
          <w:ilvl w:val="0"/>
          <w:numId w:val="20"/>
        </w:numPr>
        <w:spacing w:after="0" w:line="240" w:lineRule="auto"/>
      </w:pPr>
      <w:r w:rsidRPr="003A0CD5">
        <w:t>82% of enrollees satisfied with One Care, only 6% dissatisfied</w:t>
      </w:r>
      <w:r w:rsidRPr="008665E9">
        <w:rPr>
          <w:vertAlign w:val="superscript"/>
        </w:rPr>
        <w:t>2</w:t>
      </w:r>
    </w:p>
    <w:p w:rsidR="003A0CD5" w:rsidRPr="003A0CD5" w:rsidRDefault="003A0CD5" w:rsidP="008665E9">
      <w:pPr>
        <w:pStyle w:val="ListParagraph"/>
        <w:numPr>
          <w:ilvl w:val="0"/>
          <w:numId w:val="20"/>
        </w:numPr>
        <w:spacing w:after="0" w:line="240" w:lineRule="auto"/>
      </w:pPr>
      <w:r w:rsidRPr="003A0CD5">
        <w:t>CCA’s One Care Spring 2015 CAHPS (member experience survey) scores used for Medicare Advantage Star Ratings beat those of their mature integrated elder D-SNP</w:t>
      </w:r>
      <w:r w:rsidRPr="008665E9">
        <w:rPr>
          <w:vertAlign w:val="superscript"/>
        </w:rPr>
        <w:t>3</w:t>
      </w:r>
    </w:p>
    <w:p w:rsidR="003A0CD5" w:rsidRPr="003A0CD5" w:rsidRDefault="003A0CD5" w:rsidP="008665E9">
      <w:pPr>
        <w:pStyle w:val="ListParagraph"/>
        <w:numPr>
          <w:ilvl w:val="0"/>
          <w:numId w:val="20"/>
        </w:numPr>
        <w:spacing w:after="0" w:line="240" w:lineRule="auto"/>
      </w:pPr>
      <w:r w:rsidRPr="003A0CD5">
        <w:t>Nurse/care coordinators finding significant levels of “under-care”</w:t>
      </w:r>
    </w:p>
    <w:p w:rsidR="003A0CD5" w:rsidRPr="003A0CD5" w:rsidRDefault="003A0CD5" w:rsidP="008665E9">
      <w:pPr>
        <w:pStyle w:val="ListParagraph"/>
        <w:numPr>
          <w:ilvl w:val="0"/>
          <w:numId w:val="20"/>
        </w:numPr>
        <w:spacing w:after="0" w:line="240" w:lineRule="auto"/>
      </w:pPr>
      <w:r w:rsidRPr="003A0CD5">
        <w:t>Significant advocate and enrollee buy-in; many anecdotes of lives improved</w:t>
      </w:r>
    </w:p>
    <w:p w:rsidR="003A0CD5" w:rsidRDefault="003A0CD5" w:rsidP="003A0CD5">
      <w:pPr>
        <w:spacing w:after="0" w:line="240" w:lineRule="auto"/>
      </w:pPr>
    </w:p>
    <w:p w:rsidR="003A0CD5" w:rsidRDefault="003A0CD5" w:rsidP="003A0CD5">
      <w:pPr>
        <w:spacing w:after="0" w:line="240" w:lineRule="auto"/>
      </w:pPr>
      <w:r>
        <w:t>Slide 9</w:t>
      </w:r>
    </w:p>
    <w:p w:rsidR="003A0CD5" w:rsidRDefault="003A0CD5" w:rsidP="003A0CD5">
      <w:pPr>
        <w:spacing w:after="0" w:line="240" w:lineRule="auto"/>
        <w:rPr>
          <w:b/>
          <w:bCs/>
        </w:rPr>
      </w:pPr>
      <w:r w:rsidRPr="003A0CD5">
        <w:rPr>
          <w:b/>
          <w:bCs/>
        </w:rPr>
        <w:t>One Care Is Increasing Access to Community-based LTSS; FFS Underestimates Needs</w:t>
      </w:r>
    </w:p>
    <w:p w:rsidR="003A0CD5" w:rsidRPr="003A0CD5" w:rsidRDefault="003A0CD5" w:rsidP="003A0CD5">
      <w:pPr>
        <w:spacing w:after="0" w:line="240" w:lineRule="auto"/>
      </w:pPr>
      <w:r w:rsidRPr="003A0CD5">
        <w:t>One Care enrollees get more LTSS* than in FFS</w:t>
      </w:r>
      <w:r w:rsidRPr="003A0CD5">
        <w:rPr>
          <w:vertAlign w:val="superscript"/>
        </w:rPr>
        <w:t>1,5</w:t>
      </w:r>
    </w:p>
    <w:p w:rsidR="00E3281D" w:rsidRDefault="00E3281D" w:rsidP="0044437A">
      <w:pPr>
        <w:spacing w:after="0" w:line="240" w:lineRule="auto"/>
        <w:rPr>
          <w:bCs/>
        </w:rPr>
      </w:pPr>
      <w:r>
        <w:rPr>
          <w:bCs/>
        </w:rPr>
        <w:t xml:space="preserve">Graph shows percentage of enrollees who receive </w:t>
      </w:r>
      <w:r w:rsidR="0044437A">
        <w:rPr>
          <w:bCs/>
        </w:rPr>
        <w:t xml:space="preserve">LTSS and how LTSS use compares to use in the Fee-for-service system (FFS). Among CCA members, </w:t>
      </w:r>
      <w:r w:rsidR="0078642D">
        <w:rPr>
          <w:bCs/>
        </w:rPr>
        <w:t xml:space="preserve">14% had received LTSS in FFS.  Of these 14%, </w:t>
      </w:r>
      <w:r w:rsidR="0044437A">
        <w:rPr>
          <w:bCs/>
        </w:rPr>
        <w:t xml:space="preserve">8% received the same </w:t>
      </w:r>
      <w:r w:rsidR="0078642D">
        <w:rPr>
          <w:bCs/>
        </w:rPr>
        <w:t xml:space="preserve">amount </w:t>
      </w:r>
      <w:r w:rsidR="0044437A">
        <w:rPr>
          <w:bCs/>
        </w:rPr>
        <w:t>of LTSS</w:t>
      </w:r>
      <w:r w:rsidR="0078642D">
        <w:rPr>
          <w:bCs/>
        </w:rPr>
        <w:t xml:space="preserve"> and</w:t>
      </w:r>
      <w:r w:rsidR="0044437A">
        <w:rPr>
          <w:bCs/>
        </w:rPr>
        <w:t xml:space="preserve"> 6% received increased LTSS</w:t>
      </w:r>
      <w:r w:rsidR="0078642D">
        <w:rPr>
          <w:bCs/>
        </w:rPr>
        <w:t>.</w:t>
      </w:r>
      <w:r w:rsidR="0044437A">
        <w:rPr>
          <w:bCs/>
        </w:rPr>
        <w:t xml:space="preserve"> 34%</w:t>
      </w:r>
      <w:r w:rsidR="0078642D">
        <w:rPr>
          <w:bCs/>
        </w:rPr>
        <w:t xml:space="preserve"> of CCA members</w:t>
      </w:r>
      <w:r w:rsidR="0044437A">
        <w:rPr>
          <w:bCs/>
        </w:rPr>
        <w:t xml:space="preserve"> </w:t>
      </w:r>
      <w:r w:rsidR="0078642D">
        <w:rPr>
          <w:bCs/>
        </w:rPr>
        <w:t xml:space="preserve">hadn’t previously received LTSS in FFS and </w:t>
      </w:r>
      <w:r w:rsidR="0044437A">
        <w:rPr>
          <w:bCs/>
        </w:rPr>
        <w:t>received new LTSS</w:t>
      </w:r>
      <w:r w:rsidR="0078642D">
        <w:rPr>
          <w:bCs/>
        </w:rPr>
        <w:t xml:space="preserve"> through CCA</w:t>
      </w:r>
      <w:r w:rsidR="0044437A">
        <w:rPr>
          <w:bCs/>
        </w:rPr>
        <w:t xml:space="preserve">. Among Tufts members, </w:t>
      </w:r>
      <w:r w:rsidR="0078642D">
        <w:rPr>
          <w:bCs/>
        </w:rPr>
        <w:t xml:space="preserve">15% had received LTSS in FFS.  Of these 15%, </w:t>
      </w:r>
      <w:r w:rsidR="0044437A">
        <w:rPr>
          <w:bCs/>
        </w:rPr>
        <w:t>6% received the same amo</w:t>
      </w:r>
      <w:r w:rsidR="0078642D">
        <w:rPr>
          <w:bCs/>
        </w:rPr>
        <w:t>unt</w:t>
      </w:r>
      <w:r w:rsidR="0044437A">
        <w:rPr>
          <w:bCs/>
        </w:rPr>
        <w:t xml:space="preserve"> of LTSS</w:t>
      </w:r>
      <w:r w:rsidR="0078642D">
        <w:rPr>
          <w:bCs/>
        </w:rPr>
        <w:t xml:space="preserve"> and</w:t>
      </w:r>
      <w:r w:rsidR="0044437A">
        <w:rPr>
          <w:bCs/>
        </w:rPr>
        <w:t xml:space="preserve"> 8% received increased LTSS</w:t>
      </w:r>
      <w:r w:rsidR="0078642D">
        <w:rPr>
          <w:bCs/>
        </w:rPr>
        <w:t xml:space="preserve">.  </w:t>
      </w:r>
      <w:r w:rsidR="0044437A">
        <w:rPr>
          <w:bCs/>
        </w:rPr>
        <w:t xml:space="preserve"> 22% </w:t>
      </w:r>
      <w:r w:rsidR="0078642D">
        <w:rPr>
          <w:bCs/>
        </w:rPr>
        <w:t xml:space="preserve">of Tufts members hadn’t previously received LTSS in FFS and </w:t>
      </w:r>
      <w:r w:rsidR="0044437A">
        <w:rPr>
          <w:bCs/>
        </w:rPr>
        <w:t>received new LTSS</w:t>
      </w:r>
      <w:r w:rsidR="0078642D">
        <w:rPr>
          <w:bCs/>
        </w:rPr>
        <w:t xml:space="preserve"> through Tufts</w:t>
      </w:r>
      <w:r w:rsidR="0044437A">
        <w:rPr>
          <w:bCs/>
        </w:rPr>
        <w:t xml:space="preserve">. </w:t>
      </w:r>
    </w:p>
    <w:p w:rsidR="0044437A" w:rsidRPr="00E3281D" w:rsidRDefault="0044437A" w:rsidP="0044437A">
      <w:pPr>
        <w:spacing w:after="0" w:line="240" w:lineRule="auto"/>
        <w:rPr>
          <w:bCs/>
        </w:rPr>
      </w:pPr>
    </w:p>
    <w:p w:rsidR="003A0CD5" w:rsidRPr="003A0CD5" w:rsidRDefault="003A0CD5" w:rsidP="003A0CD5">
      <w:pPr>
        <w:spacing w:after="0" w:line="240" w:lineRule="auto"/>
      </w:pPr>
      <w:r w:rsidRPr="003A0CD5">
        <w:t>Historical FFS utilization underestimates needs:</w:t>
      </w:r>
    </w:p>
    <w:p w:rsidR="003A0CD5" w:rsidRPr="003A0CD5" w:rsidRDefault="003A0CD5" w:rsidP="008665E9">
      <w:pPr>
        <w:pStyle w:val="ListParagraph"/>
        <w:numPr>
          <w:ilvl w:val="0"/>
          <w:numId w:val="21"/>
        </w:numPr>
        <w:spacing w:after="0" w:line="240" w:lineRule="auto"/>
      </w:pPr>
      <w:r w:rsidRPr="003A0CD5">
        <w:t>CCA’s PMPM costs increased by 1.3% for members already receiving LTSS; for members without LTSS in FFS, PMPMs increased by 23.6%</w:t>
      </w:r>
      <w:r w:rsidRPr="008665E9">
        <w:rPr>
          <w:vertAlign w:val="superscript"/>
        </w:rPr>
        <w:t>1</w:t>
      </w:r>
    </w:p>
    <w:p w:rsidR="003A0CD5" w:rsidRPr="003A0CD5" w:rsidRDefault="003A0CD5" w:rsidP="008665E9">
      <w:pPr>
        <w:pStyle w:val="ListParagraph"/>
        <w:numPr>
          <w:ilvl w:val="0"/>
          <w:numId w:val="21"/>
        </w:numPr>
        <w:spacing w:after="0" w:line="240" w:lineRule="auto"/>
      </w:pPr>
      <w:r w:rsidRPr="003A0CD5">
        <w:t>25.5% of CCA’s enrollees had their MassHealth rating category increased post-assessment</w:t>
      </w:r>
      <w:r w:rsidRPr="008665E9">
        <w:rPr>
          <w:vertAlign w:val="superscript"/>
        </w:rPr>
        <w:t>4</w:t>
      </w:r>
    </w:p>
    <w:p w:rsidR="003A0CD5" w:rsidRDefault="003A0CD5" w:rsidP="003A0CD5">
      <w:pPr>
        <w:pStyle w:val="ListParagraph"/>
        <w:numPr>
          <w:ilvl w:val="0"/>
          <w:numId w:val="21"/>
        </w:numPr>
        <w:spacing w:after="0" w:line="240" w:lineRule="auto"/>
      </w:pPr>
      <w:r w:rsidRPr="003A0CD5">
        <w:t>Tufts connected 68% of enrollees to resources such as fuel assistance, financial assistance, or improved housing</w:t>
      </w:r>
      <w:r w:rsidRPr="008665E9">
        <w:rPr>
          <w:vertAlign w:val="superscript"/>
        </w:rPr>
        <w:t>5</w:t>
      </w:r>
      <w:r w:rsidRPr="003A0CD5">
        <w:t xml:space="preserve"> </w:t>
      </w:r>
    </w:p>
    <w:p w:rsidR="003A0CD5" w:rsidRPr="003A0CD5" w:rsidRDefault="003A0CD5" w:rsidP="003A0CD5">
      <w:pPr>
        <w:spacing w:after="0" w:line="240" w:lineRule="auto"/>
      </w:pPr>
      <w:r w:rsidRPr="003A0CD5">
        <w:rPr>
          <w:b/>
          <w:bCs/>
          <w:i/>
          <w:iCs/>
        </w:rPr>
        <w:lastRenderedPageBreak/>
        <w:t>*</w:t>
      </w:r>
      <w:r w:rsidRPr="003A0CD5">
        <w:rPr>
          <w:i/>
          <w:iCs/>
        </w:rPr>
        <w:t>Differences between plans’ LTSS increases are not adjusted for enrollment mix or member care planning preferences</w:t>
      </w:r>
    </w:p>
    <w:p w:rsidR="003A0CD5" w:rsidRDefault="003A0CD5" w:rsidP="003A0CD5">
      <w:pPr>
        <w:spacing w:after="0" w:line="240" w:lineRule="auto"/>
      </w:pPr>
    </w:p>
    <w:p w:rsidR="003A0CD5" w:rsidRDefault="003A0CD5" w:rsidP="003A0CD5">
      <w:pPr>
        <w:spacing w:after="0" w:line="240" w:lineRule="auto"/>
      </w:pPr>
    </w:p>
    <w:p w:rsidR="003A0CD5" w:rsidRDefault="003A0CD5" w:rsidP="003A0CD5">
      <w:pPr>
        <w:spacing w:after="0" w:line="240" w:lineRule="auto"/>
      </w:pPr>
      <w:r>
        <w:t>Slide 10</w:t>
      </w:r>
    </w:p>
    <w:p w:rsidR="003A0CD5" w:rsidRDefault="003A0CD5" w:rsidP="003A0CD5">
      <w:pPr>
        <w:spacing w:after="0" w:line="240" w:lineRule="auto"/>
        <w:rPr>
          <w:b/>
          <w:bCs/>
        </w:rPr>
      </w:pPr>
      <w:r w:rsidRPr="003A0CD5">
        <w:rPr>
          <w:b/>
          <w:bCs/>
        </w:rPr>
        <w:t>One Care Has Had Significant Impact On Highest Utilizers</w:t>
      </w:r>
    </w:p>
    <w:p w:rsidR="003A0CD5" w:rsidRPr="008665E9" w:rsidRDefault="003A0CD5" w:rsidP="003A0CD5">
      <w:pPr>
        <w:spacing w:after="0" w:line="240" w:lineRule="auto"/>
        <w:rPr>
          <w:bCs/>
        </w:rPr>
      </w:pPr>
      <w:r w:rsidRPr="008665E9">
        <w:rPr>
          <w:bCs/>
        </w:rPr>
        <w:t>CCA’s cost (12 mos. pre- and post-enrollment) for 10 highest spend members</w:t>
      </w:r>
      <w:r w:rsidRPr="008665E9">
        <w:rPr>
          <w:bCs/>
          <w:vertAlign w:val="superscript"/>
        </w:rPr>
        <w:t>1</w:t>
      </w:r>
    </w:p>
    <w:p w:rsidR="003A0CD5" w:rsidRDefault="00C64E97" w:rsidP="003A0CD5">
      <w:pPr>
        <w:spacing w:after="0" w:line="240" w:lineRule="auto"/>
        <w:rPr>
          <w:bCs/>
        </w:rPr>
      </w:pPr>
      <w:r>
        <w:rPr>
          <w:bCs/>
        </w:rPr>
        <w:t xml:space="preserve">A bar graph shows the changes in service spending for 10 highest spend members compared between pre enrollment and post enrollment. The spending is categorized by: inpatient/acute, outpatient/physician, facility LTSS, and community LTSS. </w:t>
      </w:r>
    </w:p>
    <w:p w:rsidR="00C64E97" w:rsidRDefault="00C64E97" w:rsidP="00C64E97">
      <w:pPr>
        <w:numPr>
          <w:ilvl w:val="0"/>
          <w:numId w:val="29"/>
        </w:numPr>
        <w:spacing w:after="0" w:line="240" w:lineRule="auto"/>
        <w:rPr>
          <w:bCs/>
        </w:rPr>
      </w:pPr>
      <w:r>
        <w:rPr>
          <w:bCs/>
        </w:rPr>
        <w:t>Member 1 – Pre-enrollment: $446,002, Post-enrollment: $215,641 (decrease of 52%)</w:t>
      </w:r>
    </w:p>
    <w:p w:rsidR="00C64E97" w:rsidRPr="00C64E97" w:rsidRDefault="00C64E97" w:rsidP="00C64E97">
      <w:pPr>
        <w:numPr>
          <w:ilvl w:val="0"/>
          <w:numId w:val="29"/>
        </w:numPr>
        <w:spacing w:after="0" w:line="240" w:lineRule="auto"/>
        <w:rPr>
          <w:bCs/>
        </w:rPr>
      </w:pPr>
      <w:r>
        <w:rPr>
          <w:bCs/>
        </w:rPr>
        <w:t>Member 2 – Pre-enrollment: $273,383, Post-enrollment: $66,827 (decrease of 76%)</w:t>
      </w:r>
    </w:p>
    <w:p w:rsidR="00C64E97" w:rsidRPr="00C64E97" w:rsidRDefault="00C64E97" w:rsidP="00C64E97">
      <w:pPr>
        <w:numPr>
          <w:ilvl w:val="0"/>
          <w:numId w:val="29"/>
        </w:numPr>
        <w:spacing w:after="0" w:line="240" w:lineRule="auto"/>
        <w:rPr>
          <w:bCs/>
        </w:rPr>
      </w:pPr>
      <w:r>
        <w:rPr>
          <w:bCs/>
        </w:rPr>
        <w:t>Member 3 – Pre-enrollment: $257,868, Post-enrollment: $197,836 (decrease of 23%)</w:t>
      </w:r>
    </w:p>
    <w:p w:rsidR="00C64E97" w:rsidRPr="00C64E97" w:rsidRDefault="00C64E97" w:rsidP="00C64E97">
      <w:pPr>
        <w:numPr>
          <w:ilvl w:val="0"/>
          <w:numId w:val="29"/>
        </w:numPr>
        <w:spacing w:after="0" w:line="240" w:lineRule="auto"/>
        <w:rPr>
          <w:bCs/>
        </w:rPr>
      </w:pPr>
      <w:r>
        <w:rPr>
          <w:bCs/>
        </w:rPr>
        <w:t>Member 4 – Pre-enrollment: $235,829 Post-enrollment: $</w:t>
      </w:r>
      <w:r w:rsidR="00AC1D38">
        <w:rPr>
          <w:bCs/>
        </w:rPr>
        <w:t>38,025</w:t>
      </w:r>
      <w:r>
        <w:rPr>
          <w:bCs/>
        </w:rPr>
        <w:t xml:space="preserve"> (</w:t>
      </w:r>
      <w:r w:rsidR="00AC1D38">
        <w:rPr>
          <w:bCs/>
        </w:rPr>
        <w:t>decrease of 84%)</w:t>
      </w:r>
    </w:p>
    <w:p w:rsidR="00C64E97" w:rsidRPr="00C64E97" w:rsidRDefault="00C64E97" w:rsidP="00C64E97">
      <w:pPr>
        <w:numPr>
          <w:ilvl w:val="0"/>
          <w:numId w:val="29"/>
        </w:numPr>
        <w:spacing w:after="0" w:line="240" w:lineRule="auto"/>
        <w:rPr>
          <w:bCs/>
        </w:rPr>
      </w:pPr>
      <w:r>
        <w:rPr>
          <w:bCs/>
        </w:rPr>
        <w:t>Member 5 – Pre-enrollment: $</w:t>
      </w:r>
      <w:r w:rsidR="00AC1D38">
        <w:rPr>
          <w:bCs/>
        </w:rPr>
        <w:t>225,324</w:t>
      </w:r>
      <w:r>
        <w:rPr>
          <w:bCs/>
        </w:rPr>
        <w:t>, Post-enrollment: $</w:t>
      </w:r>
      <w:r w:rsidR="00AC1D38">
        <w:rPr>
          <w:bCs/>
        </w:rPr>
        <w:t>93,872 (decrease of 58%)</w:t>
      </w:r>
    </w:p>
    <w:p w:rsidR="00C64E97" w:rsidRPr="00C64E97" w:rsidRDefault="00C64E97" w:rsidP="00C64E97">
      <w:pPr>
        <w:numPr>
          <w:ilvl w:val="0"/>
          <w:numId w:val="29"/>
        </w:numPr>
        <w:spacing w:after="0" w:line="240" w:lineRule="auto"/>
        <w:rPr>
          <w:bCs/>
        </w:rPr>
      </w:pPr>
      <w:r>
        <w:rPr>
          <w:bCs/>
        </w:rPr>
        <w:t>Member 6 – Pre-enrollment: $</w:t>
      </w:r>
      <w:r w:rsidR="00AC1D38">
        <w:rPr>
          <w:bCs/>
        </w:rPr>
        <w:t>219,6</w:t>
      </w:r>
      <w:r w:rsidR="005110E0">
        <w:rPr>
          <w:bCs/>
        </w:rPr>
        <w:t>21</w:t>
      </w:r>
      <w:r w:rsidR="00AC1D38">
        <w:rPr>
          <w:bCs/>
        </w:rPr>
        <w:t>,</w:t>
      </w:r>
      <w:r>
        <w:rPr>
          <w:bCs/>
        </w:rPr>
        <w:t xml:space="preserve"> Post-enrollment: $</w:t>
      </w:r>
      <w:r w:rsidR="00AC1D38">
        <w:rPr>
          <w:bCs/>
        </w:rPr>
        <w:t>191,603 (decrease of 13%)</w:t>
      </w:r>
    </w:p>
    <w:p w:rsidR="00C64E97" w:rsidRPr="00C64E97" w:rsidRDefault="00C64E97" w:rsidP="00C64E97">
      <w:pPr>
        <w:numPr>
          <w:ilvl w:val="0"/>
          <w:numId w:val="29"/>
        </w:numPr>
        <w:spacing w:after="0" w:line="240" w:lineRule="auto"/>
        <w:rPr>
          <w:bCs/>
        </w:rPr>
      </w:pPr>
      <w:r>
        <w:rPr>
          <w:bCs/>
        </w:rPr>
        <w:t>Member 7 – Pre-enrollment: $</w:t>
      </w:r>
      <w:r w:rsidR="00AC1D38">
        <w:rPr>
          <w:bCs/>
        </w:rPr>
        <w:t>219,525</w:t>
      </w:r>
      <w:r>
        <w:rPr>
          <w:bCs/>
        </w:rPr>
        <w:t>, Post-enrollment: $</w:t>
      </w:r>
      <w:r w:rsidR="00AC1D38">
        <w:rPr>
          <w:bCs/>
        </w:rPr>
        <w:t>53,562 (decrease of 76%)</w:t>
      </w:r>
    </w:p>
    <w:p w:rsidR="00C64E97" w:rsidRPr="00C64E97" w:rsidRDefault="00C64E97" w:rsidP="00C64E97">
      <w:pPr>
        <w:numPr>
          <w:ilvl w:val="0"/>
          <w:numId w:val="29"/>
        </w:numPr>
        <w:spacing w:after="0" w:line="240" w:lineRule="auto"/>
        <w:rPr>
          <w:bCs/>
        </w:rPr>
      </w:pPr>
      <w:r>
        <w:rPr>
          <w:bCs/>
        </w:rPr>
        <w:t>Member 8 – Pre-enrollment: $</w:t>
      </w:r>
      <w:r w:rsidR="005110E0">
        <w:rPr>
          <w:bCs/>
        </w:rPr>
        <w:t>213,285</w:t>
      </w:r>
      <w:r>
        <w:rPr>
          <w:bCs/>
        </w:rPr>
        <w:t>, Post-enrollment: $</w:t>
      </w:r>
      <w:r w:rsidR="005110E0">
        <w:rPr>
          <w:bCs/>
        </w:rPr>
        <w:t>149,041 (decrease of 30%)</w:t>
      </w:r>
    </w:p>
    <w:p w:rsidR="00C64E97" w:rsidRPr="00C64E97" w:rsidRDefault="00C64E97" w:rsidP="00C64E97">
      <w:pPr>
        <w:numPr>
          <w:ilvl w:val="0"/>
          <w:numId w:val="29"/>
        </w:numPr>
        <w:spacing w:after="0" w:line="240" w:lineRule="auto"/>
        <w:rPr>
          <w:bCs/>
        </w:rPr>
      </w:pPr>
      <w:r>
        <w:rPr>
          <w:bCs/>
        </w:rPr>
        <w:t>Member 9 – Pre-enrollment: $</w:t>
      </w:r>
      <w:r w:rsidR="005110E0">
        <w:rPr>
          <w:bCs/>
        </w:rPr>
        <w:t>212,338,</w:t>
      </w:r>
      <w:r>
        <w:rPr>
          <w:bCs/>
        </w:rPr>
        <w:t xml:space="preserve"> Post-enrollment: $</w:t>
      </w:r>
      <w:r w:rsidR="005110E0">
        <w:rPr>
          <w:bCs/>
        </w:rPr>
        <w:t>231,284 (increase of 9%)</w:t>
      </w:r>
    </w:p>
    <w:p w:rsidR="00C64E97" w:rsidRPr="00C64E97" w:rsidRDefault="00C64E97" w:rsidP="00C64E97">
      <w:pPr>
        <w:numPr>
          <w:ilvl w:val="0"/>
          <w:numId w:val="29"/>
        </w:numPr>
        <w:spacing w:after="0" w:line="240" w:lineRule="auto"/>
        <w:rPr>
          <w:bCs/>
        </w:rPr>
      </w:pPr>
      <w:r>
        <w:rPr>
          <w:bCs/>
        </w:rPr>
        <w:t>Member 10 – Pre-enrollment: $</w:t>
      </w:r>
      <w:r w:rsidR="005110E0">
        <w:rPr>
          <w:bCs/>
        </w:rPr>
        <w:t>211,979</w:t>
      </w:r>
      <w:r>
        <w:rPr>
          <w:bCs/>
        </w:rPr>
        <w:t>, Post-enrollment: $</w:t>
      </w:r>
      <w:r w:rsidR="005110E0">
        <w:rPr>
          <w:bCs/>
        </w:rPr>
        <w:t>260,742 (increase of 23%)</w:t>
      </w:r>
    </w:p>
    <w:p w:rsidR="00C64E97" w:rsidRPr="00C64E97" w:rsidRDefault="00C64E97" w:rsidP="00C64E97">
      <w:pPr>
        <w:spacing w:after="0" w:line="240" w:lineRule="auto"/>
        <w:rPr>
          <w:bCs/>
        </w:rPr>
      </w:pPr>
    </w:p>
    <w:p w:rsidR="003A0CD5" w:rsidRPr="003A0CD5" w:rsidRDefault="003A0CD5" w:rsidP="00BC78F4">
      <w:pPr>
        <w:pStyle w:val="ListParagraph"/>
        <w:numPr>
          <w:ilvl w:val="0"/>
          <w:numId w:val="29"/>
        </w:numPr>
        <w:spacing w:after="0" w:line="240" w:lineRule="auto"/>
      </w:pPr>
      <w:r w:rsidRPr="003A0CD5">
        <w:t>Cost reductions due to decreased inpatient/acute and skilled nursing facility utilization</w:t>
      </w:r>
    </w:p>
    <w:p w:rsidR="003A0CD5" w:rsidRPr="003A0CD5" w:rsidRDefault="003A0CD5" w:rsidP="00BC78F4">
      <w:pPr>
        <w:pStyle w:val="ListParagraph"/>
        <w:numPr>
          <w:ilvl w:val="0"/>
          <w:numId w:val="29"/>
        </w:numPr>
        <w:spacing w:after="0" w:line="240" w:lineRule="auto"/>
      </w:pPr>
      <w:r w:rsidRPr="003A0CD5">
        <w:t>Investments in care management, primary care, and community-based LTSS to achieve reductions</w:t>
      </w:r>
    </w:p>
    <w:p w:rsidR="003A0CD5" w:rsidRPr="003A0CD5" w:rsidRDefault="003A0CD5" w:rsidP="00BC78F4">
      <w:pPr>
        <w:pStyle w:val="ListParagraph"/>
        <w:numPr>
          <w:ilvl w:val="0"/>
          <w:numId w:val="29"/>
        </w:numPr>
        <w:spacing w:after="0" w:line="240" w:lineRule="auto"/>
      </w:pPr>
      <w:r w:rsidRPr="003A0CD5">
        <w:t>8 of 10 highest cost members had reduced cost</w:t>
      </w:r>
    </w:p>
    <w:p w:rsidR="003A0CD5" w:rsidRPr="003A0CD5" w:rsidRDefault="003A0CD5" w:rsidP="00BC78F4">
      <w:pPr>
        <w:pStyle w:val="ListParagraph"/>
        <w:numPr>
          <w:ilvl w:val="0"/>
          <w:numId w:val="29"/>
        </w:numPr>
        <w:spacing w:after="0" w:line="240" w:lineRule="auto"/>
      </w:pPr>
      <w:r w:rsidRPr="003A0CD5">
        <w:t>For all 10, average cost reduction of -38%</w:t>
      </w:r>
    </w:p>
    <w:p w:rsidR="003A0CD5" w:rsidRDefault="003A0CD5" w:rsidP="003A0CD5">
      <w:pPr>
        <w:spacing w:after="0" w:line="240" w:lineRule="auto"/>
      </w:pPr>
    </w:p>
    <w:p w:rsidR="003A0CD5" w:rsidRDefault="003A0CD5" w:rsidP="003A0CD5">
      <w:pPr>
        <w:spacing w:after="0" w:line="240" w:lineRule="auto"/>
      </w:pPr>
      <w:r>
        <w:t>Slide 11</w:t>
      </w:r>
    </w:p>
    <w:p w:rsidR="003A0CD5" w:rsidRDefault="003A0CD5" w:rsidP="003A0CD5">
      <w:pPr>
        <w:spacing w:after="0" w:line="240" w:lineRule="auto"/>
        <w:rPr>
          <w:b/>
          <w:bCs/>
        </w:rPr>
      </w:pPr>
      <w:r w:rsidRPr="003A0CD5">
        <w:rPr>
          <w:b/>
          <w:bCs/>
        </w:rPr>
        <w:t>Insights From Experience To Date …</w:t>
      </w:r>
    </w:p>
    <w:p w:rsidR="00BE2C73" w:rsidRPr="003A0CD5" w:rsidRDefault="008665E9" w:rsidP="008665E9">
      <w:pPr>
        <w:numPr>
          <w:ilvl w:val="1"/>
          <w:numId w:val="22"/>
        </w:numPr>
        <w:tabs>
          <w:tab w:val="clear" w:pos="1440"/>
        </w:tabs>
        <w:spacing w:after="0" w:line="240" w:lineRule="auto"/>
        <w:ind w:left="720"/>
        <w:rPr>
          <w:bCs/>
        </w:rPr>
      </w:pPr>
      <w:r w:rsidRPr="003A0CD5">
        <w:rPr>
          <w:bCs/>
        </w:rPr>
        <w:t>Significant pent-up demand and unmet needs for new members</w:t>
      </w:r>
    </w:p>
    <w:p w:rsidR="00BE2C73" w:rsidRPr="003A0CD5" w:rsidRDefault="008665E9" w:rsidP="008665E9">
      <w:pPr>
        <w:numPr>
          <w:ilvl w:val="1"/>
          <w:numId w:val="22"/>
        </w:numPr>
        <w:tabs>
          <w:tab w:val="clear" w:pos="1440"/>
        </w:tabs>
        <w:spacing w:after="0" w:line="240" w:lineRule="auto"/>
        <w:ind w:left="720"/>
        <w:rPr>
          <w:bCs/>
        </w:rPr>
      </w:pPr>
      <w:r w:rsidRPr="003A0CD5">
        <w:rPr>
          <w:bCs/>
        </w:rPr>
        <w:t>Upfront investments (care coordination, increased medical, BH and LTSS care) required, but savings take 12-18 months to realize</w:t>
      </w:r>
    </w:p>
    <w:p w:rsidR="00BE2C73" w:rsidRPr="003A0CD5" w:rsidRDefault="008665E9" w:rsidP="008665E9">
      <w:pPr>
        <w:numPr>
          <w:ilvl w:val="1"/>
          <w:numId w:val="22"/>
        </w:numPr>
        <w:tabs>
          <w:tab w:val="clear" w:pos="1440"/>
        </w:tabs>
        <w:spacing w:after="0" w:line="240" w:lineRule="auto"/>
        <w:ind w:left="720"/>
        <w:rPr>
          <w:bCs/>
        </w:rPr>
      </w:pPr>
      <w:r w:rsidRPr="003A0CD5">
        <w:rPr>
          <w:bCs/>
        </w:rPr>
        <w:t xml:space="preserve">Claims history is significantly underestimating the population’s functional limitations, behavioral health conditions, and other needs </w:t>
      </w:r>
    </w:p>
    <w:p w:rsidR="00BE2C73" w:rsidRPr="003A0CD5" w:rsidRDefault="008665E9" w:rsidP="008665E9">
      <w:pPr>
        <w:numPr>
          <w:ilvl w:val="1"/>
          <w:numId w:val="22"/>
        </w:numPr>
        <w:tabs>
          <w:tab w:val="clear" w:pos="1440"/>
        </w:tabs>
        <w:spacing w:after="0" w:line="240" w:lineRule="auto"/>
        <w:ind w:left="720"/>
        <w:rPr>
          <w:bCs/>
        </w:rPr>
      </w:pPr>
      <w:r w:rsidRPr="003A0CD5">
        <w:rPr>
          <w:bCs/>
        </w:rPr>
        <w:t>Investments in care management are critical to success of model – key to making person-level connections</w:t>
      </w:r>
    </w:p>
    <w:p w:rsidR="00BE2C73" w:rsidRPr="003A0CD5" w:rsidRDefault="008665E9" w:rsidP="008665E9">
      <w:pPr>
        <w:numPr>
          <w:ilvl w:val="1"/>
          <w:numId w:val="22"/>
        </w:numPr>
        <w:tabs>
          <w:tab w:val="clear" w:pos="1440"/>
        </w:tabs>
        <w:spacing w:after="0" w:line="240" w:lineRule="auto"/>
        <w:ind w:left="720"/>
        <w:rPr>
          <w:bCs/>
        </w:rPr>
      </w:pPr>
      <w:r w:rsidRPr="003A0CD5">
        <w:rPr>
          <w:bCs/>
        </w:rPr>
        <w:t>Expanded services are diverting enrollees from more acute and expensive care (ex. Crisis Stabilization Units)</w:t>
      </w:r>
    </w:p>
    <w:p w:rsidR="00BE2C73" w:rsidRPr="003A0CD5" w:rsidRDefault="008665E9" w:rsidP="008665E9">
      <w:pPr>
        <w:numPr>
          <w:ilvl w:val="1"/>
          <w:numId w:val="22"/>
        </w:numPr>
        <w:tabs>
          <w:tab w:val="clear" w:pos="1440"/>
        </w:tabs>
        <w:spacing w:after="0" w:line="240" w:lineRule="auto"/>
        <w:ind w:left="720"/>
        <w:rPr>
          <w:bCs/>
        </w:rPr>
      </w:pPr>
      <w:r w:rsidRPr="003A0CD5">
        <w:rPr>
          <w:bCs/>
        </w:rPr>
        <w:t>CCA building own Crisis Stabilization Units – up-front cost with long-term savings</w:t>
      </w:r>
    </w:p>
    <w:p w:rsidR="003A0CD5" w:rsidRDefault="003A0CD5" w:rsidP="003A0CD5">
      <w:pPr>
        <w:spacing w:after="0" w:line="240" w:lineRule="auto"/>
        <w:rPr>
          <w:b/>
          <w:bCs/>
        </w:rPr>
      </w:pPr>
    </w:p>
    <w:p w:rsidR="003A0CD5" w:rsidRDefault="003A0CD5" w:rsidP="003A0CD5">
      <w:pPr>
        <w:spacing w:after="0" w:line="240" w:lineRule="auto"/>
        <w:rPr>
          <w:b/>
          <w:bCs/>
        </w:rPr>
      </w:pPr>
      <w:r>
        <w:rPr>
          <w:b/>
          <w:bCs/>
        </w:rPr>
        <w:t>Slide 12</w:t>
      </w:r>
    </w:p>
    <w:p w:rsidR="003A0CD5" w:rsidRDefault="003A0CD5" w:rsidP="003A0CD5">
      <w:pPr>
        <w:spacing w:after="0" w:line="240" w:lineRule="auto"/>
        <w:rPr>
          <w:b/>
          <w:bCs/>
        </w:rPr>
      </w:pPr>
      <w:r w:rsidRPr="003A0CD5">
        <w:rPr>
          <w:b/>
          <w:bCs/>
        </w:rPr>
        <w:t>Early Successes from One Care Plans-Endnotes</w:t>
      </w:r>
    </w:p>
    <w:p w:rsidR="003A0CD5" w:rsidRPr="003A0CD5" w:rsidRDefault="003A0CD5" w:rsidP="003A0CD5">
      <w:pPr>
        <w:spacing w:after="0" w:line="240" w:lineRule="auto"/>
        <w:rPr>
          <w:bCs/>
        </w:rPr>
      </w:pPr>
      <w:r w:rsidRPr="003A0CD5">
        <w:rPr>
          <w:bCs/>
          <w:i/>
          <w:iCs/>
          <w:vertAlign w:val="superscript"/>
        </w:rPr>
        <w:t xml:space="preserve">1 </w:t>
      </w:r>
      <w:r w:rsidRPr="003A0CD5">
        <w:rPr>
          <w:bCs/>
          <w:i/>
          <w:iCs/>
        </w:rPr>
        <w:t>Charts based on data from “Early Review of One Care Performance.” Commonwealth Care Alliance.  August 14, 2015.  Data based on analysis of  4,559 individuals continuously enrolled for 12+ months through December 2014 preceded by 12+ months continuously eligible for MassHealth and Medicare.  Part D claims excluded from analysis due to limitations on data availability.  Medicare claims may be incomplete.</w:t>
      </w:r>
    </w:p>
    <w:p w:rsidR="003A0CD5" w:rsidRPr="003A0CD5" w:rsidRDefault="003A0CD5" w:rsidP="003A0CD5">
      <w:pPr>
        <w:spacing w:after="0" w:line="240" w:lineRule="auto"/>
        <w:rPr>
          <w:bCs/>
        </w:rPr>
      </w:pPr>
      <w:r w:rsidRPr="003A0CD5">
        <w:rPr>
          <w:bCs/>
          <w:i/>
          <w:iCs/>
          <w:vertAlign w:val="superscript"/>
        </w:rPr>
        <w:lastRenderedPageBreak/>
        <w:t>2</w:t>
      </w:r>
      <w:r w:rsidRPr="003A0CD5">
        <w:rPr>
          <w:bCs/>
          <w:i/>
          <w:iCs/>
        </w:rPr>
        <w:t xml:space="preserve"> The One Care Early Indicators Project, “Findings from the One Care Member Experience Survey (2014),” May 2015. Available at </w:t>
      </w:r>
      <w:hyperlink r:id="rId6" w:history="1">
        <w:r w:rsidRPr="003A0CD5">
          <w:rPr>
            <w:rStyle w:val="Hyperlink"/>
            <w:bCs/>
            <w:i/>
            <w:iCs/>
          </w:rPr>
          <w:t>http://www.mass.gov/eohhs/docs/masshealth/onecare/eip-survey-2-report.pdf</w:t>
        </w:r>
      </w:hyperlink>
      <w:r w:rsidRPr="003A0CD5">
        <w:rPr>
          <w:bCs/>
          <w:i/>
          <w:iCs/>
        </w:rPr>
        <w:t xml:space="preserve"> </w:t>
      </w:r>
    </w:p>
    <w:p w:rsidR="003A0CD5" w:rsidRPr="003A0CD5" w:rsidRDefault="003A0CD5" w:rsidP="003A0CD5">
      <w:pPr>
        <w:spacing w:after="0" w:line="240" w:lineRule="auto"/>
        <w:rPr>
          <w:bCs/>
        </w:rPr>
      </w:pPr>
      <w:r w:rsidRPr="003A0CD5">
        <w:rPr>
          <w:bCs/>
          <w:i/>
          <w:iCs/>
          <w:vertAlign w:val="superscript"/>
        </w:rPr>
        <w:t xml:space="preserve">3 </w:t>
      </w:r>
      <w:r w:rsidRPr="003A0CD5">
        <w:rPr>
          <w:bCs/>
          <w:i/>
          <w:iCs/>
        </w:rPr>
        <w:t>Medicare Advantage and Prescription Drug Plan CAHPS for 2015 conducted in Spring 2015, as reported in “Early Review of One Care Performance.” Commonwealth Care Alliance.  August 14, 2015.</w:t>
      </w:r>
    </w:p>
    <w:p w:rsidR="003A0CD5" w:rsidRPr="003A0CD5" w:rsidRDefault="003A0CD5" w:rsidP="003A0CD5">
      <w:pPr>
        <w:spacing w:after="0" w:line="240" w:lineRule="auto"/>
        <w:rPr>
          <w:bCs/>
        </w:rPr>
      </w:pPr>
      <w:r w:rsidRPr="003A0CD5">
        <w:rPr>
          <w:bCs/>
          <w:i/>
          <w:iCs/>
          <w:vertAlign w:val="superscript"/>
        </w:rPr>
        <w:t xml:space="preserve">4 </w:t>
      </w:r>
      <w:r w:rsidRPr="003A0CD5">
        <w:rPr>
          <w:bCs/>
          <w:i/>
          <w:iCs/>
        </w:rPr>
        <w:t>“Early Review of One Care Performance.” Commonwealth Care Alliance.  August 14, 2015.</w:t>
      </w:r>
    </w:p>
    <w:p w:rsidR="003A0CD5" w:rsidRDefault="003A0CD5" w:rsidP="003A0CD5">
      <w:pPr>
        <w:spacing w:after="0" w:line="240" w:lineRule="auto"/>
        <w:rPr>
          <w:bCs/>
          <w:i/>
          <w:iCs/>
        </w:rPr>
      </w:pPr>
      <w:r w:rsidRPr="003A0CD5">
        <w:rPr>
          <w:bCs/>
          <w:i/>
          <w:iCs/>
          <w:vertAlign w:val="superscript"/>
        </w:rPr>
        <w:t>5</w:t>
      </w:r>
      <w:r w:rsidRPr="003A0CD5">
        <w:rPr>
          <w:bCs/>
          <w:i/>
          <w:iCs/>
        </w:rPr>
        <w:t xml:space="preserve"> Information provided by Tufts Health Plan – Network Health, August 24, 2015.</w:t>
      </w:r>
    </w:p>
    <w:p w:rsidR="003A0CD5" w:rsidRPr="003A0CD5" w:rsidRDefault="003A0CD5" w:rsidP="003A0CD5">
      <w:pPr>
        <w:spacing w:after="0" w:line="240" w:lineRule="auto"/>
        <w:rPr>
          <w:bCs/>
          <w:iCs/>
        </w:rPr>
      </w:pPr>
    </w:p>
    <w:p w:rsidR="003A0CD5" w:rsidRPr="003A0CD5" w:rsidRDefault="003A0CD5" w:rsidP="003A0CD5">
      <w:pPr>
        <w:spacing w:after="0" w:line="240" w:lineRule="auto"/>
        <w:rPr>
          <w:bCs/>
          <w:iCs/>
        </w:rPr>
      </w:pPr>
      <w:r w:rsidRPr="003A0CD5">
        <w:rPr>
          <w:bCs/>
          <w:iCs/>
        </w:rPr>
        <w:t>Slide 13</w:t>
      </w:r>
    </w:p>
    <w:p w:rsidR="003A0CD5" w:rsidRDefault="003A0CD5" w:rsidP="003A0CD5">
      <w:pPr>
        <w:spacing w:after="0" w:line="240" w:lineRule="auto"/>
        <w:rPr>
          <w:b/>
          <w:bCs/>
        </w:rPr>
      </w:pPr>
      <w:r w:rsidRPr="003A0CD5">
        <w:rPr>
          <w:b/>
          <w:bCs/>
        </w:rPr>
        <w:t>Enrollee Assessment and LTS Coordinator Referral Quarterly Report: January - March 2015</w:t>
      </w:r>
    </w:p>
    <w:p w:rsidR="003A0CD5" w:rsidRDefault="003A0CD5" w:rsidP="003A0CD5">
      <w:pPr>
        <w:spacing w:after="0" w:line="240" w:lineRule="auto"/>
        <w:rPr>
          <w:b/>
          <w:bCs/>
        </w:rPr>
      </w:pPr>
    </w:p>
    <w:p w:rsidR="00BE2C73" w:rsidRPr="003A0CD5" w:rsidRDefault="008665E9" w:rsidP="008665E9">
      <w:pPr>
        <w:numPr>
          <w:ilvl w:val="0"/>
          <w:numId w:val="23"/>
        </w:numPr>
        <w:spacing w:after="0" w:line="240" w:lineRule="auto"/>
        <w:ind w:left="720"/>
        <w:rPr>
          <w:bCs/>
        </w:rPr>
      </w:pPr>
      <w:r w:rsidRPr="003A0CD5">
        <w:rPr>
          <w:bCs/>
        </w:rPr>
        <w:t>The One Care enrollee assessment and LTS Coordinator (LTS-C) referral report for individuals who enrolled in One Care on January 1, February 1, and March 1, of 2015 is now available.</w:t>
      </w:r>
    </w:p>
    <w:p w:rsidR="00BE2C73" w:rsidRPr="003A0CD5" w:rsidRDefault="008665E9" w:rsidP="008665E9">
      <w:pPr>
        <w:numPr>
          <w:ilvl w:val="0"/>
          <w:numId w:val="25"/>
        </w:numPr>
        <w:spacing w:after="0" w:line="240" w:lineRule="auto"/>
        <w:rPr>
          <w:bCs/>
        </w:rPr>
      </w:pPr>
      <w:r w:rsidRPr="003A0CD5">
        <w:rPr>
          <w:bCs/>
        </w:rPr>
        <w:t xml:space="preserve">MassHealth will post the report on the One Care website at: </w:t>
      </w:r>
      <w:hyperlink r:id="rId7" w:history="1">
        <w:r w:rsidRPr="003A0CD5">
          <w:rPr>
            <w:rStyle w:val="Hyperlink"/>
            <w:b/>
            <w:bCs/>
          </w:rPr>
          <w:t>www.mass.gov/masshealth/</w:t>
        </w:r>
      </w:hyperlink>
      <w:hyperlink r:id="rId8" w:history="1">
        <w:r w:rsidRPr="003A0CD5">
          <w:rPr>
            <w:rStyle w:val="Hyperlink"/>
            <w:b/>
            <w:bCs/>
          </w:rPr>
          <w:t>onecare</w:t>
        </w:r>
      </w:hyperlink>
      <w:r w:rsidRPr="003A0CD5">
        <w:rPr>
          <w:b/>
          <w:bCs/>
        </w:rPr>
        <w:t xml:space="preserve">, </w:t>
      </w:r>
      <w:r w:rsidRPr="003A0CD5">
        <w:rPr>
          <w:bCs/>
        </w:rPr>
        <w:t xml:space="preserve">in the “One Care News and Community” section. </w:t>
      </w:r>
    </w:p>
    <w:p w:rsidR="00BE2C73" w:rsidRDefault="008665E9" w:rsidP="008665E9">
      <w:pPr>
        <w:numPr>
          <w:ilvl w:val="0"/>
          <w:numId w:val="24"/>
        </w:numPr>
        <w:spacing w:after="0" w:line="240" w:lineRule="auto"/>
        <w:ind w:left="720"/>
        <w:rPr>
          <w:bCs/>
        </w:rPr>
      </w:pPr>
      <w:r w:rsidRPr="003A0CD5">
        <w:rPr>
          <w:bCs/>
        </w:rPr>
        <w:t>This quarter included the highest assessment completion rates by the plans to date, and an increase both in the number of members with an identified need for LTSS, and the number of members being offered an LTS-C.</w:t>
      </w:r>
    </w:p>
    <w:p w:rsidR="003D196E" w:rsidRDefault="003D196E" w:rsidP="003D196E">
      <w:pPr>
        <w:spacing w:after="0" w:line="240" w:lineRule="auto"/>
        <w:rPr>
          <w:bCs/>
        </w:rPr>
      </w:pPr>
    </w:p>
    <w:p w:rsidR="003D196E" w:rsidRDefault="003D196E" w:rsidP="003D196E">
      <w:pPr>
        <w:spacing w:after="0" w:line="240" w:lineRule="auto"/>
        <w:rPr>
          <w:bCs/>
        </w:rPr>
      </w:pPr>
      <w:r>
        <w:rPr>
          <w:bCs/>
        </w:rPr>
        <w:t>Slide 14</w:t>
      </w:r>
    </w:p>
    <w:p w:rsidR="003D196E" w:rsidRDefault="003D196E" w:rsidP="003D196E">
      <w:pPr>
        <w:spacing w:after="0" w:line="240" w:lineRule="auto"/>
        <w:rPr>
          <w:b/>
          <w:bCs/>
        </w:rPr>
      </w:pPr>
      <w:r w:rsidRPr="003D196E">
        <w:rPr>
          <w:b/>
          <w:bCs/>
        </w:rPr>
        <w:t xml:space="preserve">Visit us at </w:t>
      </w:r>
      <w:hyperlink r:id="rId9" w:history="1">
        <w:r w:rsidRPr="003D196E">
          <w:rPr>
            <w:rStyle w:val="Hyperlink"/>
            <w:b/>
            <w:bCs/>
          </w:rPr>
          <w:t>www.mass.gov/masshealth/onecare</w:t>
        </w:r>
      </w:hyperlink>
      <w:r w:rsidRPr="003D196E">
        <w:rPr>
          <w:b/>
          <w:bCs/>
        </w:rPr>
        <w:t xml:space="preserve"> </w:t>
      </w:r>
    </w:p>
    <w:p w:rsidR="003D196E" w:rsidRPr="003D196E" w:rsidRDefault="003D196E" w:rsidP="003D196E">
      <w:pPr>
        <w:spacing w:after="0" w:line="240" w:lineRule="auto"/>
        <w:rPr>
          <w:bCs/>
        </w:rPr>
      </w:pPr>
      <w:r w:rsidRPr="003D196E">
        <w:rPr>
          <w:b/>
          <w:bCs/>
        </w:rPr>
        <w:t xml:space="preserve">Email us at </w:t>
      </w:r>
      <w:hyperlink r:id="rId10" w:history="1">
        <w:r w:rsidRPr="003D196E">
          <w:rPr>
            <w:rStyle w:val="Hyperlink"/>
            <w:b/>
            <w:bCs/>
          </w:rPr>
          <w:t>OneCare@state.ma.us</w:t>
        </w:r>
      </w:hyperlink>
    </w:p>
    <w:sectPr w:rsidR="003D196E" w:rsidRPr="003D1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C0C"/>
    <w:multiLevelType w:val="hybridMultilevel"/>
    <w:tmpl w:val="5EF65792"/>
    <w:lvl w:ilvl="0" w:tplc="04090001">
      <w:start w:val="1"/>
      <w:numFmt w:val="bullet"/>
      <w:lvlText w:val=""/>
      <w:lvlJc w:val="left"/>
      <w:pPr>
        <w:tabs>
          <w:tab w:val="num" w:pos="720"/>
        </w:tabs>
        <w:ind w:left="720" w:hanging="360"/>
      </w:pPr>
      <w:rPr>
        <w:rFonts w:ascii="Symbol" w:hAnsi="Symbol" w:hint="default"/>
      </w:rPr>
    </w:lvl>
    <w:lvl w:ilvl="1" w:tplc="7DC20008" w:tentative="1">
      <w:start w:val="1"/>
      <w:numFmt w:val="bullet"/>
      <w:lvlText w:val="■"/>
      <w:lvlJc w:val="left"/>
      <w:pPr>
        <w:tabs>
          <w:tab w:val="num" w:pos="1440"/>
        </w:tabs>
        <w:ind w:left="1440" w:hanging="360"/>
      </w:pPr>
      <w:rPr>
        <w:rFonts w:ascii="Arial" w:hAnsi="Arial" w:hint="default"/>
      </w:rPr>
    </w:lvl>
    <w:lvl w:ilvl="2" w:tplc="7480BB2E" w:tentative="1">
      <w:start w:val="1"/>
      <w:numFmt w:val="bullet"/>
      <w:lvlText w:val="■"/>
      <w:lvlJc w:val="left"/>
      <w:pPr>
        <w:tabs>
          <w:tab w:val="num" w:pos="2160"/>
        </w:tabs>
        <w:ind w:left="2160" w:hanging="360"/>
      </w:pPr>
      <w:rPr>
        <w:rFonts w:ascii="Arial" w:hAnsi="Arial" w:hint="default"/>
      </w:rPr>
    </w:lvl>
    <w:lvl w:ilvl="3" w:tplc="4FB2BC36" w:tentative="1">
      <w:start w:val="1"/>
      <w:numFmt w:val="bullet"/>
      <w:lvlText w:val="■"/>
      <w:lvlJc w:val="left"/>
      <w:pPr>
        <w:tabs>
          <w:tab w:val="num" w:pos="2880"/>
        </w:tabs>
        <w:ind w:left="2880" w:hanging="360"/>
      </w:pPr>
      <w:rPr>
        <w:rFonts w:ascii="Arial" w:hAnsi="Arial" w:hint="default"/>
      </w:rPr>
    </w:lvl>
    <w:lvl w:ilvl="4" w:tplc="1DA81DC2" w:tentative="1">
      <w:start w:val="1"/>
      <w:numFmt w:val="bullet"/>
      <w:lvlText w:val="■"/>
      <w:lvlJc w:val="left"/>
      <w:pPr>
        <w:tabs>
          <w:tab w:val="num" w:pos="3600"/>
        </w:tabs>
        <w:ind w:left="3600" w:hanging="360"/>
      </w:pPr>
      <w:rPr>
        <w:rFonts w:ascii="Arial" w:hAnsi="Arial" w:hint="default"/>
      </w:rPr>
    </w:lvl>
    <w:lvl w:ilvl="5" w:tplc="027EEDE4" w:tentative="1">
      <w:start w:val="1"/>
      <w:numFmt w:val="bullet"/>
      <w:lvlText w:val="■"/>
      <w:lvlJc w:val="left"/>
      <w:pPr>
        <w:tabs>
          <w:tab w:val="num" w:pos="4320"/>
        </w:tabs>
        <w:ind w:left="4320" w:hanging="360"/>
      </w:pPr>
      <w:rPr>
        <w:rFonts w:ascii="Arial" w:hAnsi="Arial" w:hint="default"/>
      </w:rPr>
    </w:lvl>
    <w:lvl w:ilvl="6" w:tplc="C8A04F00" w:tentative="1">
      <w:start w:val="1"/>
      <w:numFmt w:val="bullet"/>
      <w:lvlText w:val="■"/>
      <w:lvlJc w:val="left"/>
      <w:pPr>
        <w:tabs>
          <w:tab w:val="num" w:pos="5040"/>
        </w:tabs>
        <w:ind w:left="5040" w:hanging="360"/>
      </w:pPr>
      <w:rPr>
        <w:rFonts w:ascii="Arial" w:hAnsi="Arial" w:hint="default"/>
      </w:rPr>
    </w:lvl>
    <w:lvl w:ilvl="7" w:tplc="4BAC7BEC" w:tentative="1">
      <w:start w:val="1"/>
      <w:numFmt w:val="bullet"/>
      <w:lvlText w:val="■"/>
      <w:lvlJc w:val="left"/>
      <w:pPr>
        <w:tabs>
          <w:tab w:val="num" w:pos="5760"/>
        </w:tabs>
        <w:ind w:left="5760" w:hanging="360"/>
      </w:pPr>
      <w:rPr>
        <w:rFonts w:ascii="Arial" w:hAnsi="Arial" w:hint="default"/>
      </w:rPr>
    </w:lvl>
    <w:lvl w:ilvl="8" w:tplc="7548ED28" w:tentative="1">
      <w:start w:val="1"/>
      <w:numFmt w:val="bullet"/>
      <w:lvlText w:val="■"/>
      <w:lvlJc w:val="left"/>
      <w:pPr>
        <w:tabs>
          <w:tab w:val="num" w:pos="6480"/>
        </w:tabs>
        <w:ind w:left="6480" w:hanging="360"/>
      </w:pPr>
      <w:rPr>
        <w:rFonts w:ascii="Arial" w:hAnsi="Arial" w:hint="default"/>
      </w:rPr>
    </w:lvl>
  </w:abstractNum>
  <w:abstractNum w:abstractNumId="1">
    <w:nsid w:val="120A2EFE"/>
    <w:multiLevelType w:val="hybridMultilevel"/>
    <w:tmpl w:val="F54E7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426B2"/>
    <w:multiLevelType w:val="hybridMultilevel"/>
    <w:tmpl w:val="8880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92976"/>
    <w:multiLevelType w:val="hybridMultilevel"/>
    <w:tmpl w:val="A266A03A"/>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6C0125"/>
    <w:multiLevelType w:val="hybridMultilevel"/>
    <w:tmpl w:val="C4EE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2292E"/>
    <w:multiLevelType w:val="hybridMultilevel"/>
    <w:tmpl w:val="2C946EA2"/>
    <w:lvl w:ilvl="0" w:tplc="C082E366">
      <w:start w:val="1"/>
      <w:numFmt w:val="bullet"/>
      <w:lvlText w:val="■"/>
      <w:lvlJc w:val="left"/>
      <w:pPr>
        <w:tabs>
          <w:tab w:val="num" w:pos="720"/>
        </w:tabs>
        <w:ind w:left="720" w:hanging="360"/>
      </w:pPr>
      <w:rPr>
        <w:rFonts w:ascii="Arial" w:hAnsi="Arial" w:hint="default"/>
      </w:rPr>
    </w:lvl>
    <w:lvl w:ilvl="1" w:tplc="66A2F098">
      <w:start w:val="1515"/>
      <w:numFmt w:val="bullet"/>
      <w:lvlText w:val="–"/>
      <w:lvlJc w:val="left"/>
      <w:pPr>
        <w:tabs>
          <w:tab w:val="num" w:pos="1440"/>
        </w:tabs>
        <w:ind w:left="1440" w:hanging="360"/>
      </w:pPr>
      <w:rPr>
        <w:rFonts w:ascii="Times New Roman" w:hAnsi="Times New Roman" w:hint="default"/>
      </w:rPr>
    </w:lvl>
    <w:lvl w:ilvl="2" w:tplc="90CC859A" w:tentative="1">
      <w:start w:val="1"/>
      <w:numFmt w:val="bullet"/>
      <w:lvlText w:val="■"/>
      <w:lvlJc w:val="left"/>
      <w:pPr>
        <w:tabs>
          <w:tab w:val="num" w:pos="2160"/>
        </w:tabs>
        <w:ind w:left="2160" w:hanging="360"/>
      </w:pPr>
      <w:rPr>
        <w:rFonts w:ascii="Arial" w:hAnsi="Arial" w:hint="default"/>
      </w:rPr>
    </w:lvl>
    <w:lvl w:ilvl="3" w:tplc="E24896D6" w:tentative="1">
      <w:start w:val="1"/>
      <w:numFmt w:val="bullet"/>
      <w:lvlText w:val="■"/>
      <w:lvlJc w:val="left"/>
      <w:pPr>
        <w:tabs>
          <w:tab w:val="num" w:pos="2880"/>
        </w:tabs>
        <w:ind w:left="2880" w:hanging="360"/>
      </w:pPr>
      <w:rPr>
        <w:rFonts w:ascii="Arial" w:hAnsi="Arial" w:hint="default"/>
      </w:rPr>
    </w:lvl>
    <w:lvl w:ilvl="4" w:tplc="03FE7012" w:tentative="1">
      <w:start w:val="1"/>
      <w:numFmt w:val="bullet"/>
      <w:lvlText w:val="■"/>
      <w:lvlJc w:val="left"/>
      <w:pPr>
        <w:tabs>
          <w:tab w:val="num" w:pos="3600"/>
        </w:tabs>
        <w:ind w:left="3600" w:hanging="360"/>
      </w:pPr>
      <w:rPr>
        <w:rFonts w:ascii="Arial" w:hAnsi="Arial" w:hint="default"/>
      </w:rPr>
    </w:lvl>
    <w:lvl w:ilvl="5" w:tplc="F0D23A40" w:tentative="1">
      <w:start w:val="1"/>
      <w:numFmt w:val="bullet"/>
      <w:lvlText w:val="■"/>
      <w:lvlJc w:val="left"/>
      <w:pPr>
        <w:tabs>
          <w:tab w:val="num" w:pos="4320"/>
        </w:tabs>
        <w:ind w:left="4320" w:hanging="360"/>
      </w:pPr>
      <w:rPr>
        <w:rFonts w:ascii="Arial" w:hAnsi="Arial" w:hint="default"/>
      </w:rPr>
    </w:lvl>
    <w:lvl w:ilvl="6" w:tplc="F872B3BA" w:tentative="1">
      <w:start w:val="1"/>
      <w:numFmt w:val="bullet"/>
      <w:lvlText w:val="■"/>
      <w:lvlJc w:val="left"/>
      <w:pPr>
        <w:tabs>
          <w:tab w:val="num" w:pos="5040"/>
        </w:tabs>
        <w:ind w:left="5040" w:hanging="360"/>
      </w:pPr>
      <w:rPr>
        <w:rFonts w:ascii="Arial" w:hAnsi="Arial" w:hint="default"/>
      </w:rPr>
    </w:lvl>
    <w:lvl w:ilvl="7" w:tplc="9C201382" w:tentative="1">
      <w:start w:val="1"/>
      <w:numFmt w:val="bullet"/>
      <w:lvlText w:val="■"/>
      <w:lvlJc w:val="left"/>
      <w:pPr>
        <w:tabs>
          <w:tab w:val="num" w:pos="5760"/>
        </w:tabs>
        <w:ind w:left="5760" w:hanging="360"/>
      </w:pPr>
      <w:rPr>
        <w:rFonts w:ascii="Arial" w:hAnsi="Arial" w:hint="default"/>
      </w:rPr>
    </w:lvl>
    <w:lvl w:ilvl="8" w:tplc="E018BD3A" w:tentative="1">
      <w:start w:val="1"/>
      <w:numFmt w:val="bullet"/>
      <w:lvlText w:val="■"/>
      <w:lvlJc w:val="left"/>
      <w:pPr>
        <w:tabs>
          <w:tab w:val="num" w:pos="6480"/>
        </w:tabs>
        <w:ind w:left="6480" w:hanging="360"/>
      </w:pPr>
      <w:rPr>
        <w:rFonts w:ascii="Arial" w:hAnsi="Arial" w:hint="default"/>
      </w:rPr>
    </w:lvl>
  </w:abstractNum>
  <w:abstractNum w:abstractNumId="6">
    <w:nsid w:val="22B113B9"/>
    <w:multiLevelType w:val="hybridMultilevel"/>
    <w:tmpl w:val="C6A2DA3E"/>
    <w:lvl w:ilvl="0" w:tplc="149E4C56">
      <w:start w:val="1"/>
      <w:numFmt w:val="bullet"/>
      <w:lvlText w:val="•"/>
      <w:lvlJc w:val="left"/>
      <w:pPr>
        <w:tabs>
          <w:tab w:val="num" w:pos="720"/>
        </w:tabs>
        <w:ind w:left="720" w:hanging="360"/>
      </w:pPr>
      <w:rPr>
        <w:rFonts w:ascii="Arial" w:hAnsi="Arial" w:hint="default"/>
      </w:rPr>
    </w:lvl>
    <w:lvl w:ilvl="1" w:tplc="E54E618A">
      <w:start w:val="1"/>
      <w:numFmt w:val="bullet"/>
      <w:lvlText w:val="•"/>
      <w:lvlJc w:val="left"/>
      <w:pPr>
        <w:tabs>
          <w:tab w:val="num" w:pos="1440"/>
        </w:tabs>
        <w:ind w:left="1440" w:hanging="360"/>
      </w:pPr>
      <w:rPr>
        <w:rFonts w:ascii="Arial" w:hAnsi="Arial" w:hint="default"/>
      </w:rPr>
    </w:lvl>
    <w:lvl w:ilvl="2" w:tplc="7C30AD30" w:tentative="1">
      <w:start w:val="1"/>
      <w:numFmt w:val="bullet"/>
      <w:lvlText w:val="•"/>
      <w:lvlJc w:val="left"/>
      <w:pPr>
        <w:tabs>
          <w:tab w:val="num" w:pos="2160"/>
        </w:tabs>
        <w:ind w:left="2160" w:hanging="360"/>
      </w:pPr>
      <w:rPr>
        <w:rFonts w:ascii="Arial" w:hAnsi="Arial" w:hint="default"/>
      </w:rPr>
    </w:lvl>
    <w:lvl w:ilvl="3" w:tplc="8F7045AE" w:tentative="1">
      <w:start w:val="1"/>
      <w:numFmt w:val="bullet"/>
      <w:lvlText w:val="•"/>
      <w:lvlJc w:val="left"/>
      <w:pPr>
        <w:tabs>
          <w:tab w:val="num" w:pos="2880"/>
        </w:tabs>
        <w:ind w:left="2880" w:hanging="360"/>
      </w:pPr>
      <w:rPr>
        <w:rFonts w:ascii="Arial" w:hAnsi="Arial" w:hint="default"/>
      </w:rPr>
    </w:lvl>
    <w:lvl w:ilvl="4" w:tplc="78EA43BC" w:tentative="1">
      <w:start w:val="1"/>
      <w:numFmt w:val="bullet"/>
      <w:lvlText w:val="•"/>
      <w:lvlJc w:val="left"/>
      <w:pPr>
        <w:tabs>
          <w:tab w:val="num" w:pos="3600"/>
        </w:tabs>
        <w:ind w:left="3600" w:hanging="360"/>
      </w:pPr>
      <w:rPr>
        <w:rFonts w:ascii="Arial" w:hAnsi="Arial" w:hint="default"/>
      </w:rPr>
    </w:lvl>
    <w:lvl w:ilvl="5" w:tplc="FC90AF30" w:tentative="1">
      <w:start w:val="1"/>
      <w:numFmt w:val="bullet"/>
      <w:lvlText w:val="•"/>
      <w:lvlJc w:val="left"/>
      <w:pPr>
        <w:tabs>
          <w:tab w:val="num" w:pos="4320"/>
        </w:tabs>
        <w:ind w:left="4320" w:hanging="360"/>
      </w:pPr>
      <w:rPr>
        <w:rFonts w:ascii="Arial" w:hAnsi="Arial" w:hint="default"/>
      </w:rPr>
    </w:lvl>
    <w:lvl w:ilvl="6" w:tplc="5936D288" w:tentative="1">
      <w:start w:val="1"/>
      <w:numFmt w:val="bullet"/>
      <w:lvlText w:val="•"/>
      <w:lvlJc w:val="left"/>
      <w:pPr>
        <w:tabs>
          <w:tab w:val="num" w:pos="5040"/>
        </w:tabs>
        <w:ind w:left="5040" w:hanging="360"/>
      </w:pPr>
      <w:rPr>
        <w:rFonts w:ascii="Arial" w:hAnsi="Arial" w:hint="default"/>
      </w:rPr>
    </w:lvl>
    <w:lvl w:ilvl="7" w:tplc="62141C68" w:tentative="1">
      <w:start w:val="1"/>
      <w:numFmt w:val="bullet"/>
      <w:lvlText w:val="•"/>
      <w:lvlJc w:val="left"/>
      <w:pPr>
        <w:tabs>
          <w:tab w:val="num" w:pos="5760"/>
        </w:tabs>
        <w:ind w:left="5760" w:hanging="360"/>
      </w:pPr>
      <w:rPr>
        <w:rFonts w:ascii="Arial" w:hAnsi="Arial" w:hint="default"/>
      </w:rPr>
    </w:lvl>
    <w:lvl w:ilvl="8" w:tplc="2BA82B0C" w:tentative="1">
      <w:start w:val="1"/>
      <w:numFmt w:val="bullet"/>
      <w:lvlText w:val="•"/>
      <w:lvlJc w:val="left"/>
      <w:pPr>
        <w:tabs>
          <w:tab w:val="num" w:pos="6480"/>
        </w:tabs>
        <w:ind w:left="6480" w:hanging="360"/>
      </w:pPr>
      <w:rPr>
        <w:rFonts w:ascii="Arial" w:hAnsi="Arial" w:hint="default"/>
      </w:rPr>
    </w:lvl>
  </w:abstractNum>
  <w:abstractNum w:abstractNumId="7">
    <w:nsid w:val="2A1C1DF6"/>
    <w:multiLevelType w:val="hybridMultilevel"/>
    <w:tmpl w:val="2E248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64504"/>
    <w:multiLevelType w:val="hybridMultilevel"/>
    <w:tmpl w:val="D8F0F312"/>
    <w:lvl w:ilvl="0" w:tplc="BA7A5208">
      <w:start w:val="1"/>
      <w:numFmt w:val="bullet"/>
      <w:lvlText w:val="■"/>
      <w:lvlJc w:val="left"/>
      <w:pPr>
        <w:tabs>
          <w:tab w:val="num" w:pos="720"/>
        </w:tabs>
        <w:ind w:left="720" w:hanging="360"/>
      </w:pPr>
      <w:rPr>
        <w:rFonts w:ascii="Arial" w:hAnsi="Arial" w:hint="default"/>
      </w:rPr>
    </w:lvl>
    <w:lvl w:ilvl="1" w:tplc="7DC20008" w:tentative="1">
      <w:start w:val="1"/>
      <w:numFmt w:val="bullet"/>
      <w:lvlText w:val="■"/>
      <w:lvlJc w:val="left"/>
      <w:pPr>
        <w:tabs>
          <w:tab w:val="num" w:pos="1440"/>
        </w:tabs>
        <w:ind w:left="1440" w:hanging="360"/>
      </w:pPr>
      <w:rPr>
        <w:rFonts w:ascii="Arial" w:hAnsi="Arial" w:hint="default"/>
      </w:rPr>
    </w:lvl>
    <w:lvl w:ilvl="2" w:tplc="7480BB2E" w:tentative="1">
      <w:start w:val="1"/>
      <w:numFmt w:val="bullet"/>
      <w:lvlText w:val="■"/>
      <w:lvlJc w:val="left"/>
      <w:pPr>
        <w:tabs>
          <w:tab w:val="num" w:pos="2160"/>
        </w:tabs>
        <w:ind w:left="2160" w:hanging="360"/>
      </w:pPr>
      <w:rPr>
        <w:rFonts w:ascii="Arial" w:hAnsi="Arial" w:hint="default"/>
      </w:rPr>
    </w:lvl>
    <w:lvl w:ilvl="3" w:tplc="4FB2BC36" w:tentative="1">
      <w:start w:val="1"/>
      <w:numFmt w:val="bullet"/>
      <w:lvlText w:val="■"/>
      <w:lvlJc w:val="left"/>
      <w:pPr>
        <w:tabs>
          <w:tab w:val="num" w:pos="2880"/>
        </w:tabs>
        <w:ind w:left="2880" w:hanging="360"/>
      </w:pPr>
      <w:rPr>
        <w:rFonts w:ascii="Arial" w:hAnsi="Arial" w:hint="default"/>
      </w:rPr>
    </w:lvl>
    <w:lvl w:ilvl="4" w:tplc="1DA81DC2" w:tentative="1">
      <w:start w:val="1"/>
      <w:numFmt w:val="bullet"/>
      <w:lvlText w:val="■"/>
      <w:lvlJc w:val="left"/>
      <w:pPr>
        <w:tabs>
          <w:tab w:val="num" w:pos="3600"/>
        </w:tabs>
        <w:ind w:left="3600" w:hanging="360"/>
      </w:pPr>
      <w:rPr>
        <w:rFonts w:ascii="Arial" w:hAnsi="Arial" w:hint="default"/>
      </w:rPr>
    </w:lvl>
    <w:lvl w:ilvl="5" w:tplc="027EEDE4" w:tentative="1">
      <w:start w:val="1"/>
      <w:numFmt w:val="bullet"/>
      <w:lvlText w:val="■"/>
      <w:lvlJc w:val="left"/>
      <w:pPr>
        <w:tabs>
          <w:tab w:val="num" w:pos="4320"/>
        </w:tabs>
        <w:ind w:left="4320" w:hanging="360"/>
      </w:pPr>
      <w:rPr>
        <w:rFonts w:ascii="Arial" w:hAnsi="Arial" w:hint="default"/>
      </w:rPr>
    </w:lvl>
    <w:lvl w:ilvl="6" w:tplc="C8A04F00" w:tentative="1">
      <w:start w:val="1"/>
      <w:numFmt w:val="bullet"/>
      <w:lvlText w:val="■"/>
      <w:lvlJc w:val="left"/>
      <w:pPr>
        <w:tabs>
          <w:tab w:val="num" w:pos="5040"/>
        </w:tabs>
        <w:ind w:left="5040" w:hanging="360"/>
      </w:pPr>
      <w:rPr>
        <w:rFonts w:ascii="Arial" w:hAnsi="Arial" w:hint="default"/>
      </w:rPr>
    </w:lvl>
    <w:lvl w:ilvl="7" w:tplc="4BAC7BEC" w:tentative="1">
      <w:start w:val="1"/>
      <w:numFmt w:val="bullet"/>
      <w:lvlText w:val="■"/>
      <w:lvlJc w:val="left"/>
      <w:pPr>
        <w:tabs>
          <w:tab w:val="num" w:pos="5760"/>
        </w:tabs>
        <w:ind w:left="5760" w:hanging="360"/>
      </w:pPr>
      <w:rPr>
        <w:rFonts w:ascii="Arial" w:hAnsi="Arial" w:hint="default"/>
      </w:rPr>
    </w:lvl>
    <w:lvl w:ilvl="8" w:tplc="7548ED28" w:tentative="1">
      <w:start w:val="1"/>
      <w:numFmt w:val="bullet"/>
      <w:lvlText w:val="■"/>
      <w:lvlJc w:val="left"/>
      <w:pPr>
        <w:tabs>
          <w:tab w:val="num" w:pos="6480"/>
        </w:tabs>
        <w:ind w:left="6480" w:hanging="360"/>
      </w:pPr>
      <w:rPr>
        <w:rFonts w:ascii="Arial" w:hAnsi="Arial" w:hint="default"/>
      </w:rPr>
    </w:lvl>
  </w:abstractNum>
  <w:abstractNum w:abstractNumId="9">
    <w:nsid w:val="2C433D5B"/>
    <w:multiLevelType w:val="hybridMultilevel"/>
    <w:tmpl w:val="1240A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53E8E"/>
    <w:multiLevelType w:val="hybridMultilevel"/>
    <w:tmpl w:val="427634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8A6D26"/>
    <w:multiLevelType w:val="hybridMultilevel"/>
    <w:tmpl w:val="2982E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16B17"/>
    <w:multiLevelType w:val="hybridMultilevel"/>
    <w:tmpl w:val="B2C4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F7AD7"/>
    <w:multiLevelType w:val="hybridMultilevel"/>
    <w:tmpl w:val="BB844CC0"/>
    <w:lvl w:ilvl="0" w:tplc="E77E9126">
      <w:start w:val="1"/>
      <w:numFmt w:val="bullet"/>
      <w:lvlText w:val="■"/>
      <w:lvlJc w:val="left"/>
      <w:pPr>
        <w:tabs>
          <w:tab w:val="num" w:pos="720"/>
        </w:tabs>
        <w:ind w:left="720" w:hanging="360"/>
      </w:pPr>
      <w:rPr>
        <w:rFonts w:ascii="Arial" w:hAnsi="Arial" w:hint="default"/>
      </w:rPr>
    </w:lvl>
    <w:lvl w:ilvl="1" w:tplc="E0EEA476">
      <w:start w:val="545"/>
      <w:numFmt w:val="bullet"/>
      <w:lvlText w:val="–"/>
      <w:lvlJc w:val="left"/>
      <w:pPr>
        <w:tabs>
          <w:tab w:val="num" w:pos="1440"/>
        </w:tabs>
        <w:ind w:left="1440" w:hanging="360"/>
      </w:pPr>
      <w:rPr>
        <w:rFonts w:ascii="Times New Roman" w:hAnsi="Times New Roman" w:hint="default"/>
      </w:rPr>
    </w:lvl>
    <w:lvl w:ilvl="2" w:tplc="AF10660E" w:tentative="1">
      <w:start w:val="1"/>
      <w:numFmt w:val="bullet"/>
      <w:lvlText w:val="■"/>
      <w:lvlJc w:val="left"/>
      <w:pPr>
        <w:tabs>
          <w:tab w:val="num" w:pos="2160"/>
        </w:tabs>
        <w:ind w:left="2160" w:hanging="360"/>
      </w:pPr>
      <w:rPr>
        <w:rFonts w:ascii="Arial" w:hAnsi="Arial" w:hint="default"/>
      </w:rPr>
    </w:lvl>
    <w:lvl w:ilvl="3" w:tplc="C3460688" w:tentative="1">
      <w:start w:val="1"/>
      <w:numFmt w:val="bullet"/>
      <w:lvlText w:val="■"/>
      <w:lvlJc w:val="left"/>
      <w:pPr>
        <w:tabs>
          <w:tab w:val="num" w:pos="2880"/>
        </w:tabs>
        <w:ind w:left="2880" w:hanging="360"/>
      </w:pPr>
      <w:rPr>
        <w:rFonts w:ascii="Arial" w:hAnsi="Arial" w:hint="default"/>
      </w:rPr>
    </w:lvl>
    <w:lvl w:ilvl="4" w:tplc="FE78E79A" w:tentative="1">
      <w:start w:val="1"/>
      <w:numFmt w:val="bullet"/>
      <w:lvlText w:val="■"/>
      <w:lvlJc w:val="left"/>
      <w:pPr>
        <w:tabs>
          <w:tab w:val="num" w:pos="3600"/>
        </w:tabs>
        <w:ind w:left="3600" w:hanging="360"/>
      </w:pPr>
      <w:rPr>
        <w:rFonts w:ascii="Arial" w:hAnsi="Arial" w:hint="default"/>
      </w:rPr>
    </w:lvl>
    <w:lvl w:ilvl="5" w:tplc="8A78C6AC" w:tentative="1">
      <w:start w:val="1"/>
      <w:numFmt w:val="bullet"/>
      <w:lvlText w:val="■"/>
      <w:lvlJc w:val="left"/>
      <w:pPr>
        <w:tabs>
          <w:tab w:val="num" w:pos="4320"/>
        </w:tabs>
        <w:ind w:left="4320" w:hanging="360"/>
      </w:pPr>
      <w:rPr>
        <w:rFonts w:ascii="Arial" w:hAnsi="Arial" w:hint="default"/>
      </w:rPr>
    </w:lvl>
    <w:lvl w:ilvl="6" w:tplc="705C196C" w:tentative="1">
      <w:start w:val="1"/>
      <w:numFmt w:val="bullet"/>
      <w:lvlText w:val="■"/>
      <w:lvlJc w:val="left"/>
      <w:pPr>
        <w:tabs>
          <w:tab w:val="num" w:pos="5040"/>
        </w:tabs>
        <w:ind w:left="5040" w:hanging="360"/>
      </w:pPr>
      <w:rPr>
        <w:rFonts w:ascii="Arial" w:hAnsi="Arial" w:hint="default"/>
      </w:rPr>
    </w:lvl>
    <w:lvl w:ilvl="7" w:tplc="BE7061F2" w:tentative="1">
      <w:start w:val="1"/>
      <w:numFmt w:val="bullet"/>
      <w:lvlText w:val="■"/>
      <w:lvlJc w:val="left"/>
      <w:pPr>
        <w:tabs>
          <w:tab w:val="num" w:pos="5760"/>
        </w:tabs>
        <w:ind w:left="5760" w:hanging="360"/>
      </w:pPr>
      <w:rPr>
        <w:rFonts w:ascii="Arial" w:hAnsi="Arial" w:hint="default"/>
      </w:rPr>
    </w:lvl>
    <w:lvl w:ilvl="8" w:tplc="E83021BA" w:tentative="1">
      <w:start w:val="1"/>
      <w:numFmt w:val="bullet"/>
      <w:lvlText w:val="■"/>
      <w:lvlJc w:val="left"/>
      <w:pPr>
        <w:tabs>
          <w:tab w:val="num" w:pos="6480"/>
        </w:tabs>
        <w:ind w:left="6480" w:hanging="360"/>
      </w:pPr>
      <w:rPr>
        <w:rFonts w:ascii="Arial" w:hAnsi="Arial" w:hint="default"/>
      </w:rPr>
    </w:lvl>
  </w:abstractNum>
  <w:abstractNum w:abstractNumId="14">
    <w:nsid w:val="43B54B83"/>
    <w:multiLevelType w:val="hybridMultilevel"/>
    <w:tmpl w:val="489037E2"/>
    <w:lvl w:ilvl="0" w:tplc="4296F022">
      <w:start w:val="1"/>
      <w:numFmt w:val="decimal"/>
      <w:lvlText w:val="%1."/>
      <w:lvlJc w:val="left"/>
      <w:pPr>
        <w:tabs>
          <w:tab w:val="num" w:pos="720"/>
        </w:tabs>
        <w:ind w:left="720" w:hanging="360"/>
      </w:pPr>
    </w:lvl>
    <w:lvl w:ilvl="1" w:tplc="08B8BDD8" w:tentative="1">
      <w:start w:val="1"/>
      <w:numFmt w:val="decimal"/>
      <w:lvlText w:val="%2."/>
      <w:lvlJc w:val="left"/>
      <w:pPr>
        <w:tabs>
          <w:tab w:val="num" w:pos="1440"/>
        </w:tabs>
        <w:ind w:left="1440" w:hanging="360"/>
      </w:pPr>
    </w:lvl>
    <w:lvl w:ilvl="2" w:tplc="8CC8416E" w:tentative="1">
      <w:start w:val="1"/>
      <w:numFmt w:val="decimal"/>
      <w:lvlText w:val="%3."/>
      <w:lvlJc w:val="left"/>
      <w:pPr>
        <w:tabs>
          <w:tab w:val="num" w:pos="2160"/>
        </w:tabs>
        <w:ind w:left="2160" w:hanging="360"/>
      </w:pPr>
    </w:lvl>
    <w:lvl w:ilvl="3" w:tplc="804445FC" w:tentative="1">
      <w:start w:val="1"/>
      <w:numFmt w:val="decimal"/>
      <w:lvlText w:val="%4."/>
      <w:lvlJc w:val="left"/>
      <w:pPr>
        <w:tabs>
          <w:tab w:val="num" w:pos="2880"/>
        </w:tabs>
        <w:ind w:left="2880" w:hanging="360"/>
      </w:pPr>
    </w:lvl>
    <w:lvl w:ilvl="4" w:tplc="5986EF5E" w:tentative="1">
      <w:start w:val="1"/>
      <w:numFmt w:val="decimal"/>
      <w:lvlText w:val="%5."/>
      <w:lvlJc w:val="left"/>
      <w:pPr>
        <w:tabs>
          <w:tab w:val="num" w:pos="3600"/>
        </w:tabs>
        <w:ind w:left="3600" w:hanging="360"/>
      </w:pPr>
    </w:lvl>
    <w:lvl w:ilvl="5" w:tplc="A93C0F62" w:tentative="1">
      <w:start w:val="1"/>
      <w:numFmt w:val="decimal"/>
      <w:lvlText w:val="%6."/>
      <w:lvlJc w:val="left"/>
      <w:pPr>
        <w:tabs>
          <w:tab w:val="num" w:pos="4320"/>
        </w:tabs>
        <w:ind w:left="4320" w:hanging="360"/>
      </w:pPr>
    </w:lvl>
    <w:lvl w:ilvl="6" w:tplc="958CB59E" w:tentative="1">
      <w:start w:val="1"/>
      <w:numFmt w:val="decimal"/>
      <w:lvlText w:val="%7."/>
      <w:lvlJc w:val="left"/>
      <w:pPr>
        <w:tabs>
          <w:tab w:val="num" w:pos="5040"/>
        </w:tabs>
        <w:ind w:left="5040" w:hanging="360"/>
      </w:pPr>
    </w:lvl>
    <w:lvl w:ilvl="7" w:tplc="1350462E" w:tentative="1">
      <w:start w:val="1"/>
      <w:numFmt w:val="decimal"/>
      <w:lvlText w:val="%8."/>
      <w:lvlJc w:val="left"/>
      <w:pPr>
        <w:tabs>
          <w:tab w:val="num" w:pos="5760"/>
        </w:tabs>
        <w:ind w:left="5760" w:hanging="360"/>
      </w:pPr>
    </w:lvl>
    <w:lvl w:ilvl="8" w:tplc="D3FE6D06" w:tentative="1">
      <w:start w:val="1"/>
      <w:numFmt w:val="decimal"/>
      <w:lvlText w:val="%9."/>
      <w:lvlJc w:val="left"/>
      <w:pPr>
        <w:tabs>
          <w:tab w:val="num" w:pos="6480"/>
        </w:tabs>
        <w:ind w:left="6480" w:hanging="360"/>
      </w:pPr>
    </w:lvl>
  </w:abstractNum>
  <w:abstractNum w:abstractNumId="15">
    <w:nsid w:val="47455E83"/>
    <w:multiLevelType w:val="hybridMultilevel"/>
    <w:tmpl w:val="0AD0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3599F"/>
    <w:multiLevelType w:val="hybridMultilevel"/>
    <w:tmpl w:val="EE5CDADE"/>
    <w:lvl w:ilvl="0" w:tplc="EF7604C6">
      <w:start w:val="1"/>
      <w:numFmt w:val="bullet"/>
      <w:lvlText w:val="■"/>
      <w:lvlJc w:val="left"/>
      <w:pPr>
        <w:tabs>
          <w:tab w:val="num" w:pos="720"/>
        </w:tabs>
        <w:ind w:left="720" w:hanging="360"/>
      </w:pPr>
      <w:rPr>
        <w:rFonts w:ascii="Arial" w:hAnsi="Arial" w:hint="default"/>
      </w:rPr>
    </w:lvl>
    <w:lvl w:ilvl="1" w:tplc="84EE11CC">
      <w:start w:val="1"/>
      <w:numFmt w:val="bullet"/>
      <w:lvlText w:val="■"/>
      <w:lvlJc w:val="left"/>
      <w:pPr>
        <w:tabs>
          <w:tab w:val="num" w:pos="1440"/>
        </w:tabs>
        <w:ind w:left="1440" w:hanging="360"/>
      </w:pPr>
      <w:rPr>
        <w:rFonts w:ascii="Arial" w:hAnsi="Arial" w:hint="default"/>
      </w:rPr>
    </w:lvl>
    <w:lvl w:ilvl="2" w:tplc="FBC203E6">
      <w:start w:val="670"/>
      <w:numFmt w:val="bullet"/>
      <w:lvlText w:val="■"/>
      <w:lvlJc w:val="left"/>
      <w:pPr>
        <w:tabs>
          <w:tab w:val="num" w:pos="2160"/>
        </w:tabs>
        <w:ind w:left="2160" w:hanging="360"/>
      </w:pPr>
      <w:rPr>
        <w:rFonts w:ascii="Arial" w:hAnsi="Arial" w:hint="default"/>
      </w:rPr>
    </w:lvl>
    <w:lvl w:ilvl="3" w:tplc="E6F4DA32" w:tentative="1">
      <w:start w:val="1"/>
      <w:numFmt w:val="bullet"/>
      <w:lvlText w:val="■"/>
      <w:lvlJc w:val="left"/>
      <w:pPr>
        <w:tabs>
          <w:tab w:val="num" w:pos="2880"/>
        </w:tabs>
        <w:ind w:left="2880" w:hanging="360"/>
      </w:pPr>
      <w:rPr>
        <w:rFonts w:ascii="Arial" w:hAnsi="Arial" w:hint="default"/>
      </w:rPr>
    </w:lvl>
    <w:lvl w:ilvl="4" w:tplc="58AA0BBE" w:tentative="1">
      <w:start w:val="1"/>
      <w:numFmt w:val="bullet"/>
      <w:lvlText w:val="■"/>
      <w:lvlJc w:val="left"/>
      <w:pPr>
        <w:tabs>
          <w:tab w:val="num" w:pos="3600"/>
        </w:tabs>
        <w:ind w:left="3600" w:hanging="360"/>
      </w:pPr>
      <w:rPr>
        <w:rFonts w:ascii="Arial" w:hAnsi="Arial" w:hint="default"/>
      </w:rPr>
    </w:lvl>
    <w:lvl w:ilvl="5" w:tplc="B7142824" w:tentative="1">
      <w:start w:val="1"/>
      <w:numFmt w:val="bullet"/>
      <w:lvlText w:val="■"/>
      <w:lvlJc w:val="left"/>
      <w:pPr>
        <w:tabs>
          <w:tab w:val="num" w:pos="4320"/>
        </w:tabs>
        <w:ind w:left="4320" w:hanging="360"/>
      </w:pPr>
      <w:rPr>
        <w:rFonts w:ascii="Arial" w:hAnsi="Arial" w:hint="default"/>
      </w:rPr>
    </w:lvl>
    <w:lvl w:ilvl="6" w:tplc="4D9603B6" w:tentative="1">
      <w:start w:val="1"/>
      <w:numFmt w:val="bullet"/>
      <w:lvlText w:val="■"/>
      <w:lvlJc w:val="left"/>
      <w:pPr>
        <w:tabs>
          <w:tab w:val="num" w:pos="5040"/>
        </w:tabs>
        <w:ind w:left="5040" w:hanging="360"/>
      </w:pPr>
      <w:rPr>
        <w:rFonts w:ascii="Arial" w:hAnsi="Arial" w:hint="default"/>
      </w:rPr>
    </w:lvl>
    <w:lvl w:ilvl="7" w:tplc="A7029272" w:tentative="1">
      <w:start w:val="1"/>
      <w:numFmt w:val="bullet"/>
      <w:lvlText w:val="■"/>
      <w:lvlJc w:val="left"/>
      <w:pPr>
        <w:tabs>
          <w:tab w:val="num" w:pos="5760"/>
        </w:tabs>
        <w:ind w:left="5760" w:hanging="360"/>
      </w:pPr>
      <w:rPr>
        <w:rFonts w:ascii="Arial" w:hAnsi="Arial" w:hint="default"/>
      </w:rPr>
    </w:lvl>
    <w:lvl w:ilvl="8" w:tplc="CAC0BB92" w:tentative="1">
      <w:start w:val="1"/>
      <w:numFmt w:val="bullet"/>
      <w:lvlText w:val="■"/>
      <w:lvlJc w:val="left"/>
      <w:pPr>
        <w:tabs>
          <w:tab w:val="num" w:pos="6480"/>
        </w:tabs>
        <w:ind w:left="6480" w:hanging="360"/>
      </w:pPr>
      <w:rPr>
        <w:rFonts w:ascii="Arial" w:hAnsi="Arial" w:hint="default"/>
      </w:rPr>
    </w:lvl>
  </w:abstractNum>
  <w:abstractNum w:abstractNumId="17">
    <w:nsid w:val="55097342"/>
    <w:multiLevelType w:val="hybridMultilevel"/>
    <w:tmpl w:val="E6A6117A"/>
    <w:lvl w:ilvl="0" w:tplc="D324BCD8">
      <w:start w:val="1"/>
      <w:numFmt w:val="bullet"/>
      <w:lvlText w:val="■"/>
      <w:lvlJc w:val="left"/>
      <w:pPr>
        <w:tabs>
          <w:tab w:val="num" w:pos="720"/>
        </w:tabs>
        <w:ind w:left="720" w:hanging="360"/>
      </w:pPr>
      <w:rPr>
        <w:rFonts w:ascii="Arial" w:hAnsi="Arial" w:hint="default"/>
      </w:rPr>
    </w:lvl>
    <w:lvl w:ilvl="1" w:tplc="2518808E">
      <w:start w:val="670"/>
      <w:numFmt w:val="bullet"/>
      <w:lvlText w:val="–"/>
      <w:lvlJc w:val="left"/>
      <w:pPr>
        <w:tabs>
          <w:tab w:val="num" w:pos="1440"/>
        </w:tabs>
        <w:ind w:left="1440" w:hanging="360"/>
      </w:pPr>
      <w:rPr>
        <w:rFonts w:ascii="Times New Roman" w:hAnsi="Times New Roman" w:hint="default"/>
      </w:rPr>
    </w:lvl>
    <w:lvl w:ilvl="2" w:tplc="59DE34C8" w:tentative="1">
      <w:start w:val="1"/>
      <w:numFmt w:val="bullet"/>
      <w:lvlText w:val="■"/>
      <w:lvlJc w:val="left"/>
      <w:pPr>
        <w:tabs>
          <w:tab w:val="num" w:pos="2160"/>
        </w:tabs>
        <w:ind w:left="2160" w:hanging="360"/>
      </w:pPr>
      <w:rPr>
        <w:rFonts w:ascii="Arial" w:hAnsi="Arial" w:hint="default"/>
      </w:rPr>
    </w:lvl>
    <w:lvl w:ilvl="3" w:tplc="51C43BC4" w:tentative="1">
      <w:start w:val="1"/>
      <w:numFmt w:val="bullet"/>
      <w:lvlText w:val="■"/>
      <w:lvlJc w:val="left"/>
      <w:pPr>
        <w:tabs>
          <w:tab w:val="num" w:pos="2880"/>
        </w:tabs>
        <w:ind w:left="2880" w:hanging="360"/>
      </w:pPr>
      <w:rPr>
        <w:rFonts w:ascii="Arial" w:hAnsi="Arial" w:hint="default"/>
      </w:rPr>
    </w:lvl>
    <w:lvl w:ilvl="4" w:tplc="245EB268" w:tentative="1">
      <w:start w:val="1"/>
      <w:numFmt w:val="bullet"/>
      <w:lvlText w:val="■"/>
      <w:lvlJc w:val="left"/>
      <w:pPr>
        <w:tabs>
          <w:tab w:val="num" w:pos="3600"/>
        </w:tabs>
        <w:ind w:left="3600" w:hanging="360"/>
      </w:pPr>
      <w:rPr>
        <w:rFonts w:ascii="Arial" w:hAnsi="Arial" w:hint="default"/>
      </w:rPr>
    </w:lvl>
    <w:lvl w:ilvl="5" w:tplc="D810841A" w:tentative="1">
      <w:start w:val="1"/>
      <w:numFmt w:val="bullet"/>
      <w:lvlText w:val="■"/>
      <w:lvlJc w:val="left"/>
      <w:pPr>
        <w:tabs>
          <w:tab w:val="num" w:pos="4320"/>
        </w:tabs>
        <w:ind w:left="4320" w:hanging="360"/>
      </w:pPr>
      <w:rPr>
        <w:rFonts w:ascii="Arial" w:hAnsi="Arial" w:hint="default"/>
      </w:rPr>
    </w:lvl>
    <w:lvl w:ilvl="6" w:tplc="6FE62922" w:tentative="1">
      <w:start w:val="1"/>
      <w:numFmt w:val="bullet"/>
      <w:lvlText w:val="■"/>
      <w:lvlJc w:val="left"/>
      <w:pPr>
        <w:tabs>
          <w:tab w:val="num" w:pos="5040"/>
        </w:tabs>
        <w:ind w:left="5040" w:hanging="360"/>
      </w:pPr>
      <w:rPr>
        <w:rFonts w:ascii="Arial" w:hAnsi="Arial" w:hint="default"/>
      </w:rPr>
    </w:lvl>
    <w:lvl w:ilvl="7" w:tplc="59F8DAC2" w:tentative="1">
      <w:start w:val="1"/>
      <w:numFmt w:val="bullet"/>
      <w:lvlText w:val="■"/>
      <w:lvlJc w:val="left"/>
      <w:pPr>
        <w:tabs>
          <w:tab w:val="num" w:pos="5760"/>
        </w:tabs>
        <w:ind w:left="5760" w:hanging="360"/>
      </w:pPr>
      <w:rPr>
        <w:rFonts w:ascii="Arial" w:hAnsi="Arial" w:hint="default"/>
      </w:rPr>
    </w:lvl>
    <w:lvl w:ilvl="8" w:tplc="BC9E9C2E" w:tentative="1">
      <w:start w:val="1"/>
      <w:numFmt w:val="bullet"/>
      <w:lvlText w:val="■"/>
      <w:lvlJc w:val="left"/>
      <w:pPr>
        <w:tabs>
          <w:tab w:val="num" w:pos="6480"/>
        </w:tabs>
        <w:ind w:left="6480" w:hanging="360"/>
      </w:pPr>
      <w:rPr>
        <w:rFonts w:ascii="Arial" w:hAnsi="Arial" w:hint="default"/>
      </w:rPr>
    </w:lvl>
  </w:abstractNum>
  <w:abstractNum w:abstractNumId="18">
    <w:nsid w:val="57082689"/>
    <w:multiLevelType w:val="hybridMultilevel"/>
    <w:tmpl w:val="2F50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416CE"/>
    <w:multiLevelType w:val="hybridMultilevel"/>
    <w:tmpl w:val="2FB8F936"/>
    <w:lvl w:ilvl="0" w:tplc="2F02E02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A2AC674" w:tentative="1">
      <w:start w:val="1"/>
      <w:numFmt w:val="bullet"/>
      <w:lvlText w:val=""/>
      <w:lvlJc w:val="left"/>
      <w:pPr>
        <w:tabs>
          <w:tab w:val="num" w:pos="2160"/>
        </w:tabs>
        <w:ind w:left="2160" w:hanging="360"/>
      </w:pPr>
      <w:rPr>
        <w:rFonts w:ascii="Wingdings" w:hAnsi="Wingdings" w:hint="default"/>
      </w:rPr>
    </w:lvl>
    <w:lvl w:ilvl="3" w:tplc="F76C8FE2" w:tentative="1">
      <w:start w:val="1"/>
      <w:numFmt w:val="bullet"/>
      <w:lvlText w:val=""/>
      <w:lvlJc w:val="left"/>
      <w:pPr>
        <w:tabs>
          <w:tab w:val="num" w:pos="2880"/>
        </w:tabs>
        <w:ind w:left="2880" w:hanging="360"/>
      </w:pPr>
      <w:rPr>
        <w:rFonts w:ascii="Wingdings" w:hAnsi="Wingdings" w:hint="default"/>
      </w:rPr>
    </w:lvl>
    <w:lvl w:ilvl="4" w:tplc="4920E622" w:tentative="1">
      <w:start w:val="1"/>
      <w:numFmt w:val="bullet"/>
      <w:lvlText w:val=""/>
      <w:lvlJc w:val="left"/>
      <w:pPr>
        <w:tabs>
          <w:tab w:val="num" w:pos="3600"/>
        </w:tabs>
        <w:ind w:left="3600" w:hanging="360"/>
      </w:pPr>
      <w:rPr>
        <w:rFonts w:ascii="Wingdings" w:hAnsi="Wingdings" w:hint="default"/>
      </w:rPr>
    </w:lvl>
    <w:lvl w:ilvl="5" w:tplc="50EA91A8" w:tentative="1">
      <w:start w:val="1"/>
      <w:numFmt w:val="bullet"/>
      <w:lvlText w:val=""/>
      <w:lvlJc w:val="left"/>
      <w:pPr>
        <w:tabs>
          <w:tab w:val="num" w:pos="4320"/>
        </w:tabs>
        <w:ind w:left="4320" w:hanging="360"/>
      </w:pPr>
      <w:rPr>
        <w:rFonts w:ascii="Wingdings" w:hAnsi="Wingdings" w:hint="default"/>
      </w:rPr>
    </w:lvl>
    <w:lvl w:ilvl="6" w:tplc="40C2E192" w:tentative="1">
      <w:start w:val="1"/>
      <w:numFmt w:val="bullet"/>
      <w:lvlText w:val=""/>
      <w:lvlJc w:val="left"/>
      <w:pPr>
        <w:tabs>
          <w:tab w:val="num" w:pos="5040"/>
        </w:tabs>
        <w:ind w:left="5040" w:hanging="360"/>
      </w:pPr>
      <w:rPr>
        <w:rFonts w:ascii="Wingdings" w:hAnsi="Wingdings" w:hint="default"/>
      </w:rPr>
    </w:lvl>
    <w:lvl w:ilvl="7" w:tplc="188030BC" w:tentative="1">
      <w:start w:val="1"/>
      <w:numFmt w:val="bullet"/>
      <w:lvlText w:val=""/>
      <w:lvlJc w:val="left"/>
      <w:pPr>
        <w:tabs>
          <w:tab w:val="num" w:pos="5760"/>
        </w:tabs>
        <w:ind w:left="5760" w:hanging="360"/>
      </w:pPr>
      <w:rPr>
        <w:rFonts w:ascii="Wingdings" w:hAnsi="Wingdings" w:hint="default"/>
      </w:rPr>
    </w:lvl>
    <w:lvl w:ilvl="8" w:tplc="EB642402" w:tentative="1">
      <w:start w:val="1"/>
      <w:numFmt w:val="bullet"/>
      <w:lvlText w:val=""/>
      <w:lvlJc w:val="left"/>
      <w:pPr>
        <w:tabs>
          <w:tab w:val="num" w:pos="6480"/>
        </w:tabs>
        <w:ind w:left="6480" w:hanging="360"/>
      </w:pPr>
      <w:rPr>
        <w:rFonts w:ascii="Wingdings" w:hAnsi="Wingdings" w:hint="default"/>
      </w:rPr>
    </w:lvl>
  </w:abstractNum>
  <w:abstractNum w:abstractNumId="20">
    <w:nsid w:val="5FE11514"/>
    <w:multiLevelType w:val="hybridMultilevel"/>
    <w:tmpl w:val="BBE0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82AB7"/>
    <w:multiLevelType w:val="hybridMultilevel"/>
    <w:tmpl w:val="CBFE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F30314"/>
    <w:multiLevelType w:val="hybridMultilevel"/>
    <w:tmpl w:val="8190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7D15D1"/>
    <w:multiLevelType w:val="hybridMultilevel"/>
    <w:tmpl w:val="3A2AD6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757A1343"/>
    <w:multiLevelType w:val="hybridMultilevel"/>
    <w:tmpl w:val="535689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73879E2"/>
    <w:multiLevelType w:val="hybridMultilevel"/>
    <w:tmpl w:val="7188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5D34EB"/>
    <w:multiLevelType w:val="hybridMultilevel"/>
    <w:tmpl w:val="91F86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D07F06"/>
    <w:multiLevelType w:val="hybridMultilevel"/>
    <w:tmpl w:val="AA72498A"/>
    <w:lvl w:ilvl="0" w:tplc="A8E01164">
      <w:start w:val="1"/>
      <w:numFmt w:val="bullet"/>
      <w:lvlText w:val="–"/>
      <w:lvlJc w:val="left"/>
      <w:pPr>
        <w:tabs>
          <w:tab w:val="num" w:pos="720"/>
        </w:tabs>
        <w:ind w:left="720" w:hanging="360"/>
      </w:pPr>
      <w:rPr>
        <w:rFonts w:ascii="Times New Roman" w:hAnsi="Times New Roman" w:hint="default"/>
      </w:rPr>
    </w:lvl>
    <w:lvl w:ilvl="1" w:tplc="763A1BAA">
      <w:start w:val="1"/>
      <w:numFmt w:val="bullet"/>
      <w:lvlText w:val="–"/>
      <w:lvlJc w:val="left"/>
      <w:pPr>
        <w:tabs>
          <w:tab w:val="num" w:pos="1440"/>
        </w:tabs>
        <w:ind w:left="1440" w:hanging="360"/>
      </w:pPr>
      <w:rPr>
        <w:rFonts w:ascii="Times New Roman" w:hAnsi="Times New Roman" w:hint="default"/>
      </w:rPr>
    </w:lvl>
    <w:lvl w:ilvl="2" w:tplc="D24E8FAE" w:tentative="1">
      <w:start w:val="1"/>
      <w:numFmt w:val="bullet"/>
      <w:lvlText w:val="–"/>
      <w:lvlJc w:val="left"/>
      <w:pPr>
        <w:tabs>
          <w:tab w:val="num" w:pos="2160"/>
        </w:tabs>
        <w:ind w:left="2160" w:hanging="360"/>
      </w:pPr>
      <w:rPr>
        <w:rFonts w:ascii="Times New Roman" w:hAnsi="Times New Roman" w:hint="default"/>
      </w:rPr>
    </w:lvl>
    <w:lvl w:ilvl="3" w:tplc="75080EAE" w:tentative="1">
      <w:start w:val="1"/>
      <w:numFmt w:val="bullet"/>
      <w:lvlText w:val="–"/>
      <w:lvlJc w:val="left"/>
      <w:pPr>
        <w:tabs>
          <w:tab w:val="num" w:pos="2880"/>
        </w:tabs>
        <w:ind w:left="2880" w:hanging="360"/>
      </w:pPr>
      <w:rPr>
        <w:rFonts w:ascii="Times New Roman" w:hAnsi="Times New Roman" w:hint="default"/>
      </w:rPr>
    </w:lvl>
    <w:lvl w:ilvl="4" w:tplc="80D4A44C" w:tentative="1">
      <w:start w:val="1"/>
      <w:numFmt w:val="bullet"/>
      <w:lvlText w:val="–"/>
      <w:lvlJc w:val="left"/>
      <w:pPr>
        <w:tabs>
          <w:tab w:val="num" w:pos="3600"/>
        </w:tabs>
        <w:ind w:left="3600" w:hanging="360"/>
      </w:pPr>
      <w:rPr>
        <w:rFonts w:ascii="Times New Roman" w:hAnsi="Times New Roman" w:hint="default"/>
      </w:rPr>
    </w:lvl>
    <w:lvl w:ilvl="5" w:tplc="90CA1180" w:tentative="1">
      <w:start w:val="1"/>
      <w:numFmt w:val="bullet"/>
      <w:lvlText w:val="–"/>
      <w:lvlJc w:val="left"/>
      <w:pPr>
        <w:tabs>
          <w:tab w:val="num" w:pos="4320"/>
        </w:tabs>
        <w:ind w:left="4320" w:hanging="360"/>
      </w:pPr>
      <w:rPr>
        <w:rFonts w:ascii="Times New Roman" w:hAnsi="Times New Roman" w:hint="default"/>
      </w:rPr>
    </w:lvl>
    <w:lvl w:ilvl="6" w:tplc="D20CD602" w:tentative="1">
      <w:start w:val="1"/>
      <w:numFmt w:val="bullet"/>
      <w:lvlText w:val="–"/>
      <w:lvlJc w:val="left"/>
      <w:pPr>
        <w:tabs>
          <w:tab w:val="num" w:pos="5040"/>
        </w:tabs>
        <w:ind w:left="5040" w:hanging="360"/>
      </w:pPr>
      <w:rPr>
        <w:rFonts w:ascii="Times New Roman" w:hAnsi="Times New Roman" w:hint="default"/>
      </w:rPr>
    </w:lvl>
    <w:lvl w:ilvl="7" w:tplc="ACDCFB44" w:tentative="1">
      <w:start w:val="1"/>
      <w:numFmt w:val="bullet"/>
      <w:lvlText w:val="–"/>
      <w:lvlJc w:val="left"/>
      <w:pPr>
        <w:tabs>
          <w:tab w:val="num" w:pos="5760"/>
        </w:tabs>
        <w:ind w:left="5760" w:hanging="360"/>
      </w:pPr>
      <w:rPr>
        <w:rFonts w:ascii="Times New Roman" w:hAnsi="Times New Roman" w:hint="default"/>
      </w:rPr>
    </w:lvl>
    <w:lvl w:ilvl="8" w:tplc="E9F4E61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BFD66C8"/>
    <w:multiLevelType w:val="hybridMultilevel"/>
    <w:tmpl w:val="C4DA6230"/>
    <w:lvl w:ilvl="0" w:tplc="2F02E02A">
      <w:start w:val="1"/>
      <w:numFmt w:val="bullet"/>
      <w:lvlText w:val=""/>
      <w:lvlJc w:val="left"/>
      <w:pPr>
        <w:tabs>
          <w:tab w:val="num" w:pos="720"/>
        </w:tabs>
        <w:ind w:left="720" w:hanging="360"/>
      </w:pPr>
      <w:rPr>
        <w:rFonts w:ascii="Wingdings" w:hAnsi="Wingdings" w:hint="default"/>
      </w:rPr>
    </w:lvl>
    <w:lvl w:ilvl="1" w:tplc="4C98D154">
      <w:start w:val="1"/>
      <w:numFmt w:val="bullet"/>
      <w:lvlText w:val=""/>
      <w:lvlJc w:val="left"/>
      <w:pPr>
        <w:tabs>
          <w:tab w:val="num" w:pos="1440"/>
        </w:tabs>
        <w:ind w:left="1440" w:hanging="360"/>
      </w:pPr>
      <w:rPr>
        <w:rFonts w:ascii="Wingdings" w:hAnsi="Wingdings" w:hint="default"/>
      </w:rPr>
    </w:lvl>
    <w:lvl w:ilvl="2" w:tplc="FA2AC674" w:tentative="1">
      <w:start w:val="1"/>
      <w:numFmt w:val="bullet"/>
      <w:lvlText w:val=""/>
      <w:lvlJc w:val="left"/>
      <w:pPr>
        <w:tabs>
          <w:tab w:val="num" w:pos="2160"/>
        </w:tabs>
        <w:ind w:left="2160" w:hanging="360"/>
      </w:pPr>
      <w:rPr>
        <w:rFonts w:ascii="Wingdings" w:hAnsi="Wingdings" w:hint="default"/>
      </w:rPr>
    </w:lvl>
    <w:lvl w:ilvl="3" w:tplc="F76C8FE2" w:tentative="1">
      <w:start w:val="1"/>
      <w:numFmt w:val="bullet"/>
      <w:lvlText w:val=""/>
      <w:lvlJc w:val="left"/>
      <w:pPr>
        <w:tabs>
          <w:tab w:val="num" w:pos="2880"/>
        </w:tabs>
        <w:ind w:left="2880" w:hanging="360"/>
      </w:pPr>
      <w:rPr>
        <w:rFonts w:ascii="Wingdings" w:hAnsi="Wingdings" w:hint="default"/>
      </w:rPr>
    </w:lvl>
    <w:lvl w:ilvl="4" w:tplc="4920E622" w:tentative="1">
      <w:start w:val="1"/>
      <w:numFmt w:val="bullet"/>
      <w:lvlText w:val=""/>
      <w:lvlJc w:val="left"/>
      <w:pPr>
        <w:tabs>
          <w:tab w:val="num" w:pos="3600"/>
        </w:tabs>
        <w:ind w:left="3600" w:hanging="360"/>
      </w:pPr>
      <w:rPr>
        <w:rFonts w:ascii="Wingdings" w:hAnsi="Wingdings" w:hint="default"/>
      </w:rPr>
    </w:lvl>
    <w:lvl w:ilvl="5" w:tplc="50EA91A8" w:tentative="1">
      <w:start w:val="1"/>
      <w:numFmt w:val="bullet"/>
      <w:lvlText w:val=""/>
      <w:lvlJc w:val="left"/>
      <w:pPr>
        <w:tabs>
          <w:tab w:val="num" w:pos="4320"/>
        </w:tabs>
        <w:ind w:left="4320" w:hanging="360"/>
      </w:pPr>
      <w:rPr>
        <w:rFonts w:ascii="Wingdings" w:hAnsi="Wingdings" w:hint="default"/>
      </w:rPr>
    </w:lvl>
    <w:lvl w:ilvl="6" w:tplc="40C2E192" w:tentative="1">
      <w:start w:val="1"/>
      <w:numFmt w:val="bullet"/>
      <w:lvlText w:val=""/>
      <w:lvlJc w:val="left"/>
      <w:pPr>
        <w:tabs>
          <w:tab w:val="num" w:pos="5040"/>
        </w:tabs>
        <w:ind w:left="5040" w:hanging="360"/>
      </w:pPr>
      <w:rPr>
        <w:rFonts w:ascii="Wingdings" w:hAnsi="Wingdings" w:hint="default"/>
      </w:rPr>
    </w:lvl>
    <w:lvl w:ilvl="7" w:tplc="188030BC" w:tentative="1">
      <w:start w:val="1"/>
      <w:numFmt w:val="bullet"/>
      <w:lvlText w:val=""/>
      <w:lvlJc w:val="left"/>
      <w:pPr>
        <w:tabs>
          <w:tab w:val="num" w:pos="5760"/>
        </w:tabs>
        <w:ind w:left="5760" w:hanging="360"/>
      </w:pPr>
      <w:rPr>
        <w:rFonts w:ascii="Wingdings" w:hAnsi="Wingdings" w:hint="default"/>
      </w:rPr>
    </w:lvl>
    <w:lvl w:ilvl="8" w:tplc="EB64240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6"/>
  </w:num>
  <w:num w:numId="4">
    <w:abstractNumId w:val="9"/>
  </w:num>
  <w:num w:numId="5">
    <w:abstractNumId w:val="7"/>
  </w:num>
  <w:num w:numId="6">
    <w:abstractNumId w:val="4"/>
  </w:num>
  <w:num w:numId="7">
    <w:abstractNumId w:val="26"/>
  </w:num>
  <w:num w:numId="8">
    <w:abstractNumId w:val="13"/>
  </w:num>
  <w:num w:numId="9">
    <w:abstractNumId w:val="17"/>
  </w:num>
  <w:num w:numId="10">
    <w:abstractNumId w:val="14"/>
  </w:num>
  <w:num w:numId="11">
    <w:abstractNumId w:val="6"/>
  </w:num>
  <w:num w:numId="12">
    <w:abstractNumId w:val="28"/>
  </w:num>
  <w:num w:numId="13">
    <w:abstractNumId w:val="5"/>
  </w:num>
  <w:num w:numId="14">
    <w:abstractNumId w:val="21"/>
  </w:num>
  <w:num w:numId="15">
    <w:abstractNumId w:val="11"/>
  </w:num>
  <w:num w:numId="16">
    <w:abstractNumId w:val="15"/>
  </w:num>
  <w:num w:numId="17">
    <w:abstractNumId w:val="20"/>
  </w:num>
  <w:num w:numId="18">
    <w:abstractNumId w:val="1"/>
  </w:num>
  <w:num w:numId="19">
    <w:abstractNumId w:val="27"/>
  </w:num>
  <w:num w:numId="20">
    <w:abstractNumId w:val="2"/>
  </w:num>
  <w:num w:numId="21">
    <w:abstractNumId w:val="22"/>
  </w:num>
  <w:num w:numId="22">
    <w:abstractNumId w:val="19"/>
  </w:num>
  <w:num w:numId="23">
    <w:abstractNumId w:val="24"/>
  </w:num>
  <w:num w:numId="24">
    <w:abstractNumId w:val="10"/>
  </w:num>
  <w:num w:numId="25">
    <w:abstractNumId w:val="3"/>
  </w:num>
  <w:num w:numId="26">
    <w:abstractNumId w:val="25"/>
  </w:num>
  <w:num w:numId="27">
    <w:abstractNumId w:val="18"/>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3A0CD5"/>
    <w:rsid w:val="003D196E"/>
    <w:rsid w:val="0044437A"/>
    <w:rsid w:val="00490234"/>
    <w:rsid w:val="005110E0"/>
    <w:rsid w:val="0053403A"/>
    <w:rsid w:val="006B6085"/>
    <w:rsid w:val="0078642D"/>
    <w:rsid w:val="008665E9"/>
    <w:rsid w:val="009B7A17"/>
    <w:rsid w:val="00AC1D38"/>
    <w:rsid w:val="00BC78F4"/>
    <w:rsid w:val="00BE2C73"/>
    <w:rsid w:val="00C31248"/>
    <w:rsid w:val="00C64E97"/>
    <w:rsid w:val="00E3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onecare" TargetMode="External"/><Relationship Id="rId3" Type="http://schemas.microsoft.com/office/2007/relationships/stylesWithEffects" Target="stylesWithEffects.xml"/><Relationship Id="rId7" Type="http://schemas.openxmlformats.org/officeDocument/2006/relationships/hyperlink" Target="http://www.mass.gov/masshealth/onec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hhs/docs/masshealth/onecare/eip-survey-2-report.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neCare@state.ma.us" TargetMode="External"/><Relationship Id="rId4" Type="http://schemas.openxmlformats.org/officeDocument/2006/relationships/settings" Target="settings.xml"/><Relationship Id="rId9" Type="http://schemas.openxmlformats.org/officeDocument/2006/relationships/hyperlink" Target="http://www.mass.gov/masshealth/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2017-10-27T13:21:00Z</dcterms:created>
  <dcterms:modified xsi:type="dcterms:W3CDTF">2017-10-27T13:21:00Z</dcterms:modified>
</cp:coreProperties>
</file>