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CC" w:rsidRPr="007471D5" w:rsidRDefault="00BB4CAD" w:rsidP="00E90175">
      <w:pPr>
        <w:spacing w:before="900" w:after="0" w:line="276" w:lineRule="auto"/>
        <w:ind w:left="230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71D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FD4B08" wp14:editId="41345F60">
            <wp:simplePos x="1808328" y="1009934"/>
            <wp:positionH relativeFrom="margin">
              <wp:align>left</wp:align>
            </wp:positionH>
            <wp:positionV relativeFrom="margin">
              <wp:align>top</wp:align>
            </wp:positionV>
            <wp:extent cx="1252728" cy="612648"/>
            <wp:effectExtent l="19050" t="0" r="4572" b="0"/>
            <wp:wrapSquare wrapText="bothSides"/>
            <wp:docPr id="1" name="Picture 1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BF9" w:rsidRPr="00DA5D6E" w:rsidRDefault="009360B5" w:rsidP="00DA5D6E">
      <w:pPr>
        <w:pStyle w:val="Title"/>
        <w:rPr>
          <w:rFonts w:ascii="Arial" w:hAnsi="Arial" w:cs="Arial"/>
          <w:b/>
          <w:sz w:val="36"/>
        </w:rPr>
      </w:pPr>
      <w:r w:rsidRPr="00DA5D6E">
        <w:rPr>
          <w:rFonts w:ascii="Arial" w:hAnsi="Arial" w:cs="Arial"/>
          <w:b/>
          <w:sz w:val="36"/>
        </w:rPr>
        <w:t>M</w:t>
      </w:r>
      <w:r w:rsidR="00E33330">
        <w:rPr>
          <w:rFonts w:ascii="Arial" w:hAnsi="Arial" w:cs="Arial"/>
          <w:b/>
          <w:sz w:val="36"/>
        </w:rPr>
        <w:t>assHealth Supplemental Rebate</w:t>
      </w:r>
      <w:r w:rsidR="0017173B">
        <w:rPr>
          <w:rFonts w:ascii="Arial" w:hAnsi="Arial" w:cs="Arial"/>
          <w:b/>
          <w:sz w:val="36"/>
        </w:rPr>
        <w:t>/</w:t>
      </w:r>
    </w:p>
    <w:p w:rsidR="00DD7948" w:rsidRDefault="00E33330" w:rsidP="009E6C03">
      <w:pPr>
        <w:pStyle w:val="Title"/>
        <w:spacing w:after="20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Preferred Drug List</w:t>
      </w:r>
    </w:p>
    <w:p w:rsidR="00E33330" w:rsidRDefault="00E33330" w:rsidP="009E6C03">
      <w:pPr>
        <w:spacing w:before="100" w:after="60"/>
        <w:ind w:left="360" w:righ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page list those drugs for which MassHealth has entered into a supplemental rebate agreement with drug manufacturers, allowing </w:t>
      </w:r>
      <w:r w:rsidR="003A7D6F">
        <w:rPr>
          <w:rFonts w:ascii="Arial" w:hAnsi="Arial" w:cs="Arial"/>
          <w:sz w:val="24"/>
        </w:rPr>
        <w:t>MassHealth</w:t>
      </w:r>
      <w:r>
        <w:rPr>
          <w:rFonts w:ascii="Arial" w:hAnsi="Arial" w:cs="Arial"/>
          <w:sz w:val="24"/>
        </w:rPr>
        <w:t xml:space="preserve"> the ability to provide medications at the lowest possible costs.</w:t>
      </w:r>
    </w:p>
    <w:p w:rsidR="00E33330" w:rsidRDefault="00E33330" w:rsidP="009E6C03">
      <w:pPr>
        <w:spacing w:before="100" w:after="60"/>
        <w:ind w:left="360" w:righ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items are listed alphabetically by therapeutic class, then by the name of the drug or drug ingredients. Please no</w:t>
      </w:r>
      <w:r w:rsidR="007471D5">
        <w:rPr>
          <w:rFonts w:ascii="Arial" w:hAnsi="Arial" w:cs="Arial"/>
          <w:sz w:val="24"/>
        </w:rPr>
        <w:t xml:space="preserve">te that MassHealth may still </w:t>
      </w:r>
      <w:r>
        <w:rPr>
          <w:rFonts w:ascii="Arial" w:hAnsi="Arial" w:cs="Arial"/>
          <w:sz w:val="24"/>
        </w:rPr>
        <w:t xml:space="preserve">require prior authorization for clinical </w:t>
      </w:r>
      <w:r w:rsidR="003A7D6F">
        <w:rPr>
          <w:rFonts w:ascii="Arial" w:hAnsi="Arial" w:cs="Arial"/>
          <w:sz w:val="24"/>
        </w:rPr>
        <w:t>reasons</w:t>
      </w:r>
      <w:r>
        <w:rPr>
          <w:rFonts w:ascii="Arial" w:hAnsi="Arial" w:cs="Arial"/>
          <w:sz w:val="24"/>
        </w:rPr>
        <w:t>. Drugs that require additional prior authorization requirements are noted with PA on this list.</w:t>
      </w:r>
    </w:p>
    <w:p w:rsidR="002F4384" w:rsidRPr="00EB7E89" w:rsidRDefault="00E33330" w:rsidP="00EB7E89">
      <w:pPr>
        <w:spacing w:before="100" w:after="200"/>
        <w:ind w:left="360" w:right="360"/>
        <w:rPr>
          <w:rStyle w:val="Heading1Char"/>
          <w:rFonts w:eastAsiaTheme="minorHAnsi" w:cs="Arial"/>
          <w:sz w:val="24"/>
          <w:szCs w:val="22"/>
        </w:rPr>
      </w:pPr>
      <w:r>
        <w:rPr>
          <w:rFonts w:ascii="Arial" w:hAnsi="Arial" w:cs="Arial"/>
          <w:sz w:val="24"/>
        </w:rPr>
        <w:t xml:space="preserve">In general, </w:t>
      </w:r>
      <w:r w:rsidR="003A7D6F">
        <w:rPr>
          <w:rFonts w:ascii="Arial" w:hAnsi="Arial" w:cs="Arial"/>
          <w:sz w:val="24"/>
        </w:rPr>
        <w:t>MassHealth</w:t>
      </w:r>
      <w:r>
        <w:rPr>
          <w:rFonts w:ascii="Arial" w:hAnsi="Arial" w:cs="Arial"/>
          <w:sz w:val="24"/>
        </w:rPr>
        <w:t xml:space="preserve"> requires a trial of the preferred drug or clinical rational</w:t>
      </w:r>
      <w:r w:rsidR="009F2F25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for prescribing a </w:t>
      </w:r>
      <w:r w:rsidR="003A7D6F">
        <w:rPr>
          <w:rFonts w:ascii="Arial" w:hAnsi="Arial" w:cs="Arial"/>
          <w:sz w:val="24"/>
        </w:rPr>
        <w:t>non</w:t>
      </w:r>
      <w:r>
        <w:rPr>
          <w:rFonts w:ascii="Arial" w:hAnsi="Arial" w:cs="Arial"/>
          <w:sz w:val="24"/>
        </w:rPr>
        <w:t>-preferred drug within a therapeutic class</w:t>
      </w:r>
      <w:r w:rsidR="00D43003" w:rsidRPr="00ED34C9">
        <w:rPr>
          <w:rFonts w:ascii="Arial" w:hAnsi="Arial" w:cs="Arial"/>
          <w:sz w:val="24"/>
        </w:rPr>
        <w:t>.</w:t>
      </w:r>
    </w:p>
    <w:p w:rsidR="00BC5003" w:rsidRDefault="002F4384" w:rsidP="002F4384">
      <w:pPr>
        <w:keepNext/>
        <w:keepLines/>
        <w:spacing w:after="120" w:line="240" w:lineRule="auto"/>
        <w:ind w:left="360"/>
        <w:outlineLvl w:val="0"/>
        <w:rPr>
          <w:rFonts w:ascii="Arial" w:eastAsia="Times New Roman" w:hAnsi="Arial" w:cs="Arial"/>
          <w:sz w:val="24"/>
          <w:szCs w:val="32"/>
        </w:rPr>
      </w:pPr>
      <w:r w:rsidRPr="00EB7E89">
        <w:rPr>
          <w:rStyle w:val="Heading1Char"/>
          <w:b/>
          <w:sz w:val="28"/>
        </w:rPr>
        <w:t>Antiretroviral/HIV Agents:</w:t>
      </w:r>
      <w:r w:rsidRPr="00EB7E89">
        <w:rPr>
          <w:rFonts w:ascii="Arial" w:eastAsia="Times New Roman" w:hAnsi="Arial" w:cs="Arial"/>
          <w:sz w:val="24"/>
          <w:szCs w:val="32"/>
        </w:rPr>
        <w:t xml:space="preserve"> </w:t>
      </w:r>
    </w:p>
    <w:p w:rsidR="002F4384" w:rsidRPr="007D3EE1" w:rsidRDefault="007D3EE1" w:rsidP="007D3EE1">
      <w:pPr>
        <w:ind w:left="360"/>
        <w:rPr>
          <w:rStyle w:val="Hyperlink"/>
          <w:rFonts w:ascii="Arial" w:hAnsi="Arial" w:cs="Arial"/>
          <w:b/>
          <w:sz w:val="24"/>
        </w:rPr>
      </w:pPr>
      <w:r w:rsidRPr="007D3EE1">
        <w:rPr>
          <w:rFonts w:ascii="Arial" w:hAnsi="Arial" w:cs="Arial"/>
          <w:sz w:val="24"/>
        </w:rPr>
        <w:fldChar w:fldCharType="begin"/>
      </w:r>
      <w:r w:rsidRPr="007D3EE1">
        <w:rPr>
          <w:rFonts w:ascii="Arial" w:hAnsi="Arial" w:cs="Arial"/>
          <w:sz w:val="24"/>
        </w:rPr>
        <w:instrText xml:space="preserve"> HYPERLINK "https://masshealthdruglist.ehs.state.ma.us/MHDL/pubtheradetail.do?id=38" </w:instrText>
      </w:r>
      <w:r w:rsidRPr="007D3EE1">
        <w:rPr>
          <w:rFonts w:ascii="Arial" w:hAnsi="Arial" w:cs="Arial"/>
          <w:sz w:val="24"/>
        </w:rPr>
        <w:fldChar w:fldCharType="separate"/>
      </w:r>
      <w:r w:rsidR="002F4384" w:rsidRPr="007D3EE1">
        <w:rPr>
          <w:rStyle w:val="Hyperlink"/>
          <w:rFonts w:ascii="Arial" w:hAnsi="Arial" w:cs="Arial"/>
          <w:sz w:val="24"/>
        </w:rPr>
        <w:t>See Therapeutic Class Table 38 on the MassHealth Drug List for Antiretroviral/HIV Agents</w:t>
      </w:r>
    </w:p>
    <w:p w:rsidR="002F4384" w:rsidRPr="00EB7E89" w:rsidRDefault="007D3EE1" w:rsidP="00EB7E89">
      <w:pPr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EE1">
        <w:rPr>
          <w:rFonts w:ascii="Arial" w:hAnsi="Arial" w:cs="Arial"/>
          <w:sz w:val="24"/>
        </w:rPr>
        <w:fldChar w:fldCharType="end"/>
      </w:r>
      <w:r w:rsidR="002F4384" w:rsidRPr="00EB7E89">
        <w:rPr>
          <w:rFonts w:ascii="Arial" w:hAnsi="Arial" w:cs="Arial"/>
          <w:sz w:val="24"/>
          <w:szCs w:val="24"/>
        </w:rPr>
        <w:t>Descovy (emtricitabine/tenofovir alafenamide)</w:t>
      </w:r>
    </w:p>
    <w:p w:rsidR="002F4384" w:rsidRPr="00EB7E89" w:rsidRDefault="002F4384" w:rsidP="00EB7E89">
      <w:pPr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B7E89">
        <w:rPr>
          <w:rFonts w:ascii="Arial" w:hAnsi="Arial" w:cs="Arial"/>
          <w:sz w:val="24"/>
          <w:szCs w:val="24"/>
        </w:rPr>
        <w:t>Genvoya (elvitegravir/cobicistat/emtricitabine/tenofovir alafenamide)</w:t>
      </w:r>
    </w:p>
    <w:p w:rsidR="002F4384" w:rsidRPr="00EB7E89" w:rsidRDefault="002F4384" w:rsidP="00EB7E89">
      <w:pPr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EB7E89">
        <w:rPr>
          <w:rFonts w:ascii="Arial" w:hAnsi="Arial" w:cs="Arial"/>
          <w:sz w:val="24"/>
          <w:szCs w:val="24"/>
        </w:rPr>
        <w:t>Norvir (ritonavir)</w:t>
      </w:r>
    </w:p>
    <w:p w:rsidR="002F4384" w:rsidRPr="00EB7E89" w:rsidRDefault="002F4384" w:rsidP="00EB7E89">
      <w:pPr>
        <w:numPr>
          <w:ilvl w:val="0"/>
          <w:numId w:val="29"/>
        </w:numPr>
        <w:spacing w:after="120" w:line="276" w:lineRule="auto"/>
        <w:ind w:left="720"/>
        <w:rPr>
          <w:rStyle w:val="Heading1Char"/>
          <w:rFonts w:eastAsiaTheme="minorHAnsi" w:cs="Arial"/>
          <w:sz w:val="24"/>
          <w:szCs w:val="24"/>
        </w:rPr>
      </w:pPr>
      <w:r w:rsidRPr="00EB7E89">
        <w:rPr>
          <w:rFonts w:ascii="Arial" w:hAnsi="Arial" w:cs="Arial"/>
          <w:sz w:val="24"/>
          <w:szCs w:val="24"/>
        </w:rPr>
        <w:t>Odefsey (emtricitabine/rilpivirine/tenofovir alafenamide)</w:t>
      </w:r>
    </w:p>
    <w:p w:rsidR="00BC5003" w:rsidRDefault="002F4384" w:rsidP="002F4384">
      <w:pPr>
        <w:keepNext/>
        <w:keepLines/>
        <w:spacing w:after="120" w:line="240" w:lineRule="auto"/>
        <w:ind w:left="360"/>
        <w:outlineLvl w:val="0"/>
        <w:rPr>
          <w:rFonts w:ascii="Arial" w:eastAsia="Times New Roman" w:hAnsi="Arial" w:cs="Arial"/>
          <w:sz w:val="24"/>
          <w:szCs w:val="32"/>
        </w:rPr>
      </w:pPr>
      <w:r w:rsidRPr="00EB7E89">
        <w:rPr>
          <w:rStyle w:val="Heading1Char"/>
          <w:b/>
          <w:sz w:val="28"/>
        </w:rPr>
        <w:t>Anti-TNF Agents:</w:t>
      </w:r>
      <w:r w:rsidRPr="00EB7E89">
        <w:rPr>
          <w:rFonts w:ascii="Arial" w:eastAsia="Times New Roman" w:hAnsi="Arial" w:cs="Arial"/>
          <w:sz w:val="24"/>
          <w:szCs w:val="32"/>
        </w:rPr>
        <w:t xml:space="preserve"> </w:t>
      </w:r>
    </w:p>
    <w:p w:rsidR="002F4384" w:rsidRPr="00EB7E89" w:rsidRDefault="000D3206" w:rsidP="007D3EE1">
      <w:pPr>
        <w:ind w:left="360"/>
        <w:rPr>
          <w:rFonts w:ascii="Arial" w:eastAsia="Times New Roman" w:hAnsi="Arial" w:cs="Arial"/>
          <w:b/>
          <w:sz w:val="24"/>
          <w:szCs w:val="32"/>
        </w:rPr>
      </w:pPr>
      <w:hyperlink r:id="rId10" w:history="1">
        <w:r w:rsidR="002F4384" w:rsidRPr="00EB7E89">
          <w:rPr>
            <w:rFonts w:ascii="Arial" w:eastAsia="Times New Roman" w:hAnsi="Arial" w:cs="Arial"/>
            <w:color w:val="0563C1"/>
            <w:sz w:val="24"/>
            <w:szCs w:val="32"/>
            <w:u w:val="single"/>
          </w:rPr>
          <w:t>See Therapeutic Class Table 5 on the MassHealth Drug List for Anti-TNF Agents</w:t>
        </w:r>
      </w:hyperlink>
    </w:p>
    <w:p w:rsidR="002F4384" w:rsidRPr="00EB7E89" w:rsidRDefault="002F4384" w:rsidP="002F4384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EB7E89">
        <w:rPr>
          <w:rFonts w:ascii="Arial" w:hAnsi="Arial" w:cs="Arial"/>
          <w:sz w:val="24"/>
          <w:szCs w:val="24"/>
        </w:rPr>
        <w:t xml:space="preserve">Enbrel (etanercept) – </w:t>
      </w:r>
      <w:r w:rsidRPr="00F434B4">
        <w:rPr>
          <w:rFonts w:ascii="Arial" w:hAnsi="Arial" w:cs="Arial"/>
          <w:b/>
        </w:rPr>
        <w:t>PA</w:t>
      </w:r>
    </w:p>
    <w:p w:rsidR="002F4384" w:rsidRPr="00EB7E89" w:rsidRDefault="002F4384" w:rsidP="00EB7E89">
      <w:pPr>
        <w:pStyle w:val="NoSpacing"/>
        <w:numPr>
          <w:ilvl w:val="0"/>
          <w:numId w:val="27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EB7E89">
        <w:rPr>
          <w:rFonts w:ascii="Arial" w:hAnsi="Arial" w:cs="Arial"/>
          <w:sz w:val="24"/>
          <w:szCs w:val="24"/>
        </w:rPr>
        <w:t xml:space="preserve">Humira (adalimumab) – </w:t>
      </w:r>
      <w:r w:rsidRPr="00F434B4">
        <w:rPr>
          <w:rFonts w:ascii="Arial" w:hAnsi="Arial" w:cs="Arial"/>
          <w:b/>
        </w:rPr>
        <w:t>PA</w:t>
      </w:r>
      <w:r w:rsidRPr="00EB7E89">
        <w:rPr>
          <w:rFonts w:ascii="Arial" w:hAnsi="Arial" w:cs="Arial"/>
          <w:sz w:val="24"/>
          <w:szCs w:val="24"/>
        </w:rPr>
        <w:t xml:space="preserve"> </w:t>
      </w:r>
    </w:p>
    <w:p w:rsidR="00BC5003" w:rsidRDefault="00E33330" w:rsidP="00BF5F48">
      <w:pPr>
        <w:pStyle w:val="Heading1"/>
        <w:spacing w:after="120"/>
        <w:ind w:left="360"/>
        <w:rPr>
          <w:sz w:val="28"/>
        </w:rPr>
      </w:pPr>
      <w:r w:rsidRPr="002F4384">
        <w:rPr>
          <w:b/>
          <w:sz w:val="28"/>
        </w:rPr>
        <w:t>Drug and Alcohol Cessation</w:t>
      </w:r>
      <w:r w:rsidR="00A2405A" w:rsidRPr="002F4384">
        <w:rPr>
          <w:b/>
          <w:sz w:val="28"/>
        </w:rPr>
        <w:t>:</w:t>
      </w:r>
      <w:r w:rsidR="005742DB" w:rsidRPr="002F4384">
        <w:rPr>
          <w:sz w:val="28"/>
        </w:rPr>
        <w:t xml:space="preserve"> </w:t>
      </w:r>
    </w:p>
    <w:p w:rsidR="00D43003" w:rsidRPr="007D3EE1" w:rsidRDefault="000D3206" w:rsidP="007D3EE1">
      <w:pPr>
        <w:ind w:left="360"/>
        <w:rPr>
          <w:rFonts w:ascii="Arial" w:hAnsi="Arial" w:cs="Arial"/>
          <w:b/>
          <w:sz w:val="24"/>
          <w:szCs w:val="24"/>
        </w:rPr>
      </w:pPr>
      <w:hyperlink r:id="rId11" w:history="1">
        <w:r w:rsidR="005742DB" w:rsidRPr="007D3EE1">
          <w:rPr>
            <w:rStyle w:val="Hyperlink"/>
            <w:rFonts w:ascii="Arial" w:hAnsi="Arial" w:cs="Arial"/>
            <w:sz w:val="24"/>
            <w:szCs w:val="24"/>
          </w:rPr>
          <w:t>See Therapeutic Class Table 36 on the M</w:t>
        </w:r>
        <w:r w:rsidR="009F2F25" w:rsidRPr="007D3EE1">
          <w:rPr>
            <w:rStyle w:val="Hyperlink"/>
            <w:rFonts w:ascii="Arial" w:hAnsi="Arial" w:cs="Arial"/>
            <w:sz w:val="24"/>
            <w:szCs w:val="24"/>
          </w:rPr>
          <w:t xml:space="preserve">assHealth </w:t>
        </w:r>
        <w:r w:rsidR="005742DB" w:rsidRPr="007D3EE1">
          <w:rPr>
            <w:rStyle w:val="Hyperlink"/>
            <w:rFonts w:ascii="Arial" w:hAnsi="Arial" w:cs="Arial"/>
            <w:sz w:val="24"/>
            <w:szCs w:val="24"/>
          </w:rPr>
          <w:t>D</w:t>
        </w:r>
        <w:r w:rsidR="009F2F25" w:rsidRPr="007D3EE1">
          <w:rPr>
            <w:rStyle w:val="Hyperlink"/>
            <w:rFonts w:ascii="Arial" w:hAnsi="Arial" w:cs="Arial"/>
            <w:sz w:val="24"/>
            <w:szCs w:val="24"/>
          </w:rPr>
          <w:t xml:space="preserve">rug </w:t>
        </w:r>
        <w:r w:rsidR="005742DB" w:rsidRPr="007D3EE1">
          <w:rPr>
            <w:rStyle w:val="Hyperlink"/>
            <w:rFonts w:ascii="Arial" w:hAnsi="Arial" w:cs="Arial"/>
            <w:sz w:val="24"/>
            <w:szCs w:val="24"/>
          </w:rPr>
          <w:t>L</w:t>
        </w:r>
        <w:r w:rsidR="009F2F25" w:rsidRPr="007D3EE1">
          <w:rPr>
            <w:rStyle w:val="Hyperlink"/>
            <w:rFonts w:ascii="Arial" w:hAnsi="Arial" w:cs="Arial"/>
            <w:sz w:val="24"/>
            <w:szCs w:val="24"/>
          </w:rPr>
          <w:t>ist</w:t>
        </w:r>
        <w:r w:rsidR="005742DB" w:rsidRPr="007D3EE1">
          <w:rPr>
            <w:rStyle w:val="Hyperlink"/>
            <w:rFonts w:ascii="Arial" w:hAnsi="Arial" w:cs="Arial"/>
            <w:sz w:val="24"/>
            <w:szCs w:val="24"/>
          </w:rPr>
          <w:t xml:space="preserve"> for Drug and Alcohol Cessation Agents</w:t>
        </w:r>
      </w:hyperlink>
    </w:p>
    <w:p w:rsidR="00BF5F48" w:rsidRPr="00BF5F48" w:rsidRDefault="00A2405A" w:rsidP="00C96C82">
      <w:pPr>
        <w:pStyle w:val="ListParagraph"/>
        <w:numPr>
          <w:ilvl w:val="0"/>
          <w:numId w:val="23"/>
        </w:numPr>
        <w:spacing w:after="24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Suboxone (buprenorphine/n</w:t>
      </w:r>
      <w:r w:rsidR="00E33330">
        <w:rPr>
          <w:rFonts w:ascii="Arial" w:hAnsi="Arial" w:cs="Arial"/>
          <w:sz w:val="24"/>
        </w:rPr>
        <w:t>aloxone film ≤ 16 mg/day)</w:t>
      </w:r>
    </w:p>
    <w:p w:rsidR="00A2405A" w:rsidRDefault="00A2405A" w:rsidP="00C96C82">
      <w:pPr>
        <w:pStyle w:val="ListParagraph"/>
        <w:numPr>
          <w:ilvl w:val="0"/>
          <w:numId w:val="23"/>
        </w:numPr>
        <w:spacing w:after="24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Suboxone (buprenorphine/naloxone film) </w:t>
      </w:r>
      <w:r w:rsidRPr="009D4E8C">
        <w:rPr>
          <w:rFonts w:ascii="Arial" w:hAnsi="Arial" w:cs="Arial"/>
          <w:sz w:val="24"/>
        </w:rPr>
        <w:t>–</w:t>
      </w:r>
      <w:r w:rsidRPr="007471D5">
        <w:rPr>
          <w:rFonts w:ascii="Arial" w:hAnsi="Arial" w:cs="Arial"/>
          <w:b/>
          <w:sz w:val="24"/>
        </w:rPr>
        <w:t xml:space="preserve"> PA &gt; 180/days (&gt; 16 mg/day and ≤ 24 mg/day)</w:t>
      </w:r>
    </w:p>
    <w:p w:rsidR="00A2405A" w:rsidRDefault="00A2405A" w:rsidP="00C96C82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Suboxone (buprenorphine/naloxone film) </w:t>
      </w:r>
      <w:r w:rsidRPr="009D4E8C">
        <w:rPr>
          <w:rFonts w:ascii="Arial" w:hAnsi="Arial" w:cs="Arial"/>
          <w:sz w:val="24"/>
        </w:rPr>
        <w:t>–</w:t>
      </w:r>
      <w:r w:rsidRPr="007471D5">
        <w:rPr>
          <w:rFonts w:ascii="Arial" w:hAnsi="Arial" w:cs="Arial"/>
          <w:b/>
          <w:sz w:val="24"/>
        </w:rPr>
        <w:t xml:space="preserve"> PA &gt; 90/days (&gt; 24 mg/day and ≤ 32 mg/day)</w:t>
      </w:r>
    </w:p>
    <w:p w:rsidR="00A2405A" w:rsidRDefault="00A2405A" w:rsidP="002F4384">
      <w:pPr>
        <w:pStyle w:val="ListParagraph"/>
        <w:numPr>
          <w:ilvl w:val="0"/>
          <w:numId w:val="23"/>
        </w:num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Suboxone (buprenorphine/naloxone film) </w:t>
      </w:r>
      <w:r w:rsidRPr="009D4E8C">
        <w:rPr>
          <w:rFonts w:ascii="Arial" w:hAnsi="Arial" w:cs="Arial"/>
          <w:sz w:val="24"/>
        </w:rPr>
        <w:t>–</w:t>
      </w:r>
      <w:r w:rsidRPr="007471D5">
        <w:rPr>
          <w:rFonts w:ascii="Arial" w:hAnsi="Arial" w:cs="Arial"/>
          <w:b/>
          <w:sz w:val="24"/>
        </w:rPr>
        <w:t xml:space="preserve"> PA &gt; 32 mg/day</w:t>
      </w:r>
    </w:p>
    <w:p w:rsidR="00BC5003" w:rsidRDefault="00BF5F48" w:rsidP="00BF5F48">
      <w:pPr>
        <w:pStyle w:val="Heading1"/>
        <w:spacing w:after="120"/>
        <w:ind w:left="360"/>
        <w:rPr>
          <w:sz w:val="28"/>
        </w:rPr>
      </w:pPr>
      <w:r w:rsidRPr="002F4384">
        <w:rPr>
          <w:b/>
          <w:sz w:val="28"/>
        </w:rPr>
        <w:t>Growth Hormone:</w:t>
      </w:r>
      <w:r w:rsidR="005742DB" w:rsidRPr="002F4384">
        <w:rPr>
          <w:sz w:val="28"/>
        </w:rPr>
        <w:t xml:space="preserve"> </w:t>
      </w:r>
    </w:p>
    <w:p w:rsidR="00BF5F48" w:rsidRPr="007D3EE1" w:rsidRDefault="000D3206" w:rsidP="007D3EE1">
      <w:pPr>
        <w:ind w:left="360"/>
        <w:rPr>
          <w:rFonts w:ascii="Arial" w:hAnsi="Arial" w:cs="Arial"/>
          <w:b/>
          <w:sz w:val="24"/>
          <w:szCs w:val="24"/>
        </w:rPr>
      </w:pPr>
      <w:hyperlink r:id="rId12" w:history="1">
        <w:r w:rsidR="005742DB" w:rsidRPr="007D3EE1">
          <w:rPr>
            <w:rStyle w:val="Hyperlink"/>
            <w:rFonts w:ascii="Arial" w:hAnsi="Arial" w:cs="Arial"/>
            <w:sz w:val="24"/>
            <w:szCs w:val="24"/>
          </w:rPr>
          <w:t xml:space="preserve">See Therapeutic 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 xml:space="preserve">Class </w:t>
        </w:r>
        <w:r w:rsidR="005742DB" w:rsidRPr="007D3EE1">
          <w:rPr>
            <w:rStyle w:val="Hyperlink"/>
            <w:rFonts w:ascii="Arial" w:hAnsi="Arial" w:cs="Arial"/>
            <w:sz w:val="24"/>
            <w:szCs w:val="24"/>
          </w:rPr>
          <w:t>Table 9 on the M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>ass</w:t>
        </w:r>
        <w:r w:rsidR="005742DB" w:rsidRPr="007D3EE1">
          <w:rPr>
            <w:rStyle w:val="Hyperlink"/>
            <w:rFonts w:ascii="Arial" w:hAnsi="Arial" w:cs="Arial"/>
            <w:sz w:val="24"/>
            <w:szCs w:val="24"/>
          </w:rPr>
          <w:t>H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 xml:space="preserve">ealth </w:t>
        </w:r>
        <w:r w:rsidR="005742DB" w:rsidRPr="007D3EE1">
          <w:rPr>
            <w:rStyle w:val="Hyperlink"/>
            <w:rFonts w:ascii="Arial" w:hAnsi="Arial" w:cs="Arial"/>
            <w:sz w:val="24"/>
            <w:szCs w:val="24"/>
          </w:rPr>
          <w:t>D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 xml:space="preserve">rug </w:t>
        </w:r>
        <w:r w:rsidR="005742DB" w:rsidRPr="007D3EE1">
          <w:rPr>
            <w:rStyle w:val="Hyperlink"/>
            <w:rFonts w:ascii="Arial" w:hAnsi="Arial" w:cs="Arial"/>
            <w:sz w:val="24"/>
            <w:szCs w:val="24"/>
          </w:rPr>
          <w:t>L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>ist</w:t>
        </w:r>
        <w:r w:rsidR="005742DB" w:rsidRPr="007D3EE1">
          <w:rPr>
            <w:rStyle w:val="Hyperlink"/>
            <w:rFonts w:ascii="Arial" w:hAnsi="Arial" w:cs="Arial"/>
            <w:sz w:val="24"/>
            <w:szCs w:val="24"/>
          </w:rPr>
          <w:t xml:space="preserve"> for Growth Hormone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>s</w:t>
        </w:r>
      </w:hyperlink>
    </w:p>
    <w:p w:rsidR="00BF5F48" w:rsidRPr="00C96C82" w:rsidRDefault="00BF5F48" w:rsidP="009E6C03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sz w:val="24"/>
        </w:rPr>
      </w:pPr>
      <w:r w:rsidRPr="00BF5F48">
        <w:rPr>
          <w:rFonts w:ascii="Arial" w:hAnsi="Arial" w:cs="Arial"/>
          <w:sz w:val="24"/>
        </w:rPr>
        <w:t>Genotropin</w:t>
      </w:r>
      <w:r>
        <w:rPr>
          <w:rFonts w:ascii="Arial" w:hAnsi="Arial" w:cs="Arial"/>
          <w:sz w:val="24"/>
        </w:rPr>
        <w:t xml:space="preserve"> </w:t>
      </w:r>
      <w:r w:rsidR="0091543F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somatropin) </w:t>
      </w:r>
      <w:r w:rsidRPr="009D4E8C">
        <w:rPr>
          <w:rFonts w:ascii="Arial" w:hAnsi="Arial" w:cs="Arial"/>
          <w:sz w:val="24"/>
        </w:rPr>
        <w:t>–</w:t>
      </w:r>
      <w:r w:rsidRPr="007471D5">
        <w:rPr>
          <w:rFonts w:ascii="Arial" w:hAnsi="Arial" w:cs="Arial"/>
          <w:b/>
          <w:sz w:val="24"/>
        </w:rPr>
        <w:t xml:space="preserve"> PA</w:t>
      </w:r>
    </w:p>
    <w:p w:rsidR="00F434B4" w:rsidRDefault="00F434B4">
      <w:pPr>
        <w:rPr>
          <w:rFonts w:ascii="Arial" w:eastAsiaTheme="majorEastAsia" w:hAnsi="Arial" w:cstheme="majorBidi"/>
          <w:b/>
          <w:sz w:val="28"/>
          <w:szCs w:val="32"/>
        </w:rPr>
      </w:pPr>
      <w:r>
        <w:rPr>
          <w:b/>
          <w:sz w:val="28"/>
        </w:rPr>
        <w:br w:type="page"/>
      </w:r>
    </w:p>
    <w:p w:rsidR="00BC5003" w:rsidRDefault="00BF5F48" w:rsidP="00BF5F48">
      <w:pPr>
        <w:pStyle w:val="Heading1"/>
        <w:spacing w:after="120"/>
        <w:ind w:left="360"/>
        <w:rPr>
          <w:sz w:val="28"/>
        </w:rPr>
      </w:pPr>
      <w:r w:rsidRPr="002F4384">
        <w:rPr>
          <w:b/>
          <w:sz w:val="28"/>
        </w:rPr>
        <w:lastRenderedPageBreak/>
        <w:t>Hepatitis Antiviral:</w:t>
      </w:r>
      <w:r w:rsidR="009E6C03" w:rsidRPr="002F4384">
        <w:rPr>
          <w:sz w:val="28"/>
        </w:rPr>
        <w:t xml:space="preserve"> </w:t>
      </w:r>
    </w:p>
    <w:p w:rsidR="00BF5F48" w:rsidRPr="007D3EE1" w:rsidRDefault="000D3206" w:rsidP="007D3EE1">
      <w:pPr>
        <w:ind w:left="360"/>
        <w:rPr>
          <w:rFonts w:ascii="Arial" w:hAnsi="Arial" w:cs="Arial"/>
          <w:b/>
          <w:sz w:val="24"/>
          <w:szCs w:val="24"/>
        </w:rPr>
      </w:pPr>
      <w:hyperlink r:id="rId13" w:history="1">
        <w:r w:rsidR="009E0E48" w:rsidRPr="007D3EE1">
          <w:rPr>
            <w:rStyle w:val="Hyperlink"/>
            <w:rFonts w:ascii="Arial" w:hAnsi="Arial" w:cs="Arial"/>
            <w:sz w:val="24"/>
            <w:szCs w:val="24"/>
          </w:rPr>
          <w:t xml:space="preserve">See Therapeutic 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 xml:space="preserve">Class </w:t>
        </w:r>
        <w:r w:rsidR="009E0E48" w:rsidRPr="007D3EE1">
          <w:rPr>
            <w:rStyle w:val="Hyperlink"/>
            <w:rFonts w:ascii="Arial" w:hAnsi="Arial" w:cs="Arial"/>
            <w:sz w:val="24"/>
            <w:szCs w:val="24"/>
          </w:rPr>
          <w:t>Table 44 on the M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>ass</w:t>
        </w:r>
        <w:r w:rsidR="009E0E48" w:rsidRPr="007D3EE1">
          <w:rPr>
            <w:rStyle w:val="Hyperlink"/>
            <w:rFonts w:ascii="Arial" w:hAnsi="Arial" w:cs="Arial"/>
            <w:sz w:val="24"/>
            <w:szCs w:val="24"/>
          </w:rPr>
          <w:t>H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 xml:space="preserve">ealth </w:t>
        </w:r>
        <w:r w:rsidR="009E0E48" w:rsidRPr="007D3EE1">
          <w:rPr>
            <w:rStyle w:val="Hyperlink"/>
            <w:rFonts w:ascii="Arial" w:hAnsi="Arial" w:cs="Arial"/>
            <w:sz w:val="24"/>
            <w:szCs w:val="24"/>
          </w:rPr>
          <w:t>D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 xml:space="preserve">rug </w:t>
        </w:r>
        <w:r w:rsidR="009E0E48" w:rsidRPr="007D3EE1">
          <w:rPr>
            <w:rStyle w:val="Hyperlink"/>
            <w:rFonts w:ascii="Arial" w:hAnsi="Arial" w:cs="Arial"/>
            <w:sz w:val="24"/>
            <w:szCs w:val="24"/>
          </w:rPr>
          <w:t>L</w:t>
        </w:r>
        <w:r w:rsidR="008E149B" w:rsidRPr="007D3EE1">
          <w:rPr>
            <w:rStyle w:val="Hyperlink"/>
            <w:rFonts w:ascii="Arial" w:hAnsi="Arial" w:cs="Arial"/>
            <w:sz w:val="24"/>
            <w:szCs w:val="24"/>
          </w:rPr>
          <w:t>ist</w:t>
        </w:r>
        <w:r w:rsidR="009E0E48" w:rsidRPr="007D3EE1">
          <w:rPr>
            <w:rStyle w:val="Hyperlink"/>
            <w:rFonts w:ascii="Arial" w:hAnsi="Arial" w:cs="Arial"/>
            <w:sz w:val="24"/>
            <w:szCs w:val="24"/>
          </w:rPr>
          <w:t xml:space="preserve"> for Hepatitis Antiviral Agents</w:t>
        </w:r>
      </w:hyperlink>
    </w:p>
    <w:p w:rsidR="00BF5F48" w:rsidRDefault="00BF5F48" w:rsidP="00BF5F48">
      <w:pPr>
        <w:pStyle w:val="Heading2"/>
        <w:spacing w:after="120"/>
        <w:ind w:left="360"/>
      </w:pPr>
      <w:r>
        <w:t>Combination Agents</w:t>
      </w:r>
    </w:p>
    <w:p w:rsidR="00BF5F48" w:rsidRPr="00BF5F48" w:rsidRDefault="00BF5F48" w:rsidP="00C96C82">
      <w:pPr>
        <w:pStyle w:val="ListParagraph"/>
        <w:numPr>
          <w:ilvl w:val="0"/>
          <w:numId w:val="25"/>
        </w:numPr>
        <w:spacing w:line="276" w:lineRule="auto"/>
      </w:pPr>
      <w:r>
        <w:rPr>
          <w:rFonts w:ascii="Arial" w:hAnsi="Arial" w:cs="Arial"/>
          <w:sz w:val="24"/>
        </w:rPr>
        <w:t>Epclusa (sofosbuvir/velpatasvir)</w:t>
      </w:r>
      <w:r w:rsidR="007471D5">
        <w:rPr>
          <w:rFonts w:ascii="Arial" w:hAnsi="Arial" w:cs="Arial"/>
          <w:sz w:val="24"/>
        </w:rPr>
        <w:t xml:space="preserve"> </w:t>
      </w:r>
      <w:r w:rsidR="007471D5" w:rsidRPr="009D4E8C">
        <w:rPr>
          <w:rFonts w:ascii="Arial" w:hAnsi="Arial" w:cs="Arial"/>
          <w:sz w:val="24"/>
        </w:rPr>
        <w:t>–</w:t>
      </w:r>
      <w:r w:rsidR="007471D5">
        <w:rPr>
          <w:rFonts w:ascii="Arial" w:hAnsi="Arial" w:cs="Arial"/>
          <w:b/>
          <w:sz w:val="24"/>
        </w:rPr>
        <w:t xml:space="preserve"> PA</w:t>
      </w:r>
    </w:p>
    <w:p w:rsidR="00BF5F48" w:rsidRPr="00BF5F48" w:rsidRDefault="00BF5F48" w:rsidP="009E6C03">
      <w:pPr>
        <w:pStyle w:val="ListParagraph"/>
        <w:numPr>
          <w:ilvl w:val="0"/>
          <w:numId w:val="25"/>
        </w:numPr>
        <w:spacing w:after="120" w:line="276" w:lineRule="auto"/>
      </w:pPr>
      <w:r>
        <w:rPr>
          <w:rFonts w:ascii="Arial" w:hAnsi="Arial" w:cs="Arial"/>
          <w:sz w:val="24"/>
        </w:rPr>
        <w:t>Harvoni (ledipasvir/sofosbuvir)</w:t>
      </w:r>
      <w:r w:rsidR="007471D5">
        <w:rPr>
          <w:rFonts w:ascii="Arial" w:hAnsi="Arial" w:cs="Arial"/>
          <w:sz w:val="24"/>
        </w:rPr>
        <w:t xml:space="preserve"> </w:t>
      </w:r>
      <w:r w:rsidR="007471D5" w:rsidRPr="009D4E8C">
        <w:rPr>
          <w:rFonts w:ascii="Arial" w:hAnsi="Arial" w:cs="Arial"/>
          <w:sz w:val="24"/>
        </w:rPr>
        <w:t>–</w:t>
      </w:r>
      <w:r w:rsidR="007471D5" w:rsidRPr="007471D5">
        <w:rPr>
          <w:rFonts w:ascii="Arial" w:hAnsi="Arial" w:cs="Arial"/>
          <w:b/>
          <w:sz w:val="24"/>
        </w:rPr>
        <w:t xml:space="preserve"> PA</w:t>
      </w:r>
      <w:r w:rsidR="007471D5">
        <w:rPr>
          <w:rFonts w:ascii="Arial" w:hAnsi="Arial" w:cs="Arial"/>
          <w:sz w:val="24"/>
        </w:rPr>
        <w:t xml:space="preserve"> </w:t>
      </w:r>
    </w:p>
    <w:p w:rsidR="00BF5F48" w:rsidRDefault="00BF5F48" w:rsidP="00BF5F48">
      <w:pPr>
        <w:pStyle w:val="Heading2"/>
        <w:spacing w:after="120"/>
        <w:ind w:left="360"/>
      </w:pPr>
      <w:r>
        <w:t>Single Agents</w:t>
      </w:r>
    </w:p>
    <w:p w:rsidR="00BB56FD" w:rsidRDefault="00BF5F48" w:rsidP="00BB56FD">
      <w:pPr>
        <w:pStyle w:val="ListParagraph"/>
        <w:numPr>
          <w:ilvl w:val="0"/>
          <w:numId w:val="26"/>
        </w:numPr>
        <w:spacing w:line="276" w:lineRule="auto"/>
      </w:pPr>
      <w:r>
        <w:rPr>
          <w:rFonts w:ascii="Arial" w:hAnsi="Arial" w:cs="Arial"/>
          <w:sz w:val="24"/>
        </w:rPr>
        <w:t xml:space="preserve">Sovaldi (sofosbuvir) </w:t>
      </w:r>
      <w:r w:rsidRPr="009D4E8C">
        <w:rPr>
          <w:rFonts w:ascii="Arial" w:hAnsi="Arial" w:cs="Arial"/>
          <w:sz w:val="24"/>
        </w:rPr>
        <w:t>–</w:t>
      </w:r>
      <w:r w:rsidRPr="007471D5">
        <w:rPr>
          <w:rFonts w:ascii="Arial" w:hAnsi="Arial" w:cs="Arial"/>
          <w:b/>
          <w:sz w:val="24"/>
        </w:rPr>
        <w:t xml:space="preserve"> PA</w:t>
      </w:r>
    </w:p>
    <w:p w:rsidR="00BC5003" w:rsidRDefault="002F4384" w:rsidP="002F4384">
      <w:pPr>
        <w:keepNext/>
        <w:keepLines/>
        <w:spacing w:after="120" w:line="240" w:lineRule="auto"/>
        <w:ind w:left="360"/>
        <w:outlineLvl w:val="0"/>
        <w:rPr>
          <w:rFonts w:ascii="Arial" w:eastAsia="Times New Roman" w:hAnsi="Arial" w:cs="Arial"/>
          <w:sz w:val="24"/>
          <w:szCs w:val="32"/>
        </w:rPr>
      </w:pPr>
      <w:r w:rsidRPr="00EB7E89">
        <w:rPr>
          <w:rStyle w:val="Heading1Char"/>
          <w:b/>
          <w:sz w:val="28"/>
        </w:rPr>
        <w:t>Long-Acting Cerebral Stimulants:</w:t>
      </w:r>
      <w:r w:rsidRPr="00EB7E89">
        <w:rPr>
          <w:rFonts w:ascii="Arial" w:eastAsia="Times New Roman" w:hAnsi="Arial" w:cs="Arial"/>
          <w:sz w:val="24"/>
          <w:szCs w:val="32"/>
        </w:rPr>
        <w:t xml:space="preserve"> </w:t>
      </w:r>
    </w:p>
    <w:p w:rsidR="002F4384" w:rsidRPr="004707ED" w:rsidRDefault="000D3206" w:rsidP="004707ED">
      <w:pPr>
        <w:ind w:left="360"/>
        <w:rPr>
          <w:rFonts w:ascii="Arial" w:hAnsi="Arial" w:cs="Arial"/>
          <w:b/>
          <w:color w:val="2F5496" w:themeColor="accent1" w:themeShade="BF"/>
          <w:u w:val="single"/>
        </w:rPr>
      </w:pPr>
      <w:hyperlink r:id="rId14" w:history="1">
        <w:r w:rsidR="002F4384" w:rsidRPr="004707ED">
          <w:rPr>
            <w:rFonts w:ascii="Arial" w:hAnsi="Arial" w:cs="Arial"/>
            <w:color w:val="2F5496" w:themeColor="accent1" w:themeShade="BF"/>
            <w:sz w:val="24"/>
            <w:u w:val="single"/>
          </w:rPr>
          <w:t>See Therapeutic Class Table 31 on the MassHealth Drug List for Cerebral Stimulants and Miscellaneous Agents</w:t>
        </w:r>
      </w:hyperlink>
    </w:p>
    <w:p w:rsidR="002F4384" w:rsidRPr="00EB7E89" w:rsidRDefault="002F4384" w:rsidP="009C4CB4">
      <w:pPr>
        <w:keepNext/>
        <w:keepLines/>
        <w:spacing w:after="60" w:line="256" w:lineRule="auto"/>
        <w:ind w:left="360"/>
        <w:outlineLvl w:val="1"/>
        <w:rPr>
          <w:rFonts w:ascii="Arial" w:eastAsia="Times New Roman" w:hAnsi="Arial" w:cs="Arial"/>
          <w:i/>
          <w:sz w:val="24"/>
          <w:szCs w:val="26"/>
        </w:rPr>
      </w:pPr>
      <w:r w:rsidRPr="00EB7E89">
        <w:rPr>
          <w:rFonts w:ascii="Arial" w:eastAsia="Times New Roman" w:hAnsi="Arial" w:cs="Arial"/>
          <w:i/>
          <w:sz w:val="24"/>
          <w:szCs w:val="26"/>
        </w:rPr>
        <w:t>Long-Acting Amphetamine Agents</w:t>
      </w:r>
    </w:p>
    <w:p w:rsidR="002F4384" w:rsidRPr="00EB7E89" w:rsidRDefault="002F4384" w:rsidP="002F4384">
      <w:pPr>
        <w:numPr>
          <w:ilvl w:val="0"/>
          <w:numId w:val="27"/>
        </w:numPr>
        <w:spacing w:line="276" w:lineRule="auto"/>
        <w:contextualSpacing/>
        <w:rPr>
          <w:rFonts w:ascii="Arial" w:hAnsi="Arial" w:cs="Arial"/>
        </w:rPr>
      </w:pPr>
      <w:r w:rsidRPr="00EB7E89">
        <w:rPr>
          <w:rFonts w:ascii="Arial" w:hAnsi="Arial" w:cs="Arial"/>
          <w:sz w:val="24"/>
        </w:rPr>
        <w:t>Adderall XR (amphetamine salts extended-release) –</w:t>
      </w:r>
      <w:r w:rsidRPr="00EB7E89">
        <w:rPr>
          <w:rFonts w:ascii="Arial" w:hAnsi="Arial" w:cs="Arial"/>
          <w:b/>
          <w:sz w:val="24"/>
        </w:rPr>
        <w:t xml:space="preserve"> PA &lt; 3 years and PA &gt; 60 units/month</w:t>
      </w:r>
    </w:p>
    <w:p w:rsidR="002F4384" w:rsidRPr="00EB7E89" w:rsidRDefault="002F4384" w:rsidP="009C4CB4">
      <w:pPr>
        <w:numPr>
          <w:ilvl w:val="0"/>
          <w:numId w:val="27"/>
        </w:numPr>
        <w:spacing w:after="0" w:line="276" w:lineRule="auto"/>
        <w:contextualSpacing/>
        <w:rPr>
          <w:rFonts w:ascii="Arial" w:hAnsi="Arial" w:cs="Arial"/>
        </w:rPr>
      </w:pPr>
      <w:r w:rsidRPr="00EB7E89">
        <w:rPr>
          <w:rFonts w:ascii="Arial" w:hAnsi="Arial" w:cs="Arial"/>
          <w:sz w:val="24"/>
        </w:rPr>
        <w:t>Vyvanse (lisdexamfetamine) –</w:t>
      </w:r>
      <w:r w:rsidRPr="00EB7E89">
        <w:rPr>
          <w:rFonts w:ascii="Arial" w:hAnsi="Arial" w:cs="Arial"/>
          <w:b/>
          <w:sz w:val="24"/>
        </w:rPr>
        <w:t xml:space="preserve"> PA &lt; 3 years and PA &gt; 60 units/month</w:t>
      </w:r>
    </w:p>
    <w:p w:rsidR="002F4384" w:rsidRPr="00EB7E89" w:rsidRDefault="002F4384" w:rsidP="009C4CB4">
      <w:pPr>
        <w:keepNext/>
        <w:keepLines/>
        <w:spacing w:before="160" w:after="60" w:line="256" w:lineRule="auto"/>
        <w:ind w:left="360"/>
        <w:outlineLvl w:val="1"/>
        <w:rPr>
          <w:rFonts w:ascii="Arial" w:eastAsia="Times New Roman" w:hAnsi="Arial" w:cs="Arial"/>
          <w:i/>
          <w:sz w:val="24"/>
          <w:szCs w:val="26"/>
        </w:rPr>
      </w:pPr>
      <w:r w:rsidRPr="00EB7E89">
        <w:rPr>
          <w:rFonts w:ascii="Arial" w:eastAsia="Times New Roman" w:hAnsi="Arial" w:cs="Arial"/>
          <w:i/>
          <w:sz w:val="24"/>
          <w:szCs w:val="26"/>
        </w:rPr>
        <w:t>Long-Acting Methylphenidate Agents</w:t>
      </w:r>
    </w:p>
    <w:p w:rsidR="00F434B4" w:rsidRPr="00291219" w:rsidRDefault="002F4384" w:rsidP="00291219">
      <w:pPr>
        <w:pStyle w:val="ListParagraph"/>
        <w:numPr>
          <w:ilvl w:val="0"/>
          <w:numId w:val="30"/>
        </w:numPr>
        <w:ind w:left="720"/>
        <w:rPr>
          <w:rFonts w:ascii="Arial" w:hAnsi="Arial" w:cs="Arial"/>
          <w:b/>
          <w:sz w:val="24"/>
        </w:rPr>
      </w:pPr>
      <w:r w:rsidRPr="00F434B4">
        <w:rPr>
          <w:rFonts w:ascii="Arial" w:hAnsi="Arial" w:cs="Arial"/>
          <w:sz w:val="24"/>
        </w:rPr>
        <w:t>Focalin XR (</w:t>
      </w:r>
      <w:r w:rsidRPr="00F434B4">
        <w:rPr>
          <w:rFonts w:ascii="Arial" w:eastAsia="Times New Roman" w:hAnsi="Arial" w:cs="Arial"/>
          <w:sz w:val="24"/>
          <w:szCs w:val="24"/>
        </w:rPr>
        <w:t>dexmethylphenidate extended-release</w:t>
      </w:r>
      <w:r w:rsidRPr="00F434B4">
        <w:rPr>
          <w:rFonts w:ascii="Arial" w:hAnsi="Arial" w:cs="Arial"/>
          <w:sz w:val="24"/>
        </w:rPr>
        <w:t>) –</w:t>
      </w:r>
      <w:r w:rsidRPr="00F434B4">
        <w:rPr>
          <w:rFonts w:ascii="Arial" w:hAnsi="Arial" w:cs="Arial"/>
          <w:b/>
          <w:sz w:val="24"/>
        </w:rPr>
        <w:t xml:space="preserve"> PA &lt; 3 years and PA &gt; 60 units/month</w:t>
      </w:r>
    </w:p>
    <w:sectPr w:rsidR="00F434B4" w:rsidRPr="00291219" w:rsidSect="00981D48">
      <w:footerReference w:type="default" r:id="rId15"/>
      <w:pgSz w:w="12240" w:h="15840"/>
      <w:pgMar w:top="994" w:right="360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68" w:rsidRDefault="00661E68" w:rsidP="006D1726">
      <w:pPr>
        <w:spacing w:after="0" w:line="240" w:lineRule="auto"/>
      </w:pPr>
      <w:r>
        <w:separator/>
      </w:r>
    </w:p>
  </w:endnote>
  <w:endnote w:type="continuationSeparator" w:id="0">
    <w:p w:rsidR="00661E68" w:rsidRDefault="00661E68" w:rsidP="006D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0" w:rsidRDefault="00780650" w:rsidP="00780650">
    <w:pPr>
      <w:pStyle w:val="Footer"/>
    </w:pPr>
    <w:r>
      <w:t xml:space="preserve">MHSRPDL (Rev. </w:t>
    </w:r>
    <w:r w:rsidR="002F4384">
      <w:t>11</w:t>
    </w:r>
    <w:r>
      <w:t>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68" w:rsidRDefault="00661E68" w:rsidP="006D1726">
      <w:pPr>
        <w:spacing w:after="0" w:line="240" w:lineRule="auto"/>
      </w:pPr>
      <w:r>
        <w:separator/>
      </w:r>
    </w:p>
  </w:footnote>
  <w:footnote w:type="continuationSeparator" w:id="0">
    <w:p w:rsidR="00661E68" w:rsidRDefault="00661E68" w:rsidP="006D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B56"/>
    <w:multiLevelType w:val="hybridMultilevel"/>
    <w:tmpl w:val="BD062858"/>
    <w:lvl w:ilvl="0" w:tplc="E87C8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04682"/>
    <w:multiLevelType w:val="hybridMultilevel"/>
    <w:tmpl w:val="5C6C1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02B63"/>
    <w:multiLevelType w:val="hybridMultilevel"/>
    <w:tmpl w:val="B644BDEC"/>
    <w:lvl w:ilvl="0" w:tplc="67440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55A1"/>
    <w:multiLevelType w:val="hybridMultilevel"/>
    <w:tmpl w:val="CDE0A0A6"/>
    <w:lvl w:ilvl="0" w:tplc="E87C8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D1C49"/>
    <w:multiLevelType w:val="hybridMultilevel"/>
    <w:tmpl w:val="25CC4698"/>
    <w:lvl w:ilvl="0" w:tplc="B276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CAB"/>
    <w:multiLevelType w:val="hybridMultilevel"/>
    <w:tmpl w:val="F2DC98A0"/>
    <w:lvl w:ilvl="0" w:tplc="D8606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543"/>
    <w:multiLevelType w:val="hybridMultilevel"/>
    <w:tmpl w:val="9C305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9F712B"/>
    <w:multiLevelType w:val="hybridMultilevel"/>
    <w:tmpl w:val="EFA63AD6"/>
    <w:lvl w:ilvl="0" w:tplc="67440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E27"/>
    <w:multiLevelType w:val="hybridMultilevel"/>
    <w:tmpl w:val="EE887CC4"/>
    <w:lvl w:ilvl="0" w:tplc="7722E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C088F"/>
    <w:multiLevelType w:val="hybridMultilevel"/>
    <w:tmpl w:val="F9E0B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E764EB"/>
    <w:multiLevelType w:val="hybridMultilevel"/>
    <w:tmpl w:val="373EB552"/>
    <w:lvl w:ilvl="0" w:tplc="E87C8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ED9"/>
    <w:multiLevelType w:val="hybridMultilevel"/>
    <w:tmpl w:val="020E4E34"/>
    <w:lvl w:ilvl="0" w:tplc="7A50DB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1D6A"/>
    <w:multiLevelType w:val="hybridMultilevel"/>
    <w:tmpl w:val="3C6A4368"/>
    <w:lvl w:ilvl="0" w:tplc="7722E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14912"/>
    <w:multiLevelType w:val="hybridMultilevel"/>
    <w:tmpl w:val="DB3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11A5C"/>
    <w:multiLevelType w:val="hybridMultilevel"/>
    <w:tmpl w:val="D65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697B"/>
    <w:multiLevelType w:val="hybridMultilevel"/>
    <w:tmpl w:val="E24C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21A0B"/>
    <w:multiLevelType w:val="hybridMultilevel"/>
    <w:tmpl w:val="A9CC742C"/>
    <w:lvl w:ilvl="0" w:tplc="E87C87AE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>
    <w:nsid w:val="4FD13826"/>
    <w:multiLevelType w:val="hybridMultilevel"/>
    <w:tmpl w:val="A210D8F8"/>
    <w:lvl w:ilvl="0" w:tplc="E87C8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56C6C"/>
    <w:multiLevelType w:val="hybridMultilevel"/>
    <w:tmpl w:val="79E81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A176C3"/>
    <w:multiLevelType w:val="hybridMultilevel"/>
    <w:tmpl w:val="B604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D2F1E"/>
    <w:multiLevelType w:val="hybridMultilevel"/>
    <w:tmpl w:val="A0E85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FE656E"/>
    <w:multiLevelType w:val="hybridMultilevel"/>
    <w:tmpl w:val="66CC0318"/>
    <w:lvl w:ilvl="0" w:tplc="4822986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332F44"/>
    <w:multiLevelType w:val="hybridMultilevel"/>
    <w:tmpl w:val="E1CC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6D427D"/>
    <w:multiLevelType w:val="hybridMultilevel"/>
    <w:tmpl w:val="B336BB1A"/>
    <w:lvl w:ilvl="0" w:tplc="E87C8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A4B94"/>
    <w:multiLevelType w:val="hybridMultilevel"/>
    <w:tmpl w:val="8996C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7B5934"/>
    <w:multiLevelType w:val="hybridMultilevel"/>
    <w:tmpl w:val="59188176"/>
    <w:lvl w:ilvl="0" w:tplc="7722E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D25D5"/>
    <w:multiLevelType w:val="hybridMultilevel"/>
    <w:tmpl w:val="7A6013A4"/>
    <w:lvl w:ilvl="0" w:tplc="FAD2D7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5866BB"/>
    <w:multiLevelType w:val="hybridMultilevel"/>
    <w:tmpl w:val="C682E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4"/>
  </w:num>
  <w:num w:numId="5">
    <w:abstractNumId w:val="1"/>
  </w:num>
  <w:num w:numId="6">
    <w:abstractNumId w:val="21"/>
  </w:num>
  <w:num w:numId="7">
    <w:abstractNumId w:val="26"/>
  </w:num>
  <w:num w:numId="8">
    <w:abstractNumId w:val="11"/>
  </w:num>
  <w:num w:numId="9">
    <w:abstractNumId w:val="15"/>
  </w:num>
  <w:num w:numId="10">
    <w:abstractNumId w:val="2"/>
  </w:num>
  <w:num w:numId="11">
    <w:abstractNumId w:val="7"/>
  </w:num>
  <w:num w:numId="12">
    <w:abstractNumId w:val="24"/>
  </w:num>
  <w:num w:numId="13">
    <w:abstractNumId w:val="18"/>
  </w:num>
  <w:num w:numId="14">
    <w:abstractNumId w:val="22"/>
  </w:num>
  <w:num w:numId="15">
    <w:abstractNumId w:val="20"/>
  </w:num>
  <w:num w:numId="16">
    <w:abstractNumId w:val="9"/>
  </w:num>
  <w:num w:numId="17">
    <w:abstractNumId w:val="3"/>
  </w:num>
  <w:num w:numId="18">
    <w:abstractNumId w:val="23"/>
  </w:num>
  <w:num w:numId="19">
    <w:abstractNumId w:val="16"/>
  </w:num>
  <w:num w:numId="20">
    <w:abstractNumId w:val="17"/>
  </w:num>
  <w:num w:numId="21">
    <w:abstractNumId w:val="0"/>
  </w:num>
  <w:num w:numId="22">
    <w:abstractNumId w:val="10"/>
  </w:num>
  <w:num w:numId="23">
    <w:abstractNumId w:val="14"/>
  </w:num>
  <w:num w:numId="24">
    <w:abstractNumId w:val="12"/>
  </w:num>
  <w:num w:numId="25">
    <w:abstractNumId w:val="25"/>
  </w:num>
  <w:num w:numId="26">
    <w:abstractNumId w:val="8"/>
  </w:num>
  <w:num w:numId="27">
    <w:abstractNumId w:val="25"/>
  </w:num>
  <w:num w:numId="28">
    <w:abstractNumId w:val="8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3"/>
    <w:rsid w:val="0000318A"/>
    <w:rsid w:val="00076752"/>
    <w:rsid w:val="000B28F6"/>
    <w:rsid w:val="000C5FF8"/>
    <w:rsid w:val="000D3206"/>
    <w:rsid w:val="000D7B1F"/>
    <w:rsid w:val="00112749"/>
    <w:rsid w:val="00126DBA"/>
    <w:rsid w:val="00161D72"/>
    <w:rsid w:val="0017173B"/>
    <w:rsid w:val="00194C28"/>
    <w:rsid w:val="001A33B6"/>
    <w:rsid w:val="001B6EEB"/>
    <w:rsid w:val="001C0069"/>
    <w:rsid w:val="00207F9F"/>
    <w:rsid w:val="00212917"/>
    <w:rsid w:val="00221B86"/>
    <w:rsid w:val="002303B0"/>
    <w:rsid w:val="00237FDA"/>
    <w:rsid w:val="00291219"/>
    <w:rsid w:val="002954E2"/>
    <w:rsid w:val="00297F2F"/>
    <w:rsid w:val="002B5624"/>
    <w:rsid w:val="002C37E2"/>
    <w:rsid w:val="002C70A2"/>
    <w:rsid w:val="002D280C"/>
    <w:rsid w:val="002D62B3"/>
    <w:rsid w:val="002E6BEE"/>
    <w:rsid w:val="002F4384"/>
    <w:rsid w:val="00313EE9"/>
    <w:rsid w:val="00316555"/>
    <w:rsid w:val="003218C6"/>
    <w:rsid w:val="003804AF"/>
    <w:rsid w:val="00383C10"/>
    <w:rsid w:val="003A7D6F"/>
    <w:rsid w:val="003B33BB"/>
    <w:rsid w:val="003E0C92"/>
    <w:rsid w:val="003E3AC6"/>
    <w:rsid w:val="003E4519"/>
    <w:rsid w:val="00403F24"/>
    <w:rsid w:val="00407326"/>
    <w:rsid w:val="004229A3"/>
    <w:rsid w:val="004231FB"/>
    <w:rsid w:val="00442F9D"/>
    <w:rsid w:val="00444A22"/>
    <w:rsid w:val="004577A5"/>
    <w:rsid w:val="00460C54"/>
    <w:rsid w:val="00462EFE"/>
    <w:rsid w:val="004707ED"/>
    <w:rsid w:val="00481D56"/>
    <w:rsid w:val="00487CBC"/>
    <w:rsid w:val="004A15F6"/>
    <w:rsid w:val="004C2FBA"/>
    <w:rsid w:val="004C4FF9"/>
    <w:rsid w:val="004C519E"/>
    <w:rsid w:val="004C62AF"/>
    <w:rsid w:val="004F1033"/>
    <w:rsid w:val="005023CF"/>
    <w:rsid w:val="0051687F"/>
    <w:rsid w:val="00525CE1"/>
    <w:rsid w:val="00536BF9"/>
    <w:rsid w:val="005654FE"/>
    <w:rsid w:val="005742DB"/>
    <w:rsid w:val="00586E24"/>
    <w:rsid w:val="005920AF"/>
    <w:rsid w:val="00596A7D"/>
    <w:rsid w:val="005B7212"/>
    <w:rsid w:val="005E426E"/>
    <w:rsid w:val="00612760"/>
    <w:rsid w:val="00637191"/>
    <w:rsid w:val="00651953"/>
    <w:rsid w:val="0065519E"/>
    <w:rsid w:val="00661E68"/>
    <w:rsid w:val="00676628"/>
    <w:rsid w:val="00683A7A"/>
    <w:rsid w:val="006B611E"/>
    <w:rsid w:val="006C5AB4"/>
    <w:rsid w:val="006D1081"/>
    <w:rsid w:val="006D1726"/>
    <w:rsid w:val="006D7702"/>
    <w:rsid w:val="007002AE"/>
    <w:rsid w:val="00706D03"/>
    <w:rsid w:val="00712C02"/>
    <w:rsid w:val="00725DD0"/>
    <w:rsid w:val="00726E06"/>
    <w:rsid w:val="007333F7"/>
    <w:rsid w:val="007471D5"/>
    <w:rsid w:val="00754BDD"/>
    <w:rsid w:val="00764D0D"/>
    <w:rsid w:val="00780650"/>
    <w:rsid w:val="0078761D"/>
    <w:rsid w:val="007B3DB6"/>
    <w:rsid w:val="007D3EE1"/>
    <w:rsid w:val="007D4590"/>
    <w:rsid w:val="00856FA0"/>
    <w:rsid w:val="008605B3"/>
    <w:rsid w:val="00897DB5"/>
    <w:rsid w:val="008B6F07"/>
    <w:rsid w:val="008C04CA"/>
    <w:rsid w:val="008C3776"/>
    <w:rsid w:val="008C4A80"/>
    <w:rsid w:val="008D5A95"/>
    <w:rsid w:val="008E149B"/>
    <w:rsid w:val="008E6ECE"/>
    <w:rsid w:val="008E7F6A"/>
    <w:rsid w:val="00912CDE"/>
    <w:rsid w:val="0091543F"/>
    <w:rsid w:val="009211D2"/>
    <w:rsid w:val="00923622"/>
    <w:rsid w:val="009360B5"/>
    <w:rsid w:val="009369BC"/>
    <w:rsid w:val="00955EF0"/>
    <w:rsid w:val="009640CE"/>
    <w:rsid w:val="0096535D"/>
    <w:rsid w:val="0097562F"/>
    <w:rsid w:val="00981D48"/>
    <w:rsid w:val="00983687"/>
    <w:rsid w:val="00985B90"/>
    <w:rsid w:val="009A4BF0"/>
    <w:rsid w:val="009C24CC"/>
    <w:rsid w:val="009C4CB4"/>
    <w:rsid w:val="009C76B2"/>
    <w:rsid w:val="009D4E8C"/>
    <w:rsid w:val="009E0E48"/>
    <w:rsid w:val="009E6C03"/>
    <w:rsid w:val="009F2F25"/>
    <w:rsid w:val="00A01DD4"/>
    <w:rsid w:val="00A2405A"/>
    <w:rsid w:val="00A47DAC"/>
    <w:rsid w:val="00A84F20"/>
    <w:rsid w:val="00AC2B69"/>
    <w:rsid w:val="00AD5AE9"/>
    <w:rsid w:val="00B13C01"/>
    <w:rsid w:val="00B35C08"/>
    <w:rsid w:val="00B45122"/>
    <w:rsid w:val="00B46E68"/>
    <w:rsid w:val="00B546E2"/>
    <w:rsid w:val="00BB4CAD"/>
    <w:rsid w:val="00BB56FD"/>
    <w:rsid w:val="00BC4387"/>
    <w:rsid w:val="00BC5003"/>
    <w:rsid w:val="00BE5DD3"/>
    <w:rsid w:val="00BF5F48"/>
    <w:rsid w:val="00BF7250"/>
    <w:rsid w:val="00C10E39"/>
    <w:rsid w:val="00C201C7"/>
    <w:rsid w:val="00C226DB"/>
    <w:rsid w:val="00C42E90"/>
    <w:rsid w:val="00C6306A"/>
    <w:rsid w:val="00C854F3"/>
    <w:rsid w:val="00C92AB0"/>
    <w:rsid w:val="00C96C82"/>
    <w:rsid w:val="00CA131B"/>
    <w:rsid w:val="00CA2CE1"/>
    <w:rsid w:val="00CB24E1"/>
    <w:rsid w:val="00CC1266"/>
    <w:rsid w:val="00D069AA"/>
    <w:rsid w:val="00D16804"/>
    <w:rsid w:val="00D351A4"/>
    <w:rsid w:val="00D43003"/>
    <w:rsid w:val="00D80AD4"/>
    <w:rsid w:val="00D856CC"/>
    <w:rsid w:val="00DA31C3"/>
    <w:rsid w:val="00DA5D6E"/>
    <w:rsid w:val="00DA74F8"/>
    <w:rsid w:val="00DB2EA7"/>
    <w:rsid w:val="00DC6DCF"/>
    <w:rsid w:val="00DD7948"/>
    <w:rsid w:val="00DE4A30"/>
    <w:rsid w:val="00DE6D7E"/>
    <w:rsid w:val="00E13928"/>
    <w:rsid w:val="00E23BFB"/>
    <w:rsid w:val="00E246BD"/>
    <w:rsid w:val="00E33330"/>
    <w:rsid w:val="00E51824"/>
    <w:rsid w:val="00E54927"/>
    <w:rsid w:val="00E63CCB"/>
    <w:rsid w:val="00E73C1A"/>
    <w:rsid w:val="00E850B3"/>
    <w:rsid w:val="00E90175"/>
    <w:rsid w:val="00E959AF"/>
    <w:rsid w:val="00EB129C"/>
    <w:rsid w:val="00EB4ADF"/>
    <w:rsid w:val="00EB7E89"/>
    <w:rsid w:val="00ED3473"/>
    <w:rsid w:val="00ED34C9"/>
    <w:rsid w:val="00F03376"/>
    <w:rsid w:val="00F04952"/>
    <w:rsid w:val="00F3189E"/>
    <w:rsid w:val="00F434B4"/>
    <w:rsid w:val="00F77BB1"/>
    <w:rsid w:val="00F80D23"/>
    <w:rsid w:val="00F8228F"/>
    <w:rsid w:val="00F91468"/>
    <w:rsid w:val="00FA1319"/>
    <w:rsid w:val="00FA5930"/>
    <w:rsid w:val="00F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B5"/>
  </w:style>
  <w:style w:type="paragraph" w:styleId="Heading1">
    <w:name w:val="heading 1"/>
    <w:basedOn w:val="Normal"/>
    <w:next w:val="Normal"/>
    <w:link w:val="Heading1Char"/>
    <w:uiPriority w:val="9"/>
    <w:qFormat/>
    <w:rsid w:val="00DD7948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F48"/>
    <w:pPr>
      <w:keepNext/>
      <w:keepLines/>
      <w:spacing w:before="40" w:after="0"/>
      <w:outlineLvl w:val="1"/>
    </w:pPr>
    <w:rPr>
      <w:rFonts w:ascii="Arial" w:eastAsiaTheme="majorEastAsia" w:hAnsi="Arial" w:cstheme="majorBidi"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A7A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033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948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30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5F48"/>
    <w:rPr>
      <w:rFonts w:ascii="Arial" w:eastAsiaTheme="majorEastAsia" w:hAnsi="Arial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A7A"/>
    <w:rPr>
      <w:rFonts w:ascii="Arial" w:eastAsiaTheme="majorEastAsia" w:hAnsi="Arial" w:cstheme="majorBidi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9653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6"/>
  </w:style>
  <w:style w:type="paragraph" w:styleId="Footer">
    <w:name w:val="footer"/>
    <w:basedOn w:val="Normal"/>
    <w:link w:val="FooterChar"/>
    <w:uiPriority w:val="99"/>
    <w:unhideWhenUsed/>
    <w:rsid w:val="006D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6"/>
  </w:style>
  <w:style w:type="character" w:styleId="PlaceholderText">
    <w:name w:val="Placeholder Text"/>
    <w:basedOn w:val="DefaultParagraphFont"/>
    <w:uiPriority w:val="99"/>
    <w:semiHidden/>
    <w:rsid w:val="006D172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C7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4519"/>
    <w:pPr>
      <w:ind w:left="720"/>
      <w:contextualSpacing/>
    </w:pPr>
  </w:style>
  <w:style w:type="table" w:styleId="TableGrid">
    <w:name w:val="Table Grid"/>
    <w:basedOn w:val="TableNormal"/>
    <w:uiPriority w:val="39"/>
    <w:rsid w:val="0038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F1033"/>
    <w:rPr>
      <w:rFonts w:ascii="Arial" w:eastAsiaTheme="majorEastAsia" w:hAnsi="Arial" w:cstheme="majorBidi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42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F2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F25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2F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B5"/>
  </w:style>
  <w:style w:type="paragraph" w:styleId="Heading1">
    <w:name w:val="heading 1"/>
    <w:basedOn w:val="Normal"/>
    <w:next w:val="Normal"/>
    <w:link w:val="Heading1Char"/>
    <w:uiPriority w:val="9"/>
    <w:qFormat/>
    <w:rsid w:val="00DD7948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F48"/>
    <w:pPr>
      <w:keepNext/>
      <w:keepLines/>
      <w:spacing w:before="40" w:after="0"/>
      <w:outlineLvl w:val="1"/>
    </w:pPr>
    <w:rPr>
      <w:rFonts w:ascii="Arial" w:eastAsiaTheme="majorEastAsia" w:hAnsi="Arial" w:cstheme="majorBidi"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A7A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033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948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30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5F48"/>
    <w:rPr>
      <w:rFonts w:ascii="Arial" w:eastAsiaTheme="majorEastAsia" w:hAnsi="Arial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A7A"/>
    <w:rPr>
      <w:rFonts w:ascii="Arial" w:eastAsiaTheme="majorEastAsia" w:hAnsi="Arial" w:cstheme="majorBidi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9653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6"/>
  </w:style>
  <w:style w:type="paragraph" w:styleId="Footer">
    <w:name w:val="footer"/>
    <w:basedOn w:val="Normal"/>
    <w:link w:val="FooterChar"/>
    <w:uiPriority w:val="99"/>
    <w:unhideWhenUsed/>
    <w:rsid w:val="006D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6"/>
  </w:style>
  <w:style w:type="character" w:styleId="PlaceholderText">
    <w:name w:val="Placeholder Text"/>
    <w:basedOn w:val="DefaultParagraphFont"/>
    <w:uiPriority w:val="99"/>
    <w:semiHidden/>
    <w:rsid w:val="006D172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C7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4519"/>
    <w:pPr>
      <w:ind w:left="720"/>
      <w:contextualSpacing/>
    </w:pPr>
  </w:style>
  <w:style w:type="table" w:styleId="TableGrid">
    <w:name w:val="Table Grid"/>
    <w:basedOn w:val="TableNormal"/>
    <w:uiPriority w:val="39"/>
    <w:rsid w:val="0038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F1033"/>
    <w:rPr>
      <w:rFonts w:ascii="Arial" w:eastAsiaTheme="majorEastAsia" w:hAnsi="Arial" w:cstheme="majorBidi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42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F2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F25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2F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sshealthdruglist.ehs.state.ma.us/MHDL/pubtheradetail.do?id=4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sshealthdruglist.ehs.state.ma.us/MHDL/pubtheradetail.do?id=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sshealthdruglist.ehs.state.ma.us/MHDL/pubtheradetail.do?id=3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asshealthdruglist.ehs.state.ma.us/MHDL/pubtheradetail.do?id=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asshealthdruglist.ehs.state.ma.us/MHDL/pubtheradetail.do?id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6F9B-04FB-4C1C-AA25-DF836316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MH-Supplemental-Rebate-Preferred-Drug-List</vt:lpstr>
    </vt:vector>
  </TitlesOfParts>
  <Company>UMMS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MH-Supplemental-Rebate-Preferred-Drug-List</dc:title>
  <dc:subject>Updates to MassHealth Supplemental Rebate Preferred Drug List</dc:subject>
  <dc:creator>DUR</dc:creator>
  <cp:keywords>MassHealth, Supplemental Rebate, Preferred Drug List</cp:keywords>
  <cp:lastModifiedBy>Administrator</cp:lastModifiedBy>
  <cp:revision>2</cp:revision>
  <cp:lastPrinted>2017-10-13T18:00:00Z</cp:lastPrinted>
  <dcterms:created xsi:type="dcterms:W3CDTF">2017-12-01T20:59:00Z</dcterms:created>
  <dcterms:modified xsi:type="dcterms:W3CDTF">2017-12-01T20:59:00Z</dcterms:modified>
  <cp:category>MassHealth Drug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