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616254949"/>
        <w:docPartObj>
          <w:docPartGallery w:val="Cover Pages"/>
          <w:docPartUnique/>
        </w:docPartObj>
      </w:sdtPr>
      <w:sdtEndPr/>
      <w:sdtContent>
        <w:p w14:paraId="13919C13" w14:textId="77777777" w:rsidR="005B4005" w:rsidRDefault="005B4005" w:rsidP="005B4005">
          <w:r w:rsidRPr="00B613BB">
            <w:rPr>
              <w:b/>
              <w:bCs/>
              <w:noProof/>
              <w:sz w:val="32"/>
            </w:rPr>
            <w:drawing>
              <wp:anchor distT="0" distB="0" distL="114300" distR="114300" simplePos="0" relativeHeight="251662336" behindDoc="1" locked="0" layoutInCell="1" allowOverlap="1" wp14:anchorId="61150BAA" wp14:editId="7F6D707D">
                <wp:simplePos x="0" y="0"/>
                <wp:positionH relativeFrom="margin">
                  <wp:posOffset>-123825</wp:posOffset>
                </wp:positionH>
                <wp:positionV relativeFrom="paragraph">
                  <wp:posOffset>-104775</wp:posOffset>
                </wp:positionV>
                <wp:extent cx="819150" cy="833253"/>
                <wp:effectExtent l="0" t="0" r="0" b="5080"/>
                <wp:wrapNone/>
                <wp:docPr id="7" name="Picture 8" descr="dph_logo_to_use_6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dph_logo_to_use_6_07.gif"/>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332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48175A8" wp14:editId="158B6675">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8EE58" w14:textId="77777777" w:rsidR="000A2972" w:rsidRDefault="000A2972" w:rsidP="005B4005">
                                <w:pPr>
                                  <w:pStyle w:val="NoSpacing"/>
                                  <w:jc w:val="right"/>
                                  <w:rPr>
                                    <w:color w:val="595959" w:themeColor="text1" w:themeTint="A6"/>
                                    <w:sz w:val="28"/>
                                    <w:szCs w:val="28"/>
                                  </w:rPr>
                                </w:pPr>
                                <w:r>
                                  <w:rPr>
                                    <w:color w:val="595959" w:themeColor="text1" w:themeTint="A6"/>
                                    <w:sz w:val="28"/>
                                    <w:szCs w:val="28"/>
                                  </w:rPr>
                                  <w:t>Massachusetts Department of Public Health</w:t>
                                </w:r>
                              </w:p>
                              <w:p w14:paraId="4B4C9157" w14:textId="77777777" w:rsidR="000A2972" w:rsidRDefault="000A2972" w:rsidP="005B4005">
                                <w:pPr>
                                  <w:pStyle w:val="NoSpacing"/>
                                  <w:jc w:val="right"/>
                                  <w:rPr>
                                    <w:color w:val="595959" w:themeColor="text1" w:themeTint="A6"/>
                                    <w:sz w:val="18"/>
                                    <w:szCs w:val="18"/>
                                  </w:rPr>
                                </w:pPr>
                                <w:r>
                                  <w:rPr>
                                    <w:color w:val="595959" w:themeColor="text1" w:themeTint="A6"/>
                                    <w:sz w:val="18"/>
                                    <w:szCs w:val="18"/>
                                  </w:rPr>
                                  <w:t>www.mass.gov/</w:t>
                                </w:r>
                                <w:r w:rsidR="00283EA9" w:rsidRPr="00283EA9">
                                  <w:rPr>
                                    <w:color w:val="595959" w:themeColor="text1" w:themeTint="A6"/>
                                    <w:sz w:val="18"/>
                                    <w:szCs w:val="18"/>
                                  </w:rPr>
                                  <w:t>prescription-monitoring-program-pmp</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48175A8"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6628EE58" w14:textId="77777777" w:rsidR="000A2972" w:rsidRDefault="000A2972" w:rsidP="005B4005">
                          <w:pPr>
                            <w:pStyle w:val="NoSpacing"/>
                            <w:jc w:val="right"/>
                            <w:rPr>
                              <w:color w:val="595959" w:themeColor="text1" w:themeTint="A6"/>
                              <w:sz w:val="28"/>
                              <w:szCs w:val="28"/>
                            </w:rPr>
                          </w:pPr>
                          <w:r>
                            <w:rPr>
                              <w:color w:val="595959" w:themeColor="text1" w:themeTint="A6"/>
                              <w:sz w:val="28"/>
                              <w:szCs w:val="28"/>
                            </w:rPr>
                            <w:t>Massachusetts Department of Public Health</w:t>
                          </w:r>
                        </w:p>
                        <w:p w14:paraId="4B4C9157" w14:textId="77777777" w:rsidR="000A2972" w:rsidRDefault="000A2972" w:rsidP="005B4005">
                          <w:pPr>
                            <w:pStyle w:val="NoSpacing"/>
                            <w:jc w:val="right"/>
                            <w:rPr>
                              <w:color w:val="595959" w:themeColor="text1" w:themeTint="A6"/>
                              <w:sz w:val="18"/>
                              <w:szCs w:val="18"/>
                            </w:rPr>
                          </w:pPr>
                          <w:r>
                            <w:rPr>
                              <w:color w:val="595959" w:themeColor="text1" w:themeTint="A6"/>
                              <w:sz w:val="18"/>
                              <w:szCs w:val="18"/>
                            </w:rPr>
                            <w:t>www.mass.gov/</w:t>
                          </w:r>
                          <w:r w:rsidR="00283EA9" w:rsidRPr="00283EA9">
                            <w:rPr>
                              <w:color w:val="595959" w:themeColor="text1" w:themeTint="A6"/>
                              <w:sz w:val="18"/>
                              <w:szCs w:val="18"/>
                            </w:rPr>
                            <w:t>prescription-monitoring-program-pmp</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FE6415D" wp14:editId="5F6662BA">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E83D2" w14:textId="77777777" w:rsidR="000A2972" w:rsidRDefault="000A2972" w:rsidP="005B4005">
                                <w:pPr>
                                  <w:pStyle w:val="NoSpacing"/>
                                  <w:jc w:val="right"/>
                                  <w:rPr>
                                    <w:color w:val="4F81BD" w:themeColor="accent1"/>
                                    <w:sz w:val="28"/>
                                    <w:szCs w:val="28"/>
                                  </w:rPr>
                                </w:pPr>
                                <w:r>
                                  <w:rPr>
                                    <w:color w:val="4F81BD" w:themeColor="accent1"/>
                                    <w:sz w:val="28"/>
                                    <w:szCs w:val="28"/>
                                  </w:rPr>
                                  <w:t>Version 1.2</w:t>
                                </w:r>
                              </w:p>
                              <w:p w14:paraId="21E3C218" w14:textId="77777777" w:rsidR="000A2972" w:rsidRDefault="000A2972" w:rsidP="005B4005">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FE6415D"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220E83D2" w14:textId="77777777" w:rsidR="000A2972" w:rsidRDefault="000A2972" w:rsidP="005B4005">
                          <w:pPr>
                            <w:pStyle w:val="NoSpacing"/>
                            <w:jc w:val="right"/>
                            <w:rPr>
                              <w:color w:val="4F81BD" w:themeColor="accent1"/>
                              <w:sz w:val="28"/>
                              <w:szCs w:val="28"/>
                            </w:rPr>
                          </w:pPr>
                          <w:r>
                            <w:rPr>
                              <w:color w:val="4F81BD" w:themeColor="accent1"/>
                              <w:sz w:val="28"/>
                              <w:szCs w:val="28"/>
                            </w:rPr>
                            <w:t>Version 1.2</w:t>
                          </w:r>
                        </w:p>
                        <w:p w14:paraId="21E3C218" w14:textId="77777777" w:rsidR="000A2972" w:rsidRDefault="000A2972" w:rsidP="005B4005">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5E66085" wp14:editId="2211BE30">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573BF" w14:textId="77777777" w:rsidR="000A2972" w:rsidRDefault="000A2972" w:rsidP="005B4005">
                                <w:pPr>
                                  <w:jc w:val="right"/>
                                  <w:rPr>
                                    <w:color w:val="4F81BD" w:themeColor="accent1"/>
                                    <w:sz w:val="64"/>
                                    <w:szCs w:val="64"/>
                                  </w:rPr>
                                </w:pPr>
                                <w:r w:rsidRPr="00653ABA">
                                  <w:rPr>
                                    <w:caps/>
                                    <w:color w:val="4F81BD" w:themeColor="accent1"/>
                                    <w:sz w:val="56"/>
                                    <w:szCs w:val="64"/>
                                  </w:rPr>
                                  <w:t xml:space="preserve">MassPAT Electronic Health Record (EHR) Integration </w:t>
                                </w:r>
                                <w:r w:rsidRPr="00653ABA">
                                  <w:rPr>
                                    <w:caps/>
                                    <w:color w:val="4F81BD" w:themeColor="accent1"/>
                                    <w:sz w:val="56"/>
                                    <w:szCs w:val="64"/>
                                  </w:rPr>
                                  <w:br/>
                                </w:r>
                                <w:r>
                                  <w:rPr>
                                    <w:caps/>
                                    <w:color w:val="4F81BD" w:themeColor="accent1"/>
                                    <w:sz w:val="56"/>
                                    <w:szCs w:val="64"/>
                                  </w:rPr>
                                  <w:t>Guide</w:t>
                                </w:r>
                              </w:p>
                              <w:p w14:paraId="09A6579B" w14:textId="77777777" w:rsidR="000A2972" w:rsidRPr="00653ABA" w:rsidRDefault="000A2972" w:rsidP="005B4005">
                                <w:pPr>
                                  <w:jc w:val="right"/>
                                  <w:rPr>
                                    <w:smallCaps/>
                                    <w:color w:val="404040" w:themeColor="text1" w:themeTint="BF"/>
                                    <w:sz w:val="36"/>
                                    <w:szCs w:val="36"/>
                                  </w:rPr>
                                </w:pPr>
                                <w:r w:rsidRPr="00653ABA">
                                  <w:rPr>
                                    <w:color w:val="404040" w:themeColor="text1" w:themeTint="BF"/>
                                    <w:sz w:val="32"/>
                                    <w:szCs w:val="36"/>
                                  </w:rPr>
                                  <w:t>Massachusetts Prescription Monitoring Program (PMP)</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5E66085"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5C3573BF" w14:textId="77777777" w:rsidR="000A2972" w:rsidRDefault="000A2972" w:rsidP="005B4005">
                          <w:pPr>
                            <w:jc w:val="right"/>
                            <w:rPr>
                              <w:color w:val="4F81BD" w:themeColor="accent1"/>
                              <w:sz w:val="64"/>
                              <w:szCs w:val="64"/>
                            </w:rPr>
                          </w:pPr>
                          <w:r w:rsidRPr="00653ABA">
                            <w:rPr>
                              <w:caps/>
                              <w:color w:val="4F81BD" w:themeColor="accent1"/>
                              <w:sz w:val="56"/>
                              <w:szCs w:val="64"/>
                            </w:rPr>
                            <w:t xml:space="preserve">MassPAT Electronic Health Record (EHR) Integration </w:t>
                          </w:r>
                          <w:r w:rsidRPr="00653ABA">
                            <w:rPr>
                              <w:caps/>
                              <w:color w:val="4F81BD" w:themeColor="accent1"/>
                              <w:sz w:val="56"/>
                              <w:szCs w:val="64"/>
                            </w:rPr>
                            <w:br/>
                          </w:r>
                          <w:r>
                            <w:rPr>
                              <w:caps/>
                              <w:color w:val="4F81BD" w:themeColor="accent1"/>
                              <w:sz w:val="56"/>
                              <w:szCs w:val="64"/>
                            </w:rPr>
                            <w:t>Guide</w:t>
                          </w:r>
                        </w:p>
                        <w:p w14:paraId="09A6579B" w14:textId="77777777" w:rsidR="000A2972" w:rsidRPr="00653ABA" w:rsidRDefault="000A2972" w:rsidP="005B4005">
                          <w:pPr>
                            <w:jc w:val="right"/>
                            <w:rPr>
                              <w:smallCaps/>
                              <w:color w:val="404040" w:themeColor="text1" w:themeTint="BF"/>
                              <w:sz w:val="36"/>
                              <w:szCs w:val="36"/>
                            </w:rPr>
                          </w:pPr>
                          <w:r w:rsidRPr="00653ABA">
                            <w:rPr>
                              <w:color w:val="404040" w:themeColor="text1" w:themeTint="BF"/>
                              <w:sz w:val="32"/>
                              <w:szCs w:val="36"/>
                            </w:rPr>
                            <w:t>Massachusetts Prescription Monitoring Program (PMP)</w:t>
                          </w:r>
                        </w:p>
                      </w:txbxContent>
                    </v:textbox>
                    <w10:wrap type="square" anchorx="page" anchory="page"/>
                  </v:shape>
                </w:pict>
              </mc:Fallback>
            </mc:AlternateContent>
          </w:r>
        </w:p>
        <w:p w14:paraId="541D469D" w14:textId="77777777" w:rsidR="005B4005" w:rsidRDefault="005B4005" w:rsidP="005B4005">
          <w:pPr>
            <w:rPr>
              <w:rFonts w:asciiTheme="majorHAnsi" w:eastAsiaTheme="majorEastAsia" w:hAnsiTheme="majorHAnsi" w:cstheme="majorBidi"/>
              <w:color w:val="365F91" w:themeColor="accent1" w:themeShade="BF"/>
              <w:sz w:val="32"/>
              <w:szCs w:val="32"/>
            </w:rPr>
          </w:pPr>
          <w:r>
            <w:br w:type="page"/>
          </w:r>
        </w:p>
      </w:sdtContent>
    </w:sdt>
    <w:sdt>
      <w:sdtPr>
        <w:rPr>
          <w:rFonts w:asciiTheme="minorHAnsi" w:eastAsiaTheme="minorHAnsi" w:hAnsiTheme="minorHAnsi" w:cstheme="minorBidi"/>
          <w:color w:val="auto"/>
          <w:sz w:val="22"/>
          <w:szCs w:val="22"/>
        </w:rPr>
        <w:id w:val="-1437049422"/>
        <w:docPartObj>
          <w:docPartGallery w:val="Table of Contents"/>
          <w:docPartUnique/>
        </w:docPartObj>
      </w:sdtPr>
      <w:sdtEndPr>
        <w:rPr>
          <w:b/>
          <w:bCs/>
          <w:noProof/>
        </w:rPr>
      </w:sdtEndPr>
      <w:sdtContent>
        <w:p w14:paraId="022ADA58" w14:textId="77777777" w:rsidR="005B4005" w:rsidRDefault="005B4005" w:rsidP="005B4005">
          <w:pPr>
            <w:pStyle w:val="TOCHeading"/>
          </w:pPr>
          <w:r>
            <w:t>Contents</w:t>
          </w:r>
        </w:p>
        <w:p w14:paraId="41070543" w14:textId="04D2B9EE" w:rsidR="00283EA9" w:rsidRDefault="005B4005">
          <w:pPr>
            <w:pStyle w:val="TOC1"/>
            <w:rPr>
              <w:rFonts w:eastAsiaTheme="minorEastAsia"/>
              <w:noProof/>
            </w:rPr>
          </w:pPr>
          <w:r>
            <w:fldChar w:fldCharType="begin"/>
          </w:r>
          <w:r>
            <w:instrText xml:space="preserve"> TOC \o "1-3" \h \z \u </w:instrText>
          </w:r>
          <w:r>
            <w:fldChar w:fldCharType="separate"/>
          </w:r>
          <w:hyperlink w:anchor="_Toc514930277" w:history="1">
            <w:r w:rsidR="00283EA9" w:rsidRPr="00B50085">
              <w:rPr>
                <w:rStyle w:val="Hyperlink"/>
                <w:noProof/>
              </w:rPr>
              <w:t>Version Control Details</w:t>
            </w:r>
            <w:r w:rsidR="00283EA9">
              <w:rPr>
                <w:noProof/>
                <w:webHidden/>
              </w:rPr>
              <w:tab/>
            </w:r>
            <w:r w:rsidR="00283EA9">
              <w:rPr>
                <w:noProof/>
                <w:webHidden/>
              </w:rPr>
              <w:fldChar w:fldCharType="begin"/>
            </w:r>
            <w:r w:rsidR="00283EA9">
              <w:rPr>
                <w:noProof/>
                <w:webHidden/>
              </w:rPr>
              <w:instrText xml:space="preserve"> PAGEREF _Toc514930277 \h </w:instrText>
            </w:r>
            <w:r w:rsidR="00283EA9">
              <w:rPr>
                <w:noProof/>
                <w:webHidden/>
              </w:rPr>
            </w:r>
            <w:r w:rsidR="00283EA9">
              <w:rPr>
                <w:noProof/>
                <w:webHidden/>
              </w:rPr>
              <w:fldChar w:fldCharType="separate"/>
            </w:r>
            <w:r w:rsidR="00337D19">
              <w:rPr>
                <w:noProof/>
                <w:webHidden/>
              </w:rPr>
              <w:t>2</w:t>
            </w:r>
            <w:r w:rsidR="00283EA9">
              <w:rPr>
                <w:noProof/>
                <w:webHidden/>
              </w:rPr>
              <w:fldChar w:fldCharType="end"/>
            </w:r>
          </w:hyperlink>
        </w:p>
        <w:p w14:paraId="4561A406" w14:textId="7C5605E8" w:rsidR="00283EA9" w:rsidRDefault="00337D19">
          <w:pPr>
            <w:pStyle w:val="TOC1"/>
            <w:rPr>
              <w:rFonts w:eastAsiaTheme="minorEastAsia"/>
              <w:noProof/>
            </w:rPr>
          </w:pPr>
          <w:hyperlink w:anchor="_Toc514930278" w:history="1">
            <w:r w:rsidR="00283EA9" w:rsidRPr="00B50085">
              <w:rPr>
                <w:rStyle w:val="Hyperlink"/>
                <w:noProof/>
              </w:rPr>
              <w:t>What is the Prescription Monitoring Program (PMP)?</w:t>
            </w:r>
            <w:r w:rsidR="00283EA9">
              <w:rPr>
                <w:noProof/>
                <w:webHidden/>
              </w:rPr>
              <w:tab/>
            </w:r>
            <w:r w:rsidR="00283EA9">
              <w:rPr>
                <w:noProof/>
                <w:webHidden/>
              </w:rPr>
              <w:fldChar w:fldCharType="begin"/>
            </w:r>
            <w:r w:rsidR="00283EA9">
              <w:rPr>
                <w:noProof/>
                <w:webHidden/>
              </w:rPr>
              <w:instrText xml:space="preserve"> PAGEREF _Toc514930278 \h </w:instrText>
            </w:r>
            <w:r w:rsidR="00283EA9">
              <w:rPr>
                <w:noProof/>
                <w:webHidden/>
              </w:rPr>
            </w:r>
            <w:r w:rsidR="00283EA9">
              <w:rPr>
                <w:noProof/>
                <w:webHidden/>
              </w:rPr>
              <w:fldChar w:fldCharType="separate"/>
            </w:r>
            <w:r>
              <w:rPr>
                <w:noProof/>
                <w:webHidden/>
              </w:rPr>
              <w:t>2</w:t>
            </w:r>
            <w:r w:rsidR="00283EA9">
              <w:rPr>
                <w:noProof/>
                <w:webHidden/>
              </w:rPr>
              <w:fldChar w:fldCharType="end"/>
            </w:r>
          </w:hyperlink>
        </w:p>
        <w:p w14:paraId="4DDE4C00" w14:textId="70B251DC" w:rsidR="00283EA9" w:rsidRDefault="00337D19">
          <w:pPr>
            <w:pStyle w:val="TOC1"/>
            <w:rPr>
              <w:rFonts w:eastAsiaTheme="minorEastAsia"/>
              <w:noProof/>
            </w:rPr>
          </w:pPr>
          <w:hyperlink w:anchor="_Toc514930279" w:history="1">
            <w:r w:rsidR="00283EA9" w:rsidRPr="00B50085">
              <w:rPr>
                <w:rStyle w:val="Hyperlink"/>
                <w:noProof/>
              </w:rPr>
              <w:t>What is the Massachusetts Prescription Awareness Tool (MassPAT)?</w:t>
            </w:r>
            <w:r w:rsidR="00283EA9">
              <w:rPr>
                <w:noProof/>
                <w:webHidden/>
              </w:rPr>
              <w:tab/>
            </w:r>
            <w:r w:rsidR="00283EA9">
              <w:rPr>
                <w:noProof/>
                <w:webHidden/>
              </w:rPr>
              <w:fldChar w:fldCharType="begin"/>
            </w:r>
            <w:r w:rsidR="00283EA9">
              <w:rPr>
                <w:noProof/>
                <w:webHidden/>
              </w:rPr>
              <w:instrText xml:space="preserve"> PAGEREF _Toc514930279 \h </w:instrText>
            </w:r>
            <w:r w:rsidR="00283EA9">
              <w:rPr>
                <w:noProof/>
                <w:webHidden/>
              </w:rPr>
            </w:r>
            <w:r w:rsidR="00283EA9">
              <w:rPr>
                <w:noProof/>
                <w:webHidden/>
              </w:rPr>
              <w:fldChar w:fldCharType="separate"/>
            </w:r>
            <w:r>
              <w:rPr>
                <w:noProof/>
                <w:webHidden/>
              </w:rPr>
              <w:t>2</w:t>
            </w:r>
            <w:r w:rsidR="00283EA9">
              <w:rPr>
                <w:noProof/>
                <w:webHidden/>
              </w:rPr>
              <w:fldChar w:fldCharType="end"/>
            </w:r>
          </w:hyperlink>
        </w:p>
        <w:p w14:paraId="64168353" w14:textId="5D6EF970" w:rsidR="00283EA9" w:rsidRDefault="00337D19">
          <w:pPr>
            <w:pStyle w:val="TOC1"/>
            <w:rPr>
              <w:rFonts w:eastAsiaTheme="minorEastAsia"/>
              <w:noProof/>
            </w:rPr>
          </w:pPr>
          <w:hyperlink w:anchor="_Toc514930280" w:history="1">
            <w:r w:rsidR="00283EA9" w:rsidRPr="00B50085">
              <w:rPr>
                <w:rStyle w:val="Hyperlink"/>
                <w:noProof/>
              </w:rPr>
              <w:t>What is EHR Integration?</w:t>
            </w:r>
            <w:r w:rsidR="00283EA9">
              <w:rPr>
                <w:noProof/>
                <w:webHidden/>
              </w:rPr>
              <w:tab/>
            </w:r>
            <w:r w:rsidR="00283EA9">
              <w:rPr>
                <w:noProof/>
                <w:webHidden/>
              </w:rPr>
              <w:fldChar w:fldCharType="begin"/>
            </w:r>
            <w:r w:rsidR="00283EA9">
              <w:rPr>
                <w:noProof/>
                <w:webHidden/>
              </w:rPr>
              <w:instrText xml:space="preserve"> PAGEREF _Toc514930280 \h </w:instrText>
            </w:r>
            <w:r w:rsidR="00283EA9">
              <w:rPr>
                <w:noProof/>
                <w:webHidden/>
              </w:rPr>
            </w:r>
            <w:r w:rsidR="00283EA9">
              <w:rPr>
                <w:noProof/>
                <w:webHidden/>
              </w:rPr>
              <w:fldChar w:fldCharType="separate"/>
            </w:r>
            <w:r>
              <w:rPr>
                <w:noProof/>
                <w:webHidden/>
              </w:rPr>
              <w:t>2</w:t>
            </w:r>
            <w:r w:rsidR="00283EA9">
              <w:rPr>
                <w:noProof/>
                <w:webHidden/>
              </w:rPr>
              <w:fldChar w:fldCharType="end"/>
            </w:r>
          </w:hyperlink>
        </w:p>
        <w:p w14:paraId="4EB8F380" w14:textId="6EAD67C5" w:rsidR="00283EA9" w:rsidRDefault="00337D19">
          <w:pPr>
            <w:pStyle w:val="TOC2"/>
            <w:tabs>
              <w:tab w:val="right" w:leader="dot" w:pos="9350"/>
            </w:tabs>
            <w:rPr>
              <w:rFonts w:eastAsiaTheme="minorEastAsia"/>
              <w:noProof/>
            </w:rPr>
          </w:pPr>
          <w:hyperlink w:anchor="_Toc514930281" w:history="1">
            <w:r w:rsidR="00283EA9" w:rsidRPr="00B50085">
              <w:rPr>
                <w:rStyle w:val="Hyperlink"/>
                <w:noProof/>
              </w:rPr>
              <w:t>Integration Options</w:t>
            </w:r>
            <w:r w:rsidR="00283EA9">
              <w:rPr>
                <w:noProof/>
                <w:webHidden/>
              </w:rPr>
              <w:tab/>
            </w:r>
            <w:r w:rsidR="00283EA9">
              <w:rPr>
                <w:noProof/>
                <w:webHidden/>
              </w:rPr>
              <w:fldChar w:fldCharType="begin"/>
            </w:r>
            <w:r w:rsidR="00283EA9">
              <w:rPr>
                <w:noProof/>
                <w:webHidden/>
              </w:rPr>
              <w:instrText xml:space="preserve"> PAGEREF _Toc514930281 \h </w:instrText>
            </w:r>
            <w:r w:rsidR="00283EA9">
              <w:rPr>
                <w:noProof/>
                <w:webHidden/>
              </w:rPr>
            </w:r>
            <w:r w:rsidR="00283EA9">
              <w:rPr>
                <w:noProof/>
                <w:webHidden/>
              </w:rPr>
              <w:fldChar w:fldCharType="separate"/>
            </w:r>
            <w:r>
              <w:rPr>
                <w:noProof/>
                <w:webHidden/>
              </w:rPr>
              <w:t>3</w:t>
            </w:r>
            <w:r w:rsidR="00283EA9">
              <w:rPr>
                <w:noProof/>
                <w:webHidden/>
              </w:rPr>
              <w:fldChar w:fldCharType="end"/>
            </w:r>
          </w:hyperlink>
        </w:p>
        <w:p w14:paraId="28624201" w14:textId="0A698B53" w:rsidR="00283EA9" w:rsidRDefault="00337D19">
          <w:pPr>
            <w:pStyle w:val="TOC3"/>
            <w:tabs>
              <w:tab w:val="right" w:leader="dot" w:pos="9350"/>
            </w:tabs>
            <w:rPr>
              <w:rFonts w:eastAsiaTheme="minorEastAsia"/>
              <w:noProof/>
            </w:rPr>
          </w:pPr>
          <w:hyperlink w:anchor="_Toc514930282" w:history="1">
            <w:r w:rsidR="00283EA9" w:rsidRPr="00B50085">
              <w:rPr>
                <w:rStyle w:val="Hyperlink"/>
                <w:noProof/>
              </w:rPr>
              <w:t>Option 1: API Version 5.1</w:t>
            </w:r>
            <w:r w:rsidR="00283EA9">
              <w:rPr>
                <w:noProof/>
                <w:webHidden/>
              </w:rPr>
              <w:tab/>
            </w:r>
            <w:r w:rsidR="00283EA9">
              <w:rPr>
                <w:noProof/>
                <w:webHidden/>
              </w:rPr>
              <w:fldChar w:fldCharType="begin"/>
            </w:r>
            <w:r w:rsidR="00283EA9">
              <w:rPr>
                <w:noProof/>
                <w:webHidden/>
              </w:rPr>
              <w:instrText xml:space="preserve"> PAGEREF _Toc514930282 \h </w:instrText>
            </w:r>
            <w:r w:rsidR="00283EA9">
              <w:rPr>
                <w:noProof/>
                <w:webHidden/>
              </w:rPr>
            </w:r>
            <w:r w:rsidR="00283EA9">
              <w:rPr>
                <w:noProof/>
                <w:webHidden/>
              </w:rPr>
              <w:fldChar w:fldCharType="separate"/>
            </w:r>
            <w:r>
              <w:rPr>
                <w:noProof/>
                <w:webHidden/>
              </w:rPr>
              <w:t>3</w:t>
            </w:r>
            <w:r w:rsidR="00283EA9">
              <w:rPr>
                <w:noProof/>
                <w:webHidden/>
              </w:rPr>
              <w:fldChar w:fldCharType="end"/>
            </w:r>
          </w:hyperlink>
        </w:p>
        <w:p w14:paraId="5C8AE54C" w14:textId="7BB96EDF" w:rsidR="00283EA9" w:rsidRDefault="00337D19">
          <w:pPr>
            <w:pStyle w:val="TOC3"/>
            <w:tabs>
              <w:tab w:val="right" w:leader="dot" w:pos="9350"/>
            </w:tabs>
            <w:rPr>
              <w:rFonts w:eastAsiaTheme="minorEastAsia"/>
              <w:noProof/>
            </w:rPr>
          </w:pPr>
          <w:hyperlink w:anchor="_Toc514930283" w:history="1">
            <w:r w:rsidR="00283EA9" w:rsidRPr="00B50085">
              <w:rPr>
                <w:rStyle w:val="Hyperlink"/>
                <w:noProof/>
              </w:rPr>
              <w:t>Option 2: American Society for Standardization in Pharmacy (ASAP)</w:t>
            </w:r>
            <w:r w:rsidR="00283EA9">
              <w:rPr>
                <w:noProof/>
                <w:webHidden/>
              </w:rPr>
              <w:tab/>
            </w:r>
            <w:r w:rsidR="00283EA9">
              <w:rPr>
                <w:noProof/>
                <w:webHidden/>
              </w:rPr>
              <w:fldChar w:fldCharType="begin"/>
            </w:r>
            <w:r w:rsidR="00283EA9">
              <w:rPr>
                <w:noProof/>
                <w:webHidden/>
              </w:rPr>
              <w:instrText xml:space="preserve"> PAGEREF _Toc514930283 \h </w:instrText>
            </w:r>
            <w:r w:rsidR="00283EA9">
              <w:rPr>
                <w:noProof/>
                <w:webHidden/>
              </w:rPr>
            </w:r>
            <w:r w:rsidR="00283EA9">
              <w:rPr>
                <w:noProof/>
                <w:webHidden/>
              </w:rPr>
              <w:fldChar w:fldCharType="separate"/>
            </w:r>
            <w:r>
              <w:rPr>
                <w:noProof/>
                <w:webHidden/>
              </w:rPr>
              <w:t>4</w:t>
            </w:r>
            <w:r w:rsidR="00283EA9">
              <w:rPr>
                <w:noProof/>
                <w:webHidden/>
              </w:rPr>
              <w:fldChar w:fldCharType="end"/>
            </w:r>
          </w:hyperlink>
        </w:p>
        <w:p w14:paraId="578B72A5" w14:textId="7D089C7C" w:rsidR="00283EA9" w:rsidRDefault="00337D19">
          <w:pPr>
            <w:pStyle w:val="TOC3"/>
            <w:tabs>
              <w:tab w:val="right" w:leader="dot" w:pos="9350"/>
            </w:tabs>
            <w:rPr>
              <w:rFonts w:eastAsiaTheme="minorEastAsia"/>
              <w:noProof/>
            </w:rPr>
          </w:pPr>
          <w:hyperlink w:anchor="_Toc514930284" w:history="1">
            <w:r w:rsidR="00283EA9" w:rsidRPr="00B50085">
              <w:rPr>
                <w:rStyle w:val="Hyperlink"/>
                <w:noProof/>
              </w:rPr>
              <w:t>Option 3: Epic SSO</w:t>
            </w:r>
            <w:r w:rsidR="00283EA9">
              <w:rPr>
                <w:noProof/>
                <w:webHidden/>
              </w:rPr>
              <w:tab/>
            </w:r>
            <w:r w:rsidR="00283EA9">
              <w:rPr>
                <w:noProof/>
                <w:webHidden/>
              </w:rPr>
              <w:fldChar w:fldCharType="begin"/>
            </w:r>
            <w:r w:rsidR="00283EA9">
              <w:rPr>
                <w:noProof/>
                <w:webHidden/>
              </w:rPr>
              <w:instrText xml:space="preserve"> PAGEREF _Toc514930284 \h </w:instrText>
            </w:r>
            <w:r w:rsidR="00283EA9">
              <w:rPr>
                <w:noProof/>
                <w:webHidden/>
              </w:rPr>
            </w:r>
            <w:r w:rsidR="00283EA9">
              <w:rPr>
                <w:noProof/>
                <w:webHidden/>
              </w:rPr>
              <w:fldChar w:fldCharType="separate"/>
            </w:r>
            <w:r>
              <w:rPr>
                <w:noProof/>
                <w:webHidden/>
              </w:rPr>
              <w:t>4</w:t>
            </w:r>
            <w:r w:rsidR="00283EA9">
              <w:rPr>
                <w:noProof/>
                <w:webHidden/>
              </w:rPr>
              <w:fldChar w:fldCharType="end"/>
            </w:r>
          </w:hyperlink>
        </w:p>
        <w:p w14:paraId="1BB9FC36" w14:textId="0E15432C" w:rsidR="00283EA9" w:rsidRDefault="00337D19">
          <w:pPr>
            <w:pStyle w:val="TOC1"/>
            <w:rPr>
              <w:rFonts w:eastAsiaTheme="minorEastAsia"/>
              <w:noProof/>
            </w:rPr>
          </w:pPr>
          <w:hyperlink w:anchor="_Toc514930285" w:history="1">
            <w:r w:rsidR="00283EA9" w:rsidRPr="00B50085">
              <w:rPr>
                <w:rStyle w:val="Hyperlink"/>
                <w:rFonts w:asciiTheme="majorHAnsi" w:eastAsiaTheme="majorEastAsia" w:hAnsiTheme="majorHAnsi" w:cstheme="majorBidi"/>
                <w:noProof/>
              </w:rPr>
              <w:t>What is the integration request process?</w:t>
            </w:r>
            <w:r w:rsidR="00283EA9">
              <w:rPr>
                <w:noProof/>
                <w:webHidden/>
              </w:rPr>
              <w:tab/>
            </w:r>
            <w:r w:rsidR="00283EA9">
              <w:rPr>
                <w:noProof/>
                <w:webHidden/>
              </w:rPr>
              <w:fldChar w:fldCharType="begin"/>
            </w:r>
            <w:r w:rsidR="00283EA9">
              <w:rPr>
                <w:noProof/>
                <w:webHidden/>
              </w:rPr>
              <w:instrText xml:space="preserve"> PAGEREF _Toc514930285 \h </w:instrText>
            </w:r>
            <w:r w:rsidR="00283EA9">
              <w:rPr>
                <w:noProof/>
                <w:webHidden/>
              </w:rPr>
            </w:r>
            <w:r w:rsidR="00283EA9">
              <w:rPr>
                <w:noProof/>
                <w:webHidden/>
              </w:rPr>
              <w:fldChar w:fldCharType="separate"/>
            </w:r>
            <w:r>
              <w:rPr>
                <w:noProof/>
                <w:webHidden/>
              </w:rPr>
              <w:t>4</w:t>
            </w:r>
            <w:r w:rsidR="00283EA9">
              <w:rPr>
                <w:noProof/>
                <w:webHidden/>
              </w:rPr>
              <w:fldChar w:fldCharType="end"/>
            </w:r>
          </w:hyperlink>
        </w:p>
        <w:p w14:paraId="490D560B" w14:textId="0F6AD803" w:rsidR="00283EA9" w:rsidRDefault="00337D19">
          <w:pPr>
            <w:pStyle w:val="TOC1"/>
            <w:rPr>
              <w:rFonts w:eastAsiaTheme="minorEastAsia"/>
              <w:noProof/>
            </w:rPr>
          </w:pPr>
          <w:hyperlink w:anchor="_Toc514930286" w:history="1">
            <w:r w:rsidR="00283EA9" w:rsidRPr="00B50085">
              <w:rPr>
                <w:rStyle w:val="Hyperlink"/>
                <w:rFonts w:asciiTheme="majorHAnsi" w:eastAsiaTheme="majorEastAsia" w:hAnsiTheme="majorHAnsi" w:cstheme="majorBidi"/>
                <w:noProof/>
              </w:rPr>
              <w:t>What is the implementation process?</w:t>
            </w:r>
            <w:r w:rsidR="00283EA9">
              <w:rPr>
                <w:noProof/>
                <w:webHidden/>
              </w:rPr>
              <w:tab/>
            </w:r>
            <w:r w:rsidR="00283EA9">
              <w:rPr>
                <w:noProof/>
                <w:webHidden/>
              </w:rPr>
              <w:fldChar w:fldCharType="begin"/>
            </w:r>
            <w:r w:rsidR="00283EA9">
              <w:rPr>
                <w:noProof/>
                <w:webHidden/>
              </w:rPr>
              <w:instrText xml:space="preserve"> PAGEREF _Toc514930286 \h </w:instrText>
            </w:r>
            <w:r w:rsidR="00283EA9">
              <w:rPr>
                <w:noProof/>
                <w:webHidden/>
              </w:rPr>
            </w:r>
            <w:r w:rsidR="00283EA9">
              <w:rPr>
                <w:noProof/>
                <w:webHidden/>
              </w:rPr>
              <w:fldChar w:fldCharType="separate"/>
            </w:r>
            <w:r>
              <w:rPr>
                <w:noProof/>
                <w:webHidden/>
              </w:rPr>
              <w:t>4</w:t>
            </w:r>
            <w:r w:rsidR="00283EA9">
              <w:rPr>
                <w:noProof/>
                <w:webHidden/>
              </w:rPr>
              <w:fldChar w:fldCharType="end"/>
            </w:r>
          </w:hyperlink>
        </w:p>
        <w:p w14:paraId="1FAAC734" w14:textId="08AC3E0C" w:rsidR="00283EA9" w:rsidRDefault="00337D19">
          <w:pPr>
            <w:pStyle w:val="TOC2"/>
            <w:tabs>
              <w:tab w:val="right" w:leader="dot" w:pos="9350"/>
            </w:tabs>
            <w:rPr>
              <w:rFonts w:eastAsiaTheme="minorEastAsia"/>
              <w:noProof/>
            </w:rPr>
          </w:pPr>
          <w:hyperlink w:anchor="_Toc514930287" w:history="1">
            <w:r w:rsidR="00283EA9" w:rsidRPr="00B50085">
              <w:rPr>
                <w:rStyle w:val="Hyperlink"/>
                <w:noProof/>
              </w:rPr>
              <w:t>Clinical workflow</w:t>
            </w:r>
            <w:r w:rsidR="00283EA9">
              <w:rPr>
                <w:noProof/>
                <w:webHidden/>
              </w:rPr>
              <w:tab/>
            </w:r>
            <w:r w:rsidR="00283EA9">
              <w:rPr>
                <w:noProof/>
                <w:webHidden/>
              </w:rPr>
              <w:fldChar w:fldCharType="begin"/>
            </w:r>
            <w:r w:rsidR="00283EA9">
              <w:rPr>
                <w:noProof/>
                <w:webHidden/>
              </w:rPr>
              <w:instrText xml:space="preserve"> PAGEREF _Toc514930287 \h </w:instrText>
            </w:r>
            <w:r w:rsidR="00283EA9">
              <w:rPr>
                <w:noProof/>
                <w:webHidden/>
              </w:rPr>
            </w:r>
            <w:r w:rsidR="00283EA9">
              <w:rPr>
                <w:noProof/>
                <w:webHidden/>
              </w:rPr>
              <w:fldChar w:fldCharType="separate"/>
            </w:r>
            <w:r>
              <w:rPr>
                <w:noProof/>
                <w:webHidden/>
              </w:rPr>
              <w:t>6</w:t>
            </w:r>
            <w:r w:rsidR="00283EA9">
              <w:rPr>
                <w:noProof/>
                <w:webHidden/>
              </w:rPr>
              <w:fldChar w:fldCharType="end"/>
            </w:r>
          </w:hyperlink>
        </w:p>
        <w:p w14:paraId="75A8DC3F" w14:textId="5202CC44" w:rsidR="00283EA9" w:rsidRDefault="00337D19">
          <w:pPr>
            <w:pStyle w:val="TOC2"/>
            <w:tabs>
              <w:tab w:val="right" w:leader="dot" w:pos="9350"/>
            </w:tabs>
            <w:rPr>
              <w:rFonts w:eastAsiaTheme="minorEastAsia"/>
              <w:noProof/>
            </w:rPr>
          </w:pPr>
          <w:hyperlink w:anchor="_Toc514930288" w:history="1">
            <w:r w:rsidR="00283EA9" w:rsidRPr="00B50085">
              <w:rPr>
                <w:rStyle w:val="Hyperlink"/>
                <w:noProof/>
              </w:rPr>
              <w:t>Role mapping</w:t>
            </w:r>
            <w:r w:rsidR="00283EA9">
              <w:rPr>
                <w:noProof/>
                <w:webHidden/>
              </w:rPr>
              <w:tab/>
            </w:r>
            <w:r w:rsidR="00283EA9">
              <w:rPr>
                <w:noProof/>
                <w:webHidden/>
              </w:rPr>
              <w:fldChar w:fldCharType="begin"/>
            </w:r>
            <w:r w:rsidR="00283EA9">
              <w:rPr>
                <w:noProof/>
                <w:webHidden/>
              </w:rPr>
              <w:instrText xml:space="preserve"> PAGEREF _Toc514930288 \h </w:instrText>
            </w:r>
            <w:r w:rsidR="00283EA9">
              <w:rPr>
                <w:noProof/>
                <w:webHidden/>
              </w:rPr>
            </w:r>
            <w:r w:rsidR="00283EA9">
              <w:rPr>
                <w:noProof/>
                <w:webHidden/>
              </w:rPr>
              <w:fldChar w:fldCharType="separate"/>
            </w:r>
            <w:r>
              <w:rPr>
                <w:noProof/>
                <w:webHidden/>
              </w:rPr>
              <w:t>7</w:t>
            </w:r>
            <w:r w:rsidR="00283EA9">
              <w:rPr>
                <w:noProof/>
                <w:webHidden/>
              </w:rPr>
              <w:fldChar w:fldCharType="end"/>
            </w:r>
          </w:hyperlink>
        </w:p>
        <w:p w14:paraId="6A164C3A" w14:textId="080F458F" w:rsidR="00283EA9" w:rsidRDefault="00337D19">
          <w:pPr>
            <w:pStyle w:val="TOC2"/>
            <w:tabs>
              <w:tab w:val="right" w:leader="dot" w:pos="9350"/>
            </w:tabs>
            <w:rPr>
              <w:rFonts w:eastAsiaTheme="minorEastAsia"/>
              <w:noProof/>
            </w:rPr>
          </w:pPr>
          <w:hyperlink w:anchor="_Toc514930289" w:history="1">
            <w:r w:rsidR="00283EA9" w:rsidRPr="00B50085">
              <w:rPr>
                <w:rStyle w:val="Hyperlink"/>
                <w:noProof/>
              </w:rPr>
              <w:t>Interstate data sharing</w:t>
            </w:r>
            <w:r w:rsidR="00283EA9">
              <w:rPr>
                <w:noProof/>
                <w:webHidden/>
              </w:rPr>
              <w:tab/>
            </w:r>
            <w:r w:rsidR="00283EA9">
              <w:rPr>
                <w:noProof/>
                <w:webHidden/>
              </w:rPr>
              <w:fldChar w:fldCharType="begin"/>
            </w:r>
            <w:r w:rsidR="00283EA9">
              <w:rPr>
                <w:noProof/>
                <w:webHidden/>
              </w:rPr>
              <w:instrText xml:space="preserve"> PAGEREF _Toc514930289 \h </w:instrText>
            </w:r>
            <w:r w:rsidR="00283EA9">
              <w:rPr>
                <w:noProof/>
                <w:webHidden/>
              </w:rPr>
            </w:r>
            <w:r w:rsidR="00283EA9">
              <w:rPr>
                <w:noProof/>
                <w:webHidden/>
              </w:rPr>
              <w:fldChar w:fldCharType="separate"/>
            </w:r>
            <w:r>
              <w:rPr>
                <w:noProof/>
                <w:webHidden/>
              </w:rPr>
              <w:t>9</w:t>
            </w:r>
            <w:r w:rsidR="00283EA9">
              <w:rPr>
                <w:noProof/>
                <w:webHidden/>
              </w:rPr>
              <w:fldChar w:fldCharType="end"/>
            </w:r>
          </w:hyperlink>
        </w:p>
        <w:p w14:paraId="74774A46" w14:textId="1B79FB3B" w:rsidR="00283EA9" w:rsidRDefault="00337D19">
          <w:pPr>
            <w:pStyle w:val="TOC2"/>
            <w:tabs>
              <w:tab w:val="right" w:leader="dot" w:pos="9350"/>
            </w:tabs>
            <w:rPr>
              <w:rFonts w:eastAsiaTheme="minorEastAsia"/>
              <w:noProof/>
            </w:rPr>
          </w:pPr>
          <w:hyperlink w:anchor="_Toc514930290" w:history="1">
            <w:r w:rsidR="00283EA9" w:rsidRPr="00B50085">
              <w:rPr>
                <w:rStyle w:val="Hyperlink"/>
                <w:noProof/>
              </w:rPr>
              <w:t>User onboarding</w:t>
            </w:r>
            <w:r w:rsidR="00283EA9">
              <w:rPr>
                <w:noProof/>
                <w:webHidden/>
              </w:rPr>
              <w:tab/>
            </w:r>
            <w:r w:rsidR="00283EA9">
              <w:rPr>
                <w:noProof/>
                <w:webHidden/>
              </w:rPr>
              <w:fldChar w:fldCharType="begin"/>
            </w:r>
            <w:r w:rsidR="00283EA9">
              <w:rPr>
                <w:noProof/>
                <w:webHidden/>
              </w:rPr>
              <w:instrText xml:space="preserve"> PAGEREF _Toc514930290 \h </w:instrText>
            </w:r>
            <w:r w:rsidR="00283EA9">
              <w:rPr>
                <w:noProof/>
                <w:webHidden/>
              </w:rPr>
            </w:r>
            <w:r w:rsidR="00283EA9">
              <w:rPr>
                <w:noProof/>
                <w:webHidden/>
              </w:rPr>
              <w:fldChar w:fldCharType="separate"/>
            </w:r>
            <w:r>
              <w:rPr>
                <w:noProof/>
                <w:webHidden/>
              </w:rPr>
              <w:t>9</w:t>
            </w:r>
            <w:r w:rsidR="00283EA9">
              <w:rPr>
                <w:noProof/>
                <w:webHidden/>
              </w:rPr>
              <w:fldChar w:fldCharType="end"/>
            </w:r>
          </w:hyperlink>
        </w:p>
        <w:p w14:paraId="1F694D47" w14:textId="0C12401F" w:rsidR="00283EA9" w:rsidRDefault="00337D19">
          <w:pPr>
            <w:pStyle w:val="TOC2"/>
            <w:tabs>
              <w:tab w:val="right" w:leader="dot" w:pos="9350"/>
            </w:tabs>
            <w:rPr>
              <w:rFonts w:eastAsiaTheme="minorEastAsia"/>
              <w:noProof/>
            </w:rPr>
          </w:pPr>
          <w:hyperlink w:anchor="_Toc514930291" w:history="1">
            <w:r w:rsidR="00283EA9" w:rsidRPr="00B50085">
              <w:rPr>
                <w:rStyle w:val="Hyperlink"/>
                <w:noProof/>
              </w:rPr>
              <w:t>Testing</w:t>
            </w:r>
            <w:r w:rsidR="00283EA9">
              <w:rPr>
                <w:noProof/>
                <w:webHidden/>
              </w:rPr>
              <w:tab/>
            </w:r>
            <w:r w:rsidR="00283EA9">
              <w:rPr>
                <w:noProof/>
                <w:webHidden/>
              </w:rPr>
              <w:fldChar w:fldCharType="begin"/>
            </w:r>
            <w:r w:rsidR="00283EA9">
              <w:rPr>
                <w:noProof/>
                <w:webHidden/>
              </w:rPr>
              <w:instrText xml:space="preserve"> PAGEREF _Toc514930291 \h </w:instrText>
            </w:r>
            <w:r w:rsidR="00283EA9">
              <w:rPr>
                <w:noProof/>
                <w:webHidden/>
              </w:rPr>
            </w:r>
            <w:r w:rsidR="00283EA9">
              <w:rPr>
                <w:noProof/>
                <w:webHidden/>
              </w:rPr>
              <w:fldChar w:fldCharType="separate"/>
            </w:r>
            <w:r>
              <w:rPr>
                <w:noProof/>
                <w:webHidden/>
              </w:rPr>
              <w:t>10</w:t>
            </w:r>
            <w:r w:rsidR="00283EA9">
              <w:rPr>
                <w:noProof/>
                <w:webHidden/>
              </w:rPr>
              <w:fldChar w:fldCharType="end"/>
            </w:r>
          </w:hyperlink>
        </w:p>
        <w:p w14:paraId="25C65B5C" w14:textId="3562901F" w:rsidR="00283EA9" w:rsidRDefault="00337D19">
          <w:pPr>
            <w:pStyle w:val="TOC2"/>
            <w:tabs>
              <w:tab w:val="right" w:leader="dot" w:pos="9350"/>
            </w:tabs>
            <w:rPr>
              <w:rFonts w:eastAsiaTheme="minorEastAsia"/>
              <w:noProof/>
            </w:rPr>
          </w:pPr>
          <w:hyperlink w:anchor="_Toc514930292" w:history="1">
            <w:r w:rsidR="00283EA9" w:rsidRPr="00B50085">
              <w:rPr>
                <w:rStyle w:val="Hyperlink"/>
                <w:noProof/>
              </w:rPr>
              <w:t>What are the legal parameters for integration?</w:t>
            </w:r>
            <w:r w:rsidR="00283EA9">
              <w:rPr>
                <w:noProof/>
                <w:webHidden/>
              </w:rPr>
              <w:tab/>
            </w:r>
            <w:r w:rsidR="00283EA9">
              <w:rPr>
                <w:noProof/>
                <w:webHidden/>
              </w:rPr>
              <w:fldChar w:fldCharType="begin"/>
            </w:r>
            <w:r w:rsidR="00283EA9">
              <w:rPr>
                <w:noProof/>
                <w:webHidden/>
              </w:rPr>
              <w:instrText xml:space="preserve"> PAGEREF _Toc514930292 \h </w:instrText>
            </w:r>
            <w:r w:rsidR="00283EA9">
              <w:rPr>
                <w:noProof/>
                <w:webHidden/>
              </w:rPr>
            </w:r>
            <w:r w:rsidR="00283EA9">
              <w:rPr>
                <w:noProof/>
                <w:webHidden/>
              </w:rPr>
              <w:fldChar w:fldCharType="separate"/>
            </w:r>
            <w:r>
              <w:rPr>
                <w:noProof/>
                <w:webHidden/>
              </w:rPr>
              <w:t>10</w:t>
            </w:r>
            <w:r w:rsidR="00283EA9">
              <w:rPr>
                <w:noProof/>
                <w:webHidden/>
              </w:rPr>
              <w:fldChar w:fldCharType="end"/>
            </w:r>
          </w:hyperlink>
        </w:p>
        <w:p w14:paraId="45ABA599" w14:textId="24A8F045" w:rsidR="00283EA9" w:rsidRDefault="00337D19">
          <w:pPr>
            <w:pStyle w:val="TOC2"/>
            <w:tabs>
              <w:tab w:val="right" w:leader="dot" w:pos="9350"/>
            </w:tabs>
            <w:rPr>
              <w:rFonts w:eastAsiaTheme="minorEastAsia"/>
              <w:noProof/>
            </w:rPr>
          </w:pPr>
          <w:hyperlink w:anchor="_Toc514930293" w:history="1">
            <w:r w:rsidR="00283EA9" w:rsidRPr="00B50085">
              <w:rPr>
                <w:rStyle w:val="Hyperlink"/>
                <w:noProof/>
              </w:rPr>
              <w:t>Data security</w:t>
            </w:r>
            <w:r w:rsidR="00283EA9">
              <w:rPr>
                <w:noProof/>
                <w:webHidden/>
              </w:rPr>
              <w:tab/>
            </w:r>
            <w:r w:rsidR="00283EA9">
              <w:rPr>
                <w:noProof/>
                <w:webHidden/>
              </w:rPr>
              <w:fldChar w:fldCharType="begin"/>
            </w:r>
            <w:r w:rsidR="00283EA9">
              <w:rPr>
                <w:noProof/>
                <w:webHidden/>
              </w:rPr>
              <w:instrText xml:space="preserve"> PAGEREF _Toc514930293 \h </w:instrText>
            </w:r>
            <w:r w:rsidR="00283EA9">
              <w:rPr>
                <w:noProof/>
                <w:webHidden/>
              </w:rPr>
            </w:r>
            <w:r w:rsidR="00283EA9">
              <w:rPr>
                <w:noProof/>
                <w:webHidden/>
              </w:rPr>
              <w:fldChar w:fldCharType="separate"/>
            </w:r>
            <w:r>
              <w:rPr>
                <w:noProof/>
                <w:webHidden/>
              </w:rPr>
              <w:t>10</w:t>
            </w:r>
            <w:r w:rsidR="00283EA9">
              <w:rPr>
                <w:noProof/>
                <w:webHidden/>
              </w:rPr>
              <w:fldChar w:fldCharType="end"/>
            </w:r>
          </w:hyperlink>
        </w:p>
        <w:p w14:paraId="64FCBBDE" w14:textId="73B62B4A" w:rsidR="00283EA9" w:rsidRDefault="00337D19">
          <w:pPr>
            <w:pStyle w:val="TOC3"/>
            <w:tabs>
              <w:tab w:val="right" w:leader="dot" w:pos="9350"/>
            </w:tabs>
            <w:rPr>
              <w:rFonts w:eastAsiaTheme="minorEastAsia"/>
              <w:noProof/>
            </w:rPr>
          </w:pPr>
          <w:hyperlink w:anchor="_Toc514930294" w:history="1">
            <w:r w:rsidR="00283EA9" w:rsidRPr="00B50085">
              <w:rPr>
                <w:rStyle w:val="Hyperlink"/>
                <w:noProof/>
              </w:rPr>
              <w:t>Ongoing maintenance of certifications and credentials</w:t>
            </w:r>
            <w:r w:rsidR="00283EA9">
              <w:rPr>
                <w:noProof/>
                <w:webHidden/>
              </w:rPr>
              <w:tab/>
            </w:r>
            <w:r w:rsidR="00283EA9">
              <w:rPr>
                <w:noProof/>
                <w:webHidden/>
              </w:rPr>
              <w:fldChar w:fldCharType="begin"/>
            </w:r>
            <w:r w:rsidR="00283EA9">
              <w:rPr>
                <w:noProof/>
                <w:webHidden/>
              </w:rPr>
              <w:instrText xml:space="preserve"> PAGEREF _Toc514930294 \h </w:instrText>
            </w:r>
            <w:r w:rsidR="00283EA9">
              <w:rPr>
                <w:noProof/>
                <w:webHidden/>
              </w:rPr>
            </w:r>
            <w:r w:rsidR="00283EA9">
              <w:rPr>
                <w:noProof/>
                <w:webHidden/>
              </w:rPr>
              <w:fldChar w:fldCharType="separate"/>
            </w:r>
            <w:r>
              <w:rPr>
                <w:noProof/>
                <w:webHidden/>
              </w:rPr>
              <w:t>11</w:t>
            </w:r>
            <w:r w:rsidR="00283EA9">
              <w:rPr>
                <w:noProof/>
                <w:webHidden/>
              </w:rPr>
              <w:fldChar w:fldCharType="end"/>
            </w:r>
          </w:hyperlink>
        </w:p>
        <w:p w14:paraId="4EC012F5" w14:textId="715ABC76" w:rsidR="00283EA9" w:rsidRDefault="00337D19">
          <w:pPr>
            <w:pStyle w:val="TOC1"/>
            <w:rPr>
              <w:rFonts w:eastAsiaTheme="minorEastAsia"/>
              <w:noProof/>
            </w:rPr>
          </w:pPr>
          <w:hyperlink w:anchor="_Toc514930295" w:history="1">
            <w:r w:rsidR="00283EA9" w:rsidRPr="00B50085">
              <w:rPr>
                <w:rStyle w:val="Hyperlink"/>
                <w:noProof/>
              </w:rPr>
              <w:t>Post Implementation Support</w:t>
            </w:r>
            <w:r w:rsidR="00283EA9">
              <w:rPr>
                <w:noProof/>
                <w:webHidden/>
              </w:rPr>
              <w:tab/>
            </w:r>
            <w:r w:rsidR="00283EA9">
              <w:rPr>
                <w:noProof/>
                <w:webHidden/>
              </w:rPr>
              <w:fldChar w:fldCharType="begin"/>
            </w:r>
            <w:r w:rsidR="00283EA9">
              <w:rPr>
                <w:noProof/>
                <w:webHidden/>
              </w:rPr>
              <w:instrText xml:space="preserve"> PAGEREF _Toc514930295 \h </w:instrText>
            </w:r>
            <w:r w:rsidR="00283EA9">
              <w:rPr>
                <w:noProof/>
                <w:webHidden/>
              </w:rPr>
            </w:r>
            <w:r w:rsidR="00283EA9">
              <w:rPr>
                <w:noProof/>
                <w:webHidden/>
              </w:rPr>
              <w:fldChar w:fldCharType="separate"/>
            </w:r>
            <w:r>
              <w:rPr>
                <w:noProof/>
                <w:webHidden/>
              </w:rPr>
              <w:t>11</w:t>
            </w:r>
            <w:r w:rsidR="00283EA9">
              <w:rPr>
                <w:noProof/>
                <w:webHidden/>
              </w:rPr>
              <w:fldChar w:fldCharType="end"/>
            </w:r>
          </w:hyperlink>
        </w:p>
        <w:p w14:paraId="39A41CA4" w14:textId="3FA10841" w:rsidR="00283EA9" w:rsidRDefault="00337D19">
          <w:pPr>
            <w:pStyle w:val="TOC2"/>
            <w:tabs>
              <w:tab w:val="right" w:leader="dot" w:pos="9350"/>
            </w:tabs>
            <w:rPr>
              <w:rFonts w:eastAsiaTheme="minorEastAsia"/>
              <w:noProof/>
            </w:rPr>
          </w:pPr>
          <w:hyperlink w:anchor="_Toc514930296" w:history="1">
            <w:r w:rsidR="00283EA9" w:rsidRPr="00B50085">
              <w:rPr>
                <w:rStyle w:val="Hyperlink"/>
                <w:noProof/>
              </w:rPr>
              <w:t>PMP Gateway Client Certificate Authentication (2-way SSL)</w:t>
            </w:r>
            <w:r w:rsidR="00283EA9">
              <w:rPr>
                <w:noProof/>
                <w:webHidden/>
              </w:rPr>
              <w:tab/>
            </w:r>
            <w:r w:rsidR="00283EA9">
              <w:rPr>
                <w:noProof/>
                <w:webHidden/>
              </w:rPr>
              <w:fldChar w:fldCharType="begin"/>
            </w:r>
            <w:r w:rsidR="00283EA9">
              <w:rPr>
                <w:noProof/>
                <w:webHidden/>
              </w:rPr>
              <w:instrText xml:space="preserve"> PAGEREF _Toc514930296 \h </w:instrText>
            </w:r>
            <w:r w:rsidR="00283EA9">
              <w:rPr>
                <w:noProof/>
                <w:webHidden/>
              </w:rPr>
            </w:r>
            <w:r w:rsidR="00283EA9">
              <w:rPr>
                <w:noProof/>
                <w:webHidden/>
              </w:rPr>
              <w:fldChar w:fldCharType="separate"/>
            </w:r>
            <w:r>
              <w:rPr>
                <w:noProof/>
                <w:webHidden/>
              </w:rPr>
              <w:t>11</w:t>
            </w:r>
            <w:r w:rsidR="00283EA9">
              <w:rPr>
                <w:noProof/>
                <w:webHidden/>
              </w:rPr>
              <w:fldChar w:fldCharType="end"/>
            </w:r>
          </w:hyperlink>
        </w:p>
        <w:p w14:paraId="67EB9F09" w14:textId="1EBAE3CE" w:rsidR="00283EA9" w:rsidRDefault="00337D19">
          <w:pPr>
            <w:pStyle w:val="TOC2"/>
            <w:tabs>
              <w:tab w:val="right" w:leader="dot" w:pos="9350"/>
            </w:tabs>
            <w:rPr>
              <w:rFonts w:eastAsiaTheme="minorEastAsia"/>
              <w:noProof/>
            </w:rPr>
          </w:pPr>
          <w:hyperlink w:anchor="_Toc514930297" w:history="1">
            <w:r w:rsidR="00283EA9" w:rsidRPr="00B50085">
              <w:rPr>
                <w:rStyle w:val="Hyperlink"/>
                <w:noProof/>
              </w:rPr>
              <w:t>Web Service Credential Maintenance</w:t>
            </w:r>
            <w:r w:rsidR="00283EA9">
              <w:rPr>
                <w:noProof/>
                <w:webHidden/>
              </w:rPr>
              <w:tab/>
            </w:r>
            <w:r w:rsidR="00283EA9">
              <w:rPr>
                <w:noProof/>
                <w:webHidden/>
              </w:rPr>
              <w:fldChar w:fldCharType="begin"/>
            </w:r>
            <w:r w:rsidR="00283EA9">
              <w:rPr>
                <w:noProof/>
                <w:webHidden/>
              </w:rPr>
              <w:instrText xml:space="preserve"> PAGEREF _Toc514930297 \h </w:instrText>
            </w:r>
            <w:r w:rsidR="00283EA9">
              <w:rPr>
                <w:noProof/>
                <w:webHidden/>
              </w:rPr>
            </w:r>
            <w:r w:rsidR="00283EA9">
              <w:rPr>
                <w:noProof/>
                <w:webHidden/>
              </w:rPr>
              <w:fldChar w:fldCharType="separate"/>
            </w:r>
            <w:r>
              <w:rPr>
                <w:noProof/>
                <w:webHidden/>
              </w:rPr>
              <w:t>11</w:t>
            </w:r>
            <w:r w:rsidR="00283EA9">
              <w:rPr>
                <w:noProof/>
                <w:webHidden/>
              </w:rPr>
              <w:fldChar w:fldCharType="end"/>
            </w:r>
          </w:hyperlink>
        </w:p>
        <w:p w14:paraId="554105D8" w14:textId="6A0E66AC" w:rsidR="00283EA9" w:rsidRDefault="00337D19">
          <w:pPr>
            <w:pStyle w:val="TOC2"/>
            <w:tabs>
              <w:tab w:val="right" w:leader="dot" w:pos="9350"/>
            </w:tabs>
            <w:rPr>
              <w:rFonts w:eastAsiaTheme="minorEastAsia"/>
              <w:noProof/>
            </w:rPr>
          </w:pPr>
          <w:hyperlink w:anchor="_Toc514930298" w:history="1">
            <w:r w:rsidR="00283EA9" w:rsidRPr="00B50085">
              <w:rPr>
                <w:rStyle w:val="Hyperlink"/>
                <w:noProof/>
              </w:rPr>
              <w:t>Post Implementation Technical Support</w:t>
            </w:r>
            <w:r w:rsidR="00283EA9">
              <w:rPr>
                <w:noProof/>
                <w:webHidden/>
              </w:rPr>
              <w:tab/>
            </w:r>
            <w:r w:rsidR="00283EA9">
              <w:rPr>
                <w:noProof/>
                <w:webHidden/>
              </w:rPr>
              <w:fldChar w:fldCharType="begin"/>
            </w:r>
            <w:r w:rsidR="00283EA9">
              <w:rPr>
                <w:noProof/>
                <w:webHidden/>
              </w:rPr>
              <w:instrText xml:space="preserve"> PAGEREF _Toc514930298 \h </w:instrText>
            </w:r>
            <w:r w:rsidR="00283EA9">
              <w:rPr>
                <w:noProof/>
                <w:webHidden/>
              </w:rPr>
            </w:r>
            <w:r w:rsidR="00283EA9">
              <w:rPr>
                <w:noProof/>
                <w:webHidden/>
              </w:rPr>
              <w:fldChar w:fldCharType="separate"/>
            </w:r>
            <w:r>
              <w:rPr>
                <w:noProof/>
                <w:webHidden/>
              </w:rPr>
              <w:t>11</w:t>
            </w:r>
            <w:r w:rsidR="00283EA9">
              <w:rPr>
                <w:noProof/>
                <w:webHidden/>
              </w:rPr>
              <w:fldChar w:fldCharType="end"/>
            </w:r>
          </w:hyperlink>
        </w:p>
        <w:p w14:paraId="3A8A06B0" w14:textId="3549A5A5" w:rsidR="00283EA9" w:rsidRDefault="00337D19">
          <w:pPr>
            <w:pStyle w:val="TOC1"/>
            <w:rPr>
              <w:rFonts w:eastAsiaTheme="minorEastAsia"/>
              <w:noProof/>
            </w:rPr>
          </w:pPr>
          <w:hyperlink w:anchor="_Toc514930299" w:history="1">
            <w:r w:rsidR="00283EA9" w:rsidRPr="00B50085">
              <w:rPr>
                <w:rStyle w:val="Hyperlink"/>
                <w:noProof/>
              </w:rPr>
              <w:t>Relevant Hyperlinks</w:t>
            </w:r>
            <w:r w:rsidR="00283EA9">
              <w:rPr>
                <w:noProof/>
                <w:webHidden/>
              </w:rPr>
              <w:tab/>
            </w:r>
            <w:r w:rsidR="00283EA9">
              <w:rPr>
                <w:noProof/>
                <w:webHidden/>
              </w:rPr>
              <w:fldChar w:fldCharType="begin"/>
            </w:r>
            <w:r w:rsidR="00283EA9">
              <w:rPr>
                <w:noProof/>
                <w:webHidden/>
              </w:rPr>
              <w:instrText xml:space="preserve"> PAGEREF _Toc514930299 \h </w:instrText>
            </w:r>
            <w:r w:rsidR="00283EA9">
              <w:rPr>
                <w:noProof/>
                <w:webHidden/>
              </w:rPr>
            </w:r>
            <w:r w:rsidR="00283EA9">
              <w:rPr>
                <w:noProof/>
                <w:webHidden/>
              </w:rPr>
              <w:fldChar w:fldCharType="separate"/>
            </w:r>
            <w:r>
              <w:rPr>
                <w:noProof/>
                <w:webHidden/>
              </w:rPr>
              <w:t>11</w:t>
            </w:r>
            <w:r w:rsidR="00283EA9">
              <w:rPr>
                <w:noProof/>
                <w:webHidden/>
              </w:rPr>
              <w:fldChar w:fldCharType="end"/>
            </w:r>
          </w:hyperlink>
        </w:p>
        <w:p w14:paraId="5C2F51E5" w14:textId="5CFEB60D" w:rsidR="00283EA9" w:rsidRDefault="00337D19">
          <w:pPr>
            <w:pStyle w:val="TOC1"/>
            <w:rPr>
              <w:rFonts w:eastAsiaTheme="minorEastAsia"/>
              <w:noProof/>
            </w:rPr>
          </w:pPr>
          <w:hyperlink w:anchor="_Toc514930300" w:history="1">
            <w:r w:rsidR="00283EA9" w:rsidRPr="00B50085">
              <w:rPr>
                <w:rStyle w:val="Hyperlink"/>
                <w:noProof/>
              </w:rPr>
              <w:t>Appendix A - EHR Integration Readiness Document</w:t>
            </w:r>
            <w:r w:rsidR="00283EA9">
              <w:rPr>
                <w:noProof/>
                <w:webHidden/>
              </w:rPr>
              <w:tab/>
            </w:r>
            <w:r w:rsidR="00283EA9">
              <w:rPr>
                <w:noProof/>
                <w:webHidden/>
              </w:rPr>
              <w:fldChar w:fldCharType="begin"/>
            </w:r>
            <w:r w:rsidR="00283EA9">
              <w:rPr>
                <w:noProof/>
                <w:webHidden/>
              </w:rPr>
              <w:instrText xml:space="preserve"> PAGEREF _Toc514930300 \h </w:instrText>
            </w:r>
            <w:r w:rsidR="00283EA9">
              <w:rPr>
                <w:noProof/>
                <w:webHidden/>
              </w:rPr>
            </w:r>
            <w:r w:rsidR="00283EA9">
              <w:rPr>
                <w:noProof/>
                <w:webHidden/>
              </w:rPr>
              <w:fldChar w:fldCharType="separate"/>
            </w:r>
            <w:r>
              <w:rPr>
                <w:noProof/>
                <w:webHidden/>
              </w:rPr>
              <w:t>13</w:t>
            </w:r>
            <w:r w:rsidR="00283EA9">
              <w:rPr>
                <w:noProof/>
                <w:webHidden/>
              </w:rPr>
              <w:fldChar w:fldCharType="end"/>
            </w:r>
          </w:hyperlink>
        </w:p>
        <w:p w14:paraId="1E65B4BB" w14:textId="7CCC207B" w:rsidR="00283EA9" w:rsidRDefault="00337D19">
          <w:pPr>
            <w:pStyle w:val="TOC2"/>
            <w:tabs>
              <w:tab w:val="right" w:leader="dot" w:pos="9350"/>
            </w:tabs>
            <w:rPr>
              <w:rFonts w:eastAsiaTheme="minorEastAsia"/>
              <w:noProof/>
            </w:rPr>
          </w:pPr>
          <w:hyperlink w:anchor="_Toc514930301" w:history="1">
            <w:r w:rsidR="00283EA9" w:rsidRPr="00B50085">
              <w:rPr>
                <w:rStyle w:val="Hyperlink"/>
                <w:rFonts w:ascii="Calibri" w:hAnsi="Calibri"/>
                <w:noProof/>
              </w:rPr>
              <w:t>Purpose</w:t>
            </w:r>
            <w:r w:rsidR="00283EA9">
              <w:rPr>
                <w:noProof/>
                <w:webHidden/>
              </w:rPr>
              <w:tab/>
            </w:r>
            <w:r w:rsidR="00283EA9">
              <w:rPr>
                <w:noProof/>
                <w:webHidden/>
              </w:rPr>
              <w:fldChar w:fldCharType="begin"/>
            </w:r>
            <w:r w:rsidR="00283EA9">
              <w:rPr>
                <w:noProof/>
                <w:webHidden/>
              </w:rPr>
              <w:instrText xml:space="preserve"> PAGEREF _Toc514930301 \h </w:instrText>
            </w:r>
            <w:r w:rsidR="00283EA9">
              <w:rPr>
                <w:noProof/>
                <w:webHidden/>
              </w:rPr>
            </w:r>
            <w:r w:rsidR="00283EA9">
              <w:rPr>
                <w:noProof/>
                <w:webHidden/>
              </w:rPr>
              <w:fldChar w:fldCharType="separate"/>
            </w:r>
            <w:r>
              <w:rPr>
                <w:noProof/>
                <w:webHidden/>
              </w:rPr>
              <w:t>13</w:t>
            </w:r>
            <w:r w:rsidR="00283EA9">
              <w:rPr>
                <w:noProof/>
                <w:webHidden/>
              </w:rPr>
              <w:fldChar w:fldCharType="end"/>
            </w:r>
          </w:hyperlink>
        </w:p>
        <w:p w14:paraId="3ED32B0C" w14:textId="2E6E7C40" w:rsidR="00283EA9" w:rsidRDefault="00337D19">
          <w:pPr>
            <w:pStyle w:val="TOC2"/>
            <w:tabs>
              <w:tab w:val="right" w:leader="dot" w:pos="9350"/>
            </w:tabs>
            <w:rPr>
              <w:rFonts w:eastAsiaTheme="minorEastAsia"/>
              <w:noProof/>
            </w:rPr>
          </w:pPr>
          <w:hyperlink w:anchor="_Toc514930302" w:history="1">
            <w:r w:rsidR="00283EA9" w:rsidRPr="00B50085">
              <w:rPr>
                <w:rStyle w:val="Hyperlink"/>
                <w:rFonts w:ascii="Calibri" w:hAnsi="Calibri"/>
                <w:noProof/>
              </w:rPr>
              <w:t>Project Owners</w:t>
            </w:r>
            <w:r w:rsidR="00283EA9">
              <w:rPr>
                <w:noProof/>
                <w:webHidden/>
              </w:rPr>
              <w:tab/>
            </w:r>
            <w:r w:rsidR="00283EA9">
              <w:rPr>
                <w:noProof/>
                <w:webHidden/>
              </w:rPr>
              <w:fldChar w:fldCharType="begin"/>
            </w:r>
            <w:r w:rsidR="00283EA9">
              <w:rPr>
                <w:noProof/>
                <w:webHidden/>
              </w:rPr>
              <w:instrText xml:space="preserve"> PAGEREF _Toc514930302 \h </w:instrText>
            </w:r>
            <w:r w:rsidR="00283EA9">
              <w:rPr>
                <w:noProof/>
                <w:webHidden/>
              </w:rPr>
            </w:r>
            <w:r w:rsidR="00283EA9">
              <w:rPr>
                <w:noProof/>
                <w:webHidden/>
              </w:rPr>
              <w:fldChar w:fldCharType="separate"/>
            </w:r>
            <w:r>
              <w:rPr>
                <w:noProof/>
                <w:webHidden/>
              </w:rPr>
              <w:t>13</w:t>
            </w:r>
            <w:r w:rsidR="00283EA9">
              <w:rPr>
                <w:noProof/>
                <w:webHidden/>
              </w:rPr>
              <w:fldChar w:fldCharType="end"/>
            </w:r>
          </w:hyperlink>
        </w:p>
        <w:p w14:paraId="46273F47" w14:textId="4E5A6EC8" w:rsidR="00283EA9" w:rsidRDefault="00337D19">
          <w:pPr>
            <w:pStyle w:val="TOC2"/>
            <w:tabs>
              <w:tab w:val="right" w:leader="dot" w:pos="9350"/>
            </w:tabs>
            <w:rPr>
              <w:rFonts w:eastAsiaTheme="minorEastAsia"/>
              <w:noProof/>
            </w:rPr>
          </w:pPr>
          <w:hyperlink w:anchor="_Toc514930303" w:history="1">
            <w:r w:rsidR="00283EA9" w:rsidRPr="00B50085">
              <w:rPr>
                <w:rStyle w:val="Hyperlink"/>
                <w:rFonts w:ascii="Calibri" w:hAnsi="Calibri"/>
                <w:noProof/>
              </w:rPr>
              <w:t>Project Acceptance Criteria</w:t>
            </w:r>
            <w:r w:rsidR="00283EA9">
              <w:rPr>
                <w:noProof/>
                <w:webHidden/>
              </w:rPr>
              <w:tab/>
            </w:r>
            <w:r w:rsidR="00283EA9">
              <w:rPr>
                <w:noProof/>
                <w:webHidden/>
              </w:rPr>
              <w:fldChar w:fldCharType="begin"/>
            </w:r>
            <w:r w:rsidR="00283EA9">
              <w:rPr>
                <w:noProof/>
                <w:webHidden/>
              </w:rPr>
              <w:instrText xml:space="preserve"> PAGEREF _Toc514930303 \h </w:instrText>
            </w:r>
            <w:r w:rsidR="00283EA9">
              <w:rPr>
                <w:noProof/>
                <w:webHidden/>
              </w:rPr>
            </w:r>
            <w:r w:rsidR="00283EA9">
              <w:rPr>
                <w:noProof/>
                <w:webHidden/>
              </w:rPr>
              <w:fldChar w:fldCharType="separate"/>
            </w:r>
            <w:r>
              <w:rPr>
                <w:noProof/>
                <w:webHidden/>
              </w:rPr>
              <w:t>13</w:t>
            </w:r>
            <w:r w:rsidR="00283EA9">
              <w:rPr>
                <w:noProof/>
                <w:webHidden/>
              </w:rPr>
              <w:fldChar w:fldCharType="end"/>
            </w:r>
          </w:hyperlink>
        </w:p>
        <w:p w14:paraId="6AB3716A" w14:textId="2F35E021" w:rsidR="00283EA9" w:rsidRDefault="00337D19">
          <w:pPr>
            <w:pStyle w:val="TOC2"/>
            <w:tabs>
              <w:tab w:val="right" w:leader="dot" w:pos="9350"/>
            </w:tabs>
            <w:rPr>
              <w:rFonts w:eastAsiaTheme="minorEastAsia"/>
              <w:noProof/>
            </w:rPr>
          </w:pPr>
          <w:hyperlink w:anchor="_Toc514930304" w:history="1">
            <w:r w:rsidR="00283EA9" w:rsidRPr="00B50085">
              <w:rPr>
                <w:rStyle w:val="Hyperlink"/>
                <w:rFonts w:ascii="Calibri" w:hAnsi="Calibri"/>
                <w:noProof/>
              </w:rPr>
              <w:t>Proof of Testing</w:t>
            </w:r>
            <w:r w:rsidR="00283EA9">
              <w:rPr>
                <w:noProof/>
                <w:webHidden/>
              </w:rPr>
              <w:tab/>
            </w:r>
            <w:r w:rsidR="00283EA9">
              <w:rPr>
                <w:noProof/>
                <w:webHidden/>
              </w:rPr>
              <w:fldChar w:fldCharType="begin"/>
            </w:r>
            <w:r w:rsidR="00283EA9">
              <w:rPr>
                <w:noProof/>
                <w:webHidden/>
              </w:rPr>
              <w:instrText xml:space="preserve"> PAGEREF _Toc514930304 \h </w:instrText>
            </w:r>
            <w:r w:rsidR="00283EA9">
              <w:rPr>
                <w:noProof/>
                <w:webHidden/>
              </w:rPr>
            </w:r>
            <w:r w:rsidR="00283EA9">
              <w:rPr>
                <w:noProof/>
                <w:webHidden/>
              </w:rPr>
              <w:fldChar w:fldCharType="separate"/>
            </w:r>
            <w:r>
              <w:rPr>
                <w:noProof/>
                <w:webHidden/>
              </w:rPr>
              <w:t>14</w:t>
            </w:r>
            <w:r w:rsidR="00283EA9">
              <w:rPr>
                <w:noProof/>
                <w:webHidden/>
              </w:rPr>
              <w:fldChar w:fldCharType="end"/>
            </w:r>
          </w:hyperlink>
        </w:p>
        <w:p w14:paraId="0112DB8F" w14:textId="77777777" w:rsidR="00BB7F3B" w:rsidRDefault="005B4005" w:rsidP="00BB7F3B">
          <w:pPr>
            <w:rPr>
              <w:b/>
              <w:bCs/>
              <w:noProof/>
            </w:rPr>
          </w:pPr>
          <w:r>
            <w:rPr>
              <w:b/>
              <w:bCs/>
              <w:noProof/>
            </w:rPr>
            <w:fldChar w:fldCharType="end"/>
          </w:r>
        </w:p>
      </w:sdtContent>
    </w:sdt>
    <w:p w14:paraId="4B7DAD94" w14:textId="77777777" w:rsidR="000C4EA2" w:rsidRDefault="000C4EA2" w:rsidP="005B4005">
      <w:pPr>
        <w:pStyle w:val="Heading1"/>
      </w:pPr>
    </w:p>
    <w:p w14:paraId="2F78DC30" w14:textId="77777777" w:rsidR="005B4005" w:rsidRDefault="005B4005" w:rsidP="005B4005">
      <w:pPr>
        <w:pStyle w:val="Heading1"/>
      </w:pPr>
      <w:bookmarkStart w:id="0" w:name="_Toc514930277"/>
      <w:r>
        <w:t>Version Control Details</w:t>
      </w:r>
      <w:bookmarkEnd w:id="0"/>
    </w:p>
    <w:tbl>
      <w:tblPr>
        <w:tblStyle w:val="TableGrid"/>
        <w:tblW w:w="0" w:type="auto"/>
        <w:jc w:val="center"/>
        <w:tblLook w:val="04A0" w:firstRow="1" w:lastRow="0" w:firstColumn="1" w:lastColumn="0" w:noHBand="0" w:noVBand="1"/>
      </w:tblPr>
      <w:tblGrid>
        <w:gridCol w:w="861"/>
        <w:gridCol w:w="1229"/>
        <w:gridCol w:w="6087"/>
      </w:tblGrid>
      <w:tr w:rsidR="005B4005" w:rsidRPr="00CC084E" w14:paraId="5ECC567E" w14:textId="77777777" w:rsidTr="0074424C">
        <w:trPr>
          <w:trHeight w:val="262"/>
          <w:jc w:val="center"/>
        </w:trPr>
        <w:tc>
          <w:tcPr>
            <w:tcW w:w="861" w:type="dxa"/>
          </w:tcPr>
          <w:p w14:paraId="4AA3DF13" w14:textId="77777777" w:rsidR="005B4005" w:rsidRPr="00CC084E" w:rsidRDefault="005B4005" w:rsidP="005B4005">
            <w:pPr>
              <w:jc w:val="center"/>
              <w:rPr>
                <w:sz w:val="18"/>
              </w:rPr>
            </w:pPr>
            <w:r w:rsidRPr="00CC084E">
              <w:rPr>
                <w:sz w:val="18"/>
              </w:rPr>
              <w:t>Version</w:t>
            </w:r>
          </w:p>
        </w:tc>
        <w:tc>
          <w:tcPr>
            <w:tcW w:w="1229" w:type="dxa"/>
          </w:tcPr>
          <w:p w14:paraId="0BB1BA3E" w14:textId="77777777" w:rsidR="005B4005" w:rsidRPr="00CC084E" w:rsidRDefault="005B4005" w:rsidP="005B4005">
            <w:pPr>
              <w:jc w:val="center"/>
              <w:rPr>
                <w:sz w:val="18"/>
              </w:rPr>
            </w:pPr>
            <w:r w:rsidRPr="00CC084E">
              <w:rPr>
                <w:sz w:val="18"/>
              </w:rPr>
              <w:t>Date</w:t>
            </w:r>
          </w:p>
        </w:tc>
        <w:tc>
          <w:tcPr>
            <w:tcW w:w="6087" w:type="dxa"/>
          </w:tcPr>
          <w:p w14:paraId="3C4283F0" w14:textId="77777777" w:rsidR="005B4005" w:rsidRPr="00CC084E" w:rsidRDefault="005B4005" w:rsidP="005B4005">
            <w:pPr>
              <w:jc w:val="center"/>
              <w:rPr>
                <w:sz w:val="18"/>
              </w:rPr>
            </w:pPr>
            <w:r w:rsidRPr="00CC084E">
              <w:rPr>
                <w:sz w:val="18"/>
              </w:rPr>
              <w:t>Changes</w:t>
            </w:r>
          </w:p>
        </w:tc>
      </w:tr>
      <w:tr w:rsidR="005B4005" w:rsidRPr="00CC084E" w14:paraId="606B3111" w14:textId="77777777" w:rsidTr="0074424C">
        <w:trPr>
          <w:trHeight w:val="381"/>
          <w:jc w:val="center"/>
        </w:trPr>
        <w:tc>
          <w:tcPr>
            <w:tcW w:w="861" w:type="dxa"/>
          </w:tcPr>
          <w:p w14:paraId="601F047A" w14:textId="77777777" w:rsidR="005B4005" w:rsidRPr="00CC084E" w:rsidRDefault="005B4005" w:rsidP="005B4005">
            <w:pPr>
              <w:jc w:val="center"/>
              <w:rPr>
                <w:sz w:val="18"/>
              </w:rPr>
            </w:pPr>
            <w:r w:rsidRPr="00CC084E">
              <w:rPr>
                <w:sz w:val="18"/>
              </w:rPr>
              <w:t>1.0</w:t>
            </w:r>
          </w:p>
        </w:tc>
        <w:tc>
          <w:tcPr>
            <w:tcW w:w="1229" w:type="dxa"/>
          </w:tcPr>
          <w:p w14:paraId="20FB9AF5" w14:textId="77777777" w:rsidR="005B4005" w:rsidRPr="00CC084E" w:rsidRDefault="002257CF" w:rsidP="005B4005">
            <w:pPr>
              <w:jc w:val="center"/>
              <w:rPr>
                <w:sz w:val="18"/>
              </w:rPr>
            </w:pPr>
            <w:r>
              <w:rPr>
                <w:sz w:val="18"/>
              </w:rPr>
              <w:t>2/1/18</w:t>
            </w:r>
          </w:p>
        </w:tc>
        <w:tc>
          <w:tcPr>
            <w:tcW w:w="6087" w:type="dxa"/>
          </w:tcPr>
          <w:p w14:paraId="6F746C49" w14:textId="77777777" w:rsidR="005B4005" w:rsidRPr="00CC084E" w:rsidRDefault="005B4005" w:rsidP="005B4005">
            <w:pPr>
              <w:pStyle w:val="ListParagraph"/>
              <w:numPr>
                <w:ilvl w:val="0"/>
                <w:numId w:val="7"/>
              </w:numPr>
              <w:spacing w:after="0" w:line="240" w:lineRule="auto"/>
              <w:rPr>
                <w:sz w:val="18"/>
              </w:rPr>
            </w:pPr>
            <w:r w:rsidRPr="00CC084E">
              <w:rPr>
                <w:sz w:val="18"/>
              </w:rPr>
              <w:t>Original document</w:t>
            </w:r>
          </w:p>
        </w:tc>
      </w:tr>
      <w:tr w:rsidR="00AB34DF" w:rsidRPr="00CC084E" w14:paraId="462F5C56" w14:textId="77777777" w:rsidTr="0074424C">
        <w:trPr>
          <w:trHeight w:val="381"/>
          <w:jc w:val="center"/>
        </w:trPr>
        <w:tc>
          <w:tcPr>
            <w:tcW w:w="861" w:type="dxa"/>
          </w:tcPr>
          <w:p w14:paraId="0B463F75" w14:textId="77777777" w:rsidR="00AB34DF" w:rsidRPr="00CC084E" w:rsidRDefault="00AB34DF" w:rsidP="005B4005">
            <w:pPr>
              <w:jc w:val="center"/>
              <w:rPr>
                <w:sz w:val="18"/>
              </w:rPr>
            </w:pPr>
            <w:r>
              <w:rPr>
                <w:sz w:val="18"/>
              </w:rPr>
              <w:t>1.1</w:t>
            </w:r>
          </w:p>
        </w:tc>
        <w:tc>
          <w:tcPr>
            <w:tcW w:w="1229" w:type="dxa"/>
          </w:tcPr>
          <w:p w14:paraId="20FD1CA9" w14:textId="77777777" w:rsidR="00AB34DF" w:rsidRDefault="00AB34DF" w:rsidP="005B4005">
            <w:pPr>
              <w:jc w:val="center"/>
              <w:rPr>
                <w:sz w:val="18"/>
              </w:rPr>
            </w:pPr>
            <w:r>
              <w:rPr>
                <w:sz w:val="18"/>
              </w:rPr>
              <w:t>3/26/18</w:t>
            </w:r>
          </w:p>
        </w:tc>
        <w:tc>
          <w:tcPr>
            <w:tcW w:w="6087" w:type="dxa"/>
          </w:tcPr>
          <w:p w14:paraId="294138DE" w14:textId="77777777" w:rsidR="00AB34DF" w:rsidRPr="00CC084E" w:rsidRDefault="00AB34DF" w:rsidP="005B4005">
            <w:pPr>
              <w:pStyle w:val="ListParagraph"/>
              <w:numPr>
                <w:ilvl w:val="0"/>
                <w:numId w:val="7"/>
              </w:numPr>
              <w:spacing w:after="0" w:line="240" w:lineRule="auto"/>
              <w:rPr>
                <w:sz w:val="18"/>
              </w:rPr>
            </w:pPr>
            <w:r>
              <w:rPr>
                <w:sz w:val="18"/>
              </w:rPr>
              <w:t>Changes to Integration Request Process</w:t>
            </w:r>
          </w:p>
        </w:tc>
      </w:tr>
      <w:tr w:rsidR="003541FD" w:rsidRPr="00CC084E" w14:paraId="44E01C40" w14:textId="77777777" w:rsidTr="0074424C">
        <w:trPr>
          <w:trHeight w:val="381"/>
          <w:jc w:val="center"/>
        </w:trPr>
        <w:tc>
          <w:tcPr>
            <w:tcW w:w="861" w:type="dxa"/>
          </w:tcPr>
          <w:p w14:paraId="21F63838" w14:textId="77777777" w:rsidR="003541FD" w:rsidRDefault="003541FD" w:rsidP="005B4005">
            <w:pPr>
              <w:jc w:val="center"/>
              <w:rPr>
                <w:sz w:val="18"/>
              </w:rPr>
            </w:pPr>
            <w:r>
              <w:rPr>
                <w:sz w:val="18"/>
              </w:rPr>
              <w:t>1.2</w:t>
            </w:r>
          </w:p>
        </w:tc>
        <w:tc>
          <w:tcPr>
            <w:tcW w:w="1229" w:type="dxa"/>
          </w:tcPr>
          <w:p w14:paraId="7DD7822C" w14:textId="77777777" w:rsidR="003541FD" w:rsidRDefault="003541FD" w:rsidP="005B4005">
            <w:pPr>
              <w:jc w:val="center"/>
              <w:rPr>
                <w:sz w:val="18"/>
              </w:rPr>
            </w:pPr>
            <w:r>
              <w:rPr>
                <w:sz w:val="18"/>
              </w:rPr>
              <w:t>5/24/18</w:t>
            </w:r>
          </w:p>
        </w:tc>
        <w:tc>
          <w:tcPr>
            <w:tcW w:w="6087" w:type="dxa"/>
          </w:tcPr>
          <w:p w14:paraId="4FA9DD47" w14:textId="77777777" w:rsidR="003541FD" w:rsidRDefault="003541FD" w:rsidP="005B4005">
            <w:pPr>
              <w:pStyle w:val="ListParagraph"/>
              <w:numPr>
                <w:ilvl w:val="0"/>
                <w:numId w:val="7"/>
              </w:numPr>
              <w:spacing w:after="0" w:line="240" w:lineRule="auto"/>
              <w:rPr>
                <w:sz w:val="18"/>
              </w:rPr>
            </w:pPr>
            <w:r>
              <w:rPr>
                <w:sz w:val="18"/>
              </w:rPr>
              <w:t>Changes to contact information</w:t>
            </w:r>
          </w:p>
          <w:p w14:paraId="429ABA0B" w14:textId="77777777" w:rsidR="003541FD" w:rsidRDefault="003541FD" w:rsidP="005B4005">
            <w:pPr>
              <w:pStyle w:val="ListParagraph"/>
              <w:numPr>
                <w:ilvl w:val="0"/>
                <w:numId w:val="7"/>
              </w:numPr>
              <w:spacing w:after="0" w:line="240" w:lineRule="auto"/>
              <w:rPr>
                <w:sz w:val="18"/>
              </w:rPr>
            </w:pPr>
            <w:r>
              <w:rPr>
                <w:sz w:val="18"/>
              </w:rPr>
              <w:t>Edits to Readiness Document</w:t>
            </w:r>
          </w:p>
        </w:tc>
      </w:tr>
    </w:tbl>
    <w:p w14:paraId="64A89E70" w14:textId="77777777" w:rsidR="004245EA" w:rsidRDefault="004245EA" w:rsidP="004245EA"/>
    <w:p w14:paraId="33D30AB3" w14:textId="77777777" w:rsidR="005B4005" w:rsidRDefault="005B4005" w:rsidP="005B4005">
      <w:pPr>
        <w:pStyle w:val="Heading1"/>
      </w:pPr>
      <w:bookmarkStart w:id="1" w:name="_Toc514930278"/>
      <w:r>
        <w:t>What is the Prescription Monitoring Program (PMP)?</w:t>
      </w:r>
      <w:bookmarkEnd w:id="1"/>
    </w:p>
    <w:p w14:paraId="424E50F7" w14:textId="77777777" w:rsidR="005B4005" w:rsidRDefault="005B4005" w:rsidP="005B4005">
      <w:r w:rsidRPr="00513CAB">
        <w:t xml:space="preserve">The PMP is a program within </w:t>
      </w:r>
      <w:r>
        <w:t xml:space="preserve">the </w:t>
      </w:r>
      <w:r w:rsidRPr="00513CAB">
        <w:t>DPH</w:t>
      </w:r>
      <w:r>
        <w:t>,</w:t>
      </w:r>
      <w:r w:rsidRPr="00513CAB">
        <w:t xml:space="preserve"> </w:t>
      </w:r>
      <w:r>
        <w:t>responsible for</w:t>
      </w:r>
      <w:r w:rsidRPr="00513CAB">
        <w:t xml:space="preserve"> analyz</w:t>
      </w:r>
      <w:r>
        <w:t>ing</w:t>
      </w:r>
      <w:r w:rsidRPr="00513CAB">
        <w:t xml:space="preserve"> prescription data to determine prescribing and dispensing trends; provid</w:t>
      </w:r>
      <w:r>
        <w:t>ing</w:t>
      </w:r>
      <w:r w:rsidRPr="00513CAB">
        <w:t xml:space="preserve"> patient prescription history information </w:t>
      </w:r>
      <w:r>
        <w:t>to</w:t>
      </w:r>
      <w:r w:rsidRPr="00513CAB">
        <w:t xml:space="preserve"> prescribers and pharmacists; provid</w:t>
      </w:r>
      <w:r>
        <w:t>ing</w:t>
      </w:r>
      <w:r w:rsidRPr="00513CAB">
        <w:t xml:space="preserve"> educational information to healthcare providers and the public; and provid</w:t>
      </w:r>
      <w:r>
        <w:t>ing</w:t>
      </w:r>
      <w:r w:rsidRPr="00513CAB">
        <w:t xml:space="preserve"> case information to regulatory and law enforcement agencies concerning drug distribution and diversion.</w:t>
      </w:r>
      <w:r>
        <w:t xml:space="preserve"> </w:t>
      </w:r>
      <w:r w:rsidRPr="00513CAB">
        <w:t>The MA PMP collects information on Massachusetts Schedule II through V controlled substances</w:t>
      </w:r>
      <w:r>
        <w:t xml:space="preserve"> and Gabapentin</w:t>
      </w:r>
      <w:r w:rsidRPr="00513CAB">
        <w:t xml:space="preserve"> dispensed pursuant to a prescription. </w:t>
      </w:r>
      <w:r w:rsidRPr="0030598E">
        <w:t xml:space="preserve">Please visit the </w:t>
      </w:r>
      <w:hyperlink r:id="rId8" w:history="1">
        <w:r w:rsidRPr="0030598E">
          <w:rPr>
            <w:rStyle w:val="Hyperlink"/>
          </w:rPr>
          <w:t>PMP website</w:t>
        </w:r>
      </w:hyperlink>
      <w:r w:rsidR="0030598E">
        <w:t xml:space="preserve"> for</w:t>
      </w:r>
      <w:r w:rsidRPr="0030598E">
        <w:t xml:space="preserve"> more information about the reporting requirements.</w:t>
      </w:r>
      <w:r>
        <w:t xml:space="preserve"> </w:t>
      </w:r>
    </w:p>
    <w:p w14:paraId="5184E8B3" w14:textId="77777777" w:rsidR="005B4005" w:rsidRDefault="005B4005" w:rsidP="005B4005">
      <w:pPr>
        <w:pStyle w:val="Heading1"/>
      </w:pPr>
      <w:bookmarkStart w:id="2" w:name="_Toc514930279"/>
      <w:r>
        <w:t>What is the Massachusetts Prescription Awareness Tool (MassPAT)?</w:t>
      </w:r>
      <w:bookmarkEnd w:id="2"/>
    </w:p>
    <w:p w14:paraId="72DFF41D" w14:textId="77777777" w:rsidR="005B4005" w:rsidRPr="00513CAB" w:rsidRDefault="005B4005" w:rsidP="005B4005">
      <w:r w:rsidRPr="00513CAB">
        <w:t>MassPAT is a</w:t>
      </w:r>
      <w:r>
        <w:t>n online</w:t>
      </w:r>
      <w:r w:rsidRPr="00513CAB">
        <w:t xml:space="preserve"> tool </w:t>
      </w:r>
      <w:r>
        <w:t xml:space="preserve">that promotes safe prescribing and dispensing patterns by allowing prescribers and pharmacists to access their patient’s prescriptive history within the past year. </w:t>
      </w:r>
      <w:r w:rsidRPr="00513CAB">
        <w:t xml:space="preserve">By viewing a patient’s prescription history in </w:t>
      </w:r>
      <w:r>
        <w:t>MassPAT</w:t>
      </w:r>
      <w:r w:rsidRPr="00513CAB">
        <w:t>, a provider can avoid duplication of drug therap</w:t>
      </w:r>
      <w:r>
        <w:t>ies</w:t>
      </w:r>
      <w:r w:rsidRPr="00513CAB">
        <w:t xml:space="preserve"> and coordinate care by communicating with other providers to improve clinical outco</w:t>
      </w:r>
      <w:r>
        <w:t xml:space="preserve">mes and overall patient health. </w:t>
      </w:r>
      <w:r w:rsidRPr="00513CAB">
        <w:t>Utilization of MassPAT can also enable early identification of potential prescription drug misuse, abuse</w:t>
      </w:r>
      <w:r>
        <w:t>,</w:t>
      </w:r>
      <w:r w:rsidRPr="00513CAB">
        <w:t xml:space="preserve"> or diversion and trigger early intervention. </w:t>
      </w:r>
    </w:p>
    <w:p w14:paraId="14A4FB9E" w14:textId="77777777" w:rsidR="005B4005" w:rsidRDefault="005B4005" w:rsidP="005B4005">
      <w:r w:rsidRPr="008537F3">
        <w:rPr>
          <w:b/>
          <w:bCs/>
          <w:i/>
          <w:iCs/>
        </w:rPr>
        <w:t>As of October 15</w:t>
      </w:r>
      <w:r w:rsidRPr="008537F3">
        <w:rPr>
          <w:b/>
          <w:i/>
        </w:rPr>
        <w:t>, 2016,</w:t>
      </w:r>
      <w:r w:rsidRPr="00513CAB">
        <w:t xml:space="preserve"> </w:t>
      </w:r>
      <w:r>
        <w:t>p</w:t>
      </w:r>
      <w:r w:rsidRPr="00513CAB">
        <w:t xml:space="preserve">rescribers </w:t>
      </w:r>
      <w:r>
        <w:t xml:space="preserve">are required by </w:t>
      </w:r>
      <w:hyperlink r:id="rId9" w:history="1">
        <w:r w:rsidRPr="00224517">
          <w:rPr>
            <w:rStyle w:val="Hyperlink"/>
          </w:rPr>
          <w:t>law</w:t>
        </w:r>
      </w:hyperlink>
      <w:r>
        <w:t xml:space="preserve"> to</w:t>
      </w:r>
      <w:r w:rsidRPr="00513CAB">
        <w:t xml:space="preserve"> check MassPAT </w:t>
      </w:r>
      <w:r w:rsidRPr="00255ECA">
        <w:rPr>
          <w:i/>
          <w:iCs/>
          <w:u w:val="single"/>
        </w:rPr>
        <w:t>each time</w:t>
      </w:r>
      <w:r w:rsidRPr="00513CAB">
        <w:rPr>
          <w:i/>
          <w:iCs/>
        </w:rPr>
        <w:t xml:space="preserve"> </w:t>
      </w:r>
      <w:r w:rsidRPr="00513CAB">
        <w:t>the prescriber issues a</w:t>
      </w:r>
      <w:r>
        <w:t xml:space="preserve"> prescription for a</w:t>
      </w:r>
      <w:r w:rsidRPr="00513CAB">
        <w:t xml:space="preserve"> Schedule II or III narcotic to a patient.  Prescribers must continue to check MassPAT the first time they prescribe</w:t>
      </w:r>
      <w:r>
        <w:t xml:space="preserve"> a benzodiazepine</w:t>
      </w:r>
      <w:r w:rsidRPr="00513CAB">
        <w:t xml:space="preserve"> to a patient</w:t>
      </w:r>
      <w:r>
        <w:t>.</w:t>
      </w:r>
    </w:p>
    <w:p w14:paraId="18559246" w14:textId="77777777" w:rsidR="005B4005" w:rsidRDefault="005B4005" w:rsidP="005B4005">
      <w:pPr>
        <w:pStyle w:val="Heading1"/>
      </w:pPr>
      <w:bookmarkStart w:id="3" w:name="_Toc514930280"/>
      <w:r>
        <w:t>What is EHR Integration?</w:t>
      </w:r>
      <w:bookmarkEnd w:id="3"/>
    </w:p>
    <w:p w14:paraId="25D951E9" w14:textId="77777777" w:rsidR="005B4005" w:rsidRDefault="005B4005" w:rsidP="005B4005">
      <w:r>
        <w:t>Integrating MassPAT data within an Electronic Health Record (EHR) provides a streamlined clinical workflow for providers. The integration eliminates the need for providers to pull-up the MassPAT browser, successfully log-in, then enter their patient’s name and date of birth. Instead, the EHR automatically initiates a patient query, validates the provider’s credentials in MassPAT and returns the patient’s prescription record direc</w:t>
      </w:r>
      <w:r w:rsidR="004245EA">
        <w:t xml:space="preserve">tly within the provider’s EHR. </w:t>
      </w:r>
      <w:r>
        <w:t xml:space="preserve">The integration should seamlessly fit into the clinical workflow and allow for real-time or near real-time presentation of MassPAT data within the EHR. </w:t>
      </w:r>
    </w:p>
    <w:p w14:paraId="1D282041" w14:textId="77777777" w:rsidR="005B4005" w:rsidRDefault="005B4005" w:rsidP="005B4005">
      <w:r>
        <w:t xml:space="preserve">For the purposes of this document, the integration is called “EHR Integration”, but the integration works with pharmacy management systems, practice management systems (i.e. Dentistry), and Electronic Medical Records (EMRs). </w:t>
      </w:r>
    </w:p>
    <w:p w14:paraId="276A1177" w14:textId="77777777" w:rsidR="005B4005" w:rsidRDefault="005B4005" w:rsidP="005B4005">
      <w:r w:rsidRPr="00EA3BE2">
        <w:lastRenderedPageBreak/>
        <w:t xml:space="preserve">While the integration will play a vital role in streamlining a provider’s ability to view their patient’s data in MassPAT, the web portal will continue to be a valuable tool. Providers will continue to use this to manage their delegates as well as view “My RX”, Patient Alerts, and Provider </w:t>
      </w:r>
      <w:r w:rsidR="006B40CF">
        <w:t>Reports</w:t>
      </w:r>
      <w:r w:rsidRPr="00EA3BE2">
        <w:t xml:space="preserve">. Delegates and non-prescriber roles are not used in integration and as such will need to continue using the MassPAT web portal to conduct patient searches. </w:t>
      </w:r>
      <w:r>
        <w:t xml:space="preserve">For more information on the differences of the EHR integration and the MassPAT web portal, please reference the </w:t>
      </w:r>
      <w:hyperlink w:anchor="_Clinical_workflow" w:history="1">
        <w:r w:rsidRPr="002B59D9">
          <w:rPr>
            <w:rStyle w:val="Hyperlink"/>
          </w:rPr>
          <w:t>Clinical Workflow Section.</w:t>
        </w:r>
      </w:hyperlink>
      <w:r>
        <w:t xml:space="preserve"> </w:t>
      </w:r>
    </w:p>
    <w:p w14:paraId="2B2CD062" w14:textId="77777777" w:rsidR="005B4005" w:rsidRDefault="005B4005" w:rsidP="005B4005">
      <w:pPr>
        <w:pStyle w:val="Heading2"/>
        <w:ind w:left="720"/>
      </w:pPr>
      <w:bookmarkStart w:id="4" w:name="_Toc514930281"/>
      <w:r>
        <w:t>Integration Options</w:t>
      </w:r>
      <w:bookmarkEnd w:id="4"/>
    </w:p>
    <w:p w14:paraId="71430462" w14:textId="77777777" w:rsidR="005B4005" w:rsidRPr="00771159" w:rsidRDefault="005B4005" w:rsidP="005B4005">
      <w:r>
        <w:rPr>
          <w:rFonts w:eastAsiaTheme="majorEastAsia" w:cstheme="majorBidi"/>
        </w:rPr>
        <w:t>Appriss Health</w:t>
      </w:r>
      <w:r w:rsidRPr="00653ABA">
        <w:rPr>
          <w:rFonts w:eastAsiaTheme="majorEastAsia" w:cstheme="majorBidi"/>
        </w:rPr>
        <w:t xml:space="preserve"> is the vendor for the MassPAT and PMP Clearinghouse tools operated by the MA PMP.</w:t>
      </w:r>
      <w:r w:rsidRPr="00771159">
        <w:t xml:space="preserve"> In addition to these tools, MA has contracted with </w:t>
      </w:r>
      <w:r>
        <w:t>Appriss Health</w:t>
      </w:r>
      <w:r w:rsidRPr="00771159">
        <w:t xml:space="preserve"> to connect with EHRs via the</w:t>
      </w:r>
      <w:r>
        <w:t>ir</w:t>
      </w:r>
      <w:r w:rsidRPr="00771159">
        <w:t xml:space="preserve"> PMP Gateway. </w:t>
      </w:r>
    </w:p>
    <w:p w14:paraId="330C1A10" w14:textId="77777777" w:rsidR="005B4005" w:rsidRDefault="005B4005" w:rsidP="005B4005">
      <w:pPr>
        <w:shd w:val="clear" w:color="auto" w:fill="FFFFFF"/>
        <w:spacing w:after="0" w:line="233" w:lineRule="atLeast"/>
      </w:pPr>
      <w:r>
        <w:t>Appriss Health</w:t>
      </w:r>
      <w:r w:rsidRPr="00771159">
        <w:t xml:space="preserve"> developed</w:t>
      </w:r>
      <w:r>
        <w:t xml:space="preserve"> the</w:t>
      </w:r>
      <w:r w:rsidRPr="00771159">
        <w:t xml:space="preserve"> PMP Gateway to allow </w:t>
      </w:r>
      <w:r>
        <w:t>PMPs</w:t>
      </w:r>
      <w:r w:rsidRPr="00771159">
        <w:t xml:space="preserve"> to share data with authorized third parties such as Health Information Exchanges, Electronic </w:t>
      </w:r>
      <w:r>
        <w:t>Health</w:t>
      </w:r>
      <w:r w:rsidRPr="00771159">
        <w:t xml:space="preserve"> Records</w:t>
      </w:r>
      <w:r>
        <w:t>, practice management systems,</w:t>
      </w:r>
      <w:r w:rsidRPr="00771159">
        <w:t xml:space="preserve"> and pharmacy software companies. There are </w:t>
      </w:r>
      <w:r>
        <w:t>two</w:t>
      </w:r>
      <w:r w:rsidRPr="00771159">
        <w:t xml:space="preserve"> options to connect directly to</w:t>
      </w:r>
      <w:r>
        <w:t xml:space="preserve"> the</w:t>
      </w:r>
      <w:r w:rsidRPr="00771159">
        <w:t xml:space="preserve"> PMP Gateway</w:t>
      </w:r>
      <w:r>
        <w:t>, each with their own advantages and disadvantages that should be weighed carefully by healthcare entities.</w:t>
      </w:r>
    </w:p>
    <w:p w14:paraId="7250B864" w14:textId="77777777" w:rsidR="005B4005" w:rsidRDefault="005B4005" w:rsidP="005B4005">
      <w:pPr>
        <w:shd w:val="clear" w:color="auto" w:fill="FFFFFF"/>
        <w:spacing w:after="0" w:line="233" w:lineRule="atLeast"/>
      </w:pPr>
    </w:p>
    <w:p w14:paraId="1DBED9B4" w14:textId="77777777" w:rsidR="005B4005" w:rsidRDefault="005B4005" w:rsidP="005B4005">
      <w:pPr>
        <w:pStyle w:val="Heading3"/>
        <w:ind w:left="1440"/>
      </w:pPr>
      <w:bookmarkStart w:id="5" w:name="_Toc514930282"/>
      <w:r>
        <w:t>Option 1: API Version 5.1</w:t>
      </w:r>
      <w:bookmarkEnd w:id="5"/>
    </w:p>
    <w:p w14:paraId="3DB28E28" w14:textId="77777777" w:rsidR="005B4005" w:rsidRDefault="005B4005" w:rsidP="00283EA9">
      <w:r w:rsidRPr="00B404FB">
        <w:t>Version 5.1 of Appriss Health’</w:t>
      </w:r>
      <w:r>
        <w:t>s</w:t>
      </w:r>
      <w:r w:rsidRPr="00B404FB">
        <w:t xml:space="preserve"> Application Performance Interface (API</w:t>
      </w:r>
      <w:r w:rsidR="00BB7F3B">
        <w:t xml:space="preserve">) returns an HTML patient report which looks </w:t>
      </w:r>
      <w:r>
        <w:t xml:space="preserve">much like the patient report that is available within MassPAT. A sample HTML report is provided below for reference. </w:t>
      </w:r>
      <w:r w:rsidR="004A771E">
        <w:rPr>
          <w:noProof/>
        </w:rPr>
        <w:drawing>
          <wp:inline distT="0" distB="0" distL="0" distR="0" wp14:anchorId="1DB9F242" wp14:editId="018F9803">
            <wp:extent cx="5648325" cy="418615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54030" cy="4190385"/>
                    </a:xfrm>
                    <a:prstGeom prst="rect">
                      <a:avLst/>
                    </a:prstGeom>
                  </pic:spPr>
                </pic:pic>
              </a:graphicData>
            </a:graphic>
          </wp:inline>
        </w:drawing>
      </w:r>
      <w:r>
        <w:tab/>
      </w:r>
      <w:r>
        <w:tab/>
      </w:r>
    </w:p>
    <w:p w14:paraId="06045E1D" w14:textId="77777777" w:rsidR="005B4005" w:rsidRPr="00547AAB" w:rsidRDefault="005B4005" w:rsidP="005B4005">
      <w:pPr>
        <w:pStyle w:val="Heading3"/>
      </w:pPr>
      <w:r>
        <w:lastRenderedPageBreak/>
        <w:tab/>
      </w:r>
      <w:r>
        <w:tab/>
      </w:r>
      <w:bookmarkStart w:id="6" w:name="_Toc514930283"/>
      <w:r>
        <w:t>Option 2: American Society for Standardization in Pharmacy (ASAP)</w:t>
      </w:r>
      <w:bookmarkEnd w:id="6"/>
      <w:r>
        <w:t xml:space="preserve"> </w:t>
      </w:r>
    </w:p>
    <w:p w14:paraId="709B403F" w14:textId="77777777" w:rsidR="005B4005" w:rsidRDefault="005B4005" w:rsidP="005B4005">
      <w:r w:rsidRPr="00004CCF">
        <w:t>The American Society for Standardization in Pharmacy (ASAP)</w:t>
      </w:r>
      <w:r>
        <w:t xml:space="preserve"> </w:t>
      </w:r>
      <w:r w:rsidRPr="007F50D9">
        <w:t xml:space="preserve">has </w:t>
      </w:r>
      <w:r>
        <w:t xml:space="preserve">also </w:t>
      </w:r>
      <w:r w:rsidRPr="007F50D9">
        <w:t xml:space="preserve">developed standards for integration. </w:t>
      </w:r>
      <w:r>
        <w:t xml:space="preserve">The </w:t>
      </w:r>
      <w:r w:rsidRPr="00B404FB">
        <w:t>PMP Gateway</w:t>
      </w:r>
      <w:r w:rsidRPr="007F50D9">
        <w:t xml:space="preserve"> </w:t>
      </w:r>
      <w:r>
        <w:t xml:space="preserve">is prepared to integrate with EHRs via ASAP, </w:t>
      </w:r>
      <w:r w:rsidRPr="007F50D9">
        <w:t>which is an XML integration option. Because this is an XML connection option, healthcare entities will be responsible for determin</w:t>
      </w:r>
      <w:r>
        <w:t>ing</w:t>
      </w:r>
      <w:r w:rsidRPr="007F50D9">
        <w:t xml:space="preserve"> how the data is presented within the E</w:t>
      </w:r>
      <w:r>
        <w:t>H</w:t>
      </w:r>
      <w:r w:rsidRPr="007F50D9">
        <w:t xml:space="preserve">R. </w:t>
      </w:r>
    </w:p>
    <w:p w14:paraId="0EFC9631" w14:textId="77777777" w:rsidR="000A2972" w:rsidRDefault="005B4005" w:rsidP="000A2972">
      <w:r>
        <w:t>Please note that t</w:t>
      </w:r>
      <w:r w:rsidRPr="007F50D9">
        <w:t>here are a handful of data elements that are available via API Version 5</w:t>
      </w:r>
      <w:r>
        <w:t>.1</w:t>
      </w:r>
      <w:r w:rsidRPr="007F50D9">
        <w:t xml:space="preserve"> and the MassPAT web application that are not available via the </w:t>
      </w:r>
      <w:r>
        <w:t>ASAP</w:t>
      </w:r>
      <w:r w:rsidRPr="007F50D9">
        <w:t xml:space="preserve"> standard. The missing data elements are the summary statistics: morphine milligram equivalence (MME), payment type, and patient ID information. </w:t>
      </w:r>
    </w:p>
    <w:p w14:paraId="0B1A9F75" w14:textId="77777777" w:rsidR="000A2972" w:rsidRDefault="000A2972" w:rsidP="000A2972">
      <w:pPr>
        <w:pStyle w:val="Heading3"/>
        <w:ind w:left="1440"/>
      </w:pPr>
      <w:bookmarkStart w:id="7" w:name="_Toc514930284"/>
      <w:r>
        <w:t>Option 3: Epic SSO</w:t>
      </w:r>
      <w:bookmarkEnd w:id="7"/>
      <w:r>
        <w:tab/>
      </w:r>
    </w:p>
    <w:p w14:paraId="17641430" w14:textId="77777777" w:rsidR="000A2972" w:rsidRPr="000A2972" w:rsidRDefault="000A2972" w:rsidP="000A2972">
      <w:r>
        <w:t>Those organizations using Epic as their EHR vendor will have the o</w:t>
      </w:r>
      <w:r w:rsidR="00BB7F3B">
        <w:t>ption to use Epic’s Single Sign-</w:t>
      </w:r>
      <w:r>
        <w:t xml:space="preserve">On (SSO) to integrate with MassPAT. </w:t>
      </w:r>
      <w:r w:rsidR="00BB7F3B">
        <w:t xml:space="preserve">This integration option will return prescription data and render it in an HTML page. </w:t>
      </w:r>
    </w:p>
    <w:p w14:paraId="75673041" w14:textId="77777777" w:rsidR="005B4005" w:rsidRPr="00A22701" w:rsidRDefault="005B4005" w:rsidP="005B4005">
      <w:pPr>
        <w:keepNext/>
        <w:keepLines/>
        <w:spacing w:before="240" w:after="0"/>
        <w:outlineLvl w:val="0"/>
        <w:rPr>
          <w:rFonts w:asciiTheme="majorHAnsi" w:eastAsiaTheme="majorEastAsia" w:hAnsiTheme="majorHAnsi" w:cstheme="majorBidi"/>
          <w:color w:val="365F91" w:themeColor="accent1" w:themeShade="BF"/>
          <w:sz w:val="32"/>
          <w:szCs w:val="32"/>
        </w:rPr>
      </w:pPr>
      <w:bookmarkStart w:id="8" w:name="_What_are_the"/>
      <w:bookmarkStart w:id="9" w:name="_Data_security"/>
      <w:bookmarkStart w:id="10" w:name="_Process"/>
      <w:bookmarkStart w:id="11" w:name="_Toc492890934"/>
      <w:bookmarkStart w:id="12" w:name="_Toc496772654"/>
      <w:bookmarkStart w:id="13" w:name="_Toc502655237"/>
      <w:bookmarkStart w:id="14" w:name="_Toc514930285"/>
      <w:bookmarkEnd w:id="8"/>
      <w:bookmarkEnd w:id="9"/>
      <w:bookmarkEnd w:id="10"/>
      <w:r w:rsidRPr="00A22701">
        <w:rPr>
          <w:rFonts w:asciiTheme="majorHAnsi" w:eastAsiaTheme="majorEastAsia" w:hAnsiTheme="majorHAnsi" w:cstheme="majorBidi"/>
          <w:color w:val="365F91" w:themeColor="accent1" w:themeShade="BF"/>
          <w:sz w:val="32"/>
          <w:szCs w:val="32"/>
        </w:rPr>
        <w:t>What is the integration request process?</w:t>
      </w:r>
      <w:bookmarkEnd w:id="11"/>
      <w:bookmarkEnd w:id="12"/>
      <w:bookmarkEnd w:id="13"/>
      <w:bookmarkEnd w:id="14"/>
    </w:p>
    <w:p w14:paraId="12B31E02" w14:textId="77777777" w:rsidR="005B4005" w:rsidRPr="00A22701" w:rsidRDefault="003728FC" w:rsidP="003728FC">
      <w:pPr>
        <w:numPr>
          <w:ilvl w:val="0"/>
          <w:numId w:val="8"/>
        </w:numPr>
        <w:spacing w:after="0" w:line="240" w:lineRule="auto"/>
        <w:contextualSpacing/>
        <w:rPr>
          <w:rFonts w:cstheme="minorHAnsi"/>
        </w:rPr>
      </w:pPr>
      <w:r>
        <w:rPr>
          <w:rFonts w:cstheme="minorHAnsi"/>
        </w:rPr>
        <w:t xml:space="preserve">Follow the instructions on the </w:t>
      </w:r>
      <w:r w:rsidRPr="003728FC">
        <w:rPr>
          <w:rFonts w:cstheme="minorHAnsi"/>
        </w:rPr>
        <w:t>Massachusetts PMP EHR Integration Request Form</w:t>
      </w:r>
      <w:r>
        <w:rPr>
          <w:rFonts w:cstheme="minorHAnsi"/>
        </w:rPr>
        <w:t xml:space="preserve"> </w:t>
      </w:r>
      <w:hyperlink r:id="rId11" w:history="1">
        <w:r w:rsidRPr="00D97C1F">
          <w:rPr>
            <w:rStyle w:val="Hyperlink"/>
            <w:rFonts w:cstheme="minorHAnsi"/>
          </w:rPr>
          <w:t>website</w:t>
        </w:r>
      </w:hyperlink>
      <w:r>
        <w:rPr>
          <w:rFonts w:cstheme="minorHAnsi"/>
        </w:rPr>
        <w:t>.</w:t>
      </w:r>
    </w:p>
    <w:p w14:paraId="7C92F7E2" w14:textId="77777777" w:rsidR="005B4005" w:rsidRPr="00A22701" w:rsidRDefault="005B4005" w:rsidP="005B4005">
      <w:pPr>
        <w:spacing w:after="0" w:line="240" w:lineRule="auto"/>
        <w:ind w:left="720"/>
        <w:contextualSpacing/>
        <w:rPr>
          <w:rFonts w:cstheme="minorHAnsi"/>
          <w:color w:val="0000FF" w:themeColor="hyperlink"/>
          <w:u w:val="single"/>
        </w:rPr>
      </w:pPr>
    </w:p>
    <w:p w14:paraId="2D3C8C0B" w14:textId="77777777" w:rsidR="005B4005" w:rsidRPr="001A66F7" w:rsidRDefault="005B4005" w:rsidP="005B4005">
      <w:pPr>
        <w:numPr>
          <w:ilvl w:val="0"/>
          <w:numId w:val="8"/>
        </w:numPr>
        <w:spacing w:after="0" w:line="240" w:lineRule="auto"/>
        <w:contextualSpacing/>
        <w:rPr>
          <w:rFonts w:cstheme="minorHAnsi"/>
        </w:rPr>
      </w:pPr>
      <w:r w:rsidRPr="001A66F7">
        <w:rPr>
          <w:rFonts w:cstheme="minorHAnsi"/>
        </w:rPr>
        <w:t>Complete the Integration Request Form, Terms &amp; Conditions</w:t>
      </w:r>
      <w:r>
        <w:rPr>
          <w:rFonts w:cstheme="minorHAnsi"/>
        </w:rPr>
        <w:t>,</w:t>
      </w:r>
      <w:r w:rsidRPr="001A66F7">
        <w:rPr>
          <w:rFonts w:cstheme="minorHAnsi"/>
        </w:rPr>
        <w:t xml:space="preserve"> and PMP Gateway Licensee Questionnaire.  </w:t>
      </w:r>
    </w:p>
    <w:p w14:paraId="06D54E0D" w14:textId="77777777" w:rsidR="005B4005" w:rsidRPr="00A22701" w:rsidRDefault="005B4005" w:rsidP="005B4005">
      <w:pPr>
        <w:spacing w:after="0" w:line="240" w:lineRule="auto"/>
        <w:ind w:left="720"/>
        <w:contextualSpacing/>
        <w:rPr>
          <w:rFonts w:cstheme="minorHAnsi"/>
        </w:rPr>
      </w:pPr>
    </w:p>
    <w:p w14:paraId="40200A36" w14:textId="77777777" w:rsidR="005B4005" w:rsidRPr="00676E9C" w:rsidRDefault="005B4005" w:rsidP="00676E9C">
      <w:pPr>
        <w:numPr>
          <w:ilvl w:val="1"/>
          <w:numId w:val="8"/>
        </w:numPr>
        <w:spacing w:after="0" w:line="240" w:lineRule="auto"/>
        <w:contextualSpacing/>
        <w:rPr>
          <w:rFonts w:cstheme="minorHAnsi"/>
        </w:rPr>
      </w:pPr>
      <w:r w:rsidRPr="00A22701">
        <w:rPr>
          <w:rFonts w:cstheme="minorHAnsi"/>
        </w:rPr>
        <w:t xml:space="preserve">Please ensure that you identify a primary contact (the person leading the project within your organization) as well as a contact for your software vendor. </w:t>
      </w:r>
    </w:p>
    <w:p w14:paraId="28348A04" w14:textId="77777777" w:rsidR="005B4005" w:rsidRPr="00A22701" w:rsidRDefault="005B4005" w:rsidP="005B4005">
      <w:pPr>
        <w:spacing w:after="0" w:line="240" w:lineRule="auto"/>
        <w:ind w:left="720"/>
        <w:contextualSpacing/>
        <w:rPr>
          <w:rFonts w:cstheme="minorHAnsi"/>
        </w:rPr>
      </w:pPr>
    </w:p>
    <w:p w14:paraId="029F917A" w14:textId="77777777" w:rsidR="005B4005" w:rsidRPr="00A22701" w:rsidRDefault="005B4005" w:rsidP="005B4005">
      <w:pPr>
        <w:numPr>
          <w:ilvl w:val="0"/>
          <w:numId w:val="8"/>
        </w:numPr>
        <w:spacing w:after="0" w:line="240" w:lineRule="auto"/>
        <w:contextualSpacing/>
      </w:pPr>
      <w:r w:rsidRPr="00A22701">
        <w:t>Appriss</w:t>
      </w:r>
      <w:r>
        <w:t xml:space="preserve"> Health</w:t>
      </w:r>
      <w:r w:rsidRPr="00A22701">
        <w:t xml:space="preserve">, the </w:t>
      </w:r>
      <w:r>
        <w:t>MassPAT</w:t>
      </w:r>
      <w:r w:rsidRPr="00A22701">
        <w:t xml:space="preserve"> software vendor, will contact you to discuss next steps (see below for more information).  </w:t>
      </w:r>
    </w:p>
    <w:p w14:paraId="3E9C9684" w14:textId="77777777" w:rsidR="005B4005" w:rsidRPr="00A22701" w:rsidRDefault="005B4005" w:rsidP="005B4005">
      <w:pPr>
        <w:spacing w:after="0" w:line="240" w:lineRule="auto"/>
      </w:pPr>
    </w:p>
    <w:p w14:paraId="18470B58" w14:textId="77777777" w:rsidR="005B4005" w:rsidRPr="00A22701" w:rsidRDefault="005B4005" w:rsidP="005B4005">
      <w:pPr>
        <w:keepNext/>
        <w:keepLines/>
        <w:spacing w:before="240" w:after="0"/>
        <w:outlineLvl w:val="0"/>
        <w:rPr>
          <w:rFonts w:asciiTheme="majorHAnsi" w:eastAsiaTheme="majorEastAsia" w:hAnsiTheme="majorHAnsi" w:cstheme="majorBidi"/>
          <w:color w:val="365F91" w:themeColor="accent1" w:themeShade="BF"/>
          <w:sz w:val="32"/>
          <w:szCs w:val="32"/>
        </w:rPr>
      </w:pPr>
      <w:bookmarkStart w:id="15" w:name="_Toc496772655"/>
      <w:bookmarkStart w:id="16" w:name="_Toc502655238"/>
      <w:bookmarkStart w:id="17" w:name="_Toc514930286"/>
      <w:r w:rsidRPr="00A22701">
        <w:rPr>
          <w:rFonts w:asciiTheme="majorHAnsi" w:eastAsiaTheme="majorEastAsia" w:hAnsiTheme="majorHAnsi" w:cstheme="majorBidi"/>
          <w:color w:val="365F91" w:themeColor="accent1" w:themeShade="BF"/>
          <w:sz w:val="32"/>
          <w:szCs w:val="32"/>
        </w:rPr>
        <w:t>What is the implementation process?</w:t>
      </w:r>
      <w:bookmarkEnd w:id="15"/>
      <w:bookmarkEnd w:id="16"/>
      <w:bookmarkEnd w:id="17"/>
    </w:p>
    <w:p w14:paraId="788ADAB9" w14:textId="77777777" w:rsidR="005B4005" w:rsidRPr="00A22701" w:rsidRDefault="005B4005" w:rsidP="005B4005">
      <w:pPr>
        <w:spacing w:after="0" w:line="240" w:lineRule="auto"/>
      </w:pPr>
      <w:r w:rsidRPr="00A22701">
        <w:t xml:space="preserve">Several EHR vendors have already completed the PMP Gateway integration development work to deliver controlled substance prescription data within their products/service offerings.  If your vendor has not yet completed integration, </w:t>
      </w:r>
      <w:r>
        <w:t>Appriss Health</w:t>
      </w:r>
      <w:r w:rsidRPr="00A22701">
        <w:t xml:space="preserve"> will work with you and your vendor to initiate that process.  </w:t>
      </w:r>
    </w:p>
    <w:p w14:paraId="01F5EE69" w14:textId="77777777" w:rsidR="005B4005" w:rsidRPr="00A22701" w:rsidRDefault="005B4005" w:rsidP="005B4005">
      <w:pPr>
        <w:spacing w:after="0" w:line="240" w:lineRule="auto"/>
      </w:pPr>
    </w:p>
    <w:p w14:paraId="52C7E7B8" w14:textId="77777777" w:rsidR="005B4005" w:rsidRPr="00A22701" w:rsidRDefault="005B4005" w:rsidP="005B4005">
      <w:pPr>
        <w:spacing w:after="0" w:line="240" w:lineRule="auto"/>
      </w:pPr>
      <w:r w:rsidRPr="00A22701">
        <w:t>If your EHR vendor has completed integration:</w:t>
      </w:r>
    </w:p>
    <w:p w14:paraId="5A1152D0" w14:textId="77777777" w:rsidR="005B4005" w:rsidRPr="00A22701" w:rsidRDefault="005B4005" w:rsidP="005B4005">
      <w:pPr>
        <w:ind w:left="720"/>
        <w:contextualSpacing/>
        <w:rPr>
          <w:rFonts w:ascii="Calibri" w:hAnsi="Calibri" w:cs="Times New Roman"/>
          <w:color w:val="000000"/>
        </w:rPr>
      </w:pPr>
    </w:p>
    <w:p w14:paraId="65A2E5A7" w14:textId="77777777" w:rsidR="005B4005" w:rsidRPr="00A22701" w:rsidRDefault="005B4005" w:rsidP="005B4005">
      <w:pPr>
        <w:numPr>
          <w:ilvl w:val="1"/>
          <w:numId w:val="10"/>
        </w:numPr>
        <w:spacing w:after="0" w:line="240" w:lineRule="auto"/>
        <w:contextualSpacing/>
      </w:pPr>
      <w:r>
        <w:rPr>
          <w:rFonts w:ascii="Calibri" w:hAnsi="Calibri" w:cs="Times New Roman"/>
          <w:color w:val="000000"/>
        </w:rPr>
        <w:t>Appriss Health</w:t>
      </w:r>
      <w:r w:rsidRPr="00A22701">
        <w:rPr>
          <w:rFonts w:ascii="Calibri" w:hAnsi="Calibri" w:cs="Times New Roman"/>
          <w:color w:val="000000"/>
        </w:rPr>
        <w:t xml:space="preserve"> will create </w:t>
      </w:r>
      <w:r>
        <w:rPr>
          <w:rFonts w:ascii="Calibri" w:hAnsi="Calibri" w:cs="Times New Roman"/>
          <w:color w:val="000000"/>
        </w:rPr>
        <w:t xml:space="preserve">pre-production (test) and </w:t>
      </w:r>
      <w:r w:rsidRPr="00A22701">
        <w:rPr>
          <w:rFonts w:ascii="Calibri" w:hAnsi="Calibri" w:cs="Times New Roman"/>
          <w:color w:val="000000"/>
        </w:rPr>
        <w:t>production PMP Gateway credentials for your Healthcare Entity.</w:t>
      </w:r>
    </w:p>
    <w:p w14:paraId="35512DAE" w14:textId="77777777" w:rsidR="005B4005" w:rsidRPr="00A22701" w:rsidRDefault="005B4005" w:rsidP="005B4005">
      <w:pPr>
        <w:numPr>
          <w:ilvl w:val="2"/>
          <w:numId w:val="10"/>
        </w:numPr>
        <w:spacing w:after="0" w:line="240" w:lineRule="auto"/>
        <w:contextualSpacing/>
      </w:pPr>
      <w:r w:rsidRPr="00A22701">
        <w:rPr>
          <w:rFonts w:ascii="Times New Roman" w:hAnsi="Times New Roman" w:cs="Times New Roman"/>
          <w:color w:val="000000"/>
          <w:sz w:val="14"/>
          <w:szCs w:val="14"/>
        </w:rPr>
        <w:t> </w:t>
      </w:r>
      <w:r w:rsidRPr="00A22701">
        <w:rPr>
          <w:rFonts w:ascii="Calibri" w:hAnsi="Calibri" w:cs="Times New Roman"/>
          <w:color w:val="000000"/>
        </w:rPr>
        <w:t>This process should take 2-3 business days</w:t>
      </w:r>
      <w:r>
        <w:rPr>
          <w:rFonts w:ascii="Calibri" w:hAnsi="Calibri" w:cs="Times New Roman"/>
          <w:color w:val="000000"/>
        </w:rPr>
        <w:br/>
      </w:r>
    </w:p>
    <w:p w14:paraId="06524947" w14:textId="77777777" w:rsidR="005B4005" w:rsidRPr="00A22701" w:rsidRDefault="005B4005" w:rsidP="005B4005">
      <w:pPr>
        <w:numPr>
          <w:ilvl w:val="1"/>
          <w:numId w:val="10"/>
        </w:numPr>
        <w:spacing w:after="0" w:line="240" w:lineRule="auto"/>
        <w:contextualSpacing/>
      </w:pPr>
      <w:r w:rsidRPr="00A22701">
        <w:rPr>
          <w:rFonts w:ascii="Calibri" w:hAnsi="Calibri" w:cs="Times New Roman"/>
          <w:color w:val="000000"/>
        </w:rPr>
        <w:t>Credentials will then be sent to your EHR vendor (or directly to you, depending upon your vendor) to start the process.</w:t>
      </w:r>
    </w:p>
    <w:p w14:paraId="1DD1CCD6" w14:textId="77777777" w:rsidR="005B4005" w:rsidRPr="00A22701" w:rsidRDefault="005B4005" w:rsidP="005B4005">
      <w:pPr>
        <w:numPr>
          <w:ilvl w:val="2"/>
          <w:numId w:val="10"/>
        </w:numPr>
        <w:spacing w:after="0" w:line="240" w:lineRule="auto"/>
        <w:contextualSpacing/>
      </w:pPr>
      <w:r>
        <w:rPr>
          <w:rFonts w:ascii="Calibri" w:hAnsi="Calibri" w:cs="Times New Roman"/>
          <w:color w:val="000000"/>
        </w:rPr>
        <w:t>Appriss Health</w:t>
      </w:r>
      <w:r w:rsidRPr="00A22701">
        <w:rPr>
          <w:rFonts w:ascii="Calibri" w:hAnsi="Calibri" w:cs="Times New Roman"/>
          <w:color w:val="000000"/>
        </w:rPr>
        <w:t xml:space="preserve"> recommends you contact your EHR vendor to let them know you have submitted a request to be integrated under the </w:t>
      </w:r>
      <w:r>
        <w:rPr>
          <w:rFonts w:ascii="Calibri" w:hAnsi="Calibri" w:cs="Times New Roman"/>
          <w:color w:val="000000"/>
        </w:rPr>
        <w:t>MassPAT EMR</w:t>
      </w:r>
      <w:r w:rsidRPr="00A22701">
        <w:rPr>
          <w:rFonts w:ascii="Calibri" w:hAnsi="Calibri" w:cs="Times New Roman"/>
          <w:color w:val="000000"/>
        </w:rPr>
        <w:t xml:space="preserve"> Integration project.</w:t>
      </w:r>
      <w:r>
        <w:rPr>
          <w:rFonts w:ascii="Calibri" w:hAnsi="Calibri" w:cs="Times New Roman"/>
          <w:color w:val="000000"/>
        </w:rPr>
        <w:br/>
      </w:r>
    </w:p>
    <w:p w14:paraId="14ABEF62" w14:textId="77777777" w:rsidR="005B4005" w:rsidRPr="00CC084E" w:rsidRDefault="005B4005" w:rsidP="005B4005">
      <w:pPr>
        <w:numPr>
          <w:ilvl w:val="1"/>
          <w:numId w:val="10"/>
        </w:numPr>
        <w:spacing w:after="0" w:line="240" w:lineRule="auto"/>
        <w:contextualSpacing/>
      </w:pPr>
      <w:r w:rsidRPr="00A22701">
        <w:rPr>
          <w:rFonts w:ascii="Calibri" w:hAnsi="Calibri" w:cs="Times New Roman"/>
          <w:color w:val="000000"/>
        </w:rPr>
        <w:lastRenderedPageBreak/>
        <w:t xml:space="preserve">Your EHR vendor will reach out to you to start the </w:t>
      </w:r>
      <w:r>
        <w:rPr>
          <w:rFonts w:ascii="Calibri" w:hAnsi="Calibri" w:cs="Times New Roman"/>
          <w:color w:val="000000"/>
        </w:rPr>
        <w:t>implementation</w:t>
      </w:r>
      <w:r w:rsidRPr="00A22701">
        <w:rPr>
          <w:rFonts w:ascii="Calibri" w:hAnsi="Calibri" w:cs="Times New Roman"/>
          <w:color w:val="000000"/>
        </w:rPr>
        <w:t xml:space="preserve"> process.</w:t>
      </w:r>
      <w:r>
        <w:rPr>
          <w:rFonts w:ascii="Calibri" w:hAnsi="Calibri" w:cs="Times New Roman"/>
          <w:color w:val="000000"/>
        </w:rPr>
        <w:br/>
      </w:r>
    </w:p>
    <w:p w14:paraId="230B3A93" w14:textId="77777777" w:rsidR="005B4005" w:rsidRPr="00CC084E" w:rsidRDefault="005B4005" w:rsidP="005B4005">
      <w:pPr>
        <w:numPr>
          <w:ilvl w:val="1"/>
          <w:numId w:val="10"/>
        </w:numPr>
        <w:spacing w:line="252" w:lineRule="auto"/>
        <w:rPr>
          <w:bCs/>
        </w:rPr>
      </w:pPr>
      <w:r w:rsidRPr="00CC084E">
        <w:t xml:space="preserve">You must create a certificate signing request that can be submitted to the PMP Gateway certificate authority. PMP Gateway then generates a certificate that the licensee uses to make requests to PMP Gateway’s two-way SSL/TLS enabled endpoint. </w:t>
      </w:r>
      <w:r w:rsidR="00874DAC">
        <w:t xml:space="preserve"> </w:t>
      </w:r>
      <w:r w:rsidR="00874DAC" w:rsidRPr="00874DAC">
        <w:rPr>
          <w:b/>
        </w:rPr>
        <w:t>*</w:t>
      </w:r>
      <w:r w:rsidR="00874DAC">
        <w:rPr>
          <w:b/>
        </w:rPr>
        <w:t>Separate certificates</w:t>
      </w:r>
      <w:r w:rsidR="00874DAC" w:rsidRPr="00874DAC">
        <w:rPr>
          <w:b/>
        </w:rPr>
        <w:t xml:space="preserve"> must be </w:t>
      </w:r>
      <w:r w:rsidR="00874DAC">
        <w:rPr>
          <w:b/>
        </w:rPr>
        <w:t xml:space="preserve">created </w:t>
      </w:r>
      <w:r w:rsidR="00874DAC" w:rsidRPr="00874DAC">
        <w:rPr>
          <w:b/>
        </w:rPr>
        <w:t>for pre-production (test) and production.*</w:t>
      </w:r>
    </w:p>
    <w:p w14:paraId="00D2E72F" w14:textId="77777777" w:rsidR="005B4005" w:rsidRPr="00CC084E" w:rsidRDefault="005B4005" w:rsidP="005B4005">
      <w:pPr>
        <w:pStyle w:val="ListParagraph"/>
        <w:numPr>
          <w:ilvl w:val="2"/>
          <w:numId w:val="10"/>
        </w:numPr>
      </w:pPr>
      <w:r w:rsidRPr="00CC084E">
        <w:t xml:space="preserve">You must have an active licensee administrator account in PMP Gateway. </w:t>
      </w:r>
    </w:p>
    <w:p w14:paraId="35FB9805" w14:textId="77777777" w:rsidR="005B4005" w:rsidRPr="00CC084E" w:rsidRDefault="005B4005" w:rsidP="005B4005">
      <w:pPr>
        <w:pStyle w:val="ListParagraph"/>
        <w:numPr>
          <w:ilvl w:val="3"/>
          <w:numId w:val="10"/>
        </w:numPr>
      </w:pPr>
      <w:r w:rsidRPr="00CC084E">
        <w:t xml:space="preserve">You will be issued your account information when your credentials are provided by Appriss Health. </w:t>
      </w:r>
    </w:p>
    <w:p w14:paraId="1003B629" w14:textId="77777777" w:rsidR="005B4005" w:rsidRDefault="005B4005" w:rsidP="005B4005">
      <w:pPr>
        <w:pStyle w:val="ListParagraph"/>
        <w:numPr>
          <w:ilvl w:val="2"/>
          <w:numId w:val="10"/>
        </w:numPr>
        <w:contextualSpacing w:val="0"/>
      </w:pPr>
      <w:r w:rsidRPr="00CC084E">
        <w:t xml:space="preserve">Additional configuration details will be sent with the account </w:t>
      </w:r>
      <w:r>
        <w:t xml:space="preserve">information. </w:t>
      </w:r>
    </w:p>
    <w:p w14:paraId="797006A0" w14:textId="77777777" w:rsidR="00676E9C" w:rsidRDefault="00676E9C" w:rsidP="00676E9C">
      <w:pPr>
        <w:pStyle w:val="ListParagraph"/>
        <w:numPr>
          <w:ilvl w:val="0"/>
          <w:numId w:val="11"/>
        </w:numPr>
        <w:spacing w:line="252" w:lineRule="auto"/>
      </w:pPr>
      <w:r>
        <w:t xml:space="preserve">Once testing is complete, you must send test results and a screenshot of the integration within your EHR/PMS to MA DPH using the “EHR Integration Readiness Document” which can be found in Appendix A and on </w:t>
      </w:r>
      <w:r w:rsidR="001E5268">
        <w:t>the</w:t>
      </w:r>
      <w:r>
        <w:t xml:space="preserve"> PMP website. *</w:t>
      </w:r>
      <w:r>
        <w:rPr>
          <w:b/>
          <w:bCs/>
        </w:rPr>
        <w:t>This is a requirement before you can move to production</w:t>
      </w:r>
      <w:r>
        <w:t xml:space="preserve">. </w:t>
      </w:r>
      <w:r>
        <w:br/>
      </w:r>
    </w:p>
    <w:p w14:paraId="59BB301E" w14:textId="77777777" w:rsidR="00676E9C" w:rsidRDefault="00676E9C" w:rsidP="00676E9C">
      <w:pPr>
        <w:pStyle w:val="ListParagraph"/>
        <w:numPr>
          <w:ilvl w:val="2"/>
          <w:numId w:val="12"/>
        </w:numPr>
        <w:spacing w:line="252" w:lineRule="auto"/>
      </w:pPr>
      <w:r>
        <w:t xml:space="preserve">Please send the readiness </w:t>
      </w:r>
      <w:r w:rsidRPr="00D97C1F">
        <w:t xml:space="preserve">document to </w:t>
      </w:r>
      <w:hyperlink r:id="rId12" w:history="1">
        <w:r w:rsidR="003541FD" w:rsidRPr="003541FD">
          <w:rPr>
            <w:rStyle w:val="Hyperlink"/>
            <w:rFonts w:ascii="Arial" w:hAnsi="Arial" w:cs="Arial"/>
            <w:sz w:val="20"/>
            <w:szCs w:val="20"/>
            <w:shd w:val="clear" w:color="auto" w:fill="F5F5F5"/>
          </w:rPr>
          <w:t>PMP.EHR@massmail.state.ma.us</w:t>
        </w:r>
      </w:hyperlink>
      <w:r w:rsidRPr="00D97C1F">
        <w:t xml:space="preserve"> with th</w:t>
      </w:r>
      <w:r>
        <w:t>e subject of “[Organization Name] - EHR Testing”.</w:t>
      </w:r>
      <w:r>
        <w:br/>
      </w:r>
    </w:p>
    <w:p w14:paraId="7D31E2CF" w14:textId="77777777" w:rsidR="00676E9C" w:rsidRDefault="00676E9C" w:rsidP="00676E9C">
      <w:pPr>
        <w:pStyle w:val="ListParagraph"/>
        <w:numPr>
          <w:ilvl w:val="2"/>
          <w:numId w:val="12"/>
        </w:numPr>
        <w:spacing w:line="252" w:lineRule="auto"/>
      </w:pPr>
      <w:r>
        <w:t>Once this is received, MA DPH will approve your access to production. You should receive an automated email once you are approved.</w:t>
      </w:r>
      <w:r>
        <w:br/>
      </w:r>
    </w:p>
    <w:p w14:paraId="7DD71F53" w14:textId="77777777" w:rsidR="005B4005" w:rsidRPr="0068073C" w:rsidRDefault="005B4005" w:rsidP="00676E9C">
      <w:pPr>
        <w:pStyle w:val="ListParagraph"/>
        <w:numPr>
          <w:ilvl w:val="0"/>
          <w:numId w:val="13"/>
        </w:numPr>
      </w:pPr>
      <w:r w:rsidRPr="0068073C">
        <w:t>You will work with your EHR</w:t>
      </w:r>
      <w:r>
        <w:t>/PMS</w:t>
      </w:r>
      <w:r w:rsidRPr="0068073C">
        <w:t xml:space="preserve"> vendor to determine the final roll-out schedule and communicate this timeline with </w:t>
      </w:r>
      <w:r>
        <w:t>MA DPH</w:t>
      </w:r>
      <w:r w:rsidRPr="0068073C">
        <w:t xml:space="preserve">.  </w:t>
      </w:r>
    </w:p>
    <w:p w14:paraId="40D9A45F" w14:textId="77777777" w:rsidR="005B4005" w:rsidRPr="00CC084E" w:rsidRDefault="005B4005" w:rsidP="005B4005">
      <w:pPr>
        <w:spacing w:after="0" w:line="240" w:lineRule="auto"/>
        <w:ind w:left="720"/>
        <w:rPr>
          <w:rFonts w:ascii="Calibri" w:hAnsi="Calibri" w:cs="Times New Roman"/>
          <w:color w:val="000000"/>
        </w:rPr>
      </w:pPr>
      <w:r>
        <w:rPr>
          <w:rFonts w:ascii="Calibri" w:hAnsi="Calibri" w:cs="Times New Roman"/>
          <w:b/>
          <w:color w:val="000000"/>
        </w:rPr>
        <w:t>*</w:t>
      </w:r>
      <w:r w:rsidRPr="00CC084E">
        <w:rPr>
          <w:rFonts w:ascii="Calibri" w:hAnsi="Calibri" w:cs="Times New Roman"/>
          <w:b/>
          <w:color w:val="000000"/>
        </w:rPr>
        <w:t>Please note:</w:t>
      </w:r>
      <w:r w:rsidRPr="00CC084E">
        <w:rPr>
          <w:rFonts w:ascii="Calibri" w:hAnsi="Calibri" w:cs="Times New Roman"/>
          <w:color w:val="000000"/>
        </w:rPr>
        <w:t xml:space="preserve"> If you are using Epic as your EHR vendor, the implementation process will vary</w:t>
      </w:r>
      <w:r>
        <w:rPr>
          <w:rFonts w:ascii="Calibri" w:hAnsi="Calibri" w:cs="Times New Roman"/>
          <w:color w:val="000000"/>
        </w:rPr>
        <w:t xml:space="preserve"> from what is outlined above</w:t>
      </w:r>
      <w:r w:rsidRPr="00CC084E">
        <w:rPr>
          <w:rFonts w:ascii="Calibri" w:hAnsi="Calibri" w:cs="Times New Roman"/>
          <w:color w:val="000000"/>
        </w:rPr>
        <w:t xml:space="preserve">. </w:t>
      </w:r>
      <w:r w:rsidR="00BB7F3B">
        <w:rPr>
          <w:rFonts w:ascii="Calibri" w:hAnsi="Calibri" w:cs="Times New Roman"/>
          <w:color w:val="000000"/>
        </w:rPr>
        <w:t>T</w:t>
      </w:r>
      <w:r w:rsidRPr="00CC084E">
        <w:rPr>
          <w:rFonts w:ascii="Calibri" w:hAnsi="Calibri" w:cs="Times New Roman"/>
          <w:color w:val="000000"/>
        </w:rPr>
        <w:t>he implementation process is mor</w:t>
      </w:r>
      <w:r>
        <w:rPr>
          <w:rFonts w:ascii="Calibri" w:hAnsi="Calibri" w:cs="Times New Roman"/>
          <w:color w:val="000000"/>
        </w:rPr>
        <w:t>e involved at the HCE level</w:t>
      </w:r>
      <w:r w:rsidR="00BB7F3B">
        <w:rPr>
          <w:rFonts w:ascii="Calibri" w:hAnsi="Calibri" w:cs="Times New Roman"/>
          <w:color w:val="000000"/>
        </w:rPr>
        <w:t xml:space="preserve"> and</w:t>
      </w:r>
      <w:r>
        <w:rPr>
          <w:rFonts w:ascii="Calibri" w:hAnsi="Calibri" w:cs="Times New Roman"/>
          <w:color w:val="000000"/>
        </w:rPr>
        <w:t xml:space="preserve"> Appriss Health will contact the HCE directly to coordinate the implementation for Epic sites. </w:t>
      </w:r>
      <w:r>
        <w:rPr>
          <w:rFonts w:ascii="Calibri" w:hAnsi="Calibri" w:cs="Times New Roman"/>
          <w:color w:val="000000"/>
        </w:rPr>
        <w:br/>
      </w:r>
    </w:p>
    <w:p w14:paraId="788395AB" w14:textId="77777777" w:rsidR="005B4005" w:rsidRPr="00A22701" w:rsidRDefault="005B4005" w:rsidP="005B4005">
      <w:pPr>
        <w:spacing w:after="0" w:line="240" w:lineRule="auto"/>
        <w:rPr>
          <w:rFonts w:cstheme="minorHAnsi"/>
        </w:rPr>
      </w:pPr>
      <w:r w:rsidRPr="00A22701">
        <w:rPr>
          <w:rFonts w:cstheme="minorHAnsi"/>
        </w:rPr>
        <w:t xml:space="preserve">If your EHR vendor has </w:t>
      </w:r>
      <w:r w:rsidRPr="00A22701">
        <w:rPr>
          <w:rFonts w:cstheme="minorHAnsi"/>
          <w:b/>
          <w:u w:val="single"/>
        </w:rPr>
        <w:t>not</w:t>
      </w:r>
      <w:r w:rsidRPr="00A22701">
        <w:rPr>
          <w:rFonts w:cstheme="minorHAnsi"/>
        </w:rPr>
        <w:t xml:space="preserve"> completed the necessary integration development: </w:t>
      </w:r>
    </w:p>
    <w:p w14:paraId="6B11B40F" w14:textId="77777777" w:rsidR="005B4005" w:rsidRPr="00A22701" w:rsidRDefault="005B4005" w:rsidP="005B4005">
      <w:pPr>
        <w:spacing w:after="0" w:line="240" w:lineRule="auto"/>
        <w:rPr>
          <w:rFonts w:cstheme="minorHAnsi"/>
        </w:rPr>
      </w:pPr>
    </w:p>
    <w:p w14:paraId="213595DE" w14:textId="77777777" w:rsidR="005B4005" w:rsidRDefault="005B4005" w:rsidP="005B4005">
      <w:pPr>
        <w:numPr>
          <w:ilvl w:val="0"/>
          <w:numId w:val="9"/>
        </w:numPr>
        <w:spacing w:after="0" w:line="240" w:lineRule="auto"/>
        <w:contextualSpacing/>
      </w:pPr>
      <w:r>
        <w:t>An Appriss Health Project Manager (PM) will reach out to the point of contact listed on your Integration Request Form and let you know that they are initiating</w:t>
      </w:r>
      <w:r w:rsidR="00E30958">
        <w:t xml:space="preserve"> communication with your vendor.</w:t>
      </w:r>
      <w:r>
        <w:br/>
      </w:r>
    </w:p>
    <w:p w14:paraId="1FC32737" w14:textId="77777777" w:rsidR="005B4005" w:rsidRDefault="005B4005" w:rsidP="005B4005">
      <w:pPr>
        <w:numPr>
          <w:ilvl w:val="0"/>
          <w:numId w:val="9"/>
        </w:numPr>
        <w:spacing w:line="252" w:lineRule="auto"/>
      </w:pPr>
      <w:r>
        <w:t>Appriss Health will provide the EHR vendor with the technical API documentation</w:t>
      </w:r>
    </w:p>
    <w:p w14:paraId="1CC419FC" w14:textId="77777777" w:rsidR="005B4005" w:rsidRPr="001E5268" w:rsidRDefault="005B4005" w:rsidP="005B4005">
      <w:pPr>
        <w:numPr>
          <w:ilvl w:val="1"/>
          <w:numId w:val="9"/>
        </w:numPr>
        <w:spacing w:after="240" w:line="252" w:lineRule="auto"/>
        <w:contextualSpacing/>
      </w:pPr>
      <w:r>
        <w:rPr>
          <w:b/>
          <w:bCs/>
          <w:i/>
          <w:iCs/>
        </w:rPr>
        <w:t>Please note:</w:t>
      </w:r>
      <w:r>
        <w:rPr>
          <w:i/>
          <w:iCs/>
        </w:rPr>
        <w:t xml:space="preserve"> Depending upon the engagement level of the vendor or existing project backlog, this process can take up to several months. </w:t>
      </w:r>
    </w:p>
    <w:p w14:paraId="2A25AA72" w14:textId="77777777" w:rsidR="001E5268" w:rsidRDefault="001E5268" w:rsidP="001E5268">
      <w:pPr>
        <w:spacing w:after="240" w:line="252" w:lineRule="auto"/>
        <w:ind w:left="2520"/>
        <w:contextualSpacing/>
      </w:pPr>
    </w:p>
    <w:p w14:paraId="02089F59" w14:textId="77777777" w:rsidR="005B4005" w:rsidRDefault="005B4005" w:rsidP="005B4005">
      <w:pPr>
        <w:numPr>
          <w:ilvl w:val="0"/>
          <w:numId w:val="9"/>
        </w:numPr>
        <w:spacing w:line="252" w:lineRule="auto"/>
      </w:pPr>
      <w:r>
        <w:t xml:space="preserve">Appriss Health will provide testing instructions and test patients to your EHR vendor and will provide technical support as needed.    </w:t>
      </w:r>
    </w:p>
    <w:p w14:paraId="1FD5DB32" w14:textId="77777777" w:rsidR="005B4005" w:rsidRPr="00CC084E" w:rsidRDefault="005B4005" w:rsidP="005B4005">
      <w:pPr>
        <w:numPr>
          <w:ilvl w:val="0"/>
          <w:numId w:val="9"/>
        </w:numPr>
        <w:spacing w:after="240" w:line="240" w:lineRule="auto"/>
        <w:contextualSpacing/>
        <w:rPr>
          <w:bCs/>
        </w:rPr>
      </w:pPr>
      <w:r w:rsidRPr="00CC084E">
        <w:rPr>
          <w:bCs/>
        </w:rPr>
        <w:t xml:space="preserve">Your EHR vendor will work to ensure all provider roles are mapped correctly to the appropriate PMP Gateway role. </w:t>
      </w:r>
      <w:r>
        <w:rPr>
          <w:bCs/>
        </w:rPr>
        <w:br/>
      </w:r>
    </w:p>
    <w:p w14:paraId="6A46DA0A" w14:textId="77777777" w:rsidR="005B4005" w:rsidRPr="00CC084E" w:rsidRDefault="005B4005" w:rsidP="005B4005">
      <w:pPr>
        <w:numPr>
          <w:ilvl w:val="0"/>
          <w:numId w:val="9"/>
        </w:numPr>
        <w:spacing w:line="252" w:lineRule="auto"/>
        <w:rPr>
          <w:bCs/>
          <w:i/>
          <w:iCs/>
        </w:rPr>
      </w:pPr>
      <w:r w:rsidRPr="00CC084E">
        <w:rPr>
          <w:bCs/>
        </w:rPr>
        <w:lastRenderedPageBreak/>
        <w:t>Your EHR Vendor will demo the PMP Gateway Integration for Appriss Health so that they may provide any additional recommendations or changes. This demo may also include representatives from MA DPH.</w:t>
      </w:r>
    </w:p>
    <w:p w14:paraId="3B27B069" w14:textId="77777777" w:rsidR="005B4005" w:rsidRPr="00CC084E" w:rsidRDefault="005B4005" w:rsidP="005B4005">
      <w:pPr>
        <w:numPr>
          <w:ilvl w:val="0"/>
          <w:numId w:val="9"/>
        </w:numPr>
        <w:spacing w:line="252" w:lineRule="auto"/>
        <w:rPr>
          <w:bCs/>
        </w:rPr>
      </w:pPr>
      <w:r w:rsidRPr="00CC084E">
        <w:rPr>
          <w:bCs/>
        </w:rPr>
        <w:t>Once your EHR vendor’s integration development has been approved by Appriss Health and MA DPH, Appriss Health will notify you to begin the process of integrating this within your system.</w:t>
      </w:r>
    </w:p>
    <w:p w14:paraId="7CA792DE" w14:textId="77777777" w:rsidR="005B4005" w:rsidRPr="00CC084E" w:rsidRDefault="005B4005" w:rsidP="005B4005">
      <w:pPr>
        <w:numPr>
          <w:ilvl w:val="0"/>
          <w:numId w:val="9"/>
        </w:numPr>
        <w:spacing w:line="252" w:lineRule="auto"/>
        <w:rPr>
          <w:bCs/>
        </w:rPr>
      </w:pPr>
      <w:r w:rsidRPr="00CC084E">
        <w:t xml:space="preserve">You must create a certificate signing request that can be submitted to the PMP Gateway certificate authority. PMP Gateway then generates a certificate that the licensee uses to make requests to PMP Gateway’s two-way SSL/TLS enabled endpoint. </w:t>
      </w:r>
    </w:p>
    <w:p w14:paraId="43BA4FFA" w14:textId="77777777" w:rsidR="005B4005" w:rsidRDefault="005B4005" w:rsidP="005B4005">
      <w:pPr>
        <w:pStyle w:val="ListParagraph"/>
        <w:numPr>
          <w:ilvl w:val="2"/>
          <w:numId w:val="9"/>
        </w:numPr>
      </w:pPr>
      <w:r>
        <w:t xml:space="preserve">You must have an active licensee administrator account in PMP Gateway. </w:t>
      </w:r>
    </w:p>
    <w:p w14:paraId="5D9AF113" w14:textId="77777777" w:rsidR="005B4005" w:rsidRDefault="005B4005" w:rsidP="005B4005">
      <w:pPr>
        <w:pStyle w:val="ListParagraph"/>
        <w:numPr>
          <w:ilvl w:val="3"/>
          <w:numId w:val="9"/>
        </w:numPr>
      </w:pPr>
      <w:r>
        <w:t xml:space="preserve">You will be issued your account information when your production credentials are sent. </w:t>
      </w:r>
    </w:p>
    <w:p w14:paraId="1C1F5C24" w14:textId="77777777" w:rsidR="005B4005" w:rsidRDefault="005B4005" w:rsidP="005B4005">
      <w:pPr>
        <w:pStyle w:val="ListParagraph"/>
        <w:numPr>
          <w:ilvl w:val="2"/>
          <w:numId w:val="9"/>
        </w:numPr>
        <w:contextualSpacing w:val="0"/>
      </w:pPr>
      <w:r>
        <w:t xml:space="preserve">Additional configuration details will be sent with the account information. </w:t>
      </w:r>
    </w:p>
    <w:p w14:paraId="7A1E9CAD" w14:textId="77777777" w:rsidR="001E5268" w:rsidRDefault="001E5268" w:rsidP="001E5268">
      <w:pPr>
        <w:pStyle w:val="ListParagraph"/>
        <w:numPr>
          <w:ilvl w:val="0"/>
          <w:numId w:val="9"/>
        </w:numPr>
        <w:spacing w:line="252" w:lineRule="auto"/>
      </w:pPr>
      <w:r>
        <w:t>Once testing is complete, you must send test results and a screenshot of the integration within your EHR/PMS to MA DPH using the “EHR Integration Readiness Document” which can be found in Appendix A and on the PMP website. *</w:t>
      </w:r>
      <w:r>
        <w:rPr>
          <w:b/>
          <w:bCs/>
        </w:rPr>
        <w:t>This is a requirement before you can move to production</w:t>
      </w:r>
      <w:r>
        <w:t xml:space="preserve">. </w:t>
      </w:r>
      <w:r>
        <w:br/>
      </w:r>
    </w:p>
    <w:p w14:paraId="036DA39E" w14:textId="77777777" w:rsidR="001E5268" w:rsidRDefault="001E5268" w:rsidP="001E5268">
      <w:pPr>
        <w:pStyle w:val="ListParagraph"/>
        <w:numPr>
          <w:ilvl w:val="2"/>
          <w:numId w:val="9"/>
        </w:numPr>
        <w:contextualSpacing w:val="0"/>
      </w:pPr>
      <w:r>
        <w:t xml:space="preserve">Please send the readiness document to </w:t>
      </w:r>
      <w:hyperlink r:id="rId13" w:history="1">
        <w:r w:rsidR="00D60D41">
          <w:rPr>
            <w:rStyle w:val="Hyperlink"/>
            <w:rFonts w:ascii="Arial" w:hAnsi="Arial" w:cs="Arial"/>
            <w:color w:val="64406B"/>
            <w:sz w:val="20"/>
            <w:szCs w:val="20"/>
            <w:shd w:val="clear" w:color="auto" w:fill="F5F5F5"/>
          </w:rPr>
          <w:t>PMP.EHR@massmail.state.ma.us</w:t>
        </w:r>
      </w:hyperlink>
      <w:r>
        <w:t xml:space="preserve"> with the subject of “[Organization Name] - EHR Testing”. </w:t>
      </w:r>
    </w:p>
    <w:p w14:paraId="202AA729" w14:textId="77777777" w:rsidR="005B4005" w:rsidRDefault="005B4005" w:rsidP="001E5268">
      <w:pPr>
        <w:pStyle w:val="ListParagraph"/>
        <w:numPr>
          <w:ilvl w:val="2"/>
          <w:numId w:val="9"/>
        </w:numPr>
        <w:contextualSpacing w:val="0"/>
      </w:pPr>
      <w:r w:rsidRPr="0068073C">
        <w:t xml:space="preserve">Once this is received, </w:t>
      </w:r>
      <w:r>
        <w:t xml:space="preserve">MA DPH will approve your access to production. </w:t>
      </w:r>
      <w:r w:rsidRPr="0068073C">
        <w:t>You should receive an automated email</w:t>
      </w:r>
      <w:r>
        <w:t xml:space="preserve"> once you are approved.</w:t>
      </w:r>
    </w:p>
    <w:p w14:paraId="1F5BA3AB" w14:textId="77777777" w:rsidR="005B4005" w:rsidRPr="0068073C" w:rsidRDefault="005B4005" w:rsidP="005B4005">
      <w:pPr>
        <w:pStyle w:val="ListParagraph"/>
        <w:numPr>
          <w:ilvl w:val="0"/>
          <w:numId w:val="9"/>
        </w:numPr>
      </w:pPr>
      <w:r w:rsidRPr="0068073C">
        <w:t>You will work with your EHR</w:t>
      </w:r>
      <w:r>
        <w:t>/PMS</w:t>
      </w:r>
      <w:r w:rsidRPr="0068073C">
        <w:t xml:space="preserve"> vendor to determine the final roll-out schedule and communicate this timeline with </w:t>
      </w:r>
      <w:r>
        <w:t>MA DPH</w:t>
      </w:r>
      <w:r w:rsidRPr="0068073C">
        <w:t xml:space="preserve">.  </w:t>
      </w:r>
    </w:p>
    <w:p w14:paraId="19A28D72" w14:textId="77777777" w:rsidR="005B4005" w:rsidRDefault="005B4005" w:rsidP="005B4005">
      <w:pPr>
        <w:pStyle w:val="Heading2"/>
      </w:pPr>
      <w:bookmarkStart w:id="18" w:name="_Clinical_workflow"/>
      <w:bookmarkEnd w:id="18"/>
      <w:r>
        <w:tab/>
      </w:r>
      <w:bookmarkStart w:id="19" w:name="_Toc514930287"/>
      <w:r>
        <w:t>Clinical workflow</w:t>
      </w:r>
      <w:bookmarkEnd w:id="19"/>
    </w:p>
    <w:p w14:paraId="0C191C58" w14:textId="77777777" w:rsidR="005B4005" w:rsidRDefault="005B4005" w:rsidP="005B4005">
      <w:r>
        <w:t xml:space="preserve">When determining where in the clinical workflow the EHR will query the MassPAT system, it is important to note that there are key functional differences between the MassPAT web portal and EHR integration. The goal for integration is to provide the key data elements to providers in a streamlined workflow. </w:t>
      </w:r>
    </w:p>
    <w:p w14:paraId="3A610BD9" w14:textId="77777777" w:rsidR="005B4005" w:rsidRDefault="005B4005" w:rsidP="005B4005">
      <w:r>
        <w:t>EHR integration removes the need for a user to:</w:t>
      </w:r>
    </w:p>
    <w:p w14:paraId="3810604B" w14:textId="77777777" w:rsidR="005B4005" w:rsidRDefault="005B4005" w:rsidP="005B4005">
      <w:pPr>
        <w:pStyle w:val="ListParagraph"/>
        <w:numPr>
          <w:ilvl w:val="0"/>
          <w:numId w:val="2"/>
        </w:numPr>
      </w:pPr>
      <w:r>
        <w:t xml:space="preserve">Exit the EHR and go to </w:t>
      </w:r>
      <w:hyperlink r:id="rId14" w:history="1">
        <w:r w:rsidRPr="00BA14EB">
          <w:rPr>
            <w:rStyle w:val="Hyperlink"/>
          </w:rPr>
          <w:t>www.mass.gov/dph/masspat</w:t>
        </w:r>
      </w:hyperlink>
    </w:p>
    <w:p w14:paraId="674AFCA1" w14:textId="77777777" w:rsidR="005B4005" w:rsidRDefault="005B4005" w:rsidP="005B4005">
      <w:pPr>
        <w:pStyle w:val="ListParagraph"/>
        <w:numPr>
          <w:ilvl w:val="0"/>
          <w:numId w:val="2"/>
        </w:numPr>
      </w:pPr>
      <w:r>
        <w:t>Enter username &amp; password</w:t>
      </w:r>
      <w:r w:rsidR="00E30958">
        <w:t xml:space="preserve"> in two separate systems</w:t>
      </w:r>
    </w:p>
    <w:p w14:paraId="42CA8F18" w14:textId="77777777" w:rsidR="005B4005" w:rsidRDefault="005B4005" w:rsidP="005B4005">
      <w:pPr>
        <w:pStyle w:val="ListParagraph"/>
        <w:numPr>
          <w:ilvl w:val="0"/>
          <w:numId w:val="2"/>
        </w:numPr>
      </w:pPr>
      <w:r>
        <w:t>Navigate to a patient request</w:t>
      </w:r>
    </w:p>
    <w:p w14:paraId="6FE0670E" w14:textId="77777777" w:rsidR="005B4005" w:rsidRDefault="005B4005" w:rsidP="005B4005">
      <w:pPr>
        <w:pStyle w:val="ListParagraph"/>
        <w:numPr>
          <w:ilvl w:val="0"/>
          <w:numId w:val="2"/>
        </w:numPr>
      </w:pPr>
      <w:r>
        <w:t>Enter a patient’s first name, last name, and date of birth</w:t>
      </w:r>
    </w:p>
    <w:p w14:paraId="0EDE6E0A" w14:textId="77777777" w:rsidR="005B4005" w:rsidRDefault="005B4005" w:rsidP="005B4005">
      <w:pPr>
        <w:pStyle w:val="ListParagraph"/>
        <w:numPr>
          <w:ilvl w:val="0"/>
          <w:numId w:val="2"/>
        </w:numPr>
      </w:pPr>
      <w:r>
        <w:t>Determine the date range to search</w:t>
      </w:r>
    </w:p>
    <w:p w14:paraId="0630231E" w14:textId="77777777" w:rsidR="005B4005" w:rsidRDefault="005B4005" w:rsidP="005B4005">
      <w:pPr>
        <w:pStyle w:val="ListParagraph"/>
        <w:numPr>
          <w:ilvl w:val="0"/>
          <w:numId w:val="2"/>
        </w:numPr>
      </w:pPr>
      <w:r>
        <w:lastRenderedPageBreak/>
        <w:t xml:space="preserve">Select which states to query </w:t>
      </w:r>
    </w:p>
    <w:p w14:paraId="7FBFF330" w14:textId="77777777" w:rsidR="005B4005" w:rsidRDefault="005B4005" w:rsidP="005B4005">
      <w:pPr>
        <w:pStyle w:val="ListParagraph"/>
        <w:numPr>
          <w:ilvl w:val="0"/>
          <w:numId w:val="2"/>
        </w:numPr>
      </w:pPr>
      <w:r>
        <w:t>Click ‘search’</w:t>
      </w:r>
    </w:p>
    <w:p w14:paraId="01E1689C" w14:textId="77777777" w:rsidR="005B4005" w:rsidRDefault="005B4005" w:rsidP="005B4005">
      <w:r>
        <w:t xml:space="preserve">Instead, the integration packages all of the information listed above to deliver a patient report. MassPAT integration is focused on delivering a streamlined workflow for providers to access a patient report. More complex MassPAT functionality must be accessed through the MassPAT web portal. </w:t>
      </w:r>
    </w:p>
    <w:p w14:paraId="3F76D900" w14:textId="77777777" w:rsidR="005B4005" w:rsidRDefault="005B4005" w:rsidP="005B4005">
      <w:r>
        <w:t>MassPAT functionality not included in EHR integration:</w:t>
      </w:r>
    </w:p>
    <w:p w14:paraId="4D6FB4E9" w14:textId="77777777" w:rsidR="005B4005" w:rsidRDefault="005B4005" w:rsidP="005B4005">
      <w:pPr>
        <w:pStyle w:val="ListParagraph"/>
        <w:numPr>
          <w:ilvl w:val="0"/>
          <w:numId w:val="1"/>
        </w:numPr>
      </w:pPr>
      <w:r>
        <w:t>Delegate access to conduct MassPAT searches</w:t>
      </w:r>
    </w:p>
    <w:p w14:paraId="517C2C4E" w14:textId="77777777" w:rsidR="005B4005" w:rsidRDefault="005B4005" w:rsidP="005B4005">
      <w:pPr>
        <w:pStyle w:val="ListParagraph"/>
        <w:numPr>
          <w:ilvl w:val="0"/>
          <w:numId w:val="1"/>
        </w:numPr>
      </w:pPr>
      <w:r>
        <w:t>View MyRx</w:t>
      </w:r>
    </w:p>
    <w:p w14:paraId="23BC8820" w14:textId="77777777" w:rsidR="005B4005" w:rsidRDefault="005B4005" w:rsidP="005B4005">
      <w:pPr>
        <w:pStyle w:val="ListParagraph"/>
        <w:numPr>
          <w:ilvl w:val="0"/>
          <w:numId w:val="1"/>
        </w:numPr>
      </w:pPr>
      <w:r>
        <w:t>Search history (including delegate search history)</w:t>
      </w:r>
    </w:p>
    <w:p w14:paraId="12BEFAA9" w14:textId="77777777" w:rsidR="005B4005" w:rsidRDefault="005B4005" w:rsidP="005B4005">
      <w:pPr>
        <w:pStyle w:val="ListParagraph"/>
        <w:numPr>
          <w:ilvl w:val="0"/>
          <w:numId w:val="1"/>
        </w:numPr>
      </w:pPr>
      <w:r>
        <w:t>Bulk patient search</w:t>
      </w:r>
    </w:p>
    <w:p w14:paraId="43A2E05D" w14:textId="77777777" w:rsidR="005B4005" w:rsidRDefault="005B4005" w:rsidP="005B4005">
      <w:pPr>
        <w:pStyle w:val="ListParagraph"/>
        <w:numPr>
          <w:ilvl w:val="0"/>
          <w:numId w:val="1"/>
        </w:numPr>
      </w:pPr>
      <w:r>
        <w:t xml:space="preserve">Delegate management </w:t>
      </w:r>
    </w:p>
    <w:p w14:paraId="5A8627C0" w14:textId="77777777" w:rsidR="005B4005" w:rsidRDefault="005B4005" w:rsidP="005B4005">
      <w:pPr>
        <w:pStyle w:val="ListParagraph"/>
        <w:numPr>
          <w:ilvl w:val="0"/>
          <w:numId w:val="1"/>
        </w:numPr>
      </w:pPr>
      <w:r>
        <w:t>User profile</w:t>
      </w:r>
    </w:p>
    <w:p w14:paraId="67AFD407" w14:textId="77777777" w:rsidR="005B4005" w:rsidRPr="009C026A" w:rsidRDefault="00DF099D" w:rsidP="005B4005">
      <w:pPr>
        <w:pStyle w:val="ListParagraph"/>
        <w:numPr>
          <w:ilvl w:val="0"/>
          <w:numId w:val="1"/>
        </w:numPr>
      </w:pPr>
      <w:r>
        <w:t>I</w:t>
      </w:r>
      <w:r w:rsidR="005B4005" w:rsidRPr="009C026A">
        <w:t xml:space="preserve">nterstate data sharing options </w:t>
      </w:r>
      <w:r w:rsidR="006B40CF">
        <w:t xml:space="preserve">(see </w:t>
      </w:r>
      <w:hyperlink w:anchor="_Interstate_data_sharing" w:history="1">
        <w:r w:rsidR="006B40CF">
          <w:rPr>
            <w:rStyle w:val="Hyperlink"/>
          </w:rPr>
          <w:t>Interstate data sharing section</w:t>
        </w:r>
      </w:hyperlink>
      <w:r w:rsidR="006B40CF">
        <w:t xml:space="preserve"> below)</w:t>
      </w:r>
    </w:p>
    <w:p w14:paraId="5F66043B" w14:textId="77777777" w:rsidR="005B4005" w:rsidRDefault="005B4005" w:rsidP="005B4005">
      <w:pPr>
        <w:pStyle w:val="ListParagraph"/>
        <w:numPr>
          <w:ilvl w:val="0"/>
          <w:numId w:val="1"/>
        </w:numPr>
      </w:pPr>
      <w:r>
        <w:t>Announcements</w:t>
      </w:r>
    </w:p>
    <w:p w14:paraId="67BD36A7" w14:textId="77777777" w:rsidR="005B4005" w:rsidRDefault="005B4005" w:rsidP="005B4005">
      <w:pPr>
        <w:pStyle w:val="ListParagraph"/>
        <w:numPr>
          <w:ilvl w:val="0"/>
          <w:numId w:val="1"/>
        </w:numPr>
      </w:pPr>
      <w:r>
        <w:t>Password reset</w:t>
      </w:r>
    </w:p>
    <w:p w14:paraId="60E6A219" w14:textId="77777777" w:rsidR="005B4005" w:rsidRDefault="005B4005" w:rsidP="005B4005">
      <w:pPr>
        <w:pStyle w:val="ListParagraph"/>
        <w:numPr>
          <w:ilvl w:val="0"/>
          <w:numId w:val="1"/>
        </w:numPr>
      </w:pPr>
      <w:r>
        <w:t>Patient alerts</w:t>
      </w:r>
    </w:p>
    <w:p w14:paraId="0AE57579" w14:textId="77777777" w:rsidR="005B4005" w:rsidRDefault="005B4005" w:rsidP="005B4005">
      <w:pPr>
        <w:pStyle w:val="ListParagraph"/>
        <w:numPr>
          <w:ilvl w:val="0"/>
          <w:numId w:val="1"/>
        </w:numPr>
      </w:pPr>
      <w:r>
        <w:t xml:space="preserve">Prescriber </w:t>
      </w:r>
      <w:r w:rsidR="006B40CF">
        <w:t>Reports</w:t>
      </w:r>
    </w:p>
    <w:p w14:paraId="1FD85503" w14:textId="77777777" w:rsidR="001377F7" w:rsidRDefault="001377F7" w:rsidP="001377F7">
      <w:r>
        <w:t>There are a few scenarios where EHR users will encounter a “disallowed message” from the PMP Gateway and users will have to complete the search via the MassPAT web portal. These scenarios are:</w:t>
      </w:r>
    </w:p>
    <w:p w14:paraId="49421474" w14:textId="77777777" w:rsidR="001377F7" w:rsidRDefault="001377F7" w:rsidP="001377F7">
      <w:pPr>
        <w:pStyle w:val="ListParagraph"/>
        <w:numPr>
          <w:ilvl w:val="0"/>
          <w:numId w:val="14"/>
        </w:numPr>
        <w:spacing w:line="256" w:lineRule="auto"/>
      </w:pPr>
      <w:r>
        <w:t>When multiple patients meet the search criteria</w:t>
      </w:r>
    </w:p>
    <w:p w14:paraId="0717811B" w14:textId="77777777" w:rsidR="001377F7" w:rsidRDefault="001377F7" w:rsidP="001377F7">
      <w:pPr>
        <w:pStyle w:val="ListParagraph"/>
        <w:numPr>
          <w:ilvl w:val="1"/>
          <w:numId w:val="14"/>
        </w:numPr>
        <w:spacing w:line="256" w:lineRule="auto"/>
      </w:pPr>
      <w:r>
        <w:t>If this occurs, the user must complete the search via the MassPAT web portal.</w:t>
      </w:r>
      <w:r>
        <w:br/>
      </w:r>
    </w:p>
    <w:p w14:paraId="2BC0AFEB" w14:textId="77777777" w:rsidR="001377F7" w:rsidRDefault="001377F7" w:rsidP="001377F7">
      <w:pPr>
        <w:pStyle w:val="ListParagraph"/>
        <w:numPr>
          <w:ilvl w:val="0"/>
          <w:numId w:val="14"/>
        </w:numPr>
        <w:spacing w:line="256" w:lineRule="auto"/>
      </w:pPr>
      <w:r>
        <w:t>If the user does not have an active account in MassPAT</w:t>
      </w:r>
    </w:p>
    <w:p w14:paraId="1A298C50" w14:textId="77777777" w:rsidR="001377F7" w:rsidRDefault="001377F7" w:rsidP="001377F7">
      <w:pPr>
        <w:pStyle w:val="ListParagraph"/>
        <w:numPr>
          <w:ilvl w:val="1"/>
          <w:numId w:val="14"/>
        </w:numPr>
        <w:spacing w:line="256" w:lineRule="auto"/>
      </w:pPr>
      <w:r>
        <w:t>If this occurs, the user will need to register an account on the MassPAT web portal before proceeding</w:t>
      </w:r>
    </w:p>
    <w:p w14:paraId="46F8868B" w14:textId="77777777" w:rsidR="005B4005" w:rsidRDefault="005B4005" w:rsidP="005B4005">
      <w:pPr>
        <w:pStyle w:val="Heading2"/>
        <w:ind w:firstLine="720"/>
      </w:pPr>
      <w:bookmarkStart w:id="20" w:name="_Toc514930288"/>
      <w:r>
        <w:t>Role mapping</w:t>
      </w:r>
      <w:bookmarkEnd w:id="20"/>
    </w:p>
    <w:p w14:paraId="474E6627" w14:textId="77777777" w:rsidR="005B4005" w:rsidRDefault="005B4005" w:rsidP="00E30958">
      <w:pPr>
        <w:jc w:val="both"/>
      </w:pPr>
      <w:r>
        <w:t xml:space="preserve">When the EHR sends a query to MassPAT, there are a few key data elements about the provider requesting the data that must be included in that query. In addition to the facility identifiers, the query will include the provider’s credentials: DEA, NPI, or Professional License Number and type (vary by role). The MassPAT system then validates that the provider requesting the data has an active account within MassPAT. </w:t>
      </w:r>
    </w:p>
    <w:p w14:paraId="25B1AFF9" w14:textId="77777777" w:rsidR="005B4005" w:rsidRDefault="005B4005" w:rsidP="00E30958">
      <w:pPr>
        <w:jc w:val="both"/>
      </w:pPr>
      <w:r w:rsidRPr="00791AEA">
        <w:t>Delegates</w:t>
      </w:r>
      <w:r w:rsidR="00D12296">
        <w:t xml:space="preserve"> - </w:t>
      </w:r>
      <w:r w:rsidRPr="00DD5335">
        <w:t>both unlicensed and licensed</w:t>
      </w:r>
      <w:r w:rsidR="00D12296">
        <w:t xml:space="preserve"> -</w:t>
      </w:r>
      <w:r>
        <w:t xml:space="preserve"> are not able to access MassPAT data via EHR integration. Instead, delegates will continue to access MassPAT via the web application.  </w:t>
      </w:r>
    </w:p>
    <w:p w14:paraId="2CB8BA13" w14:textId="77777777" w:rsidR="005B4005" w:rsidRDefault="005B4005" w:rsidP="00E30958">
      <w:pPr>
        <w:jc w:val="both"/>
      </w:pPr>
      <w:r>
        <w:t xml:space="preserve">Each HCE will need to map their EHR roles to the PMP Gateway and MassPAT roles. The complete list of roles and the associated credential that is passed with each request is listed below. </w:t>
      </w:r>
      <w:r w:rsidRPr="007D7B3E">
        <w:t xml:space="preserve">The crosswalk below </w:t>
      </w:r>
      <w:r>
        <w:t xml:space="preserve">is </w:t>
      </w:r>
      <w:r w:rsidRPr="007D7B3E">
        <w:t>to help clarify that some MassPAT users will not be able to have access via the E</w:t>
      </w:r>
      <w:r>
        <w:t>H</w:t>
      </w:r>
      <w:r w:rsidRPr="007D7B3E">
        <w:t>R. If someone is improperly</w:t>
      </w:r>
      <w:r>
        <w:t xml:space="preserve"> </w:t>
      </w:r>
      <w:r w:rsidRPr="007D7B3E">
        <w:t>registered within MassPAT</w:t>
      </w:r>
      <w:r>
        <w:t xml:space="preserve"> with the wrong role</w:t>
      </w:r>
      <w:r w:rsidRPr="007D7B3E">
        <w:t xml:space="preserve">, there should be no impact so long as the appropriate credentials are passed. </w:t>
      </w:r>
    </w:p>
    <w:p w14:paraId="45C743D8" w14:textId="77777777" w:rsidR="005B4005" w:rsidRDefault="005B4005" w:rsidP="00E30958">
      <w:pPr>
        <w:jc w:val="both"/>
        <w:rPr>
          <w:b/>
        </w:rPr>
      </w:pPr>
      <w:r>
        <w:lastRenderedPageBreak/>
        <w:t xml:space="preserve">The payload details are provided within each of the schemas. DEA and NPI follow the national standard whereas pharmacist professional license follows the MA standard format of PH followed by 6 numbers (PH000000). </w:t>
      </w:r>
    </w:p>
    <w:p w14:paraId="08828040" w14:textId="77777777" w:rsidR="005B4005" w:rsidRDefault="005B4005" w:rsidP="005B4005">
      <w:r>
        <w:rPr>
          <w:b/>
        </w:rPr>
        <w:t>Please note that the PMP Gateway Roles are Case Sensitive.</w:t>
      </w:r>
    </w:p>
    <w:tbl>
      <w:tblPr>
        <w:tblStyle w:val="TableGrid"/>
        <w:tblW w:w="0" w:type="auto"/>
        <w:tblLook w:val="04A0" w:firstRow="1" w:lastRow="0" w:firstColumn="1" w:lastColumn="0" w:noHBand="0" w:noVBand="1"/>
      </w:tblPr>
      <w:tblGrid>
        <w:gridCol w:w="2808"/>
        <w:gridCol w:w="2808"/>
        <w:gridCol w:w="3260"/>
      </w:tblGrid>
      <w:tr w:rsidR="005B4005" w14:paraId="5FAAFE06" w14:textId="77777777" w:rsidTr="005B4005">
        <w:tc>
          <w:tcPr>
            <w:tcW w:w="2808" w:type="dxa"/>
            <w:vAlign w:val="center"/>
          </w:tcPr>
          <w:p w14:paraId="117ED55E" w14:textId="77777777" w:rsidR="005B4005" w:rsidRDefault="005B4005" w:rsidP="005B4005">
            <w:pPr>
              <w:jc w:val="center"/>
              <w:rPr>
                <w:b/>
                <w:sz w:val="24"/>
              </w:rPr>
            </w:pPr>
            <w:r>
              <w:rPr>
                <w:b/>
                <w:sz w:val="24"/>
              </w:rPr>
              <w:t xml:space="preserve">MassPAT </w:t>
            </w:r>
            <w:r w:rsidRPr="00C20761">
              <w:rPr>
                <w:b/>
                <w:sz w:val="24"/>
              </w:rPr>
              <w:t>Role</w:t>
            </w:r>
          </w:p>
        </w:tc>
        <w:tc>
          <w:tcPr>
            <w:tcW w:w="2808" w:type="dxa"/>
            <w:vAlign w:val="center"/>
          </w:tcPr>
          <w:p w14:paraId="49CC40E1" w14:textId="77777777" w:rsidR="005B4005" w:rsidRDefault="005B4005" w:rsidP="005B4005">
            <w:pPr>
              <w:jc w:val="center"/>
              <w:rPr>
                <w:b/>
                <w:sz w:val="24"/>
              </w:rPr>
            </w:pPr>
            <w:r>
              <w:rPr>
                <w:b/>
                <w:sz w:val="24"/>
              </w:rPr>
              <w:t>PMP Gateway Role</w:t>
            </w:r>
          </w:p>
        </w:tc>
        <w:tc>
          <w:tcPr>
            <w:tcW w:w="3260" w:type="dxa"/>
            <w:vAlign w:val="center"/>
          </w:tcPr>
          <w:p w14:paraId="3BE1C763" w14:textId="77777777" w:rsidR="005B4005" w:rsidRPr="00C20761" w:rsidRDefault="005B4005" w:rsidP="005B4005">
            <w:pPr>
              <w:jc w:val="center"/>
              <w:rPr>
                <w:b/>
                <w:sz w:val="24"/>
              </w:rPr>
            </w:pPr>
            <w:r w:rsidRPr="00C20761">
              <w:rPr>
                <w:b/>
                <w:sz w:val="24"/>
              </w:rPr>
              <w:t>Credential</w:t>
            </w:r>
            <w:r>
              <w:rPr>
                <w:b/>
                <w:sz w:val="24"/>
              </w:rPr>
              <w:t xml:space="preserve"> passed with search request</w:t>
            </w:r>
          </w:p>
        </w:tc>
      </w:tr>
      <w:tr w:rsidR="005B4005" w14:paraId="33981FBF" w14:textId="77777777" w:rsidTr="005B4005">
        <w:tc>
          <w:tcPr>
            <w:tcW w:w="2808" w:type="dxa"/>
            <w:vAlign w:val="center"/>
          </w:tcPr>
          <w:p w14:paraId="3DE01CF2" w14:textId="77777777" w:rsidR="005B4005" w:rsidRDefault="005B4005" w:rsidP="005B4005">
            <w:pPr>
              <w:jc w:val="center"/>
            </w:pPr>
            <w:r>
              <w:t>Physician (MD, DO)</w:t>
            </w:r>
          </w:p>
        </w:tc>
        <w:tc>
          <w:tcPr>
            <w:tcW w:w="2808" w:type="dxa"/>
            <w:vAlign w:val="center"/>
          </w:tcPr>
          <w:p w14:paraId="59C357EA" w14:textId="77777777" w:rsidR="005B4005" w:rsidRDefault="005B4005" w:rsidP="005B4005">
            <w:pPr>
              <w:jc w:val="center"/>
            </w:pPr>
            <w:r>
              <w:t>Physician (MD, DO)</w:t>
            </w:r>
          </w:p>
        </w:tc>
        <w:tc>
          <w:tcPr>
            <w:tcW w:w="3260" w:type="dxa"/>
            <w:vAlign w:val="center"/>
          </w:tcPr>
          <w:p w14:paraId="36108A58" w14:textId="77777777" w:rsidR="005B4005" w:rsidRDefault="005B4005" w:rsidP="005B4005">
            <w:pPr>
              <w:jc w:val="center"/>
            </w:pPr>
            <w:r>
              <w:t>Personal DEA #</w:t>
            </w:r>
          </w:p>
        </w:tc>
      </w:tr>
      <w:tr w:rsidR="005B4005" w14:paraId="1768E94A" w14:textId="77777777" w:rsidTr="005B4005">
        <w:tc>
          <w:tcPr>
            <w:tcW w:w="2808" w:type="dxa"/>
            <w:vAlign w:val="center"/>
          </w:tcPr>
          <w:p w14:paraId="6E06AAB1" w14:textId="77777777" w:rsidR="005B4005" w:rsidRDefault="005B4005" w:rsidP="005B4005">
            <w:pPr>
              <w:jc w:val="center"/>
            </w:pPr>
            <w:r>
              <w:t>Dentist</w:t>
            </w:r>
          </w:p>
        </w:tc>
        <w:tc>
          <w:tcPr>
            <w:tcW w:w="2808" w:type="dxa"/>
            <w:vAlign w:val="center"/>
          </w:tcPr>
          <w:p w14:paraId="10CF2D02" w14:textId="77777777" w:rsidR="005B4005" w:rsidRDefault="005B4005" w:rsidP="005B4005">
            <w:pPr>
              <w:jc w:val="center"/>
            </w:pPr>
            <w:r>
              <w:t>Dentist</w:t>
            </w:r>
          </w:p>
        </w:tc>
        <w:tc>
          <w:tcPr>
            <w:tcW w:w="3260" w:type="dxa"/>
            <w:vAlign w:val="center"/>
          </w:tcPr>
          <w:p w14:paraId="76FE5DFF" w14:textId="77777777" w:rsidR="005B4005" w:rsidRDefault="005B4005" w:rsidP="005B4005">
            <w:pPr>
              <w:jc w:val="center"/>
            </w:pPr>
            <w:r>
              <w:t>Personal DEA #</w:t>
            </w:r>
          </w:p>
        </w:tc>
      </w:tr>
      <w:tr w:rsidR="005B4005" w14:paraId="45D81490" w14:textId="77777777" w:rsidTr="005B4005">
        <w:tc>
          <w:tcPr>
            <w:tcW w:w="2808" w:type="dxa"/>
            <w:vAlign w:val="center"/>
          </w:tcPr>
          <w:p w14:paraId="2ECA73DB" w14:textId="77777777" w:rsidR="005B4005" w:rsidRDefault="005B4005" w:rsidP="005B4005">
            <w:pPr>
              <w:jc w:val="center"/>
            </w:pPr>
            <w:r>
              <w:t>Nurse Practitioner / Clinical Nurse Specialist</w:t>
            </w:r>
          </w:p>
        </w:tc>
        <w:tc>
          <w:tcPr>
            <w:tcW w:w="2808" w:type="dxa"/>
            <w:vAlign w:val="center"/>
          </w:tcPr>
          <w:p w14:paraId="27CB6656" w14:textId="77777777" w:rsidR="005B4005" w:rsidRDefault="005B4005" w:rsidP="005B4005">
            <w:pPr>
              <w:jc w:val="center"/>
            </w:pPr>
            <w:r>
              <w:t>Nurse Practitioner</w:t>
            </w:r>
          </w:p>
        </w:tc>
        <w:tc>
          <w:tcPr>
            <w:tcW w:w="3260" w:type="dxa"/>
            <w:vAlign w:val="center"/>
          </w:tcPr>
          <w:p w14:paraId="4121B98C" w14:textId="77777777" w:rsidR="005B4005" w:rsidRDefault="005B4005" w:rsidP="005B4005">
            <w:pPr>
              <w:jc w:val="center"/>
            </w:pPr>
            <w:r>
              <w:t>Personal DEA #</w:t>
            </w:r>
          </w:p>
        </w:tc>
      </w:tr>
      <w:tr w:rsidR="005B4005" w14:paraId="2A953B57" w14:textId="77777777" w:rsidTr="005B4005">
        <w:tc>
          <w:tcPr>
            <w:tcW w:w="2808" w:type="dxa"/>
            <w:vAlign w:val="center"/>
          </w:tcPr>
          <w:p w14:paraId="0D99B6F3" w14:textId="77777777" w:rsidR="005B4005" w:rsidRDefault="005B4005" w:rsidP="005B4005">
            <w:pPr>
              <w:jc w:val="center"/>
            </w:pPr>
            <w:r>
              <w:t>Midwife with Prescriptive Authority</w:t>
            </w:r>
          </w:p>
        </w:tc>
        <w:tc>
          <w:tcPr>
            <w:tcW w:w="2808" w:type="dxa"/>
            <w:vAlign w:val="center"/>
          </w:tcPr>
          <w:p w14:paraId="5D0C4B90" w14:textId="77777777" w:rsidR="005B4005" w:rsidRDefault="005B4005" w:rsidP="005B4005">
            <w:pPr>
              <w:jc w:val="center"/>
            </w:pPr>
            <w:r>
              <w:t>Other Prescriber</w:t>
            </w:r>
          </w:p>
        </w:tc>
        <w:tc>
          <w:tcPr>
            <w:tcW w:w="3260" w:type="dxa"/>
            <w:vAlign w:val="center"/>
          </w:tcPr>
          <w:p w14:paraId="3BBBB17F" w14:textId="77777777" w:rsidR="005B4005" w:rsidRDefault="005B4005" w:rsidP="005B4005">
            <w:pPr>
              <w:jc w:val="center"/>
            </w:pPr>
            <w:r>
              <w:t>Personal DEA #</w:t>
            </w:r>
          </w:p>
        </w:tc>
      </w:tr>
      <w:tr w:rsidR="005B4005" w14:paraId="7BF10EAE" w14:textId="77777777" w:rsidTr="005B4005">
        <w:tc>
          <w:tcPr>
            <w:tcW w:w="2808" w:type="dxa"/>
            <w:vAlign w:val="center"/>
          </w:tcPr>
          <w:p w14:paraId="3A124927" w14:textId="77777777" w:rsidR="005B4005" w:rsidRDefault="005B4005" w:rsidP="005B4005">
            <w:pPr>
              <w:jc w:val="center"/>
            </w:pPr>
            <w:r>
              <w:t>Physician Assistant</w:t>
            </w:r>
          </w:p>
        </w:tc>
        <w:tc>
          <w:tcPr>
            <w:tcW w:w="2808" w:type="dxa"/>
            <w:vAlign w:val="center"/>
          </w:tcPr>
          <w:p w14:paraId="6A8D411F" w14:textId="77777777" w:rsidR="005B4005" w:rsidRDefault="005B4005" w:rsidP="005B4005">
            <w:pPr>
              <w:jc w:val="center"/>
            </w:pPr>
            <w:r>
              <w:t>Physician Assistant with prescriptive authority</w:t>
            </w:r>
          </w:p>
        </w:tc>
        <w:tc>
          <w:tcPr>
            <w:tcW w:w="3260" w:type="dxa"/>
            <w:vAlign w:val="center"/>
          </w:tcPr>
          <w:p w14:paraId="480827F0" w14:textId="77777777" w:rsidR="005B4005" w:rsidRDefault="005B4005" w:rsidP="005B4005">
            <w:pPr>
              <w:jc w:val="center"/>
            </w:pPr>
            <w:r>
              <w:t>Personal DEA #</w:t>
            </w:r>
          </w:p>
        </w:tc>
      </w:tr>
      <w:tr w:rsidR="005B4005" w14:paraId="5290C655" w14:textId="77777777" w:rsidTr="005B4005">
        <w:tc>
          <w:tcPr>
            <w:tcW w:w="2808" w:type="dxa"/>
            <w:vAlign w:val="center"/>
          </w:tcPr>
          <w:p w14:paraId="69CD2A03" w14:textId="77777777" w:rsidR="005B4005" w:rsidRDefault="005B4005" w:rsidP="005B4005">
            <w:pPr>
              <w:jc w:val="center"/>
            </w:pPr>
            <w:r>
              <w:t>Podiatrist (DPM)</w:t>
            </w:r>
          </w:p>
        </w:tc>
        <w:tc>
          <w:tcPr>
            <w:tcW w:w="2808" w:type="dxa"/>
            <w:vAlign w:val="center"/>
          </w:tcPr>
          <w:p w14:paraId="7ED19837" w14:textId="77777777" w:rsidR="005B4005" w:rsidRDefault="005B4005" w:rsidP="005B4005">
            <w:pPr>
              <w:jc w:val="center"/>
            </w:pPr>
            <w:r>
              <w:t>Physician (MD, DO)</w:t>
            </w:r>
          </w:p>
        </w:tc>
        <w:tc>
          <w:tcPr>
            <w:tcW w:w="3260" w:type="dxa"/>
            <w:vAlign w:val="center"/>
          </w:tcPr>
          <w:p w14:paraId="49C98219" w14:textId="77777777" w:rsidR="005B4005" w:rsidRDefault="005B4005" w:rsidP="005B4005">
            <w:pPr>
              <w:jc w:val="center"/>
            </w:pPr>
            <w:r>
              <w:t>Personal DEA #</w:t>
            </w:r>
          </w:p>
        </w:tc>
      </w:tr>
      <w:tr w:rsidR="005B4005" w14:paraId="67601F60" w14:textId="77777777" w:rsidTr="005B4005">
        <w:tc>
          <w:tcPr>
            <w:tcW w:w="2808" w:type="dxa"/>
            <w:vAlign w:val="center"/>
          </w:tcPr>
          <w:p w14:paraId="17158F23" w14:textId="77777777" w:rsidR="005B4005" w:rsidRDefault="005B4005" w:rsidP="005B4005">
            <w:pPr>
              <w:jc w:val="center"/>
            </w:pPr>
            <w:r>
              <w:t>Pharmacist</w:t>
            </w:r>
          </w:p>
        </w:tc>
        <w:tc>
          <w:tcPr>
            <w:tcW w:w="2808" w:type="dxa"/>
            <w:vAlign w:val="center"/>
          </w:tcPr>
          <w:p w14:paraId="3120E68A" w14:textId="77777777" w:rsidR="005B4005" w:rsidRDefault="005B4005" w:rsidP="004E0117">
            <w:pPr>
              <w:jc w:val="center"/>
            </w:pPr>
            <w:r>
              <w:t>Pharmacist</w:t>
            </w:r>
          </w:p>
        </w:tc>
        <w:tc>
          <w:tcPr>
            <w:tcW w:w="3260" w:type="dxa"/>
            <w:vAlign w:val="center"/>
          </w:tcPr>
          <w:p w14:paraId="56391825" w14:textId="77777777" w:rsidR="005B4005" w:rsidRDefault="005B4005" w:rsidP="005B4005">
            <w:pPr>
              <w:jc w:val="center"/>
            </w:pPr>
            <w:r>
              <w:t>Professional License #</w:t>
            </w:r>
          </w:p>
        </w:tc>
      </w:tr>
      <w:tr w:rsidR="005B4005" w14:paraId="782E9CAE" w14:textId="77777777" w:rsidTr="005B4005">
        <w:tc>
          <w:tcPr>
            <w:tcW w:w="2808" w:type="dxa"/>
            <w:vAlign w:val="center"/>
          </w:tcPr>
          <w:p w14:paraId="6DA0A134" w14:textId="77777777" w:rsidR="005B4005" w:rsidRDefault="005B4005" w:rsidP="005B4005">
            <w:pPr>
              <w:jc w:val="center"/>
            </w:pPr>
            <w:r>
              <w:t>IHS Prescriber</w:t>
            </w:r>
          </w:p>
        </w:tc>
        <w:tc>
          <w:tcPr>
            <w:tcW w:w="2808" w:type="dxa"/>
            <w:vAlign w:val="center"/>
          </w:tcPr>
          <w:p w14:paraId="46554758" w14:textId="77777777" w:rsidR="005B4005" w:rsidRDefault="005B4005" w:rsidP="005B4005">
            <w:pPr>
              <w:jc w:val="center"/>
            </w:pPr>
            <w:r>
              <w:t>Physician (MD, DO)</w:t>
            </w:r>
          </w:p>
        </w:tc>
        <w:tc>
          <w:tcPr>
            <w:tcW w:w="3260" w:type="dxa"/>
            <w:vAlign w:val="center"/>
          </w:tcPr>
          <w:p w14:paraId="509ED3C2" w14:textId="77777777" w:rsidR="005B4005" w:rsidRDefault="005B4005" w:rsidP="005B4005">
            <w:pPr>
              <w:jc w:val="center"/>
            </w:pPr>
            <w:r w:rsidRPr="00CC5F42">
              <w:t>Personal DEA</w:t>
            </w:r>
            <w:r>
              <w:t xml:space="preserve"> #</w:t>
            </w:r>
          </w:p>
        </w:tc>
      </w:tr>
      <w:tr w:rsidR="005B4005" w14:paraId="510FBDFE" w14:textId="77777777" w:rsidTr="005B4005">
        <w:tc>
          <w:tcPr>
            <w:tcW w:w="2808" w:type="dxa"/>
            <w:vAlign w:val="center"/>
          </w:tcPr>
          <w:p w14:paraId="2F3DABEF" w14:textId="77777777" w:rsidR="005B4005" w:rsidRDefault="005B4005" w:rsidP="005B4005">
            <w:pPr>
              <w:jc w:val="center"/>
            </w:pPr>
            <w:r>
              <w:t>IHS Dispenser</w:t>
            </w:r>
          </w:p>
        </w:tc>
        <w:tc>
          <w:tcPr>
            <w:tcW w:w="2808" w:type="dxa"/>
            <w:vAlign w:val="center"/>
          </w:tcPr>
          <w:p w14:paraId="6BF9B8E0" w14:textId="77777777" w:rsidR="005B4005" w:rsidRDefault="005B4005" w:rsidP="005B4005">
            <w:pPr>
              <w:jc w:val="center"/>
            </w:pPr>
            <w:r>
              <w:t>No PMP Gateway Role</w:t>
            </w:r>
          </w:p>
        </w:tc>
        <w:tc>
          <w:tcPr>
            <w:tcW w:w="3260" w:type="dxa"/>
            <w:vAlign w:val="center"/>
          </w:tcPr>
          <w:p w14:paraId="66366D66" w14:textId="77777777" w:rsidR="005B4005" w:rsidRDefault="005B4005" w:rsidP="005B4005">
            <w:pPr>
              <w:jc w:val="center"/>
            </w:pPr>
            <w:r>
              <w:t>No integration option</w:t>
            </w:r>
          </w:p>
        </w:tc>
      </w:tr>
      <w:tr w:rsidR="005B4005" w14:paraId="437D65FD" w14:textId="77777777" w:rsidTr="005B4005">
        <w:tc>
          <w:tcPr>
            <w:tcW w:w="2808" w:type="dxa"/>
            <w:vAlign w:val="center"/>
          </w:tcPr>
          <w:p w14:paraId="63F88E3E" w14:textId="77777777" w:rsidR="005B4005" w:rsidRDefault="005B4005" w:rsidP="005B4005">
            <w:pPr>
              <w:jc w:val="center"/>
            </w:pPr>
            <w:r>
              <w:t>VA Prescriber</w:t>
            </w:r>
          </w:p>
        </w:tc>
        <w:tc>
          <w:tcPr>
            <w:tcW w:w="2808" w:type="dxa"/>
            <w:vAlign w:val="center"/>
          </w:tcPr>
          <w:p w14:paraId="5175B99D" w14:textId="77777777" w:rsidR="005B4005" w:rsidRDefault="005B4005" w:rsidP="005B4005">
            <w:pPr>
              <w:jc w:val="center"/>
            </w:pPr>
            <w:r>
              <w:t>Physician (MD, DO)</w:t>
            </w:r>
          </w:p>
        </w:tc>
        <w:tc>
          <w:tcPr>
            <w:tcW w:w="3260" w:type="dxa"/>
            <w:vAlign w:val="center"/>
          </w:tcPr>
          <w:p w14:paraId="2C5E94C0" w14:textId="77777777" w:rsidR="005B4005" w:rsidRDefault="005B4005" w:rsidP="005B4005">
            <w:pPr>
              <w:jc w:val="center"/>
            </w:pPr>
            <w:r>
              <w:t>Personal DEA #</w:t>
            </w:r>
          </w:p>
        </w:tc>
      </w:tr>
      <w:tr w:rsidR="005B4005" w14:paraId="673F49C8" w14:textId="77777777" w:rsidTr="005B4005">
        <w:tc>
          <w:tcPr>
            <w:tcW w:w="2808" w:type="dxa"/>
            <w:vAlign w:val="center"/>
          </w:tcPr>
          <w:p w14:paraId="3CBE6564" w14:textId="77777777" w:rsidR="005B4005" w:rsidRDefault="005B4005" w:rsidP="005B4005">
            <w:pPr>
              <w:jc w:val="center"/>
            </w:pPr>
            <w:r>
              <w:t>VA Dispenser</w:t>
            </w:r>
          </w:p>
        </w:tc>
        <w:tc>
          <w:tcPr>
            <w:tcW w:w="2808" w:type="dxa"/>
            <w:vAlign w:val="center"/>
          </w:tcPr>
          <w:p w14:paraId="6F4475EE" w14:textId="77777777" w:rsidR="005B4005" w:rsidRDefault="005B4005" w:rsidP="005B4005">
            <w:pPr>
              <w:jc w:val="center"/>
            </w:pPr>
            <w:r>
              <w:t>No PMP Gateway Role</w:t>
            </w:r>
          </w:p>
        </w:tc>
        <w:tc>
          <w:tcPr>
            <w:tcW w:w="3260" w:type="dxa"/>
            <w:vAlign w:val="center"/>
          </w:tcPr>
          <w:p w14:paraId="306D2C0A" w14:textId="77777777" w:rsidR="005B4005" w:rsidRDefault="005B4005" w:rsidP="005B4005">
            <w:pPr>
              <w:jc w:val="center"/>
            </w:pPr>
            <w:r>
              <w:t>No integration option</w:t>
            </w:r>
          </w:p>
        </w:tc>
      </w:tr>
      <w:tr w:rsidR="005B4005" w14:paraId="20099EED" w14:textId="77777777" w:rsidTr="005B4005">
        <w:tc>
          <w:tcPr>
            <w:tcW w:w="2808" w:type="dxa"/>
            <w:vAlign w:val="center"/>
          </w:tcPr>
          <w:p w14:paraId="01FE68CF" w14:textId="77777777" w:rsidR="005B4005" w:rsidRDefault="005B4005" w:rsidP="005B4005">
            <w:pPr>
              <w:jc w:val="center"/>
            </w:pPr>
            <w:r>
              <w:t>Pharmacy Technician</w:t>
            </w:r>
          </w:p>
        </w:tc>
        <w:tc>
          <w:tcPr>
            <w:tcW w:w="2808" w:type="dxa"/>
            <w:vAlign w:val="center"/>
          </w:tcPr>
          <w:p w14:paraId="180776F0" w14:textId="77777777" w:rsidR="005B4005" w:rsidRDefault="005B4005" w:rsidP="005B4005">
            <w:pPr>
              <w:jc w:val="center"/>
            </w:pPr>
            <w:r>
              <w:t>No PMP Gateway Role</w:t>
            </w:r>
          </w:p>
        </w:tc>
        <w:tc>
          <w:tcPr>
            <w:tcW w:w="3260" w:type="dxa"/>
            <w:vAlign w:val="center"/>
          </w:tcPr>
          <w:p w14:paraId="716A8F55" w14:textId="77777777" w:rsidR="005B4005" w:rsidRDefault="005B4005" w:rsidP="005B4005">
            <w:pPr>
              <w:jc w:val="center"/>
            </w:pPr>
            <w:r w:rsidRPr="00DD5335">
              <w:t>No integration option</w:t>
            </w:r>
          </w:p>
        </w:tc>
      </w:tr>
      <w:tr w:rsidR="005B4005" w14:paraId="4BED7BBF" w14:textId="77777777" w:rsidTr="005B4005">
        <w:tc>
          <w:tcPr>
            <w:tcW w:w="2808" w:type="dxa"/>
            <w:vAlign w:val="center"/>
          </w:tcPr>
          <w:p w14:paraId="2C22A511" w14:textId="77777777" w:rsidR="005B4005" w:rsidRDefault="005B4005" w:rsidP="005B4005">
            <w:pPr>
              <w:jc w:val="center"/>
            </w:pPr>
            <w:r>
              <w:t>Prescriber Delegate – unlicensed</w:t>
            </w:r>
          </w:p>
        </w:tc>
        <w:tc>
          <w:tcPr>
            <w:tcW w:w="2808" w:type="dxa"/>
            <w:vAlign w:val="center"/>
          </w:tcPr>
          <w:p w14:paraId="48235524" w14:textId="77777777" w:rsidR="005B4005" w:rsidRDefault="005B4005" w:rsidP="005B4005">
            <w:pPr>
              <w:jc w:val="center"/>
            </w:pPr>
            <w:r>
              <w:t>Prescriber Delegate – unlicensed</w:t>
            </w:r>
          </w:p>
        </w:tc>
        <w:tc>
          <w:tcPr>
            <w:tcW w:w="3260" w:type="dxa"/>
            <w:vAlign w:val="center"/>
          </w:tcPr>
          <w:p w14:paraId="0E86295D" w14:textId="77777777" w:rsidR="005B4005" w:rsidRDefault="005B4005" w:rsidP="005B4005">
            <w:pPr>
              <w:jc w:val="center"/>
            </w:pPr>
            <w:r>
              <w:t>No integration option</w:t>
            </w:r>
          </w:p>
        </w:tc>
      </w:tr>
      <w:tr w:rsidR="005B4005" w14:paraId="4E0CC384" w14:textId="77777777" w:rsidTr="005B4005">
        <w:tc>
          <w:tcPr>
            <w:tcW w:w="2808" w:type="dxa"/>
            <w:vAlign w:val="center"/>
          </w:tcPr>
          <w:p w14:paraId="70B1399B" w14:textId="77777777" w:rsidR="005B4005" w:rsidRDefault="005B4005" w:rsidP="005B4005">
            <w:pPr>
              <w:jc w:val="center"/>
            </w:pPr>
            <w:r>
              <w:t>Pharmacist with Prescriptive Authority</w:t>
            </w:r>
          </w:p>
        </w:tc>
        <w:tc>
          <w:tcPr>
            <w:tcW w:w="2808" w:type="dxa"/>
            <w:vAlign w:val="center"/>
          </w:tcPr>
          <w:p w14:paraId="59FBECBD" w14:textId="77777777" w:rsidR="005B4005" w:rsidRDefault="005B4005" w:rsidP="005B4005">
            <w:pPr>
              <w:jc w:val="center"/>
            </w:pPr>
            <w:r>
              <w:t>Pharmacist with prescriptive authority</w:t>
            </w:r>
          </w:p>
        </w:tc>
        <w:tc>
          <w:tcPr>
            <w:tcW w:w="3260" w:type="dxa"/>
            <w:vAlign w:val="center"/>
          </w:tcPr>
          <w:p w14:paraId="30B5EB33" w14:textId="77777777" w:rsidR="005B4005" w:rsidRPr="00A174AD" w:rsidRDefault="005B4005" w:rsidP="005B4005">
            <w:pPr>
              <w:jc w:val="center"/>
              <w:rPr>
                <w:highlight w:val="yellow"/>
              </w:rPr>
            </w:pPr>
            <w:r w:rsidRPr="00A174AD">
              <w:t>Personal DEA #</w:t>
            </w:r>
          </w:p>
        </w:tc>
      </w:tr>
      <w:tr w:rsidR="005B4005" w14:paraId="41E39C36" w14:textId="77777777" w:rsidTr="005B4005">
        <w:tc>
          <w:tcPr>
            <w:tcW w:w="2808" w:type="dxa"/>
            <w:vAlign w:val="center"/>
          </w:tcPr>
          <w:p w14:paraId="5AB57D70" w14:textId="77777777" w:rsidR="005B4005" w:rsidRDefault="005B4005" w:rsidP="005B4005">
            <w:pPr>
              <w:jc w:val="center"/>
            </w:pPr>
            <w:r>
              <w:t>Medical Resident with Prescriptive Authority</w:t>
            </w:r>
          </w:p>
        </w:tc>
        <w:tc>
          <w:tcPr>
            <w:tcW w:w="2808" w:type="dxa"/>
            <w:vAlign w:val="center"/>
          </w:tcPr>
          <w:p w14:paraId="7F9A0D65" w14:textId="77777777" w:rsidR="005B4005" w:rsidRDefault="005B4005" w:rsidP="005B4005">
            <w:pPr>
              <w:jc w:val="center"/>
            </w:pPr>
            <w:r>
              <w:t>Medical Resident with prescriptive authority</w:t>
            </w:r>
          </w:p>
        </w:tc>
        <w:tc>
          <w:tcPr>
            <w:tcW w:w="3260" w:type="dxa"/>
            <w:vAlign w:val="center"/>
          </w:tcPr>
          <w:p w14:paraId="5400E87B" w14:textId="77777777" w:rsidR="005B4005" w:rsidRPr="00A174AD" w:rsidRDefault="005B4005" w:rsidP="005B4005">
            <w:pPr>
              <w:jc w:val="center"/>
              <w:rPr>
                <w:highlight w:val="yellow"/>
              </w:rPr>
            </w:pPr>
            <w:r>
              <w:t xml:space="preserve">Personal </w:t>
            </w:r>
            <w:r w:rsidRPr="00C563CE">
              <w:t>NPI #</w:t>
            </w:r>
          </w:p>
        </w:tc>
      </w:tr>
      <w:tr w:rsidR="005B4005" w14:paraId="680673A8" w14:textId="77777777" w:rsidTr="005B4005">
        <w:tc>
          <w:tcPr>
            <w:tcW w:w="2808" w:type="dxa"/>
            <w:vAlign w:val="center"/>
          </w:tcPr>
          <w:p w14:paraId="53ECA22D" w14:textId="77777777" w:rsidR="005B4005" w:rsidRDefault="005B4005" w:rsidP="005B4005">
            <w:pPr>
              <w:jc w:val="center"/>
            </w:pPr>
            <w:r>
              <w:t>Pharmacist’s Delegate - unlicensed</w:t>
            </w:r>
          </w:p>
        </w:tc>
        <w:tc>
          <w:tcPr>
            <w:tcW w:w="2808" w:type="dxa"/>
            <w:vAlign w:val="center"/>
          </w:tcPr>
          <w:p w14:paraId="38167B07" w14:textId="77777777" w:rsidR="005B4005" w:rsidRDefault="005B4005" w:rsidP="005B4005">
            <w:pPr>
              <w:jc w:val="center"/>
            </w:pPr>
            <w:r>
              <w:t>No PMP Gateway Role</w:t>
            </w:r>
          </w:p>
        </w:tc>
        <w:tc>
          <w:tcPr>
            <w:tcW w:w="3260" w:type="dxa"/>
            <w:vAlign w:val="center"/>
          </w:tcPr>
          <w:p w14:paraId="517A9DD9" w14:textId="77777777" w:rsidR="005B4005" w:rsidRPr="00A174AD" w:rsidRDefault="005B4005" w:rsidP="005B4005">
            <w:pPr>
              <w:jc w:val="center"/>
              <w:rPr>
                <w:highlight w:val="yellow"/>
              </w:rPr>
            </w:pPr>
            <w:r>
              <w:t>No integration option</w:t>
            </w:r>
          </w:p>
        </w:tc>
      </w:tr>
      <w:tr w:rsidR="005B4005" w14:paraId="314BC129" w14:textId="77777777" w:rsidTr="005B4005">
        <w:tc>
          <w:tcPr>
            <w:tcW w:w="2808" w:type="dxa"/>
            <w:vAlign w:val="center"/>
          </w:tcPr>
          <w:p w14:paraId="5A8FEE76" w14:textId="77777777" w:rsidR="005B4005" w:rsidRDefault="005B4005" w:rsidP="005B4005">
            <w:pPr>
              <w:jc w:val="center"/>
            </w:pPr>
            <w:r>
              <w:t>Pharmacist’s Delegate - licensed</w:t>
            </w:r>
          </w:p>
        </w:tc>
        <w:tc>
          <w:tcPr>
            <w:tcW w:w="2808" w:type="dxa"/>
            <w:vAlign w:val="center"/>
          </w:tcPr>
          <w:p w14:paraId="5EBC1D6D" w14:textId="77777777" w:rsidR="005B4005" w:rsidRDefault="005B4005" w:rsidP="005B4005">
            <w:pPr>
              <w:jc w:val="center"/>
            </w:pPr>
            <w:r>
              <w:t>No PMP Gateway Role</w:t>
            </w:r>
          </w:p>
        </w:tc>
        <w:tc>
          <w:tcPr>
            <w:tcW w:w="3260" w:type="dxa"/>
            <w:vAlign w:val="center"/>
          </w:tcPr>
          <w:p w14:paraId="71C1C266" w14:textId="77777777" w:rsidR="005B4005" w:rsidRPr="00A174AD" w:rsidRDefault="005B4005" w:rsidP="005B4005">
            <w:pPr>
              <w:jc w:val="center"/>
              <w:rPr>
                <w:highlight w:val="yellow"/>
              </w:rPr>
            </w:pPr>
            <w:r w:rsidRPr="00DD5335">
              <w:t>No integration option</w:t>
            </w:r>
          </w:p>
        </w:tc>
      </w:tr>
      <w:tr w:rsidR="005B4005" w14:paraId="5DB30773" w14:textId="77777777" w:rsidTr="005B4005">
        <w:tc>
          <w:tcPr>
            <w:tcW w:w="2808" w:type="dxa"/>
            <w:vAlign w:val="center"/>
          </w:tcPr>
          <w:p w14:paraId="423E1058" w14:textId="77777777" w:rsidR="005B4005" w:rsidRDefault="005B4005" w:rsidP="005B4005">
            <w:pPr>
              <w:jc w:val="center"/>
            </w:pPr>
            <w:r>
              <w:lastRenderedPageBreak/>
              <w:t>Prescriber Delegate – licensed</w:t>
            </w:r>
          </w:p>
        </w:tc>
        <w:tc>
          <w:tcPr>
            <w:tcW w:w="2808" w:type="dxa"/>
            <w:vAlign w:val="center"/>
          </w:tcPr>
          <w:p w14:paraId="6205E0A0" w14:textId="77777777" w:rsidR="005B4005" w:rsidRDefault="005B4005" w:rsidP="005B4005">
            <w:pPr>
              <w:jc w:val="center"/>
            </w:pPr>
            <w:r>
              <w:t>No PMP Gateway Role</w:t>
            </w:r>
          </w:p>
        </w:tc>
        <w:tc>
          <w:tcPr>
            <w:tcW w:w="3260" w:type="dxa"/>
            <w:vAlign w:val="center"/>
          </w:tcPr>
          <w:p w14:paraId="1687401B" w14:textId="77777777" w:rsidR="005B4005" w:rsidRDefault="005B4005" w:rsidP="005B4005">
            <w:pPr>
              <w:jc w:val="center"/>
            </w:pPr>
            <w:r>
              <w:t>No integration option</w:t>
            </w:r>
          </w:p>
        </w:tc>
      </w:tr>
      <w:tr w:rsidR="005B4005" w14:paraId="6FB46463" w14:textId="77777777" w:rsidTr="005B4005">
        <w:tc>
          <w:tcPr>
            <w:tcW w:w="2808" w:type="dxa"/>
            <w:vAlign w:val="center"/>
          </w:tcPr>
          <w:p w14:paraId="3831B718" w14:textId="77777777" w:rsidR="005B4005" w:rsidRDefault="005B4005" w:rsidP="005B4005">
            <w:pPr>
              <w:jc w:val="center"/>
            </w:pPr>
            <w:r>
              <w:t>Prescriber without DEA</w:t>
            </w:r>
          </w:p>
        </w:tc>
        <w:tc>
          <w:tcPr>
            <w:tcW w:w="2808" w:type="dxa"/>
            <w:vAlign w:val="center"/>
          </w:tcPr>
          <w:p w14:paraId="6649F845" w14:textId="77777777" w:rsidR="005B4005" w:rsidRDefault="005B4005" w:rsidP="005B4005">
            <w:pPr>
              <w:jc w:val="center"/>
            </w:pPr>
            <w:r>
              <w:t>Other Prescriber</w:t>
            </w:r>
          </w:p>
          <w:p w14:paraId="3EC66621" w14:textId="77777777" w:rsidR="005B4005" w:rsidRDefault="005B4005" w:rsidP="005B4005">
            <w:pPr>
              <w:jc w:val="center"/>
            </w:pPr>
            <w:r w:rsidRPr="00B15FBA">
              <w:rPr>
                <w:b/>
              </w:rPr>
              <w:t>Please note:</w:t>
            </w:r>
            <w:r>
              <w:t xml:space="preserve"> Prescribers without a DEA will only have access via PMP Gateway API V5.1 and not ASAP.</w:t>
            </w:r>
          </w:p>
        </w:tc>
        <w:tc>
          <w:tcPr>
            <w:tcW w:w="3260" w:type="dxa"/>
            <w:vAlign w:val="center"/>
          </w:tcPr>
          <w:p w14:paraId="5C48CB84" w14:textId="77777777" w:rsidR="005B4005" w:rsidRDefault="005B4005" w:rsidP="005B4005">
            <w:pPr>
              <w:jc w:val="center"/>
            </w:pPr>
            <w:r w:rsidRPr="00CC5F42">
              <w:t>Professional license #</w:t>
            </w:r>
          </w:p>
        </w:tc>
      </w:tr>
      <w:tr w:rsidR="005B4005" w14:paraId="072116CC" w14:textId="77777777" w:rsidTr="005B4005">
        <w:tc>
          <w:tcPr>
            <w:tcW w:w="2808" w:type="dxa"/>
            <w:vAlign w:val="center"/>
          </w:tcPr>
          <w:p w14:paraId="767C1735" w14:textId="77777777" w:rsidR="005B4005" w:rsidRDefault="005B4005" w:rsidP="005B4005">
            <w:pPr>
              <w:jc w:val="center"/>
            </w:pPr>
            <w:r>
              <w:t>No MassPAT role</w:t>
            </w:r>
          </w:p>
        </w:tc>
        <w:tc>
          <w:tcPr>
            <w:tcW w:w="2808" w:type="dxa"/>
            <w:vAlign w:val="center"/>
          </w:tcPr>
          <w:p w14:paraId="1193462A" w14:textId="77777777" w:rsidR="005B4005" w:rsidRDefault="005B4005" w:rsidP="005B4005">
            <w:pPr>
              <w:jc w:val="center"/>
            </w:pPr>
            <w:r>
              <w:t>Psychologist with prescriptive authority</w:t>
            </w:r>
          </w:p>
        </w:tc>
        <w:tc>
          <w:tcPr>
            <w:tcW w:w="3260" w:type="dxa"/>
            <w:vAlign w:val="center"/>
          </w:tcPr>
          <w:p w14:paraId="59F7811D" w14:textId="77777777" w:rsidR="005B4005" w:rsidRPr="00A174AD" w:rsidRDefault="005B4005" w:rsidP="005B4005">
            <w:pPr>
              <w:jc w:val="center"/>
              <w:rPr>
                <w:highlight w:val="yellow"/>
              </w:rPr>
            </w:pPr>
            <w:r>
              <w:t>No integration option</w:t>
            </w:r>
          </w:p>
        </w:tc>
      </w:tr>
      <w:tr w:rsidR="005B4005" w14:paraId="6BB4C59A" w14:textId="77777777" w:rsidTr="005B4005">
        <w:tc>
          <w:tcPr>
            <w:tcW w:w="2808" w:type="dxa"/>
            <w:vAlign w:val="center"/>
          </w:tcPr>
          <w:p w14:paraId="1B743ABF" w14:textId="77777777" w:rsidR="005B4005" w:rsidRDefault="005B4005" w:rsidP="005B4005">
            <w:pPr>
              <w:jc w:val="center"/>
            </w:pPr>
            <w:r>
              <w:t>No MassPAT role</w:t>
            </w:r>
          </w:p>
        </w:tc>
        <w:tc>
          <w:tcPr>
            <w:tcW w:w="2808" w:type="dxa"/>
            <w:vAlign w:val="center"/>
          </w:tcPr>
          <w:p w14:paraId="54FE726C" w14:textId="77777777" w:rsidR="005B4005" w:rsidRDefault="005B4005" w:rsidP="005B4005">
            <w:pPr>
              <w:jc w:val="center"/>
            </w:pPr>
            <w:r>
              <w:t>Optometrist with prescriptive authority</w:t>
            </w:r>
          </w:p>
        </w:tc>
        <w:tc>
          <w:tcPr>
            <w:tcW w:w="3260" w:type="dxa"/>
            <w:vAlign w:val="center"/>
          </w:tcPr>
          <w:p w14:paraId="40788C8D" w14:textId="77777777" w:rsidR="005B4005" w:rsidRPr="00A174AD" w:rsidRDefault="005B4005" w:rsidP="005B4005">
            <w:pPr>
              <w:jc w:val="center"/>
              <w:rPr>
                <w:highlight w:val="yellow"/>
              </w:rPr>
            </w:pPr>
            <w:r>
              <w:t>No integration option</w:t>
            </w:r>
          </w:p>
        </w:tc>
      </w:tr>
      <w:tr w:rsidR="005B4005" w14:paraId="2161B7AD" w14:textId="77777777" w:rsidTr="005B4005">
        <w:tc>
          <w:tcPr>
            <w:tcW w:w="2808" w:type="dxa"/>
            <w:vAlign w:val="center"/>
          </w:tcPr>
          <w:p w14:paraId="110D909F" w14:textId="77777777" w:rsidR="005B4005" w:rsidRDefault="005B4005" w:rsidP="005B4005">
            <w:pPr>
              <w:jc w:val="center"/>
            </w:pPr>
            <w:r>
              <w:t>No MassPAT role</w:t>
            </w:r>
          </w:p>
        </w:tc>
        <w:tc>
          <w:tcPr>
            <w:tcW w:w="2808" w:type="dxa"/>
            <w:vAlign w:val="center"/>
          </w:tcPr>
          <w:p w14:paraId="5071D7FC" w14:textId="77777777" w:rsidR="005B4005" w:rsidRDefault="005B4005" w:rsidP="005B4005">
            <w:pPr>
              <w:jc w:val="center"/>
            </w:pPr>
            <w:r>
              <w:t>Naturopathic physician with prescriptive authority</w:t>
            </w:r>
          </w:p>
        </w:tc>
        <w:tc>
          <w:tcPr>
            <w:tcW w:w="3260" w:type="dxa"/>
            <w:vAlign w:val="center"/>
          </w:tcPr>
          <w:p w14:paraId="3A77CF8A" w14:textId="77777777" w:rsidR="005B4005" w:rsidRPr="00A174AD" w:rsidRDefault="005B4005" w:rsidP="005B4005">
            <w:pPr>
              <w:jc w:val="center"/>
              <w:rPr>
                <w:highlight w:val="yellow"/>
              </w:rPr>
            </w:pPr>
            <w:r>
              <w:t>No integration option</w:t>
            </w:r>
          </w:p>
        </w:tc>
      </w:tr>
      <w:tr w:rsidR="005B4005" w14:paraId="43531EBF" w14:textId="77777777" w:rsidTr="005B4005">
        <w:tc>
          <w:tcPr>
            <w:tcW w:w="2808" w:type="dxa"/>
            <w:vAlign w:val="center"/>
          </w:tcPr>
          <w:p w14:paraId="3CD039D2" w14:textId="77777777" w:rsidR="005B4005" w:rsidRDefault="005B4005" w:rsidP="005B4005">
            <w:pPr>
              <w:jc w:val="center"/>
            </w:pPr>
            <w:r>
              <w:t>No MassPAT role</w:t>
            </w:r>
          </w:p>
        </w:tc>
        <w:tc>
          <w:tcPr>
            <w:tcW w:w="2808" w:type="dxa"/>
            <w:vAlign w:val="center"/>
          </w:tcPr>
          <w:p w14:paraId="1B46FC31" w14:textId="77777777" w:rsidR="005B4005" w:rsidRDefault="005B4005" w:rsidP="005B4005">
            <w:pPr>
              <w:jc w:val="center"/>
            </w:pPr>
            <w:r>
              <w:t>Medical intern with prescriptive authority</w:t>
            </w:r>
          </w:p>
        </w:tc>
        <w:tc>
          <w:tcPr>
            <w:tcW w:w="3260" w:type="dxa"/>
            <w:vAlign w:val="center"/>
          </w:tcPr>
          <w:p w14:paraId="0D45A18C" w14:textId="77777777" w:rsidR="005B4005" w:rsidRPr="00A174AD" w:rsidRDefault="005B4005" w:rsidP="005B4005">
            <w:pPr>
              <w:jc w:val="center"/>
              <w:rPr>
                <w:highlight w:val="yellow"/>
              </w:rPr>
            </w:pPr>
            <w:r>
              <w:t>No integration option</w:t>
            </w:r>
          </w:p>
        </w:tc>
      </w:tr>
      <w:tr w:rsidR="005B4005" w14:paraId="59DCF3EB" w14:textId="77777777" w:rsidTr="005B4005">
        <w:tc>
          <w:tcPr>
            <w:tcW w:w="2808" w:type="dxa"/>
            <w:vAlign w:val="center"/>
          </w:tcPr>
          <w:p w14:paraId="66CF69A4" w14:textId="77777777" w:rsidR="005B4005" w:rsidRDefault="005B4005" w:rsidP="005B4005">
            <w:pPr>
              <w:jc w:val="center"/>
            </w:pPr>
            <w:r>
              <w:t>No MassPAT role</w:t>
            </w:r>
          </w:p>
        </w:tc>
        <w:tc>
          <w:tcPr>
            <w:tcW w:w="2808" w:type="dxa"/>
            <w:vAlign w:val="center"/>
          </w:tcPr>
          <w:p w14:paraId="3E1493C4" w14:textId="77777777" w:rsidR="005B4005" w:rsidRDefault="005B4005" w:rsidP="005B4005">
            <w:pPr>
              <w:jc w:val="center"/>
            </w:pPr>
            <w:r>
              <w:t>Medical resident with no independent prescriptive authority</w:t>
            </w:r>
          </w:p>
        </w:tc>
        <w:tc>
          <w:tcPr>
            <w:tcW w:w="3260" w:type="dxa"/>
            <w:vAlign w:val="center"/>
          </w:tcPr>
          <w:p w14:paraId="3675A237" w14:textId="77777777" w:rsidR="005B4005" w:rsidRPr="00A174AD" w:rsidRDefault="005B4005" w:rsidP="005B4005">
            <w:pPr>
              <w:jc w:val="center"/>
              <w:rPr>
                <w:highlight w:val="yellow"/>
              </w:rPr>
            </w:pPr>
            <w:r>
              <w:t>No integration option</w:t>
            </w:r>
          </w:p>
        </w:tc>
      </w:tr>
      <w:tr w:rsidR="005B4005" w14:paraId="6FD8C779" w14:textId="77777777" w:rsidTr="005B4005">
        <w:tc>
          <w:tcPr>
            <w:tcW w:w="2808" w:type="dxa"/>
            <w:vAlign w:val="center"/>
          </w:tcPr>
          <w:p w14:paraId="0C865358" w14:textId="77777777" w:rsidR="005B4005" w:rsidRDefault="005B4005" w:rsidP="005B4005">
            <w:pPr>
              <w:jc w:val="center"/>
            </w:pPr>
            <w:r>
              <w:t>No MassPAT role</w:t>
            </w:r>
          </w:p>
        </w:tc>
        <w:tc>
          <w:tcPr>
            <w:tcW w:w="2808" w:type="dxa"/>
            <w:vAlign w:val="center"/>
          </w:tcPr>
          <w:p w14:paraId="183809B3" w14:textId="77777777" w:rsidR="005B4005" w:rsidRDefault="005B4005" w:rsidP="005B4005">
            <w:pPr>
              <w:jc w:val="center"/>
            </w:pPr>
            <w:r>
              <w:t>Medical intern with no independent prescriptive authority</w:t>
            </w:r>
          </w:p>
        </w:tc>
        <w:tc>
          <w:tcPr>
            <w:tcW w:w="3260" w:type="dxa"/>
            <w:vAlign w:val="center"/>
          </w:tcPr>
          <w:p w14:paraId="38D8CA61" w14:textId="77777777" w:rsidR="005B4005" w:rsidRPr="00A174AD" w:rsidRDefault="005B4005" w:rsidP="005B4005">
            <w:pPr>
              <w:jc w:val="center"/>
              <w:rPr>
                <w:highlight w:val="yellow"/>
              </w:rPr>
            </w:pPr>
            <w:r>
              <w:t>No integration option</w:t>
            </w:r>
          </w:p>
        </w:tc>
      </w:tr>
      <w:tr w:rsidR="005B4005" w14:paraId="64BFFF9D" w14:textId="77777777" w:rsidTr="005B4005">
        <w:tc>
          <w:tcPr>
            <w:tcW w:w="2808" w:type="dxa"/>
            <w:vAlign w:val="center"/>
          </w:tcPr>
          <w:p w14:paraId="6A695DCC" w14:textId="77777777" w:rsidR="005B4005" w:rsidRDefault="005B4005" w:rsidP="005B4005">
            <w:pPr>
              <w:jc w:val="center"/>
            </w:pPr>
            <w:r>
              <w:t>No MassPAT role</w:t>
            </w:r>
          </w:p>
        </w:tc>
        <w:tc>
          <w:tcPr>
            <w:tcW w:w="2808" w:type="dxa"/>
            <w:vAlign w:val="center"/>
          </w:tcPr>
          <w:p w14:paraId="67404A3A" w14:textId="77777777" w:rsidR="005B4005" w:rsidRDefault="005B4005" w:rsidP="005B4005">
            <w:pPr>
              <w:jc w:val="center"/>
            </w:pPr>
            <w:r>
              <w:t>Other – non prescriber</w:t>
            </w:r>
          </w:p>
        </w:tc>
        <w:tc>
          <w:tcPr>
            <w:tcW w:w="3260" w:type="dxa"/>
            <w:vAlign w:val="center"/>
          </w:tcPr>
          <w:p w14:paraId="286C7B39" w14:textId="77777777" w:rsidR="005B4005" w:rsidRPr="00A174AD" w:rsidRDefault="005B4005" w:rsidP="005B4005">
            <w:pPr>
              <w:jc w:val="center"/>
              <w:rPr>
                <w:highlight w:val="yellow"/>
              </w:rPr>
            </w:pPr>
            <w:r>
              <w:t>No integration option</w:t>
            </w:r>
          </w:p>
        </w:tc>
      </w:tr>
    </w:tbl>
    <w:p w14:paraId="34BE15EF" w14:textId="77777777" w:rsidR="005B4005" w:rsidRDefault="004245EA" w:rsidP="004245EA">
      <w:pPr>
        <w:pStyle w:val="Heading2"/>
        <w:tabs>
          <w:tab w:val="left" w:pos="3525"/>
        </w:tabs>
        <w:ind w:left="720"/>
      </w:pPr>
      <w:bookmarkStart w:id="21" w:name="_Interstate_data_sharing"/>
      <w:bookmarkEnd w:id="21"/>
      <w:r>
        <w:br/>
      </w:r>
      <w:bookmarkStart w:id="22" w:name="_Toc514930289"/>
      <w:r w:rsidR="005B4005">
        <w:t>Interstate data sharing</w:t>
      </w:r>
      <w:bookmarkEnd w:id="22"/>
      <w:r w:rsidR="005B4005">
        <w:tab/>
      </w:r>
    </w:p>
    <w:p w14:paraId="7B5C3AE0" w14:textId="77777777" w:rsidR="005B4005" w:rsidRDefault="005B4005" w:rsidP="005B4005">
      <w:r>
        <w:t xml:space="preserve">As of June 2017, MassPAT is connected to 31 states and districts. Please visit the </w:t>
      </w:r>
      <w:hyperlink r:id="rId15" w:history="1">
        <w:r w:rsidRPr="005063D6">
          <w:rPr>
            <w:rStyle w:val="Hyperlink"/>
          </w:rPr>
          <w:t>PMP website</w:t>
        </w:r>
      </w:hyperlink>
      <w:r>
        <w:t xml:space="preserve"> for the latest interstate data sharing information. </w:t>
      </w:r>
    </w:p>
    <w:p w14:paraId="1C4BA767" w14:textId="77777777" w:rsidR="005B4005" w:rsidRDefault="005B4005" w:rsidP="005B4005">
      <w:r>
        <w:t>A component of the EHR integration process will be for the healthcare entity to determine which states they would like to connect with. There are a few key components to keep in mind:</w:t>
      </w:r>
    </w:p>
    <w:p w14:paraId="1D61CFFE" w14:textId="77777777" w:rsidR="005B4005" w:rsidRDefault="005B4005" w:rsidP="005B4005">
      <w:pPr>
        <w:pStyle w:val="ListParagraph"/>
        <w:numPr>
          <w:ilvl w:val="0"/>
          <w:numId w:val="3"/>
        </w:numPr>
      </w:pPr>
      <w:r>
        <w:t xml:space="preserve">The states that the HCE elects to connect with will be their default states and will be searched with each query. </w:t>
      </w:r>
    </w:p>
    <w:p w14:paraId="4C75183E" w14:textId="77777777" w:rsidR="005B4005" w:rsidRPr="00771159" w:rsidRDefault="005B4005" w:rsidP="005B4005">
      <w:pPr>
        <w:pStyle w:val="ListParagraph"/>
        <w:numPr>
          <w:ilvl w:val="0"/>
          <w:numId w:val="3"/>
        </w:numPr>
      </w:pPr>
      <w:r>
        <w:t xml:space="preserve">The searches will be as fast as the slowest state queried. </w:t>
      </w:r>
    </w:p>
    <w:p w14:paraId="432FDB9D" w14:textId="77777777" w:rsidR="005B4005" w:rsidRDefault="005B4005" w:rsidP="005B4005">
      <w:pPr>
        <w:pStyle w:val="ListParagraph"/>
        <w:numPr>
          <w:ilvl w:val="0"/>
          <w:numId w:val="3"/>
        </w:numPr>
      </w:pPr>
      <w:r>
        <w:t xml:space="preserve">The default states users select in the web application will be irrelevant for EHR integration. The default states for integration are set at the HCE level. </w:t>
      </w:r>
    </w:p>
    <w:p w14:paraId="1E08EEC1" w14:textId="77777777" w:rsidR="005B4005" w:rsidRDefault="005B4005" w:rsidP="005B4005">
      <w:pPr>
        <w:pStyle w:val="Heading2"/>
      </w:pPr>
      <w:r>
        <w:tab/>
      </w:r>
      <w:bookmarkStart w:id="23" w:name="_Toc514930290"/>
      <w:r>
        <w:t>User onboarding</w:t>
      </w:r>
      <w:bookmarkEnd w:id="23"/>
    </w:p>
    <w:p w14:paraId="57BC17FC" w14:textId="77777777" w:rsidR="005B4005" w:rsidRDefault="005B4005" w:rsidP="005B4005">
      <w:r>
        <w:t xml:space="preserve">A healthcare provider wishing to access the MassPAT data via EHR integration will still need to have an active MassPAT account. There are three reasons users will need to have an active MassPAT account: </w:t>
      </w:r>
    </w:p>
    <w:p w14:paraId="65F10F63" w14:textId="77777777" w:rsidR="005B4005" w:rsidRDefault="005B4005" w:rsidP="005B4005">
      <w:pPr>
        <w:pStyle w:val="ListParagraph"/>
        <w:numPr>
          <w:ilvl w:val="0"/>
          <w:numId w:val="4"/>
        </w:numPr>
      </w:pPr>
      <w:r>
        <w:lastRenderedPageBreak/>
        <w:t xml:space="preserve">Each time a patient prescription history request comes across via the EHR integration, identifying information is sent about the healthcare provider. Before the MassPAT system sends the EHR the patient prescription history, MassPAT will ensure the person requesting the search is authorized to conduct a search. Only providers with an active MassPAT account are authorized to conduct searches. </w:t>
      </w:r>
    </w:p>
    <w:p w14:paraId="6BE837EE" w14:textId="77777777" w:rsidR="005B4005" w:rsidRPr="000D09B3" w:rsidRDefault="005B4005" w:rsidP="005B4005">
      <w:pPr>
        <w:pStyle w:val="ListParagraph"/>
        <w:numPr>
          <w:ilvl w:val="0"/>
          <w:numId w:val="4"/>
        </w:numPr>
      </w:pPr>
      <w:r>
        <w:t xml:space="preserve">Provided within the MassPAT web application is a 12 month history of all searches the user has conducted and the searches a delegate has conducted on the user’s behalf. The search history is comprehensive and includes searches that have been completed in the web application and via </w:t>
      </w:r>
      <w:r w:rsidRPr="000D09B3">
        <w:t xml:space="preserve">EHR. </w:t>
      </w:r>
    </w:p>
    <w:p w14:paraId="46B6A60A" w14:textId="77777777" w:rsidR="005B4005" w:rsidRPr="000D09B3" w:rsidRDefault="005B4005" w:rsidP="005B4005">
      <w:pPr>
        <w:pStyle w:val="ListParagraph"/>
        <w:numPr>
          <w:ilvl w:val="0"/>
          <w:numId w:val="4"/>
        </w:numPr>
      </w:pPr>
      <w:r>
        <w:t>There are a few differences between the information available in MassPAT and the data available via EHR integration</w:t>
      </w:r>
      <w:r w:rsidRPr="000D09B3">
        <w:t xml:space="preserve">. The only way to access this functionality, as described in </w:t>
      </w:r>
      <w:hyperlink w:anchor="_Clinical_workflow" w:history="1">
        <w:r w:rsidRPr="000D09B3">
          <w:rPr>
            <w:rStyle w:val="Hyperlink"/>
          </w:rPr>
          <w:t>Clinical Workflow</w:t>
        </w:r>
      </w:hyperlink>
      <w:r w:rsidRPr="000D09B3">
        <w:t xml:space="preserve">, is via the web portal. </w:t>
      </w:r>
      <w:r>
        <w:t>EHR i</w:t>
      </w:r>
      <w:r w:rsidRPr="000D09B3">
        <w:t>ntegration</w:t>
      </w:r>
      <w:r>
        <w:t xml:space="preserve"> optimal use is when a provider is seeing a patient</w:t>
      </w:r>
      <w:r w:rsidRPr="000D09B3">
        <w:t xml:space="preserve">, whereas </w:t>
      </w:r>
      <w:r>
        <w:t xml:space="preserve">the </w:t>
      </w:r>
      <w:r w:rsidRPr="000D09B3">
        <w:t>web portal</w:t>
      </w:r>
      <w:r>
        <w:t xml:space="preserve"> is optimized for a provider to complete </w:t>
      </w:r>
      <w:r w:rsidRPr="000D09B3">
        <w:t xml:space="preserve">practice management </w:t>
      </w:r>
      <w:r>
        <w:t xml:space="preserve">responsibilities </w:t>
      </w:r>
      <w:r w:rsidRPr="000D09B3">
        <w:t>(</w:t>
      </w:r>
      <w:r>
        <w:t>view full search history; manage delegates</w:t>
      </w:r>
      <w:r w:rsidRPr="000D09B3">
        <w:t>, MyRx</w:t>
      </w:r>
      <w:r w:rsidRPr="00827071">
        <w:t>, etc.</w:t>
      </w:r>
      <w:r>
        <w:t>).</w:t>
      </w:r>
    </w:p>
    <w:p w14:paraId="680C9BC8" w14:textId="77777777" w:rsidR="005B4005" w:rsidRPr="008F750F" w:rsidRDefault="005B4005" w:rsidP="005B4005">
      <w:pPr>
        <w:pStyle w:val="Heading2"/>
        <w:ind w:firstLine="720"/>
      </w:pPr>
      <w:bookmarkStart w:id="24" w:name="_Toc514930291"/>
      <w:r>
        <w:t>Testing</w:t>
      </w:r>
      <w:bookmarkEnd w:id="24"/>
    </w:p>
    <w:p w14:paraId="46C132CE" w14:textId="77777777" w:rsidR="005B4005" w:rsidRDefault="005B4005" w:rsidP="005B4005">
      <w:r>
        <w:t xml:space="preserve">The Appriss Health project manager will provide pre-production test cases and credentials to the HCE. As mentioned in the </w:t>
      </w:r>
      <w:hyperlink w:anchor="_Process" w:history="1">
        <w:r>
          <w:rPr>
            <w:rStyle w:val="Hyperlink"/>
          </w:rPr>
          <w:t>Integration Process</w:t>
        </w:r>
      </w:hyperlink>
      <w:r>
        <w:t xml:space="preserve"> section, the MA PMP will need to review the test results prior to go-live approval. Please send an email to </w:t>
      </w:r>
      <w:hyperlink r:id="rId16" w:history="1">
        <w:r w:rsidR="00D60D41">
          <w:rPr>
            <w:rStyle w:val="Hyperlink"/>
            <w:rFonts w:ascii="Arial" w:hAnsi="Arial" w:cs="Arial"/>
            <w:color w:val="64406B"/>
            <w:sz w:val="20"/>
            <w:szCs w:val="20"/>
            <w:shd w:val="clear" w:color="auto" w:fill="F5F5F5"/>
          </w:rPr>
          <w:t>PMP.EHR@massmail.state.ma.us</w:t>
        </w:r>
      </w:hyperlink>
      <w:r>
        <w:t xml:space="preserve"> including a screenshot displaying a successful test within your EHR/PMS.</w:t>
      </w:r>
      <w:r w:rsidR="006B40CF">
        <w:t xml:space="preserve"> Once development and pre-production testing are complete, Appriss Health will provide production credentials.</w:t>
      </w:r>
    </w:p>
    <w:p w14:paraId="7CC6D8EE" w14:textId="77777777" w:rsidR="005B4005" w:rsidRDefault="005B4005" w:rsidP="005B4005">
      <w:pPr>
        <w:pStyle w:val="Heading2"/>
        <w:ind w:firstLine="720"/>
      </w:pPr>
      <w:bookmarkStart w:id="25" w:name="_Toc514930292"/>
      <w:r>
        <w:t>What are the legal parameters for integration?</w:t>
      </w:r>
      <w:bookmarkEnd w:id="25"/>
    </w:p>
    <w:p w14:paraId="737D2954" w14:textId="77777777" w:rsidR="005B4005" w:rsidRDefault="005B4005" w:rsidP="005B4005">
      <w:r>
        <w:t xml:space="preserve">There are a handful of legislative and statutory parameters surrounding MassPAT integration. Please review the </w:t>
      </w:r>
      <w:hyperlink r:id="rId17" w:history="1">
        <w:r w:rsidRPr="00D47125">
          <w:rPr>
            <w:rStyle w:val="Hyperlink"/>
          </w:rPr>
          <w:t>Terms &amp; Conditions of Use</w:t>
        </w:r>
      </w:hyperlink>
      <w:r>
        <w:t xml:space="preserve"> for a comprehensive view. In short, no EHR can store PMP data. That is to say, once a provider has viewed the data, the EHR must purge the data from their system. All providers who view PMP data within the EHR must be captured in the MassPAT audit log. To view data in an EHR, end users must have an account in MassPAT with active credentials (i.e. DEA, NPI, and Professional License). </w:t>
      </w:r>
    </w:p>
    <w:p w14:paraId="23A779EC" w14:textId="77777777" w:rsidR="005B4005" w:rsidRDefault="005B4005" w:rsidP="005B4005">
      <w:pPr>
        <w:pStyle w:val="Heading2"/>
        <w:ind w:left="720"/>
      </w:pPr>
      <w:bookmarkStart w:id="26" w:name="_Toc514930293"/>
      <w:r>
        <w:t>Data security</w:t>
      </w:r>
      <w:bookmarkEnd w:id="26"/>
    </w:p>
    <w:p w14:paraId="6AFD16B1" w14:textId="77777777" w:rsidR="005B4005" w:rsidRDefault="005B4005" w:rsidP="005B4005">
      <w:r>
        <w:t xml:space="preserve">PMP data contains both personally identifiable data (PII) and protected health information (PHI). To protect patient’s rights, the highest standard of data security must be applied to PMP data. In Massachusetts, there are </w:t>
      </w:r>
      <w:r w:rsidRPr="00CC084E">
        <w:t>laws</w:t>
      </w:r>
      <w:r>
        <w:t xml:space="preserve"> in place to ensure PMP data security. To ensure that patient data is protected, the EHR integration requires that HCEs comply with Massachusetts’ security measures, which are outlined below. </w:t>
      </w:r>
    </w:p>
    <w:p w14:paraId="0A5C7AD7" w14:textId="77777777" w:rsidR="005B4005" w:rsidRDefault="005B4005" w:rsidP="005B4005">
      <w:pPr>
        <w:pStyle w:val="ListParagraph"/>
        <w:numPr>
          <w:ilvl w:val="0"/>
          <w:numId w:val="5"/>
        </w:numPr>
      </w:pPr>
      <w:r>
        <w:t xml:space="preserve">Two-way </w:t>
      </w:r>
      <w:r w:rsidRPr="00DA2A08">
        <w:t>Secure Sockets Layer</w:t>
      </w:r>
      <w:r>
        <w:t xml:space="preserve"> (2-way SSL) is required for all integration options. Please ensure that you are prepared to conduct 2-way SSL requests and receive the response with the security key. Ahead of system integration go-live, HCEs must provide a server certification to Massachusetts. HCEs are responsible for managing these certificates and renewals as applicable.</w:t>
      </w:r>
    </w:p>
    <w:p w14:paraId="18E14B5F" w14:textId="77777777" w:rsidR="005B4005" w:rsidRDefault="005B4005" w:rsidP="005B4005">
      <w:pPr>
        <w:pStyle w:val="ListParagraph"/>
        <w:numPr>
          <w:ilvl w:val="0"/>
          <w:numId w:val="5"/>
        </w:numPr>
      </w:pPr>
      <w:r>
        <w:t>A</w:t>
      </w:r>
      <w:r w:rsidRPr="00CC5F42">
        <w:t>ll communication between the HIE or PMP Gateway must be at least FIPS 140-2</w:t>
      </w:r>
      <w:r>
        <w:t xml:space="preserve"> compliant</w:t>
      </w:r>
      <w:r w:rsidRPr="00CC5F42">
        <w:t xml:space="preserve"> (or equivalent) for all data in transit and at rest. </w:t>
      </w:r>
    </w:p>
    <w:p w14:paraId="16153702" w14:textId="77777777" w:rsidR="005B4005" w:rsidRDefault="005B4005" w:rsidP="005B4005">
      <w:pPr>
        <w:pStyle w:val="ListParagraph"/>
        <w:numPr>
          <w:ilvl w:val="0"/>
          <w:numId w:val="5"/>
        </w:numPr>
      </w:pPr>
      <w:r>
        <w:t xml:space="preserve">Each call that initiates a patient request includes credentials to identify the HCE that is requesting the patient report. These credentials are unique to each HCE and expire annually. HCEs are responsible for renewing these credentials on an annual basis. Failure to renew HCE </w:t>
      </w:r>
      <w:r>
        <w:lastRenderedPageBreak/>
        <w:t xml:space="preserve">credentials annually will result in PMP Gateway and HIE system call errors – preventing providers from accessing PMP data within their EHR. </w:t>
      </w:r>
    </w:p>
    <w:p w14:paraId="46EC03BE" w14:textId="77777777" w:rsidR="005B4005" w:rsidRPr="00802209" w:rsidRDefault="005B4005" w:rsidP="005B4005">
      <w:pPr>
        <w:pStyle w:val="Heading3"/>
        <w:ind w:left="720" w:firstLine="720"/>
        <w:rPr>
          <w:color w:val="365F91" w:themeColor="accent1" w:themeShade="BF"/>
        </w:rPr>
      </w:pPr>
      <w:bookmarkStart w:id="27" w:name="_Toc514930294"/>
      <w:r w:rsidRPr="00802209">
        <w:rPr>
          <w:color w:val="365F91" w:themeColor="accent1" w:themeShade="BF"/>
        </w:rPr>
        <w:t>Ongoing maintenance of certifications and credentials</w:t>
      </w:r>
      <w:bookmarkEnd w:id="27"/>
    </w:p>
    <w:p w14:paraId="67587CD1" w14:textId="77777777" w:rsidR="005B4005" w:rsidRPr="00DD5335" w:rsidRDefault="00802209" w:rsidP="005B4005">
      <w:r w:rsidRPr="00DD5335">
        <w:rPr>
          <w:shd w:val="clear" w:color="auto" w:fill="FFFFFF"/>
        </w:rPr>
        <w:t xml:space="preserve">PMP Gateway web service passwords will expire on an annual basis.  If your web service password expires, you will not be able to authenticate with the PMP Gateway service until it has been reset.  Please ensure your technical staff is following the appropriate process for resetting the web service password prior to the expiration date.  </w:t>
      </w:r>
      <w:r>
        <w:rPr>
          <w:shd w:val="clear" w:color="auto" w:fill="FFFFFF"/>
        </w:rPr>
        <w:t>As part of your initial set-up, you will receive an additional set of credentials for a Licensee Administrator account. The Licensee Administrator account is associated with an email address and</w:t>
      </w:r>
      <w:r w:rsidR="006E049B">
        <w:rPr>
          <w:shd w:val="clear" w:color="auto" w:fill="FFFFFF"/>
        </w:rPr>
        <w:t>,</w:t>
      </w:r>
      <w:r>
        <w:rPr>
          <w:shd w:val="clear" w:color="auto" w:fill="FFFFFF"/>
        </w:rPr>
        <w:t xml:space="preserve"> as noted above</w:t>
      </w:r>
      <w:r w:rsidR="006E049B">
        <w:rPr>
          <w:shd w:val="clear" w:color="auto" w:fill="FFFFFF"/>
        </w:rPr>
        <w:t>,</w:t>
      </w:r>
      <w:r>
        <w:rPr>
          <w:shd w:val="clear" w:color="auto" w:fill="FFFFFF"/>
        </w:rPr>
        <w:t xml:space="preserve"> will allow y</w:t>
      </w:r>
      <w:r w:rsidR="006E049B">
        <w:rPr>
          <w:shd w:val="clear" w:color="auto" w:fill="FFFFFF"/>
        </w:rPr>
        <w:t>ou to manage certificates for 2-</w:t>
      </w:r>
      <w:r>
        <w:rPr>
          <w:shd w:val="clear" w:color="auto" w:fill="FFFFFF"/>
        </w:rPr>
        <w:t>way SSL as well as manage your web service password.  Prior to your web service password expiring, you will receive reminder emails to update your password.  You will login to the PMP Gateway portal and update your web service password from there.</w:t>
      </w:r>
      <w:r w:rsidR="005B4005">
        <w:t xml:space="preserve"> </w:t>
      </w:r>
    </w:p>
    <w:p w14:paraId="48B9543D" w14:textId="77777777" w:rsidR="005B4005" w:rsidRDefault="005B4005" w:rsidP="005B4005">
      <w:pPr>
        <w:pStyle w:val="Heading1"/>
      </w:pPr>
      <w:bookmarkStart w:id="28" w:name="_Toc514930295"/>
      <w:r>
        <w:t>Post Implementation Support</w:t>
      </w:r>
      <w:bookmarkEnd w:id="28"/>
    </w:p>
    <w:p w14:paraId="08E17ABC" w14:textId="77777777" w:rsidR="005B4005" w:rsidRDefault="005B4005" w:rsidP="005B4005">
      <w:pPr>
        <w:pStyle w:val="Heading2"/>
        <w:ind w:left="720"/>
      </w:pPr>
      <w:bookmarkStart w:id="29" w:name="_Toc514930296"/>
      <w:r w:rsidRPr="00363F62">
        <w:t xml:space="preserve">PMP Gateway Client Certificate Authentication </w:t>
      </w:r>
      <w:r>
        <w:t>(</w:t>
      </w:r>
      <w:r w:rsidRPr="00363F62">
        <w:t>2-way SSL</w:t>
      </w:r>
      <w:r>
        <w:t>)</w:t>
      </w:r>
      <w:bookmarkEnd w:id="29"/>
    </w:p>
    <w:p w14:paraId="4D2E3837" w14:textId="77777777" w:rsidR="005B4005" w:rsidRDefault="005B4005" w:rsidP="005B4005">
      <w:r>
        <w:t>Massachusetts</w:t>
      </w:r>
      <w:r w:rsidRPr="00363F62">
        <w:t xml:space="preserve"> require</w:t>
      </w:r>
      <w:r>
        <w:t>s</w:t>
      </w:r>
      <w:r w:rsidRPr="00363F62">
        <w:t xml:space="preserve"> client certificate authentication in order for a Licensee to make requests to </w:t>
      </w:r>
      <w:r>
        <w:t xml:space="preserve">the </w:t>
      </w:r>
      <w:r w:rsidR="00E30958">
        <w:t xml:space="preserve">PMP Gateway. </w:t>
      </w:r>
      <w:r w:rsidRPr="00363F62">
        <w:t xml:space="preserve">This set of features allows a Licensee Administrator to apply for a digital identity certificate by sending a certificate signing request to the PMP </w:t>
      </w:r>
      <w:r w:rsidR="00E30958">
        <w:t xml:space="preserve">Gateway certificate authority. </w:t>
      </w:r>
      <w:r w:rsidRPr="00363F62">
        <w:t>PMP Gateway then generates a certificate that the Licensee uses to make requests to PMP Gateway’s 2-way SSL enabled endpoint.</w:t>
      </w:r>
      <w:r>
        <w:t xml:space="preserve"> The certificate expires after 5 years and the HCE is responsible for managing and renewing these as applicable. </w:t>
      </w:r>
    </w:p>
    <w:p w14:paraId="012F7F7C" w14:textId="77777777" w:rsidR="005B4005" w:rsidRDefault="005B4005" w:rsidP="005B4005">
      <w:pPr>
        <w:pStyle w:val="Heading2"/>
        <w:ind w:left="720"/>
      </w:pPr>
      <w:bookmarkStart w:id="30" w:name="_Toc514930297"/>
      <w:r>
        <w:t>Web Service Credential Maintenance</w:t>
      </w:r>
      <w:bookmarkEnd w:id="30"/>
      <w:r>
        <w:t xml:space="preserve"> </w:t>
      </w:r>
    </w:p>
    <w:p w14:paraId="163A61EF" w14:textId="77777777" w:rsidR="005B4005" w:rsidRDefault="005B4005" w:rsidP="005B4005">
      <w:r w:rsidRPr="00363F62">
        <w:t xml:space="preserve">The password of a licensee’s web service user may be configured to expire annually.  Once expired, </w:t>
      </w:r>
      <w:r>
        <w:t xml:space="preserve">the </w:t>
      </w:r>
      <w:r w:rsidRPr="00363F62">
        <w:t>PMP Gateway will deny the web service user’s requests and respond with “401 Unauthorized” until the password is updated.</w:t>
      </w:r>
      <w:r>
        <w:t xml:space="preserve"> Ahead of expiration, you will receive an automated system generated email reminding you to update your system password. </w:t>
      </w:r>
    </w:p>
    <w:p w14:paraId="58CBD5E8" w14:textId="77777777" w:rsidR="005B4005" w:rsidRDefault="005B4005" w:rsidP="005B4005">
      <w:pPr>
        <w:pStyle w:val="Heading2"/>
        <w:ind w:left="720"/>
      </w:pPr>
      <w:bookmarkStart w:id="31" w:name="_Toc514930298"/>
      <w:r>
        <w:t>Post Implementation Technical Support</w:t>
      </w:r>
      <w:bookmarkEnd w:id="31"/>
    </w:p>
    <w:p w14:paraId="1EDA0095" w14:textId="77777777" w:rsidR="005B4005" w:rsidRDefault="005B4005" w:rsidP="005B4005">
      <w:r>
        <w:t>If users are experiencing an issue when attempting to access MassPAT data via the EHR, please first contact your internal IT helpdesk for assistance. Please note: Appriss Health does not control any aspect of your EMR/EHR or Pharmacy Management System. Any issues related to your EMR/EHR vendor’s application should be directed to your EMR/EHR vendor contact.</w:t>
      </w:r>
    </w:p>
    <w:p w14:paraId="2C552773" w14:textId="77777777" w:rsidR="005B4005" w:rsidRDefault="005B4005" w:rsidP="005B4005">
      <w:r>
        <w:t xml:space="preserve">If it is determined that the PMP Gateway service is non-operational, please submit a support request form to Appriss Health. This will create a service ticket with the Appriss Health helpdesk to troubleshoot the issue. You can access the form </w:t>
      </w:r>
      <w:hyperlink r:id="rId18" w:history="1">
        <w:r w:rsidRPr="00335439">
          <w:rPr>
            <w:rStyle w:val="Hyperlink"/>
          </w:rPr>
          <w:t>here</w:t>
        </w:r>
      </w:hyperlink>
      <w:r>
        <w:t>. Please allow up to 24 hours for Appriss Health to acknowledge your issue.</w:t>
      </w:r>
    </w:p>
    <w:p w14:paraId="59D74004" w14:textId="77777777" w:rsidR="005B4005" w:rsidRPr="009D7304" w:rsidRDefault="005B4005" w:rsidP="005B4005">
      <w:r>
        <w:t>In the event there is a disruption in the PMP Gateway integration service, providers should login to the MassPAT portal to request patient reports.</w:t>
      </w:r>
    </w:p>
    <w:p w14:paraId="31BFC01B" w14:textId="77777777" w:rsidR="005B4005" w:rsidRDefault="005B4005" w:rsidP="005B4005">
      <w:pPr>
        <w:pStyle w:val="Heading1"/>
      </w:pPr>
      <w:bookmarkStart w:id="32" w:name="_Toc514930299"/>
      <w:r>
        <w:t>Relevant Hyperlinks</w:t>
      </w:r>
      <w:bookmarkEnd w:id="32"/>
    </w:p>
    <w:p w14:paraId="24399FCE" w14:textId="77777777" w:rsidR="005B4005" w:rsidRDefault="00337D19" w:rsidP="005B4005">
      <w:pPr>
        <w:rPr>
          <w:rStyle w:val="Hyperlink"/>
        </w:rPr>
      </w:pPr>
      <w:hyperlink r:id="rId19" w:history="1">
        <w:r w:rsidR="005B4005" w:rsidRPr="00827071">
          <w:rPr>
            <w:rStyle w:val="Hyperlink"/>
          </w:rPr>
          <w:t>PMP Website</w:t>
        </w:r>
      </w:hyperlink>
    </w:p>
    <w:p w14:paraId="51B46D10" w14:textId="77777777" w:rsidR="002F753F" w:rsidRPr="00827071" w:rsidRDefault="00337D19" w:rsidP="005B4005">
      <w:hyperlink r:id="rId20" w:history="1">
        <w:r w:rsidR="002F753F" w:rsidRPr="00D97C1F">
          <w:rPr>
            <w:rStyle w:val="Hyperlink"/>
          </w:rPr>
          <w:t>Integration Request Form</w:t>
        </w:r>
      </w:hyperlink>
    </w:p>
    <w:p w14:paraId="11C8E6BE" w14:textId="77777777" w:rsidR="005B4005" w:rsidRPr="00827071" w:rsidRDefault="00337D19" w:rsidP="005B4005">
      <w:hyperlink r:id="rId21" w:history="1">
        <w:r w:rsidR="005B4005" w:rsidRPr="00827071">
          <w:rPr>
            <w:rStyle w:val="Hyperlink"/>
          </w:rPr>
          <w:t>MassPAT web application</w:t>
        </w:r>
      </w:hyperlink>
      <w:r w:rsidR="005B4005" w:rsidRPr="00827071">
        <w:t xml:space="preserve"> </w:t>
      </w:r>
    </w:p>
    <w:bookmarkStart w:id="33" w:name="_Hlk485382422"/>
    <w:p w14:paraId="6348B806" w14:textId="77777777" w:rsidR="005B4005" w:rsidRDefault="005B4005" w:rsidP="005B4005">
      <w:r>
        <w:fldChar w:fldCharType="begin"/>
      </w:r>
      <w:r>
        <w:instrText xml:space="preserve"> HYPERLINK "https://apprisshealth.com/" </w:instrText>
      </w:r>
      <w:r>
        <w:fldChar w:fldCharType="separate"/>
      </w:r>
      <w:r w:rsidRPr="00EE2FEF">
        <w:rPr>
          <w:rStyle w:val="Hyperlink"/>
        </w:rPr>
        <w:t>Appriss Health</w:t>
      </w:r>
      <w:r>
        <w:fldChar w:fldCharType="end"/>
      </w:r>
    </w:p>
    <w:bookmarkEnd w:id="33"/>
    <w:p w14:paraId="77C8B670" w14:textId="77777777" w:rsidR="00DF099D" w:rsidRDefault="00DF099D" w:rsidP="001377F7">
      <w:pPr>
        <w:rPr>
          <w:rStyle w:val="Hyperlink"/>
        </w:rPr>
      </w:pPr>
      <w:r>
        <w:rPr>
          <w:rStyle w:val="Hyperlink"/>
        </w:rPr>
        <w:br w:type="page"/>
      </w:r>
    </w:p>
    <w:p w14:paraId="6A0BD4FB" w14:textId="77777777" w:rsidR="005B4005" w:rsidRPr="00401864" w:rsidRDefault="005B4005" w:rsidP="005B4005">
      <w:pPr>
        <w:pStyle w:val="Heading1"/>
        <w:rPr>
          <w:b/>
        </w:rPr>
      </w:pPr>
      <w:bookmarkStart w:id="34" w:name="_Toc514930300"/>
      <w:r>
        <w:lastRenderedPageBreak/>
        <w:t xml:space="preserve">Appendix A - </w:t>
      </w:r>
      <w:r w:rsidRPr="005B4005">
        <w:t>EHR Integration Readiness Document</w:t>
      </w:r>
      <w:bookmarkEnd w:id="34"/>
      <w:r w:rsidR="0074424C" w:rsidRPr="00401864">
        <w:rPr>
          <w:b/>
        </w:rPr>
        <w:br/>
      </w:r>
    </w:p>
    <w:p w14:paraId="62F68968" w14:textId="77777777" w:rsidR="005B4005" w:rsidRPr="0087750D" w:rsidRDefault="005B4005" w:rsidP="005B4005">
      <w:pPr>
        <w:pStyle w:val="Header"/>
        <w:jc w:val="center"/>
        <w:rPr>
          <w:rFonts w:ascii="Calibri" w:hAnsi="Calibri" w:cs="Arial"/>
          <w:b/>
        </w:rPr>
      </w:pPr>
      <w:r>
        <w:rPr>
          <w:rFonts w:ascii="Calibri" w:hAnsi="Calibri"/>
          <w:noProof/>
          <w:sz w:val="40"/>
          <w:lang w:eastAsia="en-US"/>
        </w:rPr>
        <w:drawing>
          <wp:anchor distT="0" distB="0" distL="114300" distR="114300" simplePos="0" relativeHeight="251664384" behindDoc="1" locked="0" layoutInCell="1" allowOverlap="1" wp14:anchorId="7CC749E2" wp14:editId="046A560C">
            <wp:simplePos x="0" y="0"/>
            <wp:positionH relativeFrom="margin">
              <wp:posOffset>-180975</wp:posOffset>
            </wp:positionH>
            <wp:positionV relativeFrom="paragraph">
              <wp:posOffset>-200025</wp:posOffset>
            </wp:positionV>
            <wp:extent cx="819150" cy="833120"/>
            <wp:effectExtent l="0" t="0" r="0" b="5080"/>
            <wp:wrapNone/>
            <wp:docPr id="1" name="Picture 1" descr="dph_logo_to_use_6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h_logo_to_use_6_07.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750D">
        <w:rPr>
          <w:rFonts w:ascii="Calibri" w:hAnsi="Calibri" w:cs="Arial"/>
          <w:b/>
          <w:sz w:val="40"/>
        </w:rPr>
        <w:t>EHR Integration Readiness Document</w:t>
      </w:r>
      <w:r w:rsidRPr="0087750D">
        <w:rPr>
          <w:rFonts w:ascii="Calibri" w:hAnsi="Calibri" w:cs="Arial"/>
          <w:b/>
        </w:rPr>
        <w:br/>
      </w:r>
    </w:p>
    <w:p w14:paraId="27024E06" w14:textId="77777777" w:rsidR="004A771E" w:rsidRPr="0087750D" w:rsidRDefault="004A771E" w:rsidP="004A771E">
      <w:pPr>
        <w:jc w:val="center"/>
        <w:rPr>
          <w:rStyle w:val="Hyperlink"/>
          <w:rFonts w:ascii="Calibri" w:hAnsi="Calibri"/>
          <w:b/>
          <w:sz w:val="20"/>
          <w:szCs w:val="20"/>
        </w:rPr>
      </w:pPr>
      <w:r w:rsidRPr="0081420F">
        <w:rPr>
          <w:rFonts w:ascii="Calibri" w:hAnsi="Calibri"/>
          <w:b/>
          <w:szCs w:val="20"/>
        </w:rPr>
        <w:t xml:space="preserve">Completed forms must be submitted via email to </w:t>
      </w:r>
      <w:hyperlink r:id="rId22" w:history="1">
        <w:r>
          <w:rPr>
            <w:rStyle w:val="Hyperlink"/>
            <w:rFonts w:ascii="Calibri" w:hAnsi="Calibri"/>
            <w:b/>
            <w:szCs w:val="20"/>
          </w:rPr>
          <w:t>PMP.EHR@massmail.state.ma.us</w:t>
        </w:r>
      </w:hyperlink>
      <w:r>
        <w:rPr>
          <w:rStyle w:val="Hyperlink"/>
          <w:rFonts w:ascii="Calibri" w:hAnsi="Calibri"/>
          <w:b/>
          <w:szCs w:val="20"/>
        </w:rPr>
        <w:t xml:space="preserve"> </w:t>
      </w:r>
      <w:r w:rsidRPr="0087750D">
        <w:rPr>
          <w:rStyle w:val="Hyperlink"/>
          <w:rFonts w:ascii="Calibri" w:hAnsi="Calibri"/>
          <w:b/>
          <w:sz w:val="20"/>
          <w:szCs w:val="20"/>
        </w:rPr>
        <w:br/>
      </w:r>
    </w:p>
    <w:p w14:paraId="1E77FD98" w14:textId="11D03072" w:rsidR="004A771E" w:rsidRPr="0087750D" w:rsidRDefault="004A771E" w:rsidP="004A771E">
      <w:pPr>
        <w:jc w:val="center"/>
        <w:rPr>
          <w:rFonts w:ascii="Calibri" w:hAnsi="Calibri"/>
          <w:sz w:val="20"/>
        </w:rPr>
      </w:pPr>
      <w:r w:rsidRPr="0087750D">
        <w:rPr>
          <w:rFonts w:ascii="Calibri" w:hAnsi="Calibri"/>
          <w:sz w:val="20"/>
        </w:rPr>
        <w:t xml:space="preserve">Commonwealth of Massachusetts, Department of Public Health, </w:t>
      </w:r>
      <w:r w:rsidRPr="0087750D">
        <w:rPr>
          <w:rFonts w:ascii="Calibri" w:hAnsi="Calibri"/>
          <w:sz w:val="20"/>
        </w:rPr>
        <w:br/>
        <w:t xml:space="preserve">Office of Prescription Monitoring and Drug Control Program, </w:t>
      </w:r>
      <w:r w:rsidRPr="0087750D">
        <w:rPr>
          <w:rFonts w:ascii="Calibri" w:hAnsi="Calibri"/>
          <w:sz w:val="20"/>
        </w:rPr>
        <w:br/>
      </w:r>
      <w:r w:rsidR="00A47BC8">
        <w:rPr>
          <w:rFonts w:ascii="Calibri" w:hAnsi="Calibri"/>
          <w:sz w:val="20"/>
        </w:rPr>
        <w:t>250 Washington</w:t>
      </w:r>
      <w:r w:rsidRPr="0087750D">
        <w:rPr>
          <w:rFonts w:ascii="Calibri" w:hAnsi="Calibri"/>
          <w:sz w:val="20"/>
        </w:rPr>
        <w:t xml:space="preserve"> Street, Boston, MA 02</w:t>
      </w:r>
      <w:r w:rsidR="00A47BC8">
        <w:rPr>
          <w:rFonts w:ascii="Calibri" w:hAnsi="Calibri"/>
          <w:sz w:val="20"/>
        </w:rPr>
        <w:t>108</w:t>
      </w:r>
    </w:p>
    <w:p w14:paraId="7C4879A5" w14:textId="77777777" w:rsidR="004A771E" w:rsidRPr="0087750D" w:rsidRDefault="004A771E" w:rsidP="004A771E">
      <w:pPr>
        <w:jc w:val="center"/>
        <w:rPr>
          <w:rFonts w:ascii="Calibri" w:hAnsi="Calibri"/>
          <w:b/>
          <w:noProof/>
          <w:sz w:val="10"/>
          <w:szCs w:val="48"/>
        </w:rPr>
      </w:pPr>
      <w:r w:rsidRPr="0087750D">
        <w:rPr>
          <w:rFonts w:ascii="Calibri" w:hAnsi="Calibri"/>
          <w:sz w:val="20"/>
        </w:rPr>
        <w:t>Telephone 617-753-7310 Fax 617-973-0985</w:t>
      </w:r>
    </w:p>
    <w:p w14:paraId="036FAF73" w14:textId="77777777" w:rsidR="004A771E" w:rsidRPr="0087750D" w:rsidRDefault="004A771E" w:rsidP="004A771E">
      <w:pPr>
        <w:pStyle w:val="Heading2"/>
        <w:rPr>
          <w:rFonts w:ascii="Calibri" w:hAnsi="Calibri"/>
        </w:rPr>
      </w:pPr>
      <w:bookmarkStart w:id="35" w:name="_Toc514930301"/>
      <w:r w:rsidRPr="0087750D">
        <w:rPr>
          <w:rFonts w:ascii="Calibri" w:hAnsi="Calibri"/>
        </w:rPr>
        <w:t>Purpose</w:t>
      </w:r>
      <w:bookmarkEnd w:id="35"/>
    </w:p>
    <w:p w14:paraId="6EAA6FAB" w14:textId="77777777" w:rsidR="004A771E" w:rsidRPr="0087750D" w:rsidRDefault="004A771E" w:rsidP="004A771E">
      <w:pPr>
        <w:ind w:left="360"/>
        <w:rPr>
          <w:rFonts w:ascii="Calibri" w:hAnsi="Calibri"/>
        </w:rPr>
      </w:pPr>
    </w:p>
    <w:p w14:paraId="1B8AE95C" w14:textId="77777777" w:rsidR="004A771E" w:rsidRPr="0087750D" w:rsidRDefault="004A771E" w:rsidP="004A771E">
      <w:pPr>
        <w:ind w:left="360"/>
        <w:rPr>
          <w:rFonts w:ascii="Calibri" w:hAnsi="Calibri"/>
          <w:color w:val="000000"/>
        </w:rPr>
      </w:pPr>
      <w:r w:rsidRPr="0087750D">
        <w:rPr>
          <w:rFonts w:ascii="Calibri" w:hAnsi="Calibri"/>
        </w:rPr>
        <w:t xml:space="preserve">This document defines the measurable criteria to be assessed prior to MA PMP activating production credentials for a health care entity to connect to the PMP Gateway. </w:t>
      </w:r>
      <w:r w:rsidRPr="0087750D">
        <w:rPr>
          <w:rFonts w:ascii="Calibri" w:hAnsi="Calibri"/>
          <w:color w:val="000000"/>
        </w:rPr>
        <w:t>The undersigned acknowledge that they have reviewed and completed the items under the Project Acceptance Criteria section, agree with the information presented within this document, and are r</w:t>
      </w:r>
      <w:r>
        <w:rPr>
          <w:rFonts w:ascii="Calibri" w:hAnsi="Calibri"/>
          <w:color w:val="000000"/>
        </w:rPr>
        <w:t>eady to have their organization</w:t>
      </w:r>
      <w:r w:rsidRPr="0087750D">
        <w:rPr>
          <w:rFonts w:ascii="Calibri" w:hAnsi="Calibri"/>
          <w:color w:val="000000"/>
        </w:rPr>
        <w:t>’</w:t>
      </w:r>
      <w:r>
        <w:rPr>
          <w:rFonts w:ascii="Calibri" w:hAnsi="Calibri"/>
          <w:color w:val="000000"/>
        </w:rPr>
        <w:t>s</w:t>
      </w:r>
      <w:r w:rsidRPr="0087750D">
        <w:rPr>
          <w:rFonts w:ascii="Calibri" w:hAnsi="Calibri"/>
          <w:color w:val="000000"/>
        </w:rPr>
        <w:t xml:space="preserve"> production credentials approved. </w:t>
      </w:r>
    </w:p>
    <w:p w14:paraId="3B273A2D" w14:textId="77777777" w:rsidR="004A771E" w:rsidRPr="00137843" w:rsidRDefault="004A771E" w:rsidP="004A771E">
      <w:pPr>
        <w:ind w:left="360"/>
        <w:rPr>
          <w:rFonts w:ascii="Calibri" w:hAnsi="Calibri"/>
          <w:b/>
          <w:color w:val="000000"/>
        </w:rPr>
      </w:pPr>
      <w:r w:rsidRPr="00137843">
        <w:rPr>
          <w:rFonts w:ascii="Calibri" w:hAnsi="Calibri"/>
          <w:b/>
          <w:color w:val="000000"/>
        </w:rPr>
        <w:t>Please send all completed forms</w:t>
      </w:r>
      <w:r w:rsidRPr="00137843">
        <w:rPr>
          <w:rFonts w:ascii="Calibri" w:hAnsi="Calibri"/>
          <w:b/>
        </w:rPr>
        <w:t xml:space="preserve"> to </w:t>
      </w:r>
      <w:hyperlink r:id="rId23" w:history="1">
        <w:r w:rsidRPr="00137843">
          <w:rPr>
            <w:rStyle w:val="Hyperlink"/>
            <w:rFonts w:ascii="Calibri" w:hAnsi="Calibri" w:cs="Arial"/>
            <w:b/>
            <w:color w:val="64406B"/>
            <w:shd w:val="clear" w:color="auto" w:fill="F5F5F5"/>
          </w:rPr>
          <w:t>PMP.EHR@massmail.state.ma.us</w:t>
        </w:r>
      </w:hyperlink>
      <w:r w:rsidRPr="00137843">
        <w:rPr>
          <w:rFonts w:ascii="Calibri" w:hAnsi="Calibri"/>
          <w:b/>
        </w:rPr>
        <w:t xml:space="preserve"> with the subject of “</w:t>
      </w:r>
      <w:r w:rsidRPr="00137843">
        <w:rPr>
          <w:rFonts w:ascii="Calibri" w:hAnsi="Calibri"/>
          <w:b/>
          <w:u w:val="single"/>
        </w:rPr>
        <w:t>[Organization Name] - EHR Testing</w:t>
      </w:r>
      <w:r w:rsidRPr="00137843">
        <w:rPr>
          <w:rFonts w:ascii="Calibri" w:hAnsi="Calibri"/>
          <w:b/>
        </w:rPr>
        <w:t>”.</w:t>
      </w:r>
    </w:p>
    <w:p w14:paraId="6AEF9C53" w14:textId="77777777" w:rsidR="004A771E" w:rsidRPr="0087750D" w:rsidRDefault="004A771E" w:rsidP="004A771E">
      <w:pPr>
        <w:pStyle w:val="Heading2"/>
        <w:rPr>
          <w:rFonts w:ascii="Calibri" w:hAnsi="Calibri"/>
        </w:rPr>
      </w:pPr>
      <w:bookmarkStart w:id="36" w:name="_Toc514930302"/>
      <w:r w:rsidRPr="0087750D">
        <w:rPr>
          <w:rFonts w:ascii="Calibri" w:hAnsi="Calibri"/>
        </w:rPr>
        <w:t>Project Owners</w:t>
      </w:r>
      <w:bookmarkEnd w:id="36"/>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790"/>
        <w:gridCol w:w="4230"/>
      </w:tblGrid>
      <w:tr w:rsidR="004A771E" w:rsidRPr="004E2A2C" w14:paraId="5D825683" w14:textId="77777777" w:rsidTr="004A771E">
        <w:tc>
          <w:tcPr>
            <w:tcW w:w="3438" w:type="dxa"/>
            <w:shd w:val="clear" w:color="auto" w:fill="4F81BD"/>
          </w:tcPr>
          <w:p w14:paraId="054CFD0A" w14:textId="77777777" w:rsidR="004A771E" w:rsidRPr="0087750D" w:rsidRDefault="004A771E" w:rsidP="004A771E">
            <w:pPr>
              <w:spacing w:before="120" w:after="120"/>
              <w:jc w:val="center"/>
              <w:rPr>
                <w:rFonts w:ascii="Calibri" w:hAnsi="Calibri"/>
                <w:b/>
              </w:rPr>
            </w:pPr>
            <w:r w:rsidRPr="0087750D">
              <w:rPr>
                <w:rFonts w:ascii="Calibri" w:hAnsi="Calibri"/>
                <w:b/>
              </w:rPr>
              <w:t>Name</w:t>
            </w:r>
          </w:p>
        </w:tc>
        <w:tc>
          <w:tcPr>
            <w:tcW w:w="2790" w:type="dxa"/>
            <w:shd w:val="clear" w:color="auto" w:fill="4F81BD"/>
          </w:tcPr>
          <w:p w14:paraId="759416DC" w14:textId="77777777" w:rsidR="004A771E" w:rsidRPr="0087750D" w:rsidRDefault="004A771E" w:rsidP="004A771E">
            <w:pPr>
              <w:spacing w:before="120" w:after="120"/>
              <w:jc w:val="center"/>
              <w:rPr>
                <w:rFonts w:ascii="Calibri" w:hAnsi="Calibri"/>
                <w:b/>
              </w:rPr>
            </w:pPr>
            <w:r w:rsidRPr="0087750D">
              <w:rPr>
                <w:rFonts w:ascii="Calibri" w:hAnsi="Calibri"/>
                <w:b/>
              </w:rPr>
              <w:t>Role</w:t>
            </w:r>
          </w:p>
        </w:tc>
        <w:tc>
          <w:tcPr>
            <w:tcW w:w="4230" w:type="dxa"/>
            <w:shd w:val="clear" w:color="auto" w:fill="4F81BD"/>
          </w:tcPr>
          <w:p w14:paraId="4D3DF8E5" w14:textId="77777777" w:rsidR="004A771E" w:rsidRPr="0087750D" w:rsidRDefault="004A771E" w:rsidP="004A771E">
            <w:pPr>
              <w:spacing w:before="120" w:after="120"/>
              <w:jc w:val="center"/>
              <w:rPr>
                <w:rFonts w:ascii="Calibri" w:hAnsi="Calibri"/>
                <w:b/>
              </w:rPr>
            </w:pPr>
            <w:r w:rsidRPr="0087750D">
              <w:rPr>
                <w:rFonts w:ascii="Calibri" w:hAnsi="Calibri"/>
                <w:b/>
              </w:rPr>
              <w:t>Signature</w:t>
            </w:r>
          </w:p>
        </w:tc>
      </w:tr>
      <w:tr w:rsidR="004A771E" w:rsidRPr="004E2A2C" w14:paraId="4102DC0A" w14:textId="77777777" w:rsidTr="004A771E">
        <w:trPr>
          <w:trHeight w:val="413"/>
        </w:trPr>
        <w:tc>
          <w:tcPr>
            <w:tcW w:w="3438" w:type="dxa"/>
            <w:shd w:val="clear" w:color="auto" w:fill="auto"/>
          </w:tcPr>
          <w:p w14:paraId="6C3DB9F3" w14:textId="77777777" w:rsidR="004A771E" w:rsidRPr="004E2A2C" w:rsidRDefault="004A771E" w:rsidP="004A771E">
            <w:pPr>
              <w:ind w:left="360"/>
              <w:rPr>
                <w:rFonts w:ascii="Calibri" w:hAnsi="Calibri"/>
              </w:rPr>
            </w:pPr>
          </w:p>
        </w:tc>
        <w:tc>
          <w:tcPr>
            <w:tcW w:w="2790" w:type="dxa"/>
            <w:shd w:val="clear" w:color="auto" w:fill="auto"/>
            <w:vAlign w:val="center"/>
          </w:tcPr>
          <w:p w14:paraId="1713A1BB" w14:textId="77777777" w:rsidR="004A771E" w:rsidRPr="004E2A2C" w:rsidRDefault="004A771E" w:rsidP="004A771E">
            <w:pPr>
              <w:jc w:val="center"/>
              <w:rPr>
                <w:rFonts w:ascii="Calibri" w:hAnsi="Calibri"/>
              </w:rPr>
            </w:pPr>
          </w:p>
        </w:tc>
        <w:tc>
          <w:tcPr>
            <w:tcW w:w="4230" w:type="dxa"/>
            <w:shd w:val="clear" w:color="auto" w:fill="auto"/>
          </w:tcPr>
          <w:p w14:paraId="67303F8C" w14:textId="77777777" w:rsidR="004A771E" w:rsidRPr="004E2A2C" w:rsidRDefault="004A771E" w:rsidP="004A771E">
            <w:pPr>
              <w:rPr>
                <w:rFonts w:ascii="Calibri" w:hAnsi="Calibri"/>
              </w:rPr>
            </w:pPr>
          </w:p>
        </w:tc>
      </w:tr>
      <w:tr w:rsidR="004A771E" w:rsidRPr="004E2A2C" w14:paraId="720D52CB" w14:textId="77777777" w:rsidTr="004A771E">
        <w:trPr>
          <w:trHeight w:val="440"/>
        </w:trPr>
        <w:tc>
          <w:tcPr>
            <w:tcW w:w="3438" w:type="dxa"/>
            <w:shd w:val="clear" w:color="auto" w:fill="auto"/>
          </w:tcPr>
          <w:p w14:paraId="25C040FA" w14:textId="77777777" w:rsidR="004A771E" w:rsidRPr="004E2A2C" w:rsidRDefault="004A771E" w:rsidP="004A771E">
            <w:pPr>
              <w:ind w:left="360"/>
              <w:rPr>
                <w:rFonts w:ascii="Calibri" w:hAnsi="Calibri"/>
              </w:rPr>
            </w:pPr>
          </w:p>
        </w:tc>
        <w:tc>
          <w:tcPr>
            <w:tcW w:w="2790" w:type="dxa"/>
            <w:shd w:val="clear" w:color="auto" w:fill="auto"/>
            <w:vAlign w:val="center"/>
          </w:tcPr>
          <w:p w14:paraId="5B898C63" w14:textId="77777777" w:rsidR="004A771E" w:rsidRPr="004E2A2C" w:rsidRDefault="004A771E" w:rsidP="004A771E">
            <w:pPr>
              <w:jc w:val="center"/>
              <w:rPr>
                <w:rFonts w:ascii="Calibri" w:hAnsi="Calibri"/>
              </w:rPr>
            </w:pPr>
          </w:p>
        </w:tc>
        <w:tc>
          <w:tcPr>
            <w:tcW w:w="4230" w:type="dxa"/>
            <w:shd w:val="clear" w:color="auto" w:fill="auto"/>
          </w:tcPr>
          <w:p w14:paraId="46DB9C70" w14:textId="77777777" w:rsidR="004A771E" w:rsidRPr="004E2A2C" w:rsidRDefault="004A771E" w:rsidP="004A771E">
            <w:pPr>
              <w:rPr>
                <w:rFonts w:ascii="Calibri" w:hAnsi="Calibri"/>
              </w:rPr>
            </w:pPr>
          </w:p>
        </w:tc>
      </w:tr>
      <w:tr w:rsidR="004A771E" w:rsidRPr="004E2A2C" w14:paraId="3C4019FD" w14:textId="77777777" w:rsidTr="004A771E">
        <w:trPr>
          <w:trHeight w:val="440"/>
        </w:trPr>
        <w:tc>
          <w:tcPr>
            <w:tcW w:w="3438" w:type="dxa"/>
            <w:shd w:val="clear" w:color="auto" w:fill="auto"/>
          </w:tcPr>
          <w:p w14:paraId="042E3B59" w14:textId="77777777" w:rsidR="004A771E" w:rsidRPr="004E2A2C" w:rsidRDefault="004A771E" w:rsidP="004A771E">
            <w:pPr>
              <w:ind w:left="360"/>
              <w:rPr>
                <w:rFonts w:ascii="Calibri" w:hAnsi="Calibri"/>
              </w:rPr>
            </w:pPr>
          </w:p>
        </w:tc>
        <w:tc>
          <w:tcPr>
            <w:tcW w:w="2790" w:type="dxa"/>
            <w:shd w:val="clear" w:color="auto" w:fill="auto"/>
            <w:vAlign w:val="center"/>
          </w:tcPr>
          <w:p w14:paraId="7CA773B6" w14:textId="77777777" w:rsidR="004A771E" w:rsidRPr="004E2A2C" w:rsidRDefault="004A771E" w:rsidP="004A771E">
            <w:pPr>
              <w:jc w:val="center"/>
              <w:rPr>
                <w:rFonts w:ascii="Calibri" w:hAnsi="Calibri"/>
              </w:rPr>
            </w:pPr>
          </w:p>
        </w:tc>
        <w:tc>
          <w:tcPr>
            <w:tcW w:w="4230" w:type="dxa"/>
            <w:shd w:val="clear" w:color="auto" w:fill="auto"/>
          </w:tcPr>
          <w:p w14:paraId="3F0EF7AA" w14:textId="77777777" w:rsidR="004A771E" w:rsidRPr="004E2A2C" w:rsidRDefault="004A771E" w:rsidP="004A771E">
            <w:pPr>
              <w:rPr>
                <w:rFonts w:ascii="Calibri" w:hAnsi="Calibri"/>
              </w:rPr>
            </w:pPr>
          </w:p>
        </w:tc>
      </w:tr>
    </w:tbl>
    <w:p w14:paraId="0231C19A" w14:textId="77777777" w:rsidR="004A771E" w:rsidRPr="004E2A2C" w:rsidRDefault="004A771E" w:rsidP="004A771E"/>
    <w:p w14:paraId="49DCD762" w14:textId="77777777" w:rsidR="004A771E" w:rsidRPr="0087750D" w:rsidRDefault="004A771E" w:rsidP="004A771E">
      <w:pPr>
        <w:pStyle w:val="Heading2"/>
        <w:rPr>
          <w:rFonts w:ascii="Calibri" w:hAnsi="Calibri"/>
        </w:rPr>
      </w:pPr>
      <w:bookmarkStart w:id="37" w:name="_Toc514930303"/>
      <w:r w:rsidRPr="0087750D">
        <w:rPr>
          <w:rFonts w:ascii="Calibri" w:hAnsi="Calibri"/>
        </w:rPr>
        <w:t>Project Acceptance Criteria</w:t>
      </w:r>
      <w:bookmarkEnd w:id="37"/>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980"/>
        <w:gridCol w:w="4770"/>
      </w:tblGrid>
      <w:tr w:rsidR="004A771E" w:rsidRPr="0087750D" w14:paraId="6E30D92C" w14:textId="77777777" w:rsidTr="004A771E">
        <w:tc>
          <w:tcPr>
            <w:tcW w:w="3708" w:type="dxa"/>
            <w:shd w:val="clear" w:color="auto" w:fill="4F81BD"/>
          </w:tcPr>
          <w:p w14:paraId="383FAB69" w14:textId="77777777" w:rsidR="004A771E" w:rsidRPr="0087750D" w:rsidRDefault="004A771E" w:rsidP="004A771E">
            <w:pPr>
              <w:spacing w:before="120" w:after="120"/>
              <w:jc w:val="center"/>
              <w:rPr>
                <w:rFonts w:ascii="Calibri" w:hAnsi="Calibri"/>
                <w:b/>
              </w:rPr>
            </w:pPr>
            <w:r w:rsidRPr="0087750D">
              <w:rPr>
                <w:rFonts w:ascii="Calibri" w:hAnsi="Calibri"/>
                <w:b/>
              </w:rPr>
              <w:t>Item</w:t>
            </w:r>
          </w:p>
        </w:tc>
        <w:tc>
          <w:tcPr>
            <w:tcW w:w="1980" w:type="dxa"/>
            <w:shd w:val="clear" w:color="auto" w:fill="4F81BD"/>
          </w:tcPr>
          <w:p w14:paraId="7D9FBFB2" w14:textId="77777777" w:rsidR="004A771E" w:rsidRPr="0087750D" w:rsidRDefault="004A771E" w:rsidP="004A771E">
            <w:pPr>
              <w:spacing w:before="120" w:after="120"/>
              <w:jc w:val="center"/>
              <w:rPr>
                <w:rFonts w:ascii="Calibri" w:hAnsi="Calibri"/>
                <w:b/>
              </w:rPr>
            </w:pPr>
            <w:r w:rsidRPr="0087750D">
              <w:rPr>
                <w:rFonts w:ascii="Calibri" w:hAnsi="Calibri"/>
                <w:b/>
              </w:rPr>
              <w:t>Complete?</w:t>
            </w:r>
          </w:p>
        </w:tc>
        <w:tc>
          <w:tcPr>
            <w:tcW w:w="4770" w:type="dxa"/>
            <w:shd w:val="clear" w:color="auto" w:fill="4F81BD"/>
          </w:tcPr>
          <w:p w14:paraId="748A06B9" w14:textId="77777777" w:rsidR="004A771E" w:rsidRPr="0087750D" w:rsidRDefault="004A771E" w:rsidP="004A771E">
            <w:pPr>
              <w:spacing w:before="120" w:after="120"/>
              <w:jc w:val="center"/>
              <w:rPr>
                <w:rFonts w:ascii="Calibri" w:hAnsi="Calibri"/>
                <w:b/>
              </w:rPr>
            </w:pPr>
            <w:r w:rsidRPr="0087750D">
              <w:rPr>
                <w:rFonts w:ascii="Calibri" w:hAnsi="Calibri"/>
                <w:b/>
              </w:rPr>
              <w:t>Approved By</w:t>
            </w:r>
          </w:p>
        </w:tc>
      </w:tr>
      <w:tr w:rsidR="004A771E" w:rsidRPr="0087750D" w14:paraId="432F5C68" w14:textId="77777777" w:rsidTr="004A771E">
        <w:tc>
          <w:tcPr>
            <w:tcW w:w="3708" w:type="dxa"/>
            <w:shd w:val="clear" w:color="auto" w:fill="auto"/>
          </w:tcPr>
          <w:p w14:paraId="63085176" w14:textId="77777777" w:rsidR="004A771E" w:rsidRPr="0087750D" w:rsidRDefault="004A771E" w:rsidP="004A771E">
            <w:pPr>
              <w:ind w:left="360"/>
              <w:rPr>
                <w:rFonts w:ascii="Calibri" w:hAnsi="Calibri"/>
              </w:rPr>
            </w:pPr>
            <w:r w:rsidRPr="0087750D">
              <w:rPr>
                <w:rFonts w:ascii="Calibri" w:hAnsi="Calibri"/>
              </w:rPr>
              <w:t>Reviewed Welcome Packet</w:t>
            </w:r>
          </w:p>
        </w:tc>
        <w:tc>
          <w:tcPr>
            <w:tcW w:w="1980" w:type="dxa"/>
            <w:shd w:val="clear" w:color="auto" w:fill="auto"/>
            <w:vAlign w:val="center"/>
          </w:tcPr>
          <w:p w14:paraId="512A0C09" w14:textId="77777777" w:rsidR="004A771E" w:rsidRPr="0087750D" w:rsidRDefault="004A771E" w:rsidP="004A771E">
            <w:pPr>
              <w:jc w:val="center"/>
              <w:rPr>
                <w:rFonts w:ascii="Calibri" w:hAnsi="Calibri"/>
              </w:rPr>
            </w:pPr>
            <w:r w:rsidRPr="0087750D">
              <w:rPr>
                <w:rFonts w:ascii="Calibri" w:hAnsi="Calibri"/>
              </w:rPr>
              <w:object w:dxaOrig="225" w:dyaOrig="225" w14:anchorId="7E73B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5pt;height:13.5pt" o:ole="">
                  <v:imagedata r:id="rId24" o:title=""/>
                </v:shape>
                <w:control r:id="rId25" w:name="CheckBox1" w:shapeid="_x0000_i1039"/>
              </w:object>
            </w:r>
          </w:p>
        </w:tc>
        <w:tc>
          <w:tcPr>
            <w:tcW w:w="4770" w:type="dxa"/>
            <w:shd w:val="clear" w:color="auto" w:fill="auto"/>
          </w:tcPr>
          <w:p w14:paraId="551C8BE3" w14:textId="77777777" w:rsidR="004A771E" w:rsidRPr="0087750D" w:rsidRDefault="004A771E" w:rsidP="004A771E">
            <w:pPr>
              <w:rPr>
                <w:rFonts w:ascii="Calibri" w:hAnsi="Calibri"/>
              </w:rPr>
            </w:pPr>
          </w:p>
        </w:tc>
      </w:tr>
      <w:tr w:rsidR="004A771E" w:rsidRPr="0087750D" w14:paraId="59BFC4F3" w14:textId="77777777" w:rsidTr="004A771E">
        <w:tc>
          <w:tcPr>
            <w:tcW w:w="3708" w:type="dxa"/>
            <w:shd w:val="clear" w:color="auto" w:fill="auto"/>
          </w:tcPr>
          <w:p w14:paraId="0AF8CC90" w14:textId="77777777" w:rsidR="004A771E" w:rsidRPr="0087750D" w:rsidRDefault="004A771E" w:rsidP="004A771E">
            <w:pPr>
              <w:ind w:left="360"/>
              <w:rPr>
                <w:rFonts w:ascii="Calibri" w:hAnsi="Calibri"/>
              </w:rPr>
            </w:pPr>
            <w:r w:rsidRPr="0087750D">
              <w:rPr>
                <w:rFonts w:ascii="Calibri" w:hAnsi="Calibri"/>
              </w:rPr>
              <w:t>Able to connect to PMP Gateway</w:t>
            </w:r>
          </w:p>
        </w:tc>
        <w:tc>
          <w:tcPr>
            <w:tcW w:w="1980" w:type="dxa"/>
            <w:shd w:val="clear" w:color="auto" w:fill="auto"/>
            <w:vAlign w:val="center"/>
          </w:tcPr>
          <w:p w14:paraId="05CC6E6F" w14:textId="77777777" w:rsidR="004A771E" w:rsidRPr="0087750D" w:rsidRDefault="004A771E" w:rsidP="004A771E">
            <w:pPr>
              <w:jc w:val="center"/>
              <w:rPr>
                <w:rFonts w:ascii="Calibri" w:hAnsi="Calibri"/>
              </w:rPr>
            </w:pPr>
            <w:r w:rsidRPr="0087750D">
              <w:rPr>
                <w:rFonts w:ascii="Calibri" w:hAnsi="Calibri"/>
              </w:rPr>
              <w:object w:dxaOrig="225" w:dyaOrig="225" w14:anchorId="38EA908E">
                <v:shape id="_x0000_i1041" type="#_x0000_t75" style="width:13.5pt;height:13.5pt" o:ole="">
                  <v:imagedata r:id="rId24" o:title=""/>
                </v:shape>
                <w:control r:id="rId26" w:name="CheckBox11" w:shapeid="_x0000_i1041"/>
              </w:object>
            </w:r>
          </w:p>
        </w:tc>
        <w:tc>
          <w:tcPr>
            <w:tcW w:w="4770" w:type="dxa"/>
            <w:shd w:val="clear" w:color="auto" w:fill="auto"/>
          </w:tcPr>
          <w:p w14:paraId="0EB53BB2" w14:textId="77777777" w:rsidR="004A771E" w:rsidRPr="0087750D" w:rsidRDefault="004A771E" w:rsidP="004A771E">
            <w:pPr>
              <w:rPr>
                <w:rFonts w:ascii="Calibri" w:hAnsi="Calibri"/>
              </w:rPr>
            </w:pPr>
          </w:p>
        </w:tc>
      </w:tr>
      <w:tr w:rsidR="004A771E" w:rsidRPr="0087750D" w14:paraId="63517CE7" w14:textId="77777777" w:rsidTr="004A771E">
        <w:tc>
          <w:tcPr>
            <w:tcW w:w="3708" w:type="dxa"/>
            <w:shd w:val="clear" w:color="auto" w:fill="auto"/>
          </w:tcPr>
          <w:p w14:paraId="2CF37B57" w14:textId="77777777" w:rsidR="004A771E" w:rsidRPr="0087750D" w:rsidRDefault="004A771E" w:rsidP="004A771E">
            <w:pPr>
              <w:ind w:left="360"/>
              <w:rPr>
                <w:rFonts w:ascii="Calibri" w:hAnsi="Calibri"/>
              </w:rPr>
            </w:pPr>
            <w:r w:rsidRPr="0087750D">
              <w:rPr>
                <w:rFonts w:ascii="Calibri" w:hAnsi="Calibri"/>
              </w:rPr>
              <w:t>Able to view Prescription Report</w:t>
            </w:r>
          </w:p>
        </w:tc>
        <w:tc>
          <w:tcPr>
            <w:tcW w:w="1980" w:type="dxa"/>
            <w:shd w:val="clear" w:color="auto" w:fill="auto"/>
            <w:vAlign w:val="center"/>
          </w:tcPr>
          <w:p w14:paraId="13CF8303" w14:textId="77777777" w:rsidR="004A771E" w:rsidRPr="0087750D" w:rsidRDefault="004A771E" w:rsidP="004A771E">
            <w:pPr>
              <w:jc w:val="center"/>
              <w:rPr>
                <w:rFonts w:ascii="Calibri" w:hAnsi="Calibri"/>
              </w:rPr>
            </w:pPr>
            <w:r w:rsidRPr="0087750D">
              <w:rPr>
                <w:rFonts w:ascii="Calibri" w:hAnsi="Calibri"/>
              </w:rPr>
              <w:object w:dxaOrig="225" w:dyaOrig="225" w14:anchorId="19B85B8C">
                <v:shape id="_x0000_i1043" type="#_x0000_t75" style="width:13.5pt;height:13.5pt" o:ole="">
                  <v:imagedata r:id="rId24" o:title=""/>
                </v:shape>
                <w:control r:id="rId27" w:name="CheckBox14" w:shapeid="_x0000_i1043"/>
              </w:object>
            </w:r>
          </w:p>
        </w:tc>
        <w:tc>
          <w:tcPr>
            <w:tcW w:w="4770" w:type="dxa"/>
            <w:shd w:val="clear" w:color="auto" w:fill="auto"/>
          </w:tcPr>
          <w:p w14:paraId="1AE1CBBB" w14:textId="77777777" w:rsidR="004A771E" w:rsidRPr="0087750D" w:rsidRDefault="004A771E" w:rsidP="004A771E">
            <w:pPr>
              <w:rPr>
                <w:rFonts w:ascii="Calibri" w:hAnsi="Calibri"/>
              </w:rPr>
            </w:pPr>
          </w:p>
        </w:tc>
      </w:tr>
      <w:tr w:rsidR="004A771E" w:rsidRPr="0087750D" w14:paraId="249C5590" w14:textId="77777777" w:rsidTr="004A771E">
        <w:tc>
          <w:tcPr>
            <w:tcW w:w="3708" w:type="dxa"/>
            <w:shd w:val="clear" w:color="auto" w:fill="auto"/>
          </w:tcPr>
          <w:p w14:paraId="48319E0F" w14:textId="77777777" w:rsidR="004A771E" w:rsidRPr="0087750D" w:rsidRDefault="004A771E" w:rsidP="004A771E">
            <w:pPr>
              <w:ind w:left="360"/>
              <w:rPr>
                <w:rFonts w:ascii="Calibri" w:hAnsi="Calibri"/>
              </w:rPr>
            </w:pPr>
            <w:r>
              <w:rPr>
                <w:rFonts w:ascii="Calibri" w:hAnsi="Calibri"/>
              </w:rPr>
              <w:t>End users registered in MassPAT</w:t>
            </w:r>
          </w:p>
        </w:tc>
        <w:tc>
          <w:tcPr>
            <w:tcW w:w="1980" w:type="dxa"/>
            <w:shd w:val="clear" w:color="auto" w:fill="auto"/>
            <w:vAlign w:val="center"/>
          </w:tcPr>
          <w:p w14:paraId="32896DC2" w14:textId="77777777" w:rsidR="004A771E" w:rsidRPr="0087750D" w:rsidRDefault="004A771E" w:rsidP="004A771E">
            <w:pPr>
              <w:jc w:val="center"/>
              <w:rPr>
                <w:rFonts w:ascii="Calibri" w:hAnsi="Calibri"/>
              </w:rPr>
            </w:pPr>
            <w:r w:rsidRPr="0087750D">
              <w:rPr>
                <w:rFonts w:ascii="Calibri" w:hAnsi="Calibri"/>
              </w:rPr>
              <w:object w:dxaOrig="225" w:dyaOrig="225" w14:anchorId="509CDA08">
                <v:shape id="_x0000_i1045" type="#_x0000_t75" style="width:13.5pt;height:13.5pt" o:ole="">
                  <v:imagedata r:id="rId24" o:title=""/>
                </v:shape>
                <w:control r:id="rId28" w:name="CheckBox141" w:shapeid="_x0000_i1045"/>
              </w:object>
            </w:r>
          </w:p>
        </w:tc>
        <w:tc>
          <w:tcPr>
            <w:tcW w:w="4770" w:type="dxa"/>
            <w:shd w:val="clear" w:color="auto" w:fill="auto"/>
          </w:tcPr>
          <w:p w14:paraId="5D4469D1" w14:textId="77777777" w:rsidR="004A771E" w:rsidRPr="0087750D" w:rsidRDefault="004A771E" w:rsidP="004A771E">
            <w:pPr>
              <w:rPr>
                <w:rFonts w:ascii="Calibri" w:hAnsi="Calibri"/>
              </w:rPr>
            </w:pPr>
          </w:p>
        </w:tc>
      </w:tr>
      <w:tr w:rsidR="004A771E" w:rsidRPr="0087750D" w14:paraId="6B26F254" w14:textId="77777777" w:rsidTr="004A771E">
        <w:tc>
          <w:tcPr>
            <w:tcW w:w="3708" w:type="dxa"/>
            <w:shd w:val="clear" w:color="auto" w:fill="auto"/>
          </w:tcPr>
          <w:p w14:paraId="1C8B389A" w14:textId="77777777" w:rsidR="004A771E" w:rsidRPr="0087750D" w:rsidRDefault="004A771E" w:rsidP="004A771E">
            <w:pPr>
              <w:ind w:left="360"/>
              <w:rPr>
                <w:rFonts w:ascii="Calibri" w:hAnsi="Calibri"/>
              </w:rPr>
            </w:pPr>
            <w:r w:rsidRPr="0087750D">
              <w:rPr>
                <w:rFonts w:ascii="Calibri" w:hAnsi="Calibri"/>
              </w:rPr>
              <w:lastRenderedPageBreak/>
              <w:t>End users trained on proper usage and workflow</w:t>
            </w:r>
          </w:p>
        </w:tc>
        <w:tc>
          <w:tcPr>
            <w:tcW w:w="1980" w:type="dxa"/>
            <w:shd w:val="clear" w:color="auto" w:fill="auto"/>
            <w:vAlign w:val="center"/>
          </w:tcPr>
          <w:p w14:paraId="240723C5" w14:textId="77777777" w:rsidR="004A771E" w:rsidRPr="0087750D" w:rsidRDefault="004A771E" w:rsidP="004A771E">
            <w:pPr>
              <w:jc w:val="center"/>
              <w:rPr>
                <w:rFonts w:ascii="Calibri" w:hAnsi="Calibri"/>
              </w:rPr>
            </w:pPr>
            <w:r w:rsidRPr="0087750D">
              <w:rPr>
                <w:rFonts w:ascii="Calibri" w:hAnsi="Calibri"/>
              </w:rPr>
              <w:object w:dxaOrig="225" w:dyaOrig="225" w14:anchorId="2C654C62">
                <v:shape id="_x0000_i1047" type="#_x0000_t75" style="width:13.5pt;height:13.5pt" o:ole="">
                  <v:imagedata r:id="rId24" o:title=""/>
                </v:shape>
                <w:control r:id="rId29" w:name="CheckBox15" w:shapeid="_x0000_i1047"/>
              </w:object>
            </w:r>
          </w:p>
        </w:tc>
        <w:tc>
          <w:tcPr>
            <w:tcW w:w="4770" w:type="dxa"/>
            <w:shd w:val="clear" w:color="auto" w:fill="auto"/>
          </w:tcPr>
          <w:p w14:paraId="40F3FC68" w14:textId="77777777" w:rsidR="004A771E" w:rsidRPr="0087750D" w:rsidRDefault="004A771E" w:rsidP="004A771E">
            <w:pPr>
              <w:rPr>
                <w:rFonts w:ascii="Calibri" w:hAnsi="Calibri"/>
              </w:rPr>
            </w:pPr>
          </w:p>
        </w:tc>
      </w:tr>
      <w:tr w:rsidR="004A771E" w:rsidRPr="0087750D" w14:paraId="1C693689" w14:textId="77777777" w:rsidTr="004A771E">
        <w:tc>
          <w:tcPr>
            <w:tcW w:w="3708" w:type="dxa"/>
            <w:shd w:val="clear" w:color="auto" w:fill="auto"/>
          </w:tcPr>
          <w:p w14:paraId="502B6478" w14:textId="77777777" w:rsidR="004A771E" w:rsidRPr="0087750D" w:rsidRDefault="004A771E" w:rsidP="004A771E">
            <w:pPr>
              <w:ind w:left="360"/>
              <w:rPr>
                <w:rFonts w:ascii="Calibri" w:hAnsi="Calibri"/>
              </w:rPr>
            </w:pPr>
            <w:r w:rsidRPr="0087750D">
              <w:rPr>
                <w:rFonts w:ascii="Calibri" w:hAnsi="Calibri"/>
              </w:rPr>
              <w:t>All outstanding issues resolved</w:t>
            </w:r>
          </w:p>
        </w:tc>
        <w:tc>
          <w:tcPr>
            <w:tcW w:w="1980" w:type="dxa"/>
            <w:shd w:val="clear" w:color="auto" w:fill="auto"/>
            <w:vAlign w:val="center"/>
          </w:tcPr>
          <w:p w14:paraId="2BBA356C" w14:textId="77777777" w:rsidR="004A771E" w:rsidRPr="0087750D" w:rsidRDefault="004A771E" w:rsidP="004A771E">
            <w:pPr>
              <w:jc w:val="center"/>
              <w:rPr>
                <w:rFonts w:ascii="Calibri" w:hAnsi="Calibri"/>
              </w:rPr>
            </w:pPr>
            <w:r w:rsidRPr="0087750D">
              <w:rPr>
                <w:rFonts w:ascii="Calibri" w:hAnsi="Calibri"/>
              </w:rPr>
              <w:object w:dxaOrig="225" w:dyaOrig="225" w14:anchorId="45301F85">
                <v:shape id="_x0000_i1049" type="#_x0000_t75" style="width:13.5pt;height:13.5pt" o:ole="">
                  <v:imagedata r:id="rId24" o:title=""/>
                </v:shape>
                <w:control r:id="rId30" w:name="CheckBox16" w:shapeid="_x0000_i1049"/>
              </w:object>
            </w:r>
          </w:p>
        </w:tc>
        <w:tc>
          <w:tcPr>
            <w:tcW w:w="4770" w:type="dxa"/>
            <w:shd w:val="clear" w:color="auto" w:fill="auto"/>
          </w:tcPr>
          <w:p w14:paraId="21A0444E" w14:textId="77777777" w:rsidR="004A771E" w:rsidRPr="0087750D" w:rsidRDefault="004A771E" w:rsidP="004A771E">
            <w:pPr>
              <w:rPr>
                <w:rFonts w:ascii="Calibri" w:hAnsi="Calibri"/>
              </w:rPr>
            </w:pPr>
          </w:p>
        </w:tc>
      </w:tr>
      <w:tr w:rsidR="004A771E" w:rsidRPr="0087750D" w14:paraId="1A4E5CCD" w14:textId="77777777" w:rsidTr="004A771E">
        <w:trPr>
          <w:trHeight w:val="368"/>
        </w:trPr>
        <w:tc>
          <w:tcPr>
            <w:tcW w:w="3708" w:type="dxa"/>
            <w:shd w:val="clear" w:color="auto" w:fill="auto"/>
          </w:tcPr>
          <w:p w14:paraId="0B5DE337" w14:textId="77777777" w:rsidR="004A771E" w:rsidRPr="0087750D" w:rsidRDefault="004A771E" w:rsidP="004A771E">
            <w:pPr>
              <w:ind w:left="360"/>
              <w:rPr>
                <w:rFonts w:ascii="Calibri" w:hAnsi="Calibri"/>
              </w:rPr>
            </w:pPr>
            <w:r w:rsidRPr="0087750D">
              <w:rPr>
                <w:rFonts w:ascii="Calibri" w:hAnsi="Calibri"/>
              </w:rPr>
              <w:t>Ready for Production Approval</w:t>
            </w:r>
          </w:p>
        </w:tc>
        <w:tc>
          <w:tcPr>
            <w:tcW w:w="1980" w:type="dxa"/>
            <w:shd w:val="clear" w:color="auto" w:fill="auto"/>
            <w:vAlign w:val="center"/>
          </w:tcPr>
          <w:p w14:paraId="2BE2665C" w14:textId="77777777" w:rsidR="004A771E" w:rsidRPr="0087750D" w:rsidRDefault="004A771E" w:rsidP="004A771E">
            <w:pPr>
              <w:jc w:val="center"/>
              <w:rPr>
                <w:rFonts w:ascii="Calibri" w:hAnsi="Calibri"/>
              </w:rPr>
            </w:pPr>
            <w:r w:rsidRPr="0087750D">
              <w:rPr>
                <w:rFonts w:ascii="Calibri" w:hAnsi="Calibri"/>
              </w:rPr>
              <w:object w:dxaOrig="225" w:dyaOrig="225" w14:anchorId="62361BF0">
                <v:shape id="_x0000_i1051" type="#_x0000_t75" style="width:13.5pt;height:13.5pt" o:ole="">
                  <v:imagedata r:id="rId24" o:title=""/>
                </v:shape>
                <w:control r:id="rId31" w:name="CheckBox17" w:shapeid="_x0000_i1051"/>
              </w:object>
            </w:r>
          </w:p>
        </w:tc>
        <w:tc>
          <w:tcPr>
            <w:tcW w:w="4770" w:type="dxa"/>
            <w:shd w:val="clear" w:color="auto" w:fill="auto"/>
          </w:tcPr>
          <w:p w14:paraId="277DA5CC" w14:textId="77777777" w:rsidR="004A771E" w:rsidRPr="0087750D" w:rsidRDefault="004A771E" w:rsidP="004A771E">
            <w:pPr>
              <w:rPr>
                <w:rFonts w:ascii="Calibri" w:hAnsi="Calibri"/>
              </w:rPr>
            </w:pPr>
          </w:p>
        </w:tc>
      </w:tr>
    </w:tbl>
    <w:p w14:paraId="4B4AE835" w14:textId="77777777" w:rsidR="004A771E" w:rsidRDefault="004A771E" w:rsidP="004A771E">
      <w:pPr>
        <w:pStyle w:val="Heading2"/>
        <w:rPr>
          <w:rFonts w:ascii="Calibri" w:hAnsi="Calibri"/>
        </w:rPr>
      </w:pPr>
    </w:p>
    <w:p w14:paraId="13BB1AE3" w14:textId="77777777" w:rsidR="004A771E" w:rsidRPr="0087750D" w:rsidRDefault="004A771E" w:rsidP="004A771E">
      <w:pPr>
        <w:pStyle w:val="Heading2"/>
        <w:rPr>
          <w:rFonts w:ascii="Calibri" w:hAnsi="Calibri"/>
        </w:rPr>
      </w:pPr>
      <w:bookmarkStart w:id="38" w:name="_Toc514930304"/>
      <w:r w:rsidRPr="0087750D">
        <w:rPr>
          <w:rFonts w:ascii="Calibri" w:hAnsi="Calibri"/>
        </w:rPr>
        <w:t>Proof of Testing</w:t>
      </w:r>
      <w:bookmarkEnd w:id="38"/>
    </w:p>
    <w:p w14:paraId="0C0343F2" w14:textId="77777777" w:rsidR="004A771E" w:rsidRPr="0087750D" w:rsidRDefault="004A771E" w:rsidP="004A771E">
      <w:pPr>
        <w:rPr>
          <w:rFonts w:ascii="Calibri" w:hAnsi="Calibri"/>
        </w:rPr>
      </w:pPr>
    </w:p>
    <w:p w14:paraId="74524758" w14:textId="77777777" w:rsidR="004A771E" w:rsidRPr="0087750D" w:rsidRDefault="004A771E" w:rsidP="004A771E">
      <w:pPr>
        <w:rPr>
          <w:rFonts w:ascii="Calibri" w:hAnsi="Calibri"/>
        </w:rPr>
      </w:pPr>
      <w:r w:rsidRPr="0087750D">
        <w:rPr>
          <w:rFonts w:ascii="Calibri" w:hAnsi="Calibri"/>
        </w:rPr>
        <w:t>Please include a screenshot of a successful patient search as displayed within your system below.</w:t>
      </w:r>
    </w:p>
    <w:p w14:paraId="1387F029" w14:textId="77777777" w:rsidR="005B4005" w:rsidRPr="005B4005" w:rsidRDefault="005B4005" w:rsidP="004A771E">
      <w:pPr>
        <w:jc w:val="center"/>
      </w:pPr>
    </w:p>
    <w:sectPr w:rsidR="005B4005" w:rsidRPr="005B4005" w:rsidSect="005B4005">
      <w:footerReference w:type="default" r:id="rId3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DA1A0" w14:textId="77777777" w:rsidR="000A2972" w:rsidRDefault="000A2972">
      <w:pPr>
        <w:spacing w:after="0" w:line="240" w:lineRule="auto"/>
      </w:pPr>
      <w:r>
        <w:separator/>
      </w:r>
    </w:p>
  </w:endnote>
  <w:endnote w:type="continuationSeparator" w:id="0">
    <w:p w14:paraId="58EEEB7F" w14:textId="77777777" w:rsidR="000A2972" w:rsidRDefault="000A2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963257"/>
      <w:docPartObj>
        <w:docPartGallery w:val="Page Numbers (Bottom of Page)"/>
        <w:docPartUnique/>
      </w:docPartObj>
    </w:sdtPr>
    <w:sdtEndPr>
      <w:rPr>
        <w:noProof/>
      </w:rPr>
    </w:sdtEndPr>
    <w:sdtContent>
      <w:p w14:paraId="3E78FA86" w14:textId="77777777" w:rsidR="000A2972" w:rsidRDefault="000A2972">
        <w:pPr>
          <w:pStyle w:val="Footer"/>
          <w:jc w:val="right"/>
        </w:pPr>
        <w:r>
          <w:fldChar w:fldCharType="begin"/>
        </w:r>
        <w:r>
          <w:instrText xml:space="preserve"> PAGE   \* MERGEFORMAT </w:instrText>
        </w:r>
        <w:r>
          <w:fldChar w:fldCharType="separate"/>
        </w:r>
        <w:r w:rsidR="00283EA9">
          <w:rPr>
            <w:noProof/>
          </w:rPr>
          <w:t>1</w:t>
        </w:r>
        <w:r>
          <w:rPr>
            <w:noProof/>
          </w:rPr>
          <w:fldChar w:fldCharType="end"/>
        </w:r>
      </w:p>
    </w:sdtContent>
  </w:sdt>
  <w:p w14:paraId="422FCF5B" w14:textId="77777777" w:rsidR="000A2972" w:rsidRPr="00827071" w:rsidRDefault="000A2972" w:rsidP="005B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47EC9" w14:textId="77777777" w:rsidR="000A2972" w:rsidRDefault="000A2972">
      <w:pPr>
        <w:spacing w:after="0" w:line="240" w:lineRule="auto"/>
      </w:pPr>
      <w:r>
        <w:separator/>
      </w:r>
    </w:p>
  </w:footnote>
  <w:footnote w:type="continuationSeparator" w:id="0">
    <w:p w14:paraId="12ACF503" w14:textId="77777777" w:rsidR="000A2972" w:rsidRDefault="000A2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58AA"/>
    <w:multiLevelType w:val="hybridMultilevel"/>
    <w:tmpl w:val="8B4EDB3E"/>
    <w:lvl w:ilvl="0" w:tplc="3FE231EE">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F72A5"/>
    <w:multiLevelType w:val="hybridMultilevel"/>
    <w:tmpl w:val="0D1C6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48A6"/>
    <w:multiLevelType w:val="hybridMultilevel"/>
    <w:tmpl w:val="7FEAD31E"/>
    <w:lvl w:ilvl="0" w:tplc="C838A81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E41FE"/>
    <w:multiLevelType w:val="hybridMultilevel"/>
    <w:tmpl w:val="FDE28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A73E2"/>
    <w:multiLevelType w:val="hybridMultilevel"/>
    <w:tmpl w:val="D012F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06108"/>
    <w:multiLevelType w:val="hybridMultilevel"/>
    <w:tmpl w:val="FCE21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86D5E"/>
    <w:multiLevelType w:val="hybridMultilevel"/>
    <w:tmpl w:val="F5C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F620C"/>
    <w:multiLevelType w:val="hybridMultilevel"/>
    <w:tmpl w:val="415E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B3E7F"/>
    <w:multiLevelType w:val="hybridMultilevel"/>
    <w:tmpl w:val="B8AAD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2330B"/>
    <w:multiLevelType w:val="hybridMultilevel"/>
    <w:tmpl w:val="DBFA848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AD65903"/>
    <w:multiLevelType w:val="hybridMultilevel"/>
    <w:tmpl w:val="FC7CBDAA"/>
    <w:lvl w:ilvl="0" w:tplc="8A1E2C1C">
      <w:start w:val="5"/>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00071A"/>
    <w:multiLevelType w:val="hybridMultilevel"/>
    <w:tmpl w:val="E1504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1"/>
  </w:num>
  <w:num w:numId="6">
    <w:abstractNumId w:val="1"/>
  </w:num>
  <w:num w:numId="7">
    <w:abstractNumId w:val="6"/>
  </w:num>
  <w:num w:numId="8">
    <w:abstractNumId w:val="2"/>
  </w:num>
  <w:num w:numId="9">
    <w:abstractNumId w:val="9"/>
  </w:num>
  <w:num w:numId="10">
    <w:abstractNumId w:val="8"/>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05"/>
    <w:rsid w:val="00097E40"/>
    <w:rsid w:val="000A2972"/>
    <w:rsid w:val="000A6271"/>
    <w:rsid w:val="000C4EA2"/>
    <w:rsid w:val="001377F7"/>
    <w:rsid w:val="00173840"/>
    <w:rsid w:val="001E5268"/>
    <w:rsid w:val="002257CF"/>
    <w:rsid w:val="00283EA9"/>
    <w:rsid w:val="002A3CD1"/>
    <w:rsid w:val="002F753F"/>
    <w:rsid w:val="0030598E"/>
    <w:rsid w:val="00337D19"/>
    <w:rsid w:val="003541FD"/>
    <w:rsid w:val="003728FC"/>
    <w:rsid w:val="00401864"/>
    <w:rsid w:val="0042024E"/>
    <w:rsid w:val="004245EA"/>
    <w:rsid w:val="00467199"/>
    <w:rsid w:val="004A771E"/>
    <w:rsid w:val="004E0117"/>
    <w:rsid w:val="005B4005"/>
    <w:rsid w:val="00676E9C"/>
    <w:rsid w:val="006B40CF"/>
    <w:rsid w:val="006E049B"/>
    <w:rsid w:val="006E736A"/>
    <w:rsid w:val="0074424C"/>
    <w:rsid w:val="00780506"/>
    <w:rsid w:val="00802209"/>
    <w:rsid w:val="008218F5"/>
    <w:rsid w:val="00874DAC"/>
    <w:rsid w:val="008860CD"/>
    <w:rsid w:val="00891246"/>
    <w:rsid w:val="009907FD"/>
    <w:rsid w:val="009F550D"/>
    <w:rsid w:val="00A132A2"/>
    <w:rsid w:val="00A47BC8"/>
    <w:rsid w:val="00AB34DF"/>
    <w:rsid w:val="00B17957"/>
    <w:rsid w:val="00B2336A"/>
    <w:rsid w:val="00B266E0"/>
    <w:rsid w:val="00B64A12"/>
    <w:rsid w:val="00BB7F3B"/>
    <w:rsid w:val="00D12296"/>
    <w:rsid w:val="00D47125"/>
    <w:rsid w:val="00D60D41"/>
    <w:rsid w:val="00D97C1F"/>
    <w:rsid w:val="00DF099D"/>
    <w:rsid w:val="00E30958"/>
    <w:rsid w:val="00E725C6"/>
    <w:rsid w:val="00F4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D2C8F2E"/>
  <w15:docId w15:val="{E7BBF163-1618-4FEE-A4A3-C86DA50B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05"/>
    <w:pPr>
      <w:spacing w:after="160" w:line="259" w:lineRule="auto"/>
    </w:pPr>
  </w:style>
  <w:style w:type="paragraph" w:styleId="Heading1">
    <w:name w:val="heading 1"/>
    <w:basedOn w:val="Normal"/>
    <w:next w:val="Normal"/>
    <w:link w:val="Heading1Char"/>
    <w:uiPriority w:val="9"/>
    <w:qFormat/>
    <w:rsid w:val="005B40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40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40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00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B400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4005"/>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5B4005"/>
    <w:rPr>
      <w:color w:val="0000FF" w:themeColor="hyperlink"/>
      <w:u w:val="single"/>
    </w:rPr>
  </w:style>
  <w:style w:type="paragraph" w:styleId="ListParagraph">
    <w:name w:val="List Paragraph"/>
    <w:basedOn w:val="Normal"/>
    <w:uiPriority w:val="34"/>
    <w:qFormat/>
    <w:rsid w:val="005B4005"/>
    <w:pPr>
      <w:ind w:left="720"/>
      <w:contextualSpacing/>
    </w:pPr>
  </w:style>
  <w:style w:type="paragraph" w:styleId="Footer">
    <w:name w:val="footer"/>
    <w:basedOn w:val="Normal"/>
    <w:link w:val="FooterChar"/>
    <w:uiPriority w:val="99"/>
    <w:unhideWhenUsed/>
    <w:rsid w:val="005B4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005"/>
  </w:style>
  <w:style w:type="paragraph" w:styleId="TOCHeading">
    <w:name w:val="TOC Heading"/>
    <w:basedOn w:val="Heading1"/>
    <w:next w:val="Normal"/>
    <w:uiPriority w:val="39"/>
    <w:unhideWhenUsed/>
    <w:qFormat/>
    <w:rsid w:val="005B4005"/>
    <w:pPr>
      <w:outlineLvl w:val="9"/>
    </w:pPr>
  </w:style>
  <w:style w:type="paragraph" w:styleId="TOC1">
    <w:name w:val="toc 1"/>
    <w:basedOn w:val="Normal"/>
    <w:next w:val="Normal"/>
    <w:autoRedefine/>
    <w:uiPriority w:val="39"/>
    <w:unhideWhenUsed/>
    <w:rsid w:val="005B4005"/>
    <w:pPr>
      <w:tabs>
        <w:tab w:val="right" w:leader="dot" w:pos="9350"/>
      </w:tabs>
      <w:spacing w:after="100"/>
    </w:pPr>
  </w:style>
  <w:style w:type="paragraph" w:styleId="TOC2">
    <w:name w:val="toc 2"/>
    <w:basedOn w:val="Normal"/>
    <w:next w:val="Normal"/>
    <w:autoRedefine/>
    <w:uiPriority w:val="39"/>
    <w:unhideWhenUsed/>
    <w:rsid w:val="005B4005"/>
    <w:pPr>
      <w:spacing w:after="100"/>
      <w:ind w:left="220"/>
    </w:pPr>
  </w:style>
  <w:style w:type="paragraph" w:styleId="TOC3">
    <w:name w:val="toc 3"/>
    <w:basedOn w:val="Normal"/>
    <w:next w:val="Normal"/>
    <w:autoRedefine/>
    <w:uiPriority w:val="39"/>
    <w:unhideWhenUsed/>
    <w:rsid w:val="005B4005"/>
    <w:pPr>
      <w:spacing w:after="100"/>
      <w:ind w:left="440"/>
    </w:pPr>
  </w:style>
  <w:style w:type="table" w:styleId="TableGrid">
    <w:name w:val="Table Grid"/>
    <w:basedOn w:val="TableNormal"/>
    <w:uiPriority w:val="59"/>
    <w:rsid w:val="005B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4005"/>
    <w:pPr>
      <w:spacing w:after="0" w:line="240" w:lineRule="auto"/>
    </w:pPr>
    <w:rPr>
      <w:rFonts w:eastAsiaTheme="minorEastAsia"/>
    </w:rPr>
  </w:style>
  <w:style w:type="character" w:customStyle="1" w:styleId="NoSpacingChar">
    <w:name w:val="No Spacing Char"/>
    <w:basedOn w:val="DefaultParagraphFont"/>
    <w:link w:val="NoSpacing"/>
    <w:uiPriority w:val="1"/>
    <w:rsid w:val="005B4005"/>
    <w:rPr>
      <w:rFonts w:eastAsiaTheme="minorEastAsia"/>
    </w:rPr>
  </w:style>
  <w:style w:type="paragraph" w:styleId="BalloonText">
    <w:name w:val="Balloon Text"/>
    <w:basedOn w:val="Normal"/>
    <w:link w:val="BalloonTextChar"/>
    <w:uiPriority w:val="99"/>
    <w:semiHidden/>
    <w:unhideWhenUsed/>
    <w:rsid w:val="005B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005"/>
    <w:rPr>
      <w:rFonts w:ascii="Tahoma" w:hAnsi="Tahoma" w:cs="Tahoma"/>
      <w:sz w:val="16"/>
      <w:szCs w:val="16"/>
    </w:rPr>
  </w:style>
  <w:style w:type="paragraph" w:styleId="Header">
    <w:name w:val="header"/>
    <w:basedOn w:val="Normal"/>
    <w:link w:val="HeaderChar"/>
    <w:uiPriority w:val="99"/>
    <w:rsid w:val="005B4005"/>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rsid w:val="005B4005"/>
    <w:rPr>
      <w:rFonts w:ascii="Times New Roman" w:eastAsia="MS Mincho" w:hAnsi="Times New Roman" w:cs="Times New Roman"/>
      <w:sz w:val="24"/>
      <w:szCs w:val="24"/>
      <w:lang w:eastAsia="ja-JP"/>
    </w:rPr>
  </w:style>
  <w:style w:type="character" w:styleId="FollowedHyperlink">
    <w:name w:val="FollowedHyperlink"/>
    <w:basedOn w:val="DefaultParagraphFont"/>
    <w:uiPriority w:val="99"/>
    <w:semiHidden/>
    <w:unhideWhenUsed/>
    <w:rsid w:val="004018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639314">
      <w:bodyDiv w:val="1"/>
      <w:marLeft w:val="0"/>
      <w:marRight w:val="0"/>
      <w:marTop w:val="0"/>
      <w:marBottom w:val="0"/>
      <w:divBdr>
        <w:top w:val="none" w:sz="0" w:space="0" w:color="auto"/>
        <w:left w:val="none" w:sz="0" w:space="0" w:color="auto"/>
        <w:bottom w:val="none" w:sz="0" w:space="0" w:color="auto"/>
        <w:right w:val="none" w:sz="0" w:space="0" w:color="auto"/>
      </w:divBdr>
    </w:div>
    <w:div w:id="142221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MP.EHR@massmail.state.ma.us" TargetMode="External"/><Relationship Id="rId18" Type="http://schemas.openxmlformats.org/officeDocument/2006/relationships/hyperlink" Target="https://apprisspmpgateway.zendesk.com/hc/en-us/requests/new" TargetMode="External"/><Relationship Id="rId26" Type="http://schemas.openxmlformats.org/officeDocument/2006/relationships/control" Target="activeX/activeX2.xml"/><Relationship Id="rId3" Type="http://schemas.openxmlformats.org/officeDocument/2006/relationships/settings" Target="settings.xml"/><Relationship Id="rId21" Type="http://schemas.openxmlformats.org/officeDocument/2006/relationships/hyperlink" Target="https://massachusetts.pmpaware.net/login"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MP.EHR@massmail.state.ma.us" TargetMode="External"/><Relationship Id="rId17" Type="http://schemas.openxmlformats.org/officeDocument/2006/relationships/hyperlink" Target="https://www.mass.gov/files/documents/2018/02/05/2018%20Healthcare%20Entity%20PMP_EMR%20T%2BCs%20FORM.pdf" TargetMode="External"/><Relationship Id="rId25" Type="http://schemas.openxmlformats.org/officeDocument/2006/relationships/control" Target="activeX/activeX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MP.EHR@massmail.state.ma.us" TargetMode="External"/><Relationship Id="rId20" Type="http://schemas.openxmlformats.org/officeDocument/2006/relationships/hyperlink" Target="https://info.apprisshealth.com/mapmp-ehr-integration-request" TargetMode="Externa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apprisshealth.com/mapmp-ehr-integration-request" TargetMode="External"/><Relationship Id="rId24" Type="http://schemas.openxmlformats.org/officeDocument/2006/relationships/image" Target="media/image3.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ass.gov/prescription-monitoring-program-pmp" TargetMode="External"/><Relationship Id="rId23" Type="http://schemas.openxmlformats.org/officeDocument/2006/relationships/hyperlink" Target="mailto:PMP.EHR@massmail.state.ma.us" TargetMode="External"/><Relationship Id="rId28" Type="http://schemas.openxmlformats.org/officeDocument/2006/relationships/control" Target="activeX/activeX4.xml"/><Relationship Id="rId10" Type="http://schemas.openxmlformats.org/officeDocument/2006/relationships/image" Target="media/image2.png"/><Relationship Id="rId19" Type="http://schemas.openxmlformats.org/officeDocument/2006/relationships/hyperlink" Target="https://www.mass.gov/prescription-monitoring-program-pmp" TargetMode="External"/><Relationship Id="rId31"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hyperlink" Target="https://www.mass.gov/service-details/masspat-use-requirements" TargetMode="External"/><Relationship Id="rId14" Type="http://schemas.openxmlformats.org/officeDocument/2006/relationships/hyperlink" Target="http://www.mass.gov/dph/masspat" TargetMode="External"/><Relationship Id="rId22" Type="http://schemas.openxmlformats.org/officeDocument/2006/relationships/hyperlink" Target="mailto:PMP.EHR@massmail.state.ma.us" TargetMode="External"/><Relationship Id="rId27" Type="http://schemas.openxmlformats.org/officeDocument/2006/relationships/control" Target="activeX/activeX3.xml"/><Relationship Id="rId30" Type="http://schemas.openxmlformats.org/officeDocument/2006/relationships/control" Target="activeX/activeX6.xml"/><Relationship Id="rId8" Type="http://schemas.openxmlformats.org/officeDocument/2006/relationships/hyperlink" Target="https://www.mass.gov/prescription-monitoring-program-pm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Reynolds</dc:creator>
  <cp:lastModifiedBy>Kelly, Rodd A (DPH)</cp:lastModifiedBy>
  <cp:revision>4</cp:revision>
  <cp:lastPrinted>2021-12-30T19:19:00Z</cp:lastPrinted>
  <dcterms:created xsi:type="dcterms:W3CDTF">2021-12-30T19:17:00Z</dcterms:created>
  <dcterms:modified xsi:type="dcterms:W3CDTF">2021-12-30T19:22:00Z</dcterms:modified>
</cp:coreProperties>
</file>