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D16BF5" w:rsidRPr="00D16BF5" w:rsidRDefault="00D16BF5" w:rsidP="00D16BF5">
      <w:pPr>
        <w:tabs>
          <w:tab w:val="left" w:pos="1440"/>
          <w:tab w:val="center" w:pos="4925"/>
        </w:tabs>
        <w:jc w:val="center"/>
        <w:rPr>
          <w:rFonts w:ascii="Times New Roman" w:hAnsi="Times New Roman" w:cs="Times New Roman"/>
          <w:b/>
          <w:sz w:val="28"/>
          <w:szCs w:val="28"/>
          <w:u w:val="single"/>
        </w:rPr>
      </w:pPr>
      <w:r w:rsidRPr="00D16BF5">
        <w:rPr>
          <w:rFonts w:ascii="Times New Roman" w:hAnsi="Times New Roman" w:cs="Times New Roman"/>
          <w:b/>
          <w:sz w:val="28"/>
          <w:szCs w:val="28"/>
          <w:u w:val="single"/>
        </w:rPr>
        <w:t>***May 20</w:t>
      </w:r>
      <w:r w:rsidR="00904C66">
        <w:rPr>
          <w:rFonts w:ascii="Times New Roman" w:hAnsi="Times New Roman" w:cs="Times New Roman"/>
          <w:b/>
          <w:sz w:val="28"/>
          <w:szCs w:val="28"/>
          <w:u w:val="single"/>
        </w:rPr>
        <w:t>20</w:t>
      </w:r>
      <w:r w:rsidRPr="00D16BF5">
        <w:rPr>
          <w:rFonts w:ascii="Times New Roman" w:hAnsi="Times New Roman" w:cs="Times New Roman"/>
          <w:b/>
          <w:sz w:val="28"/>
          <w:szCs w:val="28"/>
          <w:u w:val="single"/>
        </w:rPr>
        <w:t xml:space="preserve"> HSN Billing Reminders &amp; Updates***</w:t>
      </w:r>
    </w:p>
    <w:p w:rsidR="00D16BF5" w:rsidRPr="00D16BF5" w:rsidRDefault="00D16BF5" w:rsidP="00D16BF5">
      <w:pPr>
        <w:tabs>
          <w:tab w:val="center" w:pos="0"/>
        </w:tabs>
        <w:spacing w:after="200" w:line="276" w:lineRule="auto"/>
        <w:rPr>
          <w:rFonts w:ascii="Times New Roman" w:eastAsia="Calibri" w:hAnsi="Times New Roman" w:cs="Times New Roman"/>
          <w:b/>
          <w:sz w:val="32"/>
          <w:szCs w:val="32"/>
          <w:u w:val="single"/>
        </w:rPr>
      </w:pPr>
    </w:p>
    <w:p w:rsidR="00D16BF5" w:rsidRPr="009A3F69" w:rsidRDefault="00D16BF5" w:rsidP="00D16BF5">
      <w:pPr>
        <w:tabs>
          <w:tab w:val="center" w:pos="0"/>
        </w:tabs>
        <w:spacing w:after="200" w:line="276" w:lineRule="auto"/>
        <w:rPr>
          <w:rFonts w:ascii="Times New Roman" w:eastAsia="Calibri" w:hAnsi="Times New Roman" w:cs="Times New Roman"/>
          <w:b/>
          <w:sz w:val="24"/>
          <w:szCs w:val="24"/>
          <w:u w:val="single"/>
        </w:rPr>
      </w:pPr>
      <w:r w:rsidRPr="009A3F69">
        <w:rPr>
          <w:rFonts w:ascii="Times New Roman" w:eastAsia="Calibri" w:hAnsi="Times New Roman" w:cs="Times New Roman"/>
          <w:b/>
          <w:sz w:val="24"/>
          <w:szCs w:val="24"/>
          <w:u w:val="single"/>
        </w:rPr>
        <w:t>FY 2018 Closing</w:t>
      </w: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 xml:space="preserve">Providers are reminded that FY18 will be closing on September 30, 2020.  Any claims or corrections for FY18 must be completed before the Fiscal Year is closed.  </w:t>
      </w:r>
      <w:bookmarkStart w:id="0" w:name="_GoBack"/>
      <w:bookmarkEnd w:id="0"/>
    </w:p>
    <w:p w:rsidR="00D16BF5" w:rsidRPr="009A3F69" w:rsidRDefault="00D16BF5" w:rsidP="00D16BF5">
      <w:pPr>
        <w:ind w:left="720"/>
        <w:rPr>
          <w:rFonts w:ascii="Times New Roman" w:hAnsi="Times New Roman" w:cs="Times New Roman"/>
          <w:sz w:val="20"/>
        </w:rPr>
      </w:pP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Any claims or corrections for FY18 must be completed before the FY is closed.</w:t>
      </w: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Any claims submitted for processing after the FY closes, will be denied by HSN, for submitting after the FY closure date.</w:t>
      </w:r>
    </w:p>
    <w:p w:rsidR="00D16BF5" w:rsidRPr="009A3F69" w:rsidRDefault="00D16BF5" w:rsidP="00D16BF5">
      <w:pPr>
        <w:rPr>
          <w:rFonts w:ascii="Times New Roman" w:hAnsi="Times New Roman" w:cs="Times New Roman"/>
          <w:sz w:val="20"/>
        </w:rPr>
      </w:pPr>
    </w:p>
    <w:p w:rsidR="00D16BF5" w:rsidRPr="009A3F69" w:rsidRDefault="00D16BF5" w:rsidP="00D16BF5">
      <w:pPr>
        <w:rPr>
          <w:b/>
          <w:sz w:val="20"/>
        </w:rPr>
      </w:pPr>
      <w:r w:rsidRPr="009A3F69">
        <w:rPr>
          <w:rFonts w:ascii="Times New Roman" w:hAnsi="Times New Roman" w:cs="Times New Roman"/>
          <w:sz w:val="20"/>
        </w:rPr>
        <w:t xml:space="preserve">Please contact Health Safety Net for any questions or concerns.  800-609-7232 or </w:t>
      </w:r>
      <w:hyperlink r:id="rId11" w:history="1">
        <w:r w:rsidRPr="009A3F69">
          <w:rPr>
            <w:rStyle w:val="Hyperlink"/>
            <w:rFonts w:ascii="Times New Roman" w:hAnsi="Times New Roman" w:cs="Times New Roman"/>
            <w:sz w:val="20"/>
          </w:rPr>
          <w:t>HSNHelpdesk@state.ma.us</w:t>
        </w:r>
      </w:hyperlink>
    </w:p>
    <w:p w:rsidR="00D16BF5" w:rsidRPr="00D16BF5" w:rsidRDefault="00D16BF5" w:rsidP="00D16BF5">
      <w:pPr>
        <w:rPr>
          <w:rFonts w:ascii="Times New Roman" w:hAnsi="Times New Roman" w:cs="Times New Roman"/>
          <w:sz w:val="24"/>
          <w:szCs w:val="24"/>
        </w:rPr>
      </w:pPr>
    </w:p>
    <w:p w:rsidR="00D16BF5" w:rsidRPr="00D16BF5" w:rsidRDefault="00D16BF5" w:rsidP="00D16BF5">
      <w:pPr>
        <w:ind w:left="720"/>
        <w:jc w:val="both"/>
        <w:rPr>
          <w:rFonts w:ascii="Calibri" w:eastAsia="Calibri" w:hAnsi="Calibri" w:cs="Times New Roman"/>
          <w:b/>
          <w:sz w:val="24"/>
          <w:szCs w:val="24"/>
        </w:rPr>
      </w:pPr>
    </w:p>
    <w:p w:rsidR="00D16BF5" w:rsidRPr="009A3F69" w:rsidRDefault="00D16BF5" w:rsidP="00D16BF5">
      <w:pPr>
        <w:ind w:hanging="90"/>
        <w:jc w:val="both"/>
        <w:rPr>
          <w:rFonts w:ascii="Times New Roman" w:hAnsi="Times New Roman" w:cs="Times New Roman"/>
          <w:b/>
          <w:sz w:val="24"/>
          <w:szCs w:val="24"/>
          <w:u w:val="single"/>
        </w:rPr>
      </w:pPr>
      <w:r w:rsidRPr="009A3F69">
        <w:rPr>
          <w:rFonts w:ascii="Times New Roman" w:hAnsi="Times New Roman" w:cs="Times New Roman"/>
          <w:b/>
          <w:sz w:val="24"/>
          <w:szCs w:val="24"/>
          <w:u w:val="single"/>
        </w:rPr>
        <w:t>HSN Claim Adjustment Codes</w:t>
      </w:r>
    </w:p>
    <w:p w:rsidR="00D16BF5" w:rsidRPr="009A3F69" w:rsidRDefault="00D16BF5" w:rsidP="00D16BF5">
      <w:pPr>
        <w:ind w:left="720"/>
        <w:rPr>
          <w:rFonts w:ascii="Times New Roman" w:hAnsi="Times New Roman" w:cs="Times New Roman"/>
          <w:b/>
          <w:sz w:val="20"/>
          <w:u w:val="single"/>
        </w:rPr>
      </w:pP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 xml:space="preserve">Providers may notice on their HSN Remit that there are new “Claim Adjustment Reason Codes”, which have been implemented to assist providers in understanding claim final disposition.  Providers should take the time to review any claims on which these new codes have posted and address any corrections that may be needed.  </w:t>
      </w:r>
    </w:p>
    <w:p w:rsidR="00D16BF5" w:rsidRPr="009A3F69" w:rsidRDefault="00D16BF5" w:rsidP="00D16BF5">
      <w:pPr>
        <w:ind w:left="720"/>
        <w:rPr>
          <w:rFonts w:ascii="Times New Roman" w:hAnsi="Times New Roman" w:cs="Times New Roman"/>
          <w:sz w:val="20"/>
        </w:rPr>
      </w:pPr>
    </w:p>
    <w:p w:rsidR="00D16BF5" w:rsidRPr="009A3F69" w:rsidRDefault="00D16BF5" w:rsidP="00D16BF5">
      <w:pPr>
        <w:ind w:left="720"/>
        <w:rPr>
          <w:rFonts w:ascii="Times New Roman" w:hAnsi="Times New Roman" w:cs="Times New Roman"/>
          <w:sz w:val="20"/>
        </w:rPr>
      </w:pPr>
      <w:r w:rsidRPr="009A3F69">
        <w:rPr>
          <w:rFonts w:ascii="Times New Roman" w:hAnsi="Times New Roman" w:cs="Times New Roman"/>
          <w:sz w:val="20"/>
        </w:rPr>
        <w:t xml:space="preserve">New messages include:   </w:t>
      </w:r>
    </w:p>
    <w:p w:rsidR="00D16BF5" w:rsidRPr="009A3F69" w:rsidRDefault="00D16BF5" w:rsidP="00D16BF5">
      <w:pPr>
        <w:ind w:left="720"/>
        <w:rPr>
          <w:rFonts w:ascii="Times New Roman" w:hAnsi="Times New Roman" w:cs="Times New Roman"/>
          <w:sz w:val="20"/>
        </w:rPr>
      </w:pPr>
    </w:p>
    <w:p w:rsidR="00D16BF5" w:rsidRPr="009A3F69" w:rsidRDefault="00D16BF5" w:rsidP="00D16BF5">
      <w:pPr>
        <w:spacing w:after="200" w:line="276" w:lineRule="auto"/>
        <w:rPr>
          <w:rFonts w:ascii="Times New Roman" w:hAnsi="Times New Roman" w:cs="Times New Roman"/>
          <w:sz w:val="20"/>
        </w:rPr>
      </w:pPr>
      <w:r w:rsidRPr="009A3F69">
        <w:rPr>
          <w:rFonts w:ascii="Times New Roman" w:hAnsi="Times New Roman" w:cs="Times New Roman"/>
          <w:sz w:val="20"/>
        </w:rPr>
        <w:tab/>
      </w:r>
      <w:r w:rsidRPr="009A3F69">
        <w:rPr>
          <w:rFonts w:ascii="Times New Roman" w:hAnsi="Times New Roman" w:cs="Times New Roman"/>
          <w:b/>
          <w:sz w:val="20"/>
          <w:u w:val="single"/>
        </w:rPr>
        <w:t>Claim part of a Closed Audit; claim will not be further adjudicated</w:t>
      </w:r>
      <w:r w:rsidRPr="009A3F69">
        <w:rPr>
          <w:rFonts w:ascii="Times New Roman" w:hAnsi="Times New Roman" w:cs="Times New Roman"/>
          <w:sz w:val="20"/>
        </w:rPr>
        <w:t xml:space="preserve">  - additional</w:t>
      </w:r>
      <w:r w:rsidR="009A3F69">
        <w:rPr>
          <w:rFonts w:ascii="Times New Roman" w:hAnsi="Times New Roman" w:cs="Times New Roman"/>
          <w:sz w:val="20"/>
        </w:rPr>
        <w:t xml:space="preserve"> </w:t>
      </w:r>
      <w:r w:rsidRPr="009A3F69">
        <w:rPr>
          <w:rFonts w:ascii="Times New Roman" w:hAnsi="Times New Roman" w:cs="Times New Roman"/>
          <w:sz w:val="20"/>
        </w:rPr>
        <w:t xml:space="preserve">research of paid claim(s) due to </w:t>
      </w:r>
      <w:r w:rsidR="009A3F69">
        <w:rPr>
          <w:rFonts w:ascii="Times New Roman" w:hAnsi="Times New Roman" w:cs="Times New Roman"/>
          <w:sz w:val="20"/>
        </w:rPr>
        <w:tab/>
      </w:r>
      <w:r w:rsidRPr="009A3F69">
        <w:rPr>
          <w:rFonts w:ascii="Times New Roman" w:hAnsi="Times New Roman" w:cs="Times New Roman"/>
          <w:sz w:val="20"/>
        </w:rPr>
        <w:t>request of provider or claims were included in an internal audit performed by HSN.</w:t>
      </w:r>
    </w:p>
    <w:p w:rsidR="00D16BF5" w:rsidRPr="009A3F69" w:rsidRDefault="00D16BF5" w:rsidP="00D16BF5">
      <w:pPr>
        <w:spacing w:after="200" w:line="276" w:lineRule="auto"/>
        <w:rPr>
          <w:rFonts w:ascii="Times New Roman" w:hAnsi="Times New Roman" w:cs="Times New Roman"/>
          <w:sz w:val="20"/>
        </w:rPr>
      </w:pPr>
      <w:r w:rsidRPr="009A3F69">
        <w:rPr>
          <w:rFonts w:ascii="Times New Roman" w:hAnsi="Times New Roman" w:cs="Times New Roman"/>
          <w:sz w:val="20"/>
        </w:rPr>
        <w:tab/>
      </w:r>
      <w:r w:rsidRPr="009A3F69">
        <w:rPr>
          <w:rFonts w:ascii="Times New Roman" w:hAnsi="Times New Roman" w:cs="Times New Roman"/>
          <w:b/>
          <w:sz w:val="20"/>
          <w:u w:val="single"/>
        </w:rPr>
        <w:t>Claim included in a defined resweeps</w:t>
      </w:r>
      <w:r w:rsidRPr="009A3F69">
        <w:rPr>
          <w:rFonts w:ascii="Times New Roman" w:hAnsi="Times New Roman" w:cs="Times New Roman"/>
          <w:b/>
          <w:sz w:val="20"/>
        </w:rPr>
        <w:t xml:space="preserve"> – </w:t>
      </w:r>
      <w:r w:rsidRPr="009A3F69">
        <w:rPr>
          <w:rFonts w:ascii="Times New Roman" w:hAnsi="Times New Roman" w:cs="Times New Roman"/>
          <w:sz w:val="20"/>
        </w:rPr>
        <w:t>paid</w:t>
      </w:r>
      <w:r w:rsidRPr="009A3F69">
        <w:rPr>
          <w:rFonts w:ascii="Times New Roman" w:hAnsi="Times New Roman" w:cs="Times New Roman"/>
          <w:b/>
          <w:sz w:val="20"/>
        </w:rPr>
        <w:t xml:space="preserve"> </w:t>
      </w:r>
      <w:r w:rsidRPr="009A3F69">
        <w:rPr>
          <w:rFonts w:ascii="Times New Roman" w:hAnsi="Times New Roman" w:cs="Times New Roman"/>
          <w:sz w:val="20"/>
        </w:rPr>
        <w:t xml:space="preserve">claims that have been reprocessed to correct prior payment; this is an </w:t>
      </w:r>
      <w:r w:rsidR="009A3F69">
        <w:rPr>
          <w:rFonts w:ascii="Times New Roman" w:hAnsi="Times New Roman" w:cs="Times New Roman"/>
          <w:sz w:val="20"/>
        </w:rPr>
        <w:tab/>
      </w:r>
      <w:r w:rsidRPr="009A3F69">
        <w:rPr>
          <w:rFonts w:ascii="Times New Roman" w:hAnsi="Times New Roman" w:cs="Times New Roman"/>
          <w:sz w:val="20"/>
        </w:rPr>
        <w:t xml:space="preserve">internal </w:t>
      </w:r>
      <w:proofErr w:type="spellStart"/>
      <w:r w:rsidRPr="009A3F69">
        <w:rPr>
          <w:rFonts w:ascii="Times New Roman" w:hAnsi="Times New Roman" w:cs="Times New Roman"/>
          <w:sz w:val="20"/>
        </w:rPr>
        <w:t>resweep</w:t>
      </w:r>
      <w:proofErr w:type="spellEnd"/>
      <w:r w:rsidRPr="009A3F69">
        <w:rPr>
          <w:rFonts w:ascii="Times New Roman" w:hAnsi="Times New Roman" w:cs="Times New Roman"/>
          <w:sz w:val="20"/>
        </w:rPr>
        <w:t xml:space="preserve"> process that occurs quarterly within HSN.</w:t>
      </w:r>
    </w:p>
    <w:p w:rsidR="00D16BF5" w:rsidRPr="00D16BF5" w:rsidRDefault="00D16BF5" w:rsidP="00D16BF5">
      <w:pPr>
        <w:spacing w:after="200" w:line="276" w:lineRule="auto"/>
        <w:rPr>
          <w:rFonts w:ascii="Times New Roman" w:hAnsi="Times New Roman" w:cs="Times New Roman"/>
          <w:sz w:val="24"/>
          <w:szCs w:val="24"/>
        </w:rPr>
      </w:pPr>
    </w:p>
    <w:p w:rsidR="00D16BF5" w:rsidRPr="009A3F69" w:rsidRDefault="00D16BF5" w:rsidP="00D16BF5">
      <w:pPr>
        <w:ind w:firstLine="90"/>
        <w:jc w:val="both"/>
        <w:rPr>
          <w:rFonts w:ascii="Times New Roman" w:hAnsi="Times New Roman" w:cs="Times New Roman"/>
          <w:b/>
          <w:sz w:val="24"/>
          <w:szCs w:val="24"/>
          <w:u w:val="single"/>
        </w:rPr>
      </w:pPr>
      <w:r w:rsidRPr="009A3F69">
        <w:rPr>
          <w:rFonts w:ascii="Times New Roman" w:hAnsi="Times New Roman" w:cs="Times New Roman"/>
          <w:b/>
          <w:sz w:val="24"/>
          <w:szCs w:val="24"/>
          <w:u w:val="single"/>
        </w:rPr>
        <w:t xml:space="preserve">COVID-19 Interim Payment </w:t>
      </w:r>
    </w:p>
    <w:p w:rsidR="00D16BF5" w:rsidRPr="00D16BF5" w:rsidRDefault="00D16BF5" w:rsidP="00D16BF5">
      <w:pPr>
        <w:ind w:firstLine="90"/>
        <w:jc w:val="both"/>
        <w:rPr>
          <w:rFonts w:ascii="Times New Roman" w:hAnsi="Times New Roman" w:cs="Times New Roman"/>
          <w:b/>
          <w:sz w:val="24"/>
          <w:szCs w:val="24"/>
          <w:u w:val="single"/>
        </w:rPr>
      </w:pPr>
    </w:p>
    <w:p w:rsidR="00D16BF5" w:rsidRPr="009A3F69" w:rsidRDefault="00D16BF5" w:rsidP="00D16BF5">
      <w:pPr>
        <w:spacing w:after="200" w:line="276" w:lineRule="auto"/>
        <w:rPr>
          <w:rFonts w:ascii="Times New Roman" w:hAnsi="Times New Roman" w:cs="Times New Roman"/>
          <w:sz w:val="20"/>
        </w:rPr>
      </w:pPr>
      <w:r w:rsidRPr="009A3F69">
        <w:rPr>
          <w:rFonts w:ascii="Times New Roman" w:hAnsi="Times New Roman" w:cs="Times New Roman"/>
          <w:sz w:val="20"/>
        </w:rPr>
        <w:t xml:space="preserve">Providers will continue to see an interim payment for the month of May (March processed claims).  Also </w:t>
      </w:r>
      <w:proofErr w:type="gramStart"/>
      <w:r w:rsidRPr="009A3F69">
        <w:rPr>
          <w:rFonts w:ascii="Times New Roman" w:hAnsi="Times New Roman" w:cs="Times New Roman"/>
          <w:sz w:val="20"/>
        </w:rPr>
        <w:t>note,</w:t>
      </w:r>
      <w:proofErr w:type="gramEnd"/>
      <w:r w:rsidRPr="009A3F69">
        <w:rPr>
          <w:rFonts w:ascii="Times New Roman" w:hAnsi="Times New Roman" w:cs="Times New Roman"/>
          <w:sz w:val="20"/>
        </w:rPr>
        <w:t xml:space="preserve"> that your facility can retrieve the May payment remit from INET.  </w:t>
      </w:r>
    </w:p>
    <w:p w:rsidR="00D16BF5" w:rsidRPr="009A3F69" w:rsidRDefault="00D16BF5" w:rsidP="00D16BF5">
      <w:pPr>
        <w:spacing w:after="200" w:line="276" w:lineRule="auto"/>
        <w:rPr>
          <w:rFonts w:ascii="Times New Roman" w:hAnsi="Times New Roman" w:cs="Times New Roman"/>
          <w:sz w:val="20"/>
        </w:rPr>
      </w:pPr>
      <w:r w:rsidRPr="009A3F69">
        <w:rPr>
          <w:rFonts w:ascii="Times New Roman" w:hAnsi="Times New Roman" w:cs="Times New Roman"/>
          <w:sz w:val="20"/>
        </w:rPr>
        <w:t xml:space="preserve">If you have any questions, please feel free to contact Tim Flaherty, HSN Fiscal Operations Supervisor Phone (617) 786-4415; Email: </w:t>
      </w:r>
      <w:hyperlink r:id="rId12" w:history="1">
        <w:r w:rsidRPr="009A3F69">
          <w:rPr>
            <w:rFonts w:ascii="Times New Roman" w:hAnsi="Times New Roman" w:cs="Times New Roman"/>
            <w:color w:val="0000FF"/>
            <w:sz w:val="20"/>
            <w:u w:val="single"/>
          </w:rPr>
          <w:t>Timothy.Flaherty@MassMail.state.ma.us</w:t>
        </w:r>
      </w:hyperlink>
      <w:r w:rsidRPr="009A3F69">
        <w:rPr>
          <w:rFonts w:ascii="Times New Roman" w:hAnsi="Times New Roman" w:cs="Times New Roman"/>
          <w:sz w:val="20"/>
        </w:rPr>
        <w:t xml:space="preserve"> or Jim Clougher, HSN Fiscal Operations Manager Phone (617) 786-4347 Email: </w:t>
      </w:r>
      <w:hyperlink r:id="rId13" w:history="1">
        <w:r w:rsidRPr="009A3F69">
          <w:rPr>
            <w:rFonts w:ascii="Times New Roman" w:hAnsi="Times New Roman" w:cs="Times New Roman"/>
            <w:color w:val="0000FF"/>
            <w:sz w:val="20"/>
            <w:u w:val="single"/>
          </w:rPr>
          <w:t>James.Clougher@MassMail.state.ma.us</w:t>
        </w:r>
      </w:hyperlink>
    </w:p>
    <w:p w:rsidR="00D16BF5" w:rsidRPr="00D16BF5" w:rsidRDefault="00D16BF5" w:rsidP="00D16BF5">
      <w:pPr>
        <w:spacing w:after="200" w:line="276" w:lineRule="auto"/>
        <w:rPr>
          <w:rFonts w:ascii="Times New Roman" w:hAnsi="Times New Roman" w:cs="Times New Roman"/>
          <w:sz w:val="24"/>
          <w:szCs w:val="24"/>
        </w:rPr>
      </w:pPr>
    </w:p>
    <w:p w:rsidR="001F3373" w:rsidRDefault="001F3373" w:rsidP="00BC138A">
      <w:pPr>
        <w:tabs>
          <w:tab w:val="left" w:pos="1440"/>
          <w:tab w:val="center" w:pos="4925"/>
        </w:tabs>
        <w:rPr>
          <w:rFonts w:ascii="Times New Roman" w:hAnsi="Times New Roman" w:cs="Times New Roman"/>
          <w:sz w:val="32"/>
          <w:szCs w:val="32"/>
        </w:rPr>
      </w:pPr>
    </w:p>
    <w:sectPr w:rsidR="001F3373" w:rsidSect="00561E84">
      <w:footerReference w:type="even" r:id="rId14"/>
      <w:footerReference w:type="default" r:id="rId15"/>
      <w:footerReference w:type="first" r:id="rId16"/>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40" w:rsidRDefault="00DD3340">
      <w:r>
        <w:separator/>
      </w:r>
    </w:p>
  </w:endnote>
  <w:endnote w:type="continuationSeparator" w:id="0">
    <w:p w:rsidR="00DD3340" w:rsidRDefault="00DD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04C66">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477030F2" wp14:editId="361280CB">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40" w:rsidRDefault="00DD3340">
      <w:r>
        <w:separator/>
      </w:r>
    </w:p>
  </w:footnote>
  <w:footnote w:type="continuationSeparator" w:id="0">
    <w:p w:rsidR="00DD3340" w:rsidRDefault="00DD33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4"/>
  </w:num>
  <w:num w:numId="4">
    <w:abstractNumId w:val="5"/>
  </w:num>
  <w:num w:numId="5">
    <w:abstractNumId w:val="11"/>
  </w:num>
  <w:num w:numId="6">
    <w:abstractNumId w:val="12"/>
  </w:num>
  <w:num w:numId="7">
    <w:abstractNumId w:val="1"/>
  </w:num>
  <w:num w:numId="8">
    <w:abstractNumId w:val="9"/>
  </w:num>
  <w:num w:numId="9">
    <w:abstractNumId w:val="8"/>
  </w:num>
  <w:num w:numId="10">
    <w:abstractNumId w:val="7"/>
  </w:num>
  <w:num w:numId="11">
    <w:abstractNumId w:val="15"/>
  </w:num>
  <w:num w:numId="12">
    <w:abstractNumId w:val="10"/>
  </w:num>
  <w:num w:numId="13">
    <w:abstractNumId w:val="14"/>
  </w:num>
  <w:num w:numId="14">
    <w:abstractNumId w:val="0"/>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335A"/>
    <w:rsid w:val="0012669D"/>
    <w:rsid w:val="00136169"/>
    <w:rsid w:val="001365E6"/>
    <w:rsid w:val="001511FE"/>
    <w:rsid w:val="00151378"/>
    <w:rsid w:val="0015427A"/>
    <w:rsid w:val="00161B83"/>
    <w:rsid w:val="00170C17"/>
    <w:rsid w:val="00183E18"/>
    <w:rsid w:val="00186186"/>
    <w:rsid w:val="001A1D99"/>
    <w:rsid w:val="001A3D0F"/>
    <w:rsid w:val="001A4FFD"/>
    <w:rsid w:val="001A6DEA"/>
    <w:rsid w:val="001B2C69"/>
    <w:rsid w:val="001B3F94"/>
    <w:rsid w:val="001C3CAB"/>
    <w:rsid w:val="001D339A"/>
    <w:rsid w:val="001E7C3D"/>
    <w:rsid w:val="001F3373"/>
    <w:rsid w:val="0020566E"/>
    <w:rsid w:val="00206158"/>
    <w:rsid w:val="0020717F"/>
    <w:rsid w:val="00215CAD"/>
    <w:rsid w:val="00223B9F"/>
    <w:rsid w:val="00230E81"/>
    <w:rsid w:val="002454B2"/>
    <w:rsid w:val="002510D6"/>
    <w:rsid w:val="002520D5"/>
    <w:rsid w:val="00255315"/>
    <w:rsid w:val="002555B1"/>
    <w:rsid w:val="002630E2"/>
    <w:rsid w:val="002658AB"/>
    <w:rsid w:val="00266394"/>
    <w:rsid w:val="00266A2F"/>
    <w:rsid w:val="00266AB2"/>
    <w:rsid w:val="00267156"/>
    <w:rsid w:val="002713F0"/>
    <w:rsid w:val="002722A1"/>
    <w:rsid w:val="00283BCD"/>
    <w:rsid w:val="002A53A2"/>
    <w:rsid w:val="002C041F"/>
    <w:rsid w:val="002D1884"/>
    <w:rsid w:val="002D360A"/>
    <w:rsid w:val="002F156D"/>
    <w:rsid w:val="002F28A5"/>
    <w:rsid w:val="00300189"/>
    <w:rsid w:val="00314237"/>
    <w:rsid w:val="00321E6E"/>
    <w:rsid w:val="00336F17"/>
    <w:rsid w:val="003468F4"/>
    <w:rsid w:val="00386BCD"/>
    <w:rsid w:val="00391016"/>
    <w:rsid w:val="00395400"/>
    <w:rsid w:val="003C2E3A"/>
    <w:rsid w:val="003C4EE8"/>
    <w:rsid w:val="003C770E"/>
    <w:rsid w:val="003C7987"/>
    <w:rsid w:val="003D01A4"/>
    <w:rsid w:val="003D0AC5"/>
    <w:rsid w:val="003D6EEC"/>
    <w:rsid w:val="003E5AD9"/>
    <w:rsid w:val="003F0F05"/>
    <w:rsid w:val="003F4A88"/>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93E3E"/>
    <w:rsid w:val="004A06DB"/>
    <w:rsid w:val="004A2287"/>
    <w:rsid w:val="004A442E"/>
    <w:rsid w:val="004A5109"/>
    <w:rsid w:val="004A7ED8"/>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C4770"/>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61DD"/>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75A8F"/>
    <w:rsid w:val="00881B6F"/>
    <w:rsid w:val="00882DB4"/>
    <w:rsid w:val="0089019B"/>
    <w:rsid w:val="008D71D0"/>
    <w:rsid w:val="008E091B"/>
    <w:rsid w:val="008F4FA2"/>
    <w:rsid w:val="008F773B"/>
    <w:rsid w:val="00904C66"/>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3F69"/>
    <w:rsid w:val="009A41E1"/>
    <w:rsid w:val="009B10C4"/>
    <w:rsid w:val="009B5726"/>
    <w:rsid w:val="009D0E2C"/>
    <w:rsid w:val="009D1BE5"/>
    <w:rsid w:val="009E5F63"/>
    <w:rsid w:val="009E7BED"/>
    <w:rsid w:val="009F243C"/>
    <w:rsid w:val="009F77FD"/>
    <w:rsid w:val="00A02F9B"/>
    <w:rsid w:val="00A102F0"/>
    <w:rsid w:val="00A11D49"/>
    <w:rsid w:val="00A126E0"/>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7BA9"/>
    <w:rsid w:val="00B72C9B"/>
    <w:rsid w:val="00B812D0"/>
    <w:rsid w:val="00B95039"/>
    <w:rsid w:val="00BA2175"/>
    <w:rsid w:val="00BA585A"/>
    <w:rsid w:val="00BB6F19"/>
    <w:rsid w:val="00BC138A"/>
    <w:rsid w:val="00BC16C9"/>
    <w:rsid w:val="00BC2804"/>
    <w:rsid w:val="00BC6121"/>
    <w:rsid w:val="00BE6C50"/>
    <w:rsid w:val="00C137BF"/>
    <w:rsid w:val="00C14E8F"/>
    <w:rsid w:val="00C151E2"/>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16BF5"/>
    <w:rsid w:val="00D21C3B"/>
    <w:rsid w:val="00D2459B"/>
    <w:rsid w:val="00D3740F"/>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3340"/>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B4F6C"/>
    <w:rsid w:val="00EE5BC6"/>
    <w:rsid w:val="00EE5D28"/>
    <w:rsid w:val="00F0626C"/>
    <w:rsid w:val="00F243E6"/>
    <w:rsid w:val="00F26CE0"/>
    <w:rsid w:val="00F32956"/>
    <w:rsid w:val="00F34242"/>
    <w:rsid w:val="00F376CB"/>
    <w:rsid w:val="00F4384C"/>
    <w:rsid w:val="00F51795"/>
    <w:rsid w:val="00F551E6"/>
    <w:rsid w:val="00F577D6"/>
    <w:rsid w:val="00F638F8"/>
    <w:rsid w:val="00F65CA3"/>
    <w:rsid w:val="00F71651"/>
    <w:rsid w:val="00F8017E"/>
    <w:rsid w:val="00F87454"/>
    <w:rsid w:val="00F93F74"/>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es.Clougher@MassMail.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imothy.Flaherty@MassMail.state.ma.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F19D0-A1F7-4962-AA2E-3B344092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2126</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2019-09-17T13:06:00Z</cp:lastPrinted>
  <dcterms:created xsi:type="dcterms:W3CDTF">2020-05-22T16:47:00Z</dcterms:created>
  <dcterms:modified xsi:type="dcterms:W3CDTF">2020-05-22T16:47:00Z</dcterms:modified>
</cp:coreProperties>
</file>