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color w:val="2B579A"/>
          <w:shd w:val="clear" w:color="auto" w:fill="E6E6E6"/>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color w:val="2B579A"/>
          <w:shd w:val="clear" w:color="auto" w:fill="E6E6E6"/>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5024DF1B" w14:textId="77777777" w:rsidR="0046575D" w:rsidRPr="00AC222C" w:rsidRDefault="0046575D" w:rsidP="0046575D">
      <w:pPr>
        <w:jc w:val="center"/>
      </w:pPr>
      <w:r w:rsidRPr="00AC222C">
        <w:rPr>
          <w:b/>
        </w:rPr>
        <w:t>Memorandum</w:t>
      </w:r>
    </w:p>
    <w:p w14:paraId="318FF1DD" w14:textId="77777777" w:rsidR="0046575D" w:rsidRPr="00AC222C" w:rsidRDefault="0046575D" w:rsidP="0046575D">
      <w:pPr>
        <w:autoSpaceDE w:val="0"/>
        <w:autoSpaceDN w:val="0"/>
        <w:adjustRightInd w:val="0"/>
        <w:rPr>
          <w:rFonts w:eastAsia="@Batang"/>
        </w:rPr>
      </w:pPr>
    </w:p>
    <w:p w14:paraId="7A3E8A11" w14:textId="77777777" w:rsidR="0046575D" w:rsidRPr="00AC222C" w:rsidRDefault="0046575D" w:rsidP="0046575D">
      <w:pPr>
        <w:autoSpaceDE w:val="0"/>
        <w:autoSpaceDN w:val="0"/>
        <w:adjustRightInd w:val="0"/>
        <w:ind w:left="1440" w:hanging="1440"/>
        <w:rPr>
          <w:rFonts w:eastAsia="@Batang"/>
        </w:rPr>
      </w:pPr>
      <w:r w:rsidRPr="00AC222C">
        <w:rPr>
          <w:rFonts w:eastAsia="@Batang"/>
          <w:b/>
        </w:rPr>
        <w:t>TO:</w:t>
      </w:r>
      <w:r w:rsidRPr="00AC222C">
        <w:rPr>
          <w:rFonts w:eastAsia="@Batang"/>
        </w:rPr>
        <w:tab/>
        <w:t>Acute Care Hospitals Chief Executive Officers and Administrators</w:t>
      </w:r>
    </w:p>
    <w:p w14:paraId="4C43A5C3" w14:textId="77777777" w:rsidR="0046575D" w:rsidRPr="00AC222C" w:rsidRDefault="0046575D" w:rsidP="0046575D">
      <w:pPr>
        <w:autoSpaceDE w:val="0"/>
        <w:autoSpaceDN w:val="0"/>
        <w:adjustRightInd w:val="0"/>
        <w:ind w:left="1440"/>
        <w:rPr>
          <w:rFonts w:eastAsia="@Batang"/>
          <w:bCs/>
        </w:rPr>
      </w:pPr>
      <w:r w:rsidRPr="00AC222C">
        <w:rPr>
          <w:rFonts w:eastAsia="@Batang"/>
          <w:bCs/>
        </w:rPr>
        <w:t>Non-Acute Care Hospital Chief Executive Officers and Administrators</w:t>
      </w:r>
    </w:p>
    <w:p w14:paraId="5A3AFFC8" w14:textId="77777777" w:rsidR="0046575D" w:rsidRPr="00AC222C" w:rsidRDefault="0046575D" w:rsidP="0046575D">
      <w:pPr>
        <w:autoSpaceDE w:val="0"/>
        <w:autoSpaceDN w:val="0"/>
        <w:adjustRightInd w:val="0"/>
        <w:ind w:left="1440"/>
        <w:rPr>
          <w:rFonts w:eastAsia="@Batang"/>
          <w:bCs/>
        </w:rPr>
      </w:pPr>
      <w:r w:rsidRPr="00AC222C">
        <w:rPr>
          <w:rFonts w:eastAsia="@Batang"/>
          <w:bCs/>
        </w:rPr>
        <w:t>Department of Mental Health Hospital Chief Executive Officers</w:t>
      </w:r>
    </w:p>
    <w:p w14:paraId="2473829C" w14:textId="3590AC66" w:rsidR="0046575D" w:rsidRPr="00AC222C" w:rsidRDefault="0046575D" w:rsidP="0046575D">
      <w:pPr>
        <w:autoSpaceDE w:val="0"/>
        <w:autoSpaceDN w:val="0"/>
        <w:adjustRightInd w:val="0"/>
        <w:ind w:left="1440"/>
        <w:rPr>
          <w:rFonts w:eastAsia="@Batang"/>
          <w:b/>
        </w:rPr>
      </w:pPr>
      <w:r w:rsidRPr="00AC222C">
        <w:rPr>
          <w:rFonts w:eastAsia="@Batang"/>
          <w:bCs/>
        </w:rPr>
        <w:t>Public Health Hospital Chief Executive Officers</w:t>
      </w:r>
    </w:p>
    <w:p w14:paraId="7E66642C" w14:textId="29A2013A" w:rsidR="0046575D" w:rsidRPr="00AC222C" w:rsidRDefault="0046575D" w:rsidP="0046575D">
      <w:pPr>
        <w:autoSpaceDE w:val="0"/>
        <w:autoSpaceDN w:val="0"/>
        <w:adjustRightInd w:val="0"/>
        <w:rPr>
          <w:rFonts w:eastAsia="@Batang"/>
          <w:b/>
          <w:bCs/>
        </w:rPr>
      </w:pPr>
    </w:p>
    <w:p w14:paraId="15C914BE" w14:textId="77777777" w:rsidR="00C34D5C" w:rsidRPr="00432E4E" w:rsidRDefault="0046575D" w:rsidP="00C34D5C">
      <w:pPr>
        <w:autoSpaceDE w:val="0"/>
        <w:autoSpaceDN w:val="0"/>
        <w:adjustRightInd w:val="0"/>
        <w:ind w:left="1440" w:hanging="1440"/>
        <w:rPr>
          <w:rStyle w:val="normaltextrun"/>
          <w:shd w:val="clear" w:color="auto" w:fill="FFFFFF"/>
        </w:rPr>
      </w:pPr>
      <w:r w:rsidRPr="0836D9F7">
        <w:rPr>
          <w:rFonts w:eastAsia="@Batang"/>
          <w:b/>
          <w:bCs/>
        </w:rPr>
        <w:t>FROM:</w:t>
      </w:r>
      <w:r w:rsidRPr="0836D9F7">
        <w:rPr>
          <w:rFonts w:eastAsia="@Batang"/>
        </w:rPr>
        <w:t xml:space="preserve">          </w:t>
      </w:r>
      <w:r>
        <w:tab/>
      </w:r>
      <w:r w:rsidR="00C34D5C" w:rsidRPr="00432E4E">
        <w:rPr>
          <w:rStyle w:val="normaltextrun"/>
        </w:rPr>
        <w:t>Stephen Davis, Director</w:t>
      </w:r>
    </w:p>
    <w:p w14:paraId="0C62E863" w14:textId="77777777" w:rsidR="00C34D5C" w:rsidRPr="00432E4E" w:rsidRDefault="00C34D5C" w:rsidP="00C34D5C">
      <w:pPr>
        <w:autoSpaceDE w:val="0"/>
        <w:autoSpaceDN w:val="0"/>
        <w:adjustRightInd w:val="0"/>
        <w:ind w:left="1440"/>
        <w:rPr>
          <w:rStyle w:val="normaltextrun"/>
          <w:shd w:val="clear" w:color="auto" w:fill="FFFFFF"/>
        </w:rPr>
      </w:pPr>
      <w:r w:rsidRPr="00432E4E">
        <w:rPr>
          <w:rStyle w:val="normaltextrun"/>
        </w:rPr>
        <w:t>Division of Care Facility Licensure and Certification</w:t>
      </w:r>
    </w:p>
    <w:p w14:paraId="391DF375" w14:textId="6E9DA461" w:rsidR="0046575D" w:rsidRPr="00AC222C" w:rsidRDefault="00C34D5C" w:rsidP="00432E4E">
      <w:pPr>
        <w:autoSpaceDE w:val="0"/>
        <w:autoSpaceDN w:val="0"/>
        <w:adjustRightInd w:val="0"/>
        <w:ind w:left="1440"/>
        <w:rPr>
          <w:rFonts w:eastAsia="@Batang"/>
        </w:rPr>
      </w:pPr>
      <w:r w:rsidRPr="00432E4E">
        <w:rPr>
          <w:rStyle w:val="normaltextrun"/>
          <w:shd w:val="clear" w:color="auto" w:fill="FFFFFF"/>
        </w:rPr>
        <w:t>Bureau of Health Care Safety and Quality</w:t>
      </w:r>
    </w:p>
    <w:p w14:paraId="36308DF5" w14:textId="77777777" w:rsidR="0046575D" w:rsidRPr="00AC222C" w:rsidRDefault="0046575D" w:rsidP="0046575D">
      <w:pPr>
        <w:autoSpaceDE w:val="0"/>
        <w:autoSpaceDN w:val="0"/>
        <w:adjustRightInd w:val="0"/>
        <w:rPr>
          <w:rFonts w:eastAsia="@Batang"/>
        </w:rPr>
      </w:pPr>
      <w:r w:rsidRPr="00AC222C">
        <w:rPr>
          <w:rFonts w:eastAsia="@Batang"/>
        </w:rPr>
        <w:tab/>
      </w:r>
      <w:r w:rsidRPr="00AC222C">
        <w:rPr>
          <w:rFonts w:eastAsia="@Batang"/>
        </w:rPr>
        <w:tab/>
      </w:r>
    </w:p>
    <w:p w14:paraId="7FC2BC34" w14:textId="17B9B9F6" w:rsidR="0046575D" w:rsidRPr="00AC222C" w:rsidRDefault="0046575D" w:rsidP="0046575D">
      <w:pPr>
        <w:tabs>
          <w:tab w:val="left" w:pos="1440"/>
        </w:tabs>
        <w:autoSpaceDE w:val="0"/>
        <w:autoSpaceDN w:val="0"/>
        <w:adjustRightInd w:val="0"/>
        <w:ind w:left="1440" w:hanging="1440"/>
      </w:pPr>
      <w:r w:rsidRPr="00AC222C">
        <w:rPr>
          <w:rFonts w:eastAsia="@Batang"/>
          <w:b/>
        </w:rPr>
        <w:t>SUBJECT:</w:t>
      </w:r>
      <w:r w:rsidRPr="00AC222C">
        <w:rPr>
          <w:rFonts w:eastAsia="@Batang"/>
        </w:rPr>
        <w:t xml:space="preserve">   </w:t>
      </w:r>
      <w:r w:rsidRPr="00AC222C">
        <w:rPr>
          <w:rFonts w:eastAsia="@Batang"/>
        </w:rPr>
        <w:tab/>
      </w:r>
      <w:r w:rsidR="00C254B3">
        <w:rPr>
          <w:rFonts w:eastAsia="@Batang"/>
        </w:rPr>
        <w:t xml:space="preserve">Updates to Capacity </w:t>
      </w:r>
      <w:r w:rsidRPr="00AC222C">
        <w:rPr>
          <w:rFonts w:eastAsia="@Batang"/>
        </w:rPr>
        <w:t xml:space="preserve">Data Reporting </w:t>
      </w:r>
      <w:r w:rsidR="00E12472">
        <w:rPr>
          <w:rFonts w:eastAsia="@Batang"/>
        </w:rPr>
        <w:t>Requirements</w:t>
      </w:r>
    </w:p>
    <w:p w14:paraId="6CBB0CAD" w14:textId="77777777" w:rsidR="0046575D" w:rsidRPr="00AC222C" w:rsidRDefault="0046575D" w:rsidP="0046575D">
      <w:pPr>
        <w:autoSpaceDE w:val="0"/>
        <w:autoSpaceDN w:val="0"/>
        <w:adjustRightInd w:val="0"/>
        <w:rPr>
          <w:rFonts w:eastAsia="@Batang"/>
          <w:b/>
        </w:rPr>
      </w:pPr>
    </w:p>
    <w:p w14:paraId="5EE2375E" w14:textId="1BF8CC86" w:rsidR="0046575D" w:rsidRPr="00AC222C" w:rsidRDefault="0046575D" w:rsidP="0046575D">
      <w:pPr>
        <w:autoSpaceDE w:val="0"/>
        <w:autoSpaceDN w:val="0"/>
        <w:adjustRightInd w:val="0"/>
        <w:rPr>
          <w:rFonts w:eastAsia="@Batang"/>
        </w:rPr>
      </w:pPr>
      <w:r w:rsidRPr="00AC222C">
        <w:rPr>
          <w:rFonts w:eastAsia="@Batang"/>
          <w:b/>
        </w:rPr>
        <w:t>DATE:</w:t>
      </w:r>
      <w:r w:rsidRPr="00AC222C">
        <w:rPr>
          <w:rFonts w:eastAsia="@Batang"/>
          <w:b/>
        </w:rPr>
        <w:tab/>
      </w:r>
      <w:r w:rsidR="009B5C6E">
        <w:rPr>
          <w:rFonts w:eastAsia="@Batang"/>
        </w:rPr>
        <w:t>May 3</w:t>
      </w:r>
      <w:r>
        <w:rPr>
          <w:rFonts w:eastAsia="@Batang"/>
        </w:rPr>
        <w:t>, 202</w:t>
      </w:r>
      <w:r w:rsidR="009B5C6E">
        <w:rPr>
          <w:rFonts w:eastAsia="@Batang"/>
        </w:rPr>
        <w:t>4</w:t>
      </w:r>
    </w:p>
    <w:p w14:paraId="2772E7FE" w14:textId="77777777" w:rsidR="0046575D" w:rsidRPr="00AC222C" w:rsidRDefault="0046575D" w:rsidP="0046575D">
      <w:pPr>
        <w:autoSpaceDE w:val="0"/>
        <w:autoSpaceDN w:val="0"/>
        <w:adjustRightInd w:val="0"/>
        <w:rPr>
          <w:color w:val="000000"/>
        </w:rPr>
      </w:pPr>
    </w:p>
    <w:p w14:paraId="7A0E5CBC" w14:textId="77777777" w:rsidR="00BE5C1A" w:rsidRDefault="00BE5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Cs w:val="24"/>
        </w:rPr>
      </w:pPr>
    </w:p>
    <w:p w14:paraId="2398B123" w14:textId="720BD395" w:rsidR="0094493E" w:rsidRDefault="009449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B3652">
        <w:t xml:space="preserve">The purpose of this guidance is to update all hospitals, including acute care, non-acute care, psychiatric, children’s and rehabilitation, on </w:t>
      </w:r>
      <w:r>
        <w:t>updates</w:t>
      </w:r>
      <w:r w:rsidRPr="00AB3652">
        <w:t xml:space="preserve"> to 105 CMR 130.000 (Hospital </w:t>
      </w:r>
      <w:r w:rsidR="726A6993">
        <w:t>L</w:t>
      </w:r>
      <w:r w:rsidRPr="00AB3652">
        <w:t xml:space="preserve">icensure) regarding mandatory data reporting. </w:t>
      </w:r>
      <w:r w:rsidR="127B3660">
        <w:t xml:space="preserve">This guidance replaces </w:t>
      </w:r>
      <w:r w:rsidR="5757CB79">
        <w:t>previous guidance on capacity reporting</w:t>
      </w:r>
      <w:r w:rsidR="127B3660">
        <w:t xml:space="preserve"> issued on </w:t>
      </w:r>
      <w:hyperlink r:id="rId11" w:anchor=":~:text=DPH%20Memorandum%2C%20May%2018%2C%202023%3A%20Web%20EOC%20Data%20Reporting%20for%20Covid%2D19">
        <w:r w:rsidR="127B3660" w:rsidRPr="5A7C5866">
          <w:rPr>
            <w:rStyle w:val="Hyperlink"/>
          </w:rPr>
          <w:t>May 18, 2023</w:t>
        </w:r>
      </w:hyperlink>
      <w:r w:rsidR="127B3660">
        <w:t xml:space="preserve">.  </w:t>
      </w:r>
      <w:r w:rsidR="3D6E6B04">
        <w:t xml:space="preserve">Information on required reporting and the process to do so is found below, </w:t>
      </w:r>
      <w:r w:rsidR="3D6E6B04" w:rsidRPr="5A7C5866">
        <w:rPr>
          <w:b/>
          <w:bCs/>
        </w:rPr>
        <w:t xml:space="preserve">with the first report due </w:t>
      </w:r>
      <w:r w:rsidR="453BFA3B" w:rsidRPr="5A7C5866">
        <w:rPr>
          <w:b/>
          <w:bCs/>
        </w:rPr>
        <w:t xml:space="preserve">no later than </w:t>
      </w:r>
      <w:r w:rsidR="0A894CD8" w:rsidRPr="5A7C5866">
        <w:rPr>
          <w:b/>
          <w:bCs/>
        </w:rPr>
        <w:t xml:space="preserve">Tuesday, </w:t>
      </w:r>
      <w:r w:rsidR="3D6E6B04" w:rsidRPr="5A7C5866">
        <w:rPr>
          <w:b/>
          <w:bCs/>
        </w:rPr>
        <w:t>May 7, 2024</w:t>
      </w:r>
      <w:r w:rsidR="00A004EF">
        <w:rPr>
          <w:b/>
          <w:bCs/>
        </w:rPr>
        <w:t>,</w:t>
      </w:r>
      <w:r w:rsidR="4E3AFF78" w:rsidRPr="5A7C5866">
        <w:rPr>
          <w:b/>
          <w:bCs/>
        </w:rPr>
        <w:t xml:space="preserve"> to include capacity data for Sunday, April 28, </w:t>
      </w:r>
      <w:proofErr w:type="gramStart"/>
      <w:r w:rsidR="4E3AFF78" w:rsidRPr="5A7C5866">
        <w:rPr>
          <w:b/>
          <w:bCs/>
        </w:rPr>
        <w:t>2024</w:t>
      </w:r>
      <w:proofErr w:type="gramEnd"/>
      <w:r w:rsidR="4E3AFF78" w:rsidRPr="5A7C5866">
        <w:rPr>
          <w:b/>
          <w:bCs/>
        </w:rPr>
        <w:t xml:space="preserve"> to Saturday, May 4, 2024</w:t>
      </w:r>
      <w:r w:rsidR="541D63BA" w:rsidRPr="5A7C5866">
        <w:rPr>
          <w:b/>
          <w:bCs/>
        </w:rPr>
        <w:t>.</w:t>
      </w:r>
      <w:r w:rsidR="541D63BA">
        <w:t xml:space="preserve"> </w:t>
      </w:r>
    </w:p>
    <w:p w14:paraId="31691369" w14:textId="176A529F" w:rsidR="5A7C5866" w:rsidRDefault="5A7C5866" w:rsidP="5A7C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B1ECF3A" w14:textId="6A6DBCD8" w:rsidR="009540EC" w:rsidRDefault="009540EC" w:rsidP="5A7C5866">
      <w:pPr>
        <w:pStyle w:val="paragraph"/>
        <w:spacing w:before="0" w:beforeAutospacing="0" w:after="0" w:afterAutospacing="0"/>
        <w:textAlignment w:val="baseline"/>
        <w:rPr>
          <w:rStyle w:val="normaltextrun"/>
        </w:rPr>
      </w:pPr>
      <w:r w:rsidRPr="5A7C5866">
        <w:rPr>
          <w:rStyle w:val="normaltextrun"/>
        </w:rPr>
        <w:t xml:space="preserve">In April 2020, the </w:t>
      </w:r>
      <w:r w:rsidR="009B16AD" w:rsidRPr="00A02913">
        <w:rPr>
          <w:rStyle w:val="normaltextrun"/>
        </w:rPr>
        <w:t>United States Department of Health and Human Services</w:t>
      </w:r>
      <w:r w:rsidR="009B16AD">
        <w:rPr>
          <w:rStyle w:val="normaltextrun"/>
        </w:rPr>
        <w:t xml:space="preserve"> </w:t>
      </w:r>
      <w:r w:rsidRPr="5A7C5866">
        <w:rPr>
          <w:rStyle w:val="normaltextrun"/>
        </w:rPr>
        <w:t xml:space="preserve">began collecting </w:t>
      </w:r>
      <w:r w:rsidR="06E7C0D9" w:rsidRPr="5A7C5866">
        <w:rPr>
          <w:rStyle w:val="normaltextrun"/>
        </w:rPr>
        <w:t>daily data</w:t>
      </w:r>
      <w:r w:rsidRPr="5A7C5866">
        <w:rPr>
          <w:rStyle w:val="normaltextrun"/>
        </w:rPr>
        <w:t xml:space="preserve"> to understand health care system stress, capacity, and the number of patients hospitalized due to COVID-19. On September 2, 2020, this reporting was mandated under the Centers for Medicare and Medicaid Services (CMS) Conditions of Participation. </w:t>
      </w:r>
      <w:r w:rsidR="09F8C854" w:rsidRPr="5A7C5866">
        <w:rPr>
          <w:rStyle w:val="normaltextrun"/>
        </w:rPr>
        <w:t>On April 8, 2024, the federal government announced these data would not be federally required for submission after April 30, 2024</w:t>
      </w:r>
      <w:r w:rsidR="00396019">
        <w:rPr>
          <w:rStyle w:val="normaltextrun"/>
        </w:rPr>
        <w:t>.</w:t>
      </w:r>
      <w:r w:rsidRPr="5A7C5866">
        <w:rPr>
          <w:rStyle w:val="FootnoteReference"/>
        </w:rPr>
        <w:footnoteReference w:id="2"/>
      </w:r>
    </w:p>
    <w:p w14:paraId="19FC8022" w14:textId="46182584" w:rsidR="009540EC" w:rsidRDefault="009540EC" w:rsidP="5A7C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textAlignment w:val="baseline"/>
      </w:pPr>
      <w:r w:rsidRPr="5A7C5866">
        <w:rPr>
          <w:rStyle w:val="normaltextrun"/>
        </w:rPr>
        <w:t> </w:t>
      </w:r>
      <w:r>
        <w:rPr>
          <w:rStyle w:val="eop"/>
        </w:rPr>
        <w:t> </w:t>
      </w:r>
    </w:p>
    <w:p w14:paraId="501B8EBC" w14:textId="2042F01A" w:rsidR="009540EC" w:rsidRDefault="113E0B45" w:rsidP="0836D9F7">
      <w:pPr>
        <w:pStyle w:val="paragraph"/>
        <w:spacing w:before="0" w:beforeAutospacing="0" w:after="0" w:afterAutospacing="0"/>
        <w:textAlignment w:val="baseline"/>
        <w:rPr>
          <w:rStyle w:val="normaltextrun"/>
        </w:rPr>
      </w:pPr>
      <w:r w:rsidRPr="0836D9F7">
        <w:rPr>
          <w:rStyle w:val="normaltextrun"/>
        </w:rPr>
        <w:lastRenderedPageBreak/>
        <w:t>While these</w:t>
      </w:r>
      <w:r w:rsidR="009540EC" w:rsidRPr="0836D9F7">
        <w:rPr>
          <w:rStyle w:val="normaltextrun"/>
        </w:rPr>
        <w:t xml:space="preserve"> data inform</w:t>
      </w:r>
      <w:r w:rsidR="72B5EE01" w:rsidRPr="0836D9F7">
        <w:rPr>
          <w:rStyle w:val="normaltextrun"/>
        </w:rPr>
        <w:t>ed the Commonwealth’s</w:t>
      </w:r>
      <w:r w:rsidR="009540EC" w:rsidRPr="0836D9F7">
        <w:rPr>
          <w:rStyle w:val="normaltextrun"/>
        </w:rPr>
        <w:t xml:space="preserve"> COVID-19 response, </w:t>
      </w:r>
      <w:r w:rsidR="194044BA" w:rsidRPr="0836D9F7">
        <w:rPr>
          <w:rStyle w:val="normaltextrun"/>
        </w:rPr>
        <w:t xml:space="preserve">they have </w:t>
      </w:r>
      <w:r w:rsidR="621ED809" w:rsidRPr="0836D9F7">
        <w:rPr>
          <w:rStyle w:val="normaltextrun"/>
        </w:rPr>
        <w:t>also</w:t>
      </w:r>
      <w:r w:rsidR="194044BA" w:rsidRPr="0836D9F7">
        <w:rPr>
          <w:rStyle w:val="normaltextrun"/>
        </w:rPr>
        <w:t xml:space="preserve"> been</w:t>
      </w:r>
      <w:r w:rsidR="009540EC" w:rsidRPr="0836D9F7">
        <w:rPr>
          <w:rStyle w:val="normaltextrun"/>
        </w:rPr>
        <w:t xml:space="preserve"> critical in allowing </w:t>
      </w:r>
      <w:r w:rsidR="2EE98D2C" w:rsidRPr="0836D9F7">
        <w:rPr>
          <w:rStyle w:val="normaltextrun"/>
        </w:rPr>
        <w:t>the Department of Public Health (DPH or the Department)</w:t>
      </w:r>
      <w:r w:rsidR="009540EC" w:rsidRPr="0836D9F7">
        <w:rPr>
          <w:rStyle w:val="normaltextrun"/>
        </w:rPr>
        <w:t xml:space="preserve"> </w:t>
      </w:r>
      <w:r w:rsidR="00AB6007" w:rsidRPr="0836D9F7">
        <w:rPr>
          <w:rStyle w:val="normaltextrun"/>
        </w:rPr>
        <w:t>and hospitals</w:t>
      </w:r>
      <w:r w:rsidR="009540EC" w:rsidRPr="0836D9F7">
        <w:rPr>
          <w:rStyle w:val="normaltextrun"/>
        </w:rPr>
        <w:t xml:space="preserve"> to perform necessary planning and coordination to improve patient access to car</w:t>
      </w:r>
      <w:r w:rsidR="00AB6007" w:rsidRPr="0836D9F7">
        <w:rPr>
          <w:rStyle w:val="normaltextrun"/>
        </w:rPr>
        <w:t>e, including: (1) p</w:t>
      </w:r>
      <w:r w:rsidR="009540EC" w:rsidRPr="0836D9F7">
        <w:rPr>
          <w:rStyle w:val="normaltextrun"/>
        </w:rPr>
        <w:t xml:space="preserve">lanning for and </w:t>
      </w:r>
      <w:r w:rsidR="00AB6007" w:rsidRPr="0836D9F7">
        <w:rPr>
          <w:rStyle w:val="normaltextrun"/>
        </w:rPr>
        <w:t>r</w:t>
      </w:r>
      <w:r w:rsidR="009540EC" w:rsidRPr="0836D9F7">
        <w:rPr>
          <w:rStyle w:val="normaltextrun"/>
        </w:rPr>
        <w:t xml:space="preserve">esponding to </w:t>
      </w:r>
      <w:r w:rsidR="00AB6007" w:rsidRPr="0836D9F7">
        <w:rPr>
          <w:rStyle w:val="normaltextrun"/>
        </w:rPr>
        <w:t>i</w:t>
      </w:r>
      <w:r w:rsidR="009540EC" w:rsidRPr="0836D9F7">
        <w:rPr>
          <w:rStyle w:val="normaltextrun"/>
        </w:rPr>
        <w:t xml:space="preserve">nstability in </w:t>
      </w:r>
      <w:r w:rsidR="00AB6007" w:rsidRPr="0836D9F7">
        <w:rPr>
          <w:rStyle w:val="normaltextrun"/>
        </w:rPr>
        <w:t>h</w:t>
      </w:r>
      <w:r w:rsidR="009540EC" w:rsidRPr="0836D9F7">
        <w:rPr>
          <w:rStyle w:val="normaltextrun"/>
        </w:rPr>
        <w:t xml:space="preserve">ealthcare </w:t>
      </w:r>
      <w:r w:rsidR="00AB6007" w:rsidRPr="0836D9F7">
        <w:rPr>
          <w:rStyle w:val="normaltextrun"/>
        </w:rPr>
        <w:t>c</w:t>
      </w:r>
      <w:r w:rsidR="009540EC" w:rsidRPr="0836D9F7">
        <w:rPr>
          <w:rStyle w:val="normaltextrun"/>
        </w:rPr>
        <w:t>apacity</w:t>
      </w:r>
      <w:r w:rsidR="00AB6007" w:rsidRPr="0836D9F7">
        <w:rPr>
          <w:rStyle w:val="normaltextrun"/>
        </w:rPr>
        <w:t>; (2) facilitating r</w:t>
      </w:r>
      <w:r w:rsidR="009540EC" w:rsidRPr="0836D9F7">
        <w:rPr>
          <w:rStyle w:val="normaltextrun"/>
        </w:rPr>
        <w:t xml:space="preserve">egional </w:t>
      </w:r>
      <w:r w:rsidR="00AB6007" w:rsidRPr="0836D9F7">
        <w:rPr>
          <w:rStyle w:val="normaltextrun"/>
        </w:rPr>
        <w:t>c</w:t>
      </w:r>
      <w:r w:rsidR="009540EC" w:rsidRPr="0836D9F7">
        <w:rPr>
          <w:rStyle w:val="normaltextrun"/>
        </w:rPr>
        <w:t xml:space="preserve">ollaboration to </w:t>
      </w:r>
      <w:r w:rsidR="00AB6007" w:rsidRPr="0836D9F7">
        <w:rPr>
          <w:rStyle w:val="normaltextrun"/>
        </w:rPr>
        <w:t>r</w:t>
      </w:r>
      <w:r w:rsidR="009540EC" w:rsidRPr="0836D9F7">
        <w:rPr>
          <w:rStyle w:val="normaltextrun"/>
        </w:rPr>
        <w:t xml:space="preserve">espond to </w:t>
      </w:r>
      <w:r w:rsidR="00AB6007" w:rsidRPr="0836D9F7">
        <w:rPr>
          <w:rStyle w:val="normaltextrun"/>
        </w:rPr>
        <w:t>h</w:t>
      </w:r>
      <w:r w:rsidR="009540EC" w:rsidRPr="0836D9F7">
        <w:rPr>
          <w:rStyle w:val="normaltextrun"/>
        </w:rPr>
        <w:t xml:space="preserve">ospital </w:t>
      </w:r>
      <w:r w:rsidR="00AB6007" w:rsidRPr="0836D9F7">
        <w:rPr>
          <w:rStyle w:val="normaltextrun"/>
        </w:rPr>
        <w:t>c</w:t>
      </w:r>
      <w:r w:rsidR="009540EC" w:rsidRPr="0836D9F7">
        <w:rPr>
          <w:rStyle w:val="normaltextrun"/>
        </w:rPr>
        <w:t xml:space="preserve">apacity </w:t>
      </w:r>
      <w:r w:rsidR="00AB6007" w:rsidRPr="0836D9F7">
        <w:rPr>
          <w:rStyle w:val="normaltextrun"/>
        </w:rPr>
        <w:t>c</w:t>
      </w:r>
      <w:r w:rsidR="009540EC" w:rsidRPr="0836D9F7">
        <w:rPr>
          <w:rStyle w:val="normaltextrun"/>
        </w:rPr>
        <w:t>onstraints</w:t>
      </w:r>
      <w:r w:rsidR="00AB6007" w:rsidRPr="0836D9F7">
        <w:rPr>
          <w:rStyle w:val="normaltextrun"/>
        </w:rPr>
        <w:t>; and (3) r</w:t>
      </w:r>
      <w:r w:rsidR="009540EC" w:rsidRPr="0836D9F7">
        <w:rPr>
          <w:rStyle w:val="normaltextrun"/>
        </w:rPr>
        <w:t xml:space="preserve">esponding to </w:t>
      </w:r>
      <w:r w:rsidR="00AB6007" w:rsidRPr="0836D9F7">
        <w:rPr>
          <w:rStyle w:val="normaltextrun"/>
        </w:rPr>
        <w:t>e</w:t>
      </w:r>
      <w:r w:rsidR="009540EC" w:rsidRPr="0836D9F7">
        <w:rPr>
          <w:rStyle w:val="normaltextrun"/>
        </w:rPr>
        <w:t xml:space="preserve">mergent </w:t>
      </w:r>
      <w:r w:rsidR="00AB6007" w:rsidRPr="0836D9F7">
        <w:rPr>
          <w:rStyle w:val="normaltextrun"/>
        </w:rPr>
        <w:t>n</w:t>
      </w:r>
      <w:r w:rsidR="009540EC" w:rsidRPr="0836D9F7">
        <w:rPr>
          <w:rStyle w:val="normaltextrun"/>
        </w:rPr>
        <w:t>eeds</w:t>
      </w:r>
      <w:r w:rsidR="00B0422F" w:rsidRPr="0836D9F7">
        <w:rPr>
          <w:rStyle w:val="normaltextrun"/>
        </w:rPr>
        <w:t xml:space="preserve">, such as facility evacuations/closures. </w:t>
      </w:r>
      <w:proofErr w:type="gramStart"/>
      <w:r w:rsidR="00B0422F" w:rsidRPr="0836D9F7">
        <w:rPr>
          <w:rStyle w:val="normaltextrun"/>
        </w:rPr>
        <w:t>T</w:t>
      </w:r>
      <w:r w:rsidR="009540EC" w:rsidRPr="0836D9F7">
        <w:rPr>
          <w:rStyle w:val="normaltextrun"/>
        </w:rPr>
        <w:t>hese</w:t>
      </w:r>
      <w:proofErr w:type="gramEnd"/>
      <w:r w:rsidR="009540EC" w:rsidRPr="0836D9F7">
        <w:rPr>
          <w:rStyle w:val="normaltextrun"/>
        </w:rPr>
        <w:t xml:space="preserve"> data have benefitted both hospitals and the Department and remain necessary for ongoing visibility, patient safety, maintaining operations, and emergency response.   </w:t>
      </w:r>
    </w:p>
    <w:p w14:paraId="5CA29914" w14:textId="53C20A14" w:rsidR="00713D01" w:rsidRDefault="00713D01" w:rsidP="5A7C5866">
      <w:pPr>
        <w:pStyle w:val="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beforeAutospacing="0" w:after="0" w:afterAutospacing="0"/>
        <w:textAlignment w:val="baseline"/>
      </w:pPr>
    </w:p>
    <w:p w14:paraId="46A01DEF" w14:textId="5C11DF03" w:rsidR="00921C76" w:rsidRDefault="7A7565EE" w:rsidP="009540EC">
      <w:pPr>
        <w:pStyle w:val="paragraph"/>
        <w:spacing w:before="0" w:beforeAutospacing="0" w:after="0" w:afterAutospacing="0"/>
        <w:textAlignment w:val="baseline"/>
        <w:rPr>
          <w:rStyle w:val="normaltextrun"/>
        </w:rPr>
      </w:pPr>
      <w:r w:rsidRPr="5A7C5866">
        <w:rPr>
          <w:rStyle w:val="normaltextrun"/>
        </w:rPr>
        <w:t xml:space="preserve">Because this capacity reporting is necessary </w:t>
      </w:r>
      <w:r w:rsidR="009540EC" w:rsidRPr="3DB86C4A">
        <w:rPr>
          <w:rStyle w:val="normaltextrun"/>
        </w:rPr>
        <w:t xml:space="preserve">to </w:t>
      </w:r>
      <w:r w:rsidRPr="5A7C5866">
        <w:rPr>
          <w:rStyle w:val="normaltextrun"/>
        </w:rPr>
        <w:t>continue the planning and coordination activities discussed above,</w:t>
      </w:r>
      <w:r w:rsidR="00713D01" w:rsidRPr="3DB86C4A">
        <w:rPr>
          <w:rStyle w:val="normaltextrun"/>
        </w:rPr>
        <w:t xml:space="preserve"> </w:t>
      </w:r>
      <w:r w:rsidR="009540EC" w:rsidRPr="00713D01">
        <w:rPr>
          <w:rStyle w:val="normaltextrun"/>
        </w:rPr>
        <w:t>the Department</w:t>
      </w:r>
      <w:r w:rsidR="007B71A4">
        <w:rPr>
          <w:rStyle w:val="normaltextrun"/>
        </w:rPr>
        <w:t xml:space="preserve"> has</w:t>
      </w:r>
      <w:r w:rsidR="009540EC" w:rsidRPr="00713D01">
        <w:rPr>
          <w:rStyle w:val="normaltextrun"/>
        </w:rPr>
        <w:t xml:space="preserve"> </w:t>
      </w:r>
      <w:r w:rsidRPr="5A7C5866">
        <w:rPr>
          <w:rStyle w:val="normaltextrun"/>
        </w:rPr>
        <w:t xml:space="preserve">added </w:t>
      </w:r>
      <w:r w:rsidR="009540EC" w:rsidRPr="00713D01">
        <w:rPr>
          <w:rStyle w:val="normaltextrun"/>
        </w:rPr>
        <w:t>a new section within the hospital licensure</w:t>
      </w:r>
      <w:r w:rsidR="009540EC">
        <w:rPr>
          <w:rStyle w:val="normaltextrun"/>
        </w:rPr>
        <w:t xml:space="preserve"> regulation</w:t>
      </w:r>
      <w:r w:rsidR="074292B7" w:rsidRPr="5A7C5866">
        <w:rPr>
          <w:rStyle w:val="normaltextrun"/>
        </w:rPr>
        <w:t>,</w:t>
      </w:r>
      <w:r w:rsidR="0ADD2D90" w:rsidRPr="5A7C5866">
        <w:rPr>
          <w:rStyle w:val="normaltextrun"/>
        </w:rPr>
        <w:t xml:space="preserve"> </w:t>
      </w:r>
      <w:r w:rsidR="00713D01">
        <w:rPr>
          <w:rStyle w:val="normaltextrun"/>
        </w:rPr>
        <w:t>105 CMR 130.333</w:t>
      </w:r>
      <w:r w:rsidR="14E8B16E" w:rsidRPr="5A7C5866">
        <w:rPr>
          <w:rStyle w:val="normaltextrun"/>
        </w:rPr>
        <w:t>,</w:t>
      </w:r>
      <w:r w:rsidR="007129D6" w:rsidRPr="5A7C5866">
        <w:rPr>
          <w:rStyle w:val="normaltextrun"/>
        </w:rPr>
        <w:t xml:space="preserve"> </w:t>
      </w:r>
      <w:r w:rsidR="379F6C33" w:rsidRPr="5A7C5866">
        <w:rPr>
          <w:rStyle w:val="normaltextrun"/>
        </w:rPr>
        <w:t>that</w:t>
      </w:r>
      <w:r w:rsidR="009540EC" w:rsidRPr="5A7C5866">
        <w:rPr>
          <w:rStyle w:val="normaltextrun"/>
        </w:rPr>
        <w:t xml:space="preserve"> </w:t>
      </w:r>
      <w:r w:rsidR="00713D01">
        <w:rPr>
          <w:rStyle w:val="normaltextrun"/>
        </w:rPr>
        <w:t>requires</w:t>
      </w:r>
      <w:r w:rsidR="009540EC">
        <w:rPr>
          <w:rStyle w:val="normaltextrun"/>
        </w:rPr>
        <w:t xml:space="preserve"> hospitals report those</w:t>
      </w:r>
      <w:r w:rsidR="009540EC" w:rsidRPr="5A7C5866">
        <w:rPr>
          <w:rStyle w:val="normaltextrun"/>
        </w:rPr>
        <w:t xml:space="preserve"> </w:t>
      </w:r>
      <w:r w:rsidR="4E031003" w:rsidRPr="5A7C5866">
        <w:rPr>
          <w:rStyle w:val="normaltextrun"/>
        </w:rPr>
        <w:t>data</w:t>
      </w:r>
      <w:r w:rsidR="009540EC">
        <w:rPr>
          <w:rStyle w:val="normaltextrun"/>
        </w:rPr>
        <w:t xml:space="preserve"> elements necessary for hospital and Department </w:t>
      </w:r>
      <w:r w:rsidR="0EE88EA3" w:rsidRPr="3DB86C4A">
        <w:rPr>
          <w:rStyle w:val="normaltextrun"/>
        </w:rPr>
        <w:t xml:space="preserve">understanding of </w:t>
      </w:r>
      <w:r w:rsidR="00704DA7">
        <w:rPr>
          <w:rStyle w:val="normaltextrun"/>
        </w:rPr>
        <w:t xml:space="preserve">overall </w:t>
      </w:r>
      <w:r w:rsidR="0EE88EA3" w:rsidRPr="3DB86C4A">
        <w:rPr>
          <w:rStyle w:val="normaltextrun"/>
        </w:rPr>
        <w:t>hospital capacity</w:t>
      </w:r>
      <w:r w:rsidR="00396019">
        <w:rPr>
          <w:rStyle w:val="normaltextrun"/>
        </w:rPr>
        <w:t>.</w:t>
      </w:r>
      <w:r w:rsidR="00921C76" w:rsidRPr="5A7C5866">
        <w:rPr>
          <w:rStyle w:val="FootnoteReference"/>
        </w:rPr>
        <w:footnoteReference w:id="3"/>
      </w:r>
    </w:p>
    <w:p w14:paraId="0BE261C0" w14:textId="4952C7F1" w:rsidR="5A7C5866" w:rsidRDefault="5A7C5866" w:rsidP="5A7C5866">
      <w:pPr>
        <w:pStyle w:val="paragraph"/>
        <w:spacing w:before="0" w:beforeAutospacing="0" w:after="0" w:afterAutospacing="0"/>
        <w:rPr>
          <w:rStyle w:val="normaltextrun"/>
        </w:rPr>
      </w:pPr>
    </w:p>
    <w:p w14:paraId="58D48BA3" w14:textId="22F92AE5" w:rsidR="009C4247" w:rsidRDefault="64C94837" w:rsidP="009540EC">
      <w:pPr>
        <w:pStyle w:val="paragraph"/>
        <w:spacing w:before="0" w:beforeAutospacing="0" w:after="0" w:afterAutospacing="0"/>
        <w:textAlignment w:val="baseline"/>
        <w:rPr>
          <w:rStyle w:val="eop"/>
        </w:rPr>
      </w:pPr>
      <w:r w:rsidRPr="3DB86C4A">
        <w:rPr>
          <w:rStyle w:val="eop"/>
        </w:rPr>
        <w:t xml:space="preserve">Pursuant to </w:t>
      </w:r>
      <w:r w:rsidR="2FAF5258" w:rsidRPr="3DB86C4A">
        <w:rPr>
          <w:rStyle w:val="eop"/>
        </w:rPr>
        <w:t xml:space="preserve">105 </w:t>
      </w:r>
      <w:r w:rsidR="009C4247">
        <w:rPr>
          <w:rStyle w:val="eop"/>
        </w:rPr>
        <w:t>CMR 13</w:t>
      </w:r>
      <w:r w:rsidR="0009140C">
        <w:rPr>
          <w:rStyle w:val="eop"/>
        </w:rPr>
        <w:t>0.333 (</w:t>
      </w:r>
      <w:r w:rsidR="009B1436">
        <w:rPr>
          <w:rStyle w:val="eop"/>
        </w:rPr>
        <w:t>“</w:t>
      </w:r>
      <w:r w:rsidR="0009140C">
        <w:rPr>
          <w:rStyle w:val="eop"/>
        </w:rPr>
        <w:t>Required Hospital Capacity Reporting</w:t>
      </w:r>
      <w:r w:rsidR="31D6EB56" w:rsidRPr="3DB86C4A">
        <w:rPr>
          <w:rStyle w:val="eop"/>
        </w:rPr>
        <w:t>”</w:t>
      </w:r>
      <w:r w:rsidR="653D3ACC" w:rsidRPr="3DB86C4A">
        <w:rPr>
          <w:rStyle w:val="eop"/>
        </w:rPr>
        <w:t>)</w:t>
      </w:r>
      <w:r w:rsidR="02597A9A" w:rsidRPr="3DB86C4A">
        <w:rPr>
          <w:rStyle w:val="eop"/>
        </w:rPr>
        <w:t xml:space="preserve">, </w:t>
      </w:r>
      <w:r w:rsidR="71FD67F2" w:rsidRPr="3DB86C4A">
        <w:rPr>
          <w:rStyle w:val="eop"/>
        </w:rPr>
        <w:t>at a minimum</w:t>
      </w:r>
      <w:r w:rsidR="25EBFE67" w:rsidRPr="61B954C3">
        <w:rPr>
          <w:rStyle w:val="eop"/>
        </w:rPr>
        <w:t>,</w:t>
      </w:r>
      <w:r w:rsidR="71FD67F2" w:rsidRPr="3DB86C4A">
        <w:rPr>
          <w:rStyle w:val="eop"/>
        </w:rPr>
        <w:t xml:space="preserve"> </w:t>
      </w:r>
      <w:r w:rsidR="02597A9A" w:rsidRPr="3DB86C4A">
        <w:rPr>
          <w:rStyle w:val="eop"/>
        </w:rPr>
        <w:t>hospitals are</w:t>
      </w:r>
      <w:r w:rsidR="3BC199B4" w:rsidRPr="3DB86C4A">
        <w:rPr>
          <w:rStyle w:val="eop"/>
        </w:rPr>
        <w:t xml:space="preserve"> </w:t>
      </w:r>
      <w:r w:rsidR="31D6EB56" w:rsidRPr="3DB86C4A">
        <w:rPr>
          <w:rStyle w:val="eop"/>
        </w:rPr>
        <w:t>require</w:t>
      </w:r>
      <w:r w:rsidR="6560DE8A" w:rsidRPr="3DB86C4A">
        <w:rPr>
          <w:rStyle w:val="eop"/>
        </w:rPr>
        <w:t>d</w:t>
      </w:r>
      <w:r w:rsidR="0009140C">
        <w:rPr>
          <w:rStyle w:val="eop"/>
        </w:rPr>
        <w:t xml:space="preserve"> </w:t>
      </w:r>
      <w:r w:rsidR="009B1436">
        <w:rPr>
          <w:rStyle w:val="eop"/>
        </w:rPr>
        <w:t>to</w:t>
      </w:r>
      <w:r w:rsidR="0009140C">
        <w:rPr>
          <w:rStyle w:val="eop"/>
        </w:rPr>
        <w:t xml:space="preserve"> report </w:t>
      </w:r>
      <w:r w:rsidR="00B96301">
        <w:rPr>
          <w:rStyle w:val="eop"/>
        </w:rPr>
        <w:t xml:space="preserve">the following </w:t>
      </w:r>
      <w:r w:rsidR="2CB09000" w:rsidRPr="3DB86C4A">
        <w:rPr>
          <w:rStyle w:val="eop"/>
        </w:rPr>
        <w:t>capacity</w:t>
      </w:r>
      <w:r w:rsidR="0E63A28C" w:rsidRPr="3DB86C4A">
        <w:rPr>
          <w:rStyle w:val="eop"/>
        </w:rPr>
        <w:t xml:space="preserve"> </w:t>
      </w:r>
      <w:r w:rsidR="0009140C">
        <w:rPr>
          <w:rStyle w:val="eop"/>
        </w:rPr>
        <w:t>data to DPH:</w:t>
      </w:r>
    </w:p>
    <w:p w14:paraId="5615C32C" w14:textId="63F8034B" w:rsidR="009540EC" w:rsidRPr="009540EC" w:rsidRDefault="009540EC" w:rsidP="009540EC">
      <w:pPr>
        <w:pStyle w:val="paragraph"/>
        <w:spacing w:before="0" w:beforeAutospacing="0" w:after="0" w:afterAutospacing="0"/>
        <w:ind w:left="720" w:right="-30"/>
        <w:jc w:val="both"/>
        <w:textAlignment w:val="baseline"/>
        <w:rPr>
          <w:rFonts w:ascii="Segoe UI" w:hAnsi="Segoe UI" w:cs="Segoe UI"/>
          <w:sz w:val="18"/>
          <w:szCs w:val="18"/>
        </w:rPr>
      </w:pPr>
    </w:p>
    <w:p w14:paraId="1BED4EBF" w14:textId="5236BCB6" w:rsidR="009540EC" w:rsidRPr="009B1436" w:rsidRDefault="009540EC" w:rsidP="00AB3652">
      <w:pPr>
        <w:pStyle w:val="paragraph"/>
        <w:numPr>
          <w:ilvl w:val="0"/>
          <w:numId w:val="9"/>
        </w:numPr>
        <w:spacing w:before="0" w:beforeAutospacing="0" w:after="0" w:afterAutospacing="0"/>
        <w:ind w:right="-30"/>
        <w:jc w:val="both"/>
        <w:textAlignment w:val="baseline"/>
        <w:rPr>
          <w:rFonts w:ascii="Segoe UI" w:hAnsi="Segoe UI" w:cs="Segoe UI"/>
        </w:rPr>
      </w:pPr>
      <w:r w:rsidRPr="00AB3652">
        <w:rPr>
          <w:rStyle w:val="normaltextrun"/>
        </w:rPr>
        <w:t>staffed beds by licensed bed type;</w:t>
      </w:r>
      <w:r w:rsidRPr="00AB3652">
        <w:rPr>
          <w:rStyle w:val="eop"/>
        </w:rPr>
        <w:t> </w:t>
      </w:r>
      <w:r w:rsidR="2018293C" w:rsidRPr="3DB86C4A">
        <w:rPr>
          <w:rStyle w:val="eop"/>
        </w:rPr>
        <w:t>and</w:t>
      </w:r>
    </w:p>
    <w:p w14:paraId="79F2AE1B" w14:textId="3026ED3C" w:rsidR="009540EC" w:rsidRPr="009B1436" w:rsidRDefault="009540EC" w:rsidP="00AB3652">
      <w:pPr>
        <w:pStyle w:val="paragraph"/>
        <w:numPr>
          <w:ilvl w:val="0"/>
          <w:numId w:val="9"/>
        </w:numPr>
        <w:spacing w:before="0" w:beforeAutospacing="0" w:after="0" w:afterAutospacing="0"/>
        <w:ind w:right="-30"/>
        <w:jc w:val="both"/>
        <w:textAlignment w:val="baseline"/>
        <w:rPr>
          <w:rFonts w:ascii="Segoe UI" w:hAnsi="Segoe UI" w:cs="Segoe UI"/>
        </w:rPr>
      </w:pPr>
      <w:r w:rsidRPr="00AB3652">
        <w:rPr>
          <w:rStyle w:val="normaltextrun"/>
        </w:rPr>
        <w:t>occupied beds by licensed bed type; </w:t>
      </w:r>
      <w:r w:rsidR="7863FE56" w:rsidRPr="3DB86C4A">
        <w:rPr>
          <w:rStyle w:val="normaltextrun"/>
        </w:rPr>
        <w:t>and</w:t>
      </w:r>
      <w:r w:rsidRPr="00AB3652">
        <w:rPr>
          <w:rStyle w:val="normaltextrun"/>
        </w:rPr>
        <w:t>     </w:t>
      </w:r>
      <w:r w:rsidRPr="00AB3652">
        <w:rPr>
          <w:rStyle w:val="eop"/>
        </w:rPr>
        <w:t> </w:t>
      </w:r>
    </w:p>
    <w:p w14:paraId="156A11D7" w14:textId="3D431D38" w:rsidR="00775A1B" w:rsidRDefault="009540EC" w:rsidP="0836D9F7">
      <w:pPr>
        <w:pStyle w:val="paragraph"/>
        <w:numPr>
          <w:ilvl w:val="0"/>
          <w:numId w:val="9"/>
        </w:numPr>
        <w:spacing w:before="0" w:beforeAutospacing="0" w:after="0" w:afterAutospacing="0"/>
        <w:ind w:right="-30"/>
        <w:jc w:val="both"/>
        <w:textAlignment w:val="baseline"/>
        <w:rPr>
          <w:rStyle w:val="normaltextrun"/>
        </w:rPr>
      </w:pPr>
      <w:r w:rsidRPr="0836D9F7">
        <w:rPr>
          <w:rStyle w:val="normaltextrun"/>
        </w:rPr>
        <w:t>patient demographics for beds reported</w:t>
      </w:r>
      <w:r w:rsidR="57AC6D02" w:rsidRPr="0836D9F7">
        <w:rPr>
          <w:rStyle w:val="normaltextrun"/>
        </w:rPr>
        <w:t>.</w:t>
      </w:r>
      <w:r w:rsidRPr="678CAE99">
        <w:rPr>
          <w:rStyle w:val="normaltextrun"/>
        </w:rPr>
        <w:t xml:space="preserve"> </w:t>
      </w:r>
    </w:p>
    <w:p w14:paraId="606AFB25" w14:textId="77777777" w:rsidR="00362FE9" w:rsidRPr="00362FE9" w:rsidRDefault="00362FE9" w:rsidP="00362FE9">
      <w:pPr>
        <w:pStyle w:val="paragraph"/>
        <w:spacing w:before="0" w:beforeAutospacing="0" w:after="0" w:afterAutospacing="0"/>
        <w:ind w:left="1080" w:right="-30"/>
        <w:jc w:val="both"/>
        <w:textAlignment w:val="baseline"/>
        <w:rPr>
          <w:rStyle w:val="normaltextrun"/>
        </w:rPr>
      </w:pPr>
    </w:p>
    <w:p w14:paraId="61325EDC" w14:textId="19EDA4E1" w:rsidR="009540EC" w:rsidRPr="00AB3652" w:rsidRDefault="36375719" w:rsidP="678CAE99">
      <w:pPr>
        <w:pStyle w:val="paragraph"/>
        <w:spacing w:before="0" w:beforeAutospacing="0" w:after="0" w:afterAutospacing="0"/>
        <w:ind w:right="-30"/>
        <w:textAlignment w:val="baseline"/>
        <w:rPr>
          <w:rStyle w:val="normaltextrun"/>
        </w:rPr>
      </w:pPr>
      <w:r w:rsidRPr="678CAE99">
        <w:rPr>
          <w:rStyle w:val="normaltextrun"/>
        </w:rPr>
        <w:t xml:space="preserve">Please see </w:t>
      </w:r>
      <w:r w:rsidR="3EEA35B5" w:rsidRPr="676479D6">
        <w:rPr>
          <w:rStyle w:val="normaltextrun"/>
        </w:rPr>
        <w:t>A</w:t>
      </w:r>
      <w:r w:rsidR="20E9B17B" w:rsidRPr="676479D6">
        <w:rPr>
          <w:rStyle w:val="normaltextrun"/>
        </w:rPr>
        <w:t>ppendix</w:t>
      </w:r>
      <w:r w:rsidRPr="678CAE99">
        <w:rPr>
          <w:rStyle w:val="normaltextrun"/>
        </w:rPr>
        <w:t xml:space="preserve"> A for the </w:t>
      </w:r>
      <w:r w:rsidR="00CB29E7">
        <w:rPr>
          <w:rStyle w:val="normaltextrun"/>
        </w:rPr>
        <w:t xml:space="preserve">full </w:t>
      </w:r>
      <w:r w:rsidRPr="678CAE99">
        <w:rPr>
          <w:rStyle w:val="normaltextrun"/>
        </w:rPr>
        <w:t>list and descript</w:t>
      </w:r>
      <w:r w:rsidR="58EF507A" w:rsidRPr="678CAE99">
        <w:rPr>
          <w:rStyle w:val="normaltextrun"/>
        </w:rPr>
        <w:t>i</w:t>
      </w:r>
      <w:r w:rsidRPr="678CAE99">
        <w:rPr>
          <w:rStyle w:val="normaltextrun"/>
        </w:rPr>
        <w:t xml:space="preserve">on of data elements.  </w:t>
      </w:r>
    </w:p>
    <w:p w14:paraId="7BCBA227" w14:textId="33306E08" w:rsidR="009540EC" w:rsidRPr="00AB3652" w:rsidRDefault="009540EC" w:rsidP="678CAE99">
      <w:pPr>
        <w:pStyle w:val="paragraph"/>
        <w:spacing w:before="0" w:beforeAutospacing="0" w:after="0" w:afterAutospacing="0"/>
        <w:ind w:right="-30"/>
        <w:textAlignment w:val="baseline"/>
        <w:rPr>
          <w:rStyle w:val="normaltextrun"/>
        </w:rPr>
      </w:pPr>
    </w:p>
    <w:p w14:paraId="3CDC1E30" w14:textId="7542A2F9" w:rsidR="009540EC" w:rsidRPr="00AB3652" w:rsidRDefault="76217B4F" w:rsidP="00AB3652">
      <w:pPr>
        <w:pStyle w:val="paragraph"/>
        <w:spacing w:before="0" w:beforeAutospacing="0" w:after="0" w:afterAutospacing="0"/>
        <w:ind w:right="-30"/>
        <w:textAlignment w:val="baseline"/>
        <w:rPr>
          <w:rStyle w:val="normaltextrun"/>
        </w:rPr>
      </w:pPr>
      <w:r w:rsidRPr="5A7C5866">
        <w:rPr>
          <w:rStyle w:val="normaltextrun"/>
        </w:rPr>
        <w:t xml:space="preserve">At a minimum, hospitals must submit the required data elements consistent with the cadence below:  </w:t>
      </w:r>
    </w:p>
    <w:p w14:paraId="637ED9D2" w14:textId="0221564E" w:rsidR="009540EC" w:rsidRPr="00AB3652" w:rsidRDefault="00003284" w:rsidP="00AB3652">
      <w:pPr>
        <w:pStyle w:val="paragraph"/>
        <w:numPr>
          <w:ilvl w:val="0"/>
          <w:numId w:val="10"/>
        </w:numPr>
        <w:spacing w:before="0" w:beforeAutospacing="0" w:after="0" w:afterAutospacing="0"/>
        <w:ind w:right="-30"/>
        <w:textAlignment w:val="baseline"/>
        <w:rPr>
          <w:rStyle w:val="normaltextrun"/>
          <w:rFonts w:ascii="Segoe UI" w:hAnsi="Segoe UI" w:cs="Segoe UI"/>
          <w:sz w:val="18"/>
          <w:szCs w:val="18"/>
        </w:rPr>
      </w:pPr>
      <w:r w:rsidRPr="00AB3652">
        <w:rPr>
          <w:rStyle w:val="normaltextrun"/>
          <w:i/>
          <w:iCs/>
        </w:rPr>
        <w:t>F</w:t>
      </w:r>
      <w:r w:rsidR="009540EC" w:rsidRPr="00AB3652">
        <w:rPr>
          <w:rStyle w:val="normaltextrun"/>
          <w:i/>
          <w:iCs/>
        </w:rPr>
        <w:t>or acute hospitals as defined in 105 CMR 130.375(A)</w:t>
      </w:r>
      <w:r w:rsidR="00921C76">
        <w:rPr>
          <w:rStyle w:val="normaltextrun"/>
          <w:i/>
          <w:iCs/>
        </w:rPr>
        <w:t xml:space="preserve"> </w:t>
      </w:r>
      <w:r w:rsidRPr="00AB3652">
        <w:rPr>
          <w:rStyle w:val="normaltextrun"/>
          <w:i/>
          <w:iCs/>
        </w:rPr>
        <w:t xml:space="preserve">- </w:t>
      </w:r>
      <w:r>
        <w:rPr>
          <w:rStyle w:val="normaltextrun"/>
        </w:rPr>
        <w:t>S</w:t>
      </w:r>
      <w:r w:rsidR="009540EC" w:rsidRPr="00AB3652">
        <w:rPr>
          <w:rStyle w:val="normaltextrun"/>
        </w:rPr>
        <w:t>ubmission</w:t>
      </w:r>
      <w:r w:rsidRPr="00AB3652">
        <w:rPr>
          <w:rStyle w:val="normaltextrun"/>
        </w:rPr>
        <w:t>s</w:t>
      </w:r>
      <w:r w:rsidR="009540EC" w:rsidRPr="00AB3652">
        <w:rPr>
          <w:rStyle w:val="normaltextrun"/>
        </w:rPr>
        <w:t xml:space="preserve"> shall include daily data</w:t>
      </w:r>
      <w:r>
        <w:rPr>
          <w:rStyle w:val="normaltextrun"/>
        </w:rPr>
        <w:t xml:space="preserve">, </w:t>
      </w:r>
      <w:r w:rsidR="009540EC" w:rsidRPr="00AB3652">
        <w:rPr>
          <w:rStyle w:val="normaltextrun"/>
        </w:rPr>
        <w:t xml:space="preserve">submitted at least once each week </w:t>
      </w:r>
      <w:r w:rsidRPr="00AB3652">
        <w:rPr>
          <w:rStyle w:val="normaltextrun"/>
        </w:rPr>
        <w:t>(</w:t>
      </w:r>
      <w:r w:rsidR="009540EC" w:rsidRPr="00AB3652">
        <w:rPr>
          <w:rStyle w:val="normaltextrun"/>
        </w:rPr>
        <w:t>but may be submitted daily or more frequentl</w:t>
      </w:r>
      <w:r w:rsidRPr="00AB3652">
        <w:rPr>
          <w:rStyle w:val="normaltextrun"/>
        </w:rPr>
        <w:t>y)</w:t>
      </w:r>
      <w:r>
        <w:rPr>
          <w:rStyle w:val="normaltextrun"/>
        </w:rPr>
        <w:t>.</w:t>
      </w:r>
      <w:r w:rsidR="418F4486" w:rsidRPr="3DB86C4A">
        <w:rPr>
          <w:rStyle w:val="normaltextrun"/>
        </w:rPr>
        <w:t xml:space="preserve">  Submissions for the previous week (Sunday to Saturday) must be uploaded into </w:t>
      </w:r>
      <w:proofErr w:type="spellStart"/>
      <w:r w:rsidR="418F4486" w:rsidRPr="3DB86C4A">
        <w:rPr>
          <w:rStyle w:val="normaltextrun"/>
        </w:rPr>
        <w:t>WebEOC</w:t>
      </w:r>
      <w:proofErr w:type="spellEnd"/>
      <w:r w:rsidR="418F4486" w:rsidRPr="3DB86C4A">
        <w:rPr>
          <w:rStyle w:val="normaltextrun"/>
        </w:rPr>
        <w:t xml:space="preserve"> no later than each Tuesday at </w:t>
      </w:r>
      <w:r w:rsidR="0DB1D8E9" w:rsidRPr="7859869F">
        <w:rPr>
          <w:rStyle w:val="normaltextrun"/>
        </w:rPr>
        <w:t>3</w:t>
      </w:r>
      <w:r w:rsidR="418F4486" w:rsidRPr="3DB86C4A">
        <w:rPr>
          <w:rStyle w:val="normaltextrun"/>
        </w:rPr>
        <w:t xml:space="preserve"> pm</w:t>
      </w:r>
      <w:r w:rsidR="1D1CDB57" w:rsidRPr="3DB86C4A">
        <w:rPr>
          <w:rStyle w:val="normaltextrun"/>
        </w:rPr>
        <w:t>.</w:t>
      </w:r>
    </w:p>
    <w:p w14:paraId="14774AF2" w14:textId="1E6C70A0" w:rsidR="009540EC" w:rsidRPr="00AB3652" w:rsidRDefault="00003284" w:rsidP="00AB3652">
      <w:pPr>
        <w:pStyle w:val="paragraph"/>
        <w:numPr>
          <w:ilvl w:val="0"/>
          <w:numId w:val="10"/>
        </w:numPr>
        <w:spacing w:before="0" w:beforeAutospacing="0" w:after="0" w:afterAutospacing="0"/>
        <w:ind w:right="-30"/>
        <w:textAlignment w:val="baseline"/>
      </w:pPr>
      <w:r w:rsidRPr="00AB3652">
        <w:rPr>
          <w:rStyle w:val="normaltextrun"/>
          <w:i/>
          <w:iCs/>
        </w:rPr>
        <w:t>F</w:t>
      </w:r>
      <w:r w:rsidR="009540EC" w:rsidRPr="00AB3652">
        <w:rPr>
          <w:rStyle w:val="normaltextrun"/>
          <w:i/>
          <w:iCs/>
        </w:rPr>
        <w:t>or non-acute hospitals as defined in 105 CMR 130.375(A</w:t>
      </w:r>
      <w:r w:rsidRPr="00AB3652">
        <w:rPr>
          <w:rStyle w:val="normaltextrun"/>
          <w:i/>
          <w:iCs/>
        </w:rPr>
        <w:t>) –</w:t>
      </w:r>
      <w:r w:rsidRPr="00AB3652">
        <w:rPr>
          <w:rStyle w:val="normaltextrun"/>
        </w:rPr>
        <w:t xml:space="preserve"> </w:t>
      </w:r>
      <w:r>
        <w:rPr>
          <w:rStyle w:val="normaltextrun"/>
        </w:rPr>
        <w:t>S</w:t>
      </w:r>
      <w:r w:rsidRPr="00AB3652">
        <w:rPr>
          <w:rStyle w:val="normaltextrun"/>
        </w:rPr>
        <w:t xml:space="preserve">ubmissions shall be </w:t>
      </w:r>
      <w:r w:rsidR="009540EC" w:rsidRPr="00AB3652">
        <w:rPr>
          <w:rStyle w:val="normaltextrun"/>
        </w:rPr>
        <w:t>at least once annually. </w:t>
      </w:r>
      <w:r w:rsidR="78F0F8C7" w:rsidRPr="3DB86C4A">
        <w:rPr>
          <w:rStyle w:val="eop"/>
        </w:rPr>
        <w:t xml:space="preserve">Annual reporters must submit once annually into </w:t>
      </w:r>
      <w:proofErr w:type="spellStart"/>
      <w:r w:rsidR="78F0F8C7" w:rsidRPr="3DB86C4A">
        <w:rPr>
          <w:rStyle w:val="eop"/>
        </w:rPr>
        <w:t>WebEOC</w:t>
      </w:r>
      <w:proofErr w:type="spellEnd"/>
      <w:r w:rsidR="78F0F8C7" w:rsidRPr="3DB86C4A">
        <w:rPr>
          <w:rStyle w:val="eop"/>
        </w:rPr>
        <w:t xml:space="preserve"> on the first Wednesday of November. </w:t>
      </w:r>
    </w:p>
    <w:p w14:paraId="0C8C0162" w14:textId="77777777" w:rsidR="0018083B" w:rsidRDefault="0018083B" w:rsidP="00465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4"/>
        </w:rPr>
      </w:pPr>
    </w:p>
    <w:p w14:paraId="04F2D8FA" w14:textId="0506DFCE" w:rsidR="3AA8C4C3" w:rsidRDefault="3AA8C4C3" w:rsidP="5A7C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The Commissioner may require more frequent data submission in response to potential or active urgent or emergent situations</w:t>
      </w:r>
      <w:r w:rsidR="0596A49B">
        <w:t>, which</w:t>
      </w:r>
      <w:r>
        <w:t xml:space="preserve"> </w:t>
      </w:r>
      <w:r w:rsidR="4D4CC5E2">
        <w:t>t</w:t>
      </w:r>
      <w:r>
        <w:t>he Department will communicate to hospitals</w:t>
      </w:r>
      <w:r w:rsidR="318BF8C2">
        <w:t>.  Hospitals must update their reporting to align with any increase</w:t>
      </w:r>
      <w:r w:rsidR="5F06B2F1">
        <w:t xml:space="preserve">d frequency as directed by the Commissioner. </w:t>
      </w:r>
    </w:p>
    <w:p w14:paraId="2410CB31" w14:textId="5F6AB0F3" w:rsidR="5A7C5866" w:rsidRDefault="5A7C5866" w:rsidP="5A7C5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DA22B9B" w14:textId="0807611F" w:rsidR="00FB544C" w:rsidRDefault="0CADB086" w:rsidP="0043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59" w:lineRule="auto"/>
      </w:pPr>
      <w:r>
        <w:t xml:space="preserve">The required data </w:t>
      </w:r>
      <w:r w:rsidR="09DF1EC1">
        <w:t>may</w:t>
      </w:r>
      <w:r>
        <w:t xml:space="preserve"> be reported to DPH by facilities using </w:t>
      </w:r>
      <w:r w:rsidR="0A99F4D6">
        <w:t>one of two methods</w:t>
      </w:r>
      <w:r w:rsidR="06A78192">
        <w:t xml:space="preserve">: manual entry into </w:t>
      </w:r>
      <w:r w:rsidR="0028449E" w:rsidRPr="00432E4E">
        <w:t xml:space="preserve">Web EOC </w:t>
      </w:r>
      <w:r w:rsidR="1F5D4190">
        <w:t xml:space="preserve">or </w:t>
      </w:r>
      <w:r w:rsidR="7FB3FCB1">
        <w:t xml:space="preserve">automated transmission via </w:t>
      </w:r>
      <w:r w:rsidR="1F5D4190">
        <w:t>the</w:t>
      </w:r>
      <w:r w:rsidR="0B35D76A">
        <w:t xml:space="preserve"> MA</w:t>
      </w:r>
      <w:r w:rsidR="1F5D4190">
        <w:t xml:space="preserve"> Automated Capacity and Occupancy Reporting Network (ACORN)</w:t>
      </w:r>
      <w:r>
        <w:t xml:space="preserve">. </w:t>
      </w:r>
    </w:p>
    <w:p w14:paraId="7E5705B2" w14:textId="245E34C8" w:rsidR="00FB544C" w:rsidRPr="00432E4E" w:rsidRDefault="00FB544C" w:rsidP="00432E4E">
      <w:pPr>
        <w:pStyle w:val="paragraph"/>
        <w:numPr>
          <w:ilvl w:val="0"/>
          <w:numId w:val="10"/>
        </w:numPr>
        <w:spacing w:before="0" w:beforeAutospacing="0" w:after="0" w:afterAutospacing="0"/>
        <w:ind w:right="-30"/>
        <w:textAlignment w:val="baseline"/>
        <w:rPr>
          <w:rStyle w:val="normaltextrun"/>
        </w:rPr>
      </w:pPr>
      <w:proofErr w:type="spellStart"/>
      <w:r w:rsidRPr="00432E4E">
        <w:rPr>
          <w:rStyle w:val="normaltextrun"/>
        </w:rPr>
        <w:t>WebEOC</w:t>
      </w:r>
      <w:proofErr w:type="spellEnd"/>
      <w:r w:rsidRPr="00432E4E">
        <w:rPr>
          <w:rStyle w:val="normaltextrun"/>
        </w:rPr>
        <w:t xml:space="preserve"> is </w:t>
      </w:r>
      <w:r w:rsidR="0CADB086" w:rsidRPr="00432E4E">
        <w:rPr>
          <w:rStyle w:val="normaltextrun"/>
        </w:rPr>
        <w:t>a</w:t>
      </w:r>
      <w:r w:rsidR="26143D87" w:rsidRPr="00432E4E">
        <w:rPr>
          <w:rStyle w:val="normaltextrun"/>
        </w:rPr>
        <w:t>n</w:t>
      </w:r>
      <w:r w:rsidRPr="00432E4E">
        <w:rPr>
          <w:rStyle w:val="normaltextrun"/>
        </w:rPr>
        <w:t xml:space="preserve"> emergency information management platform utilized by the DPH Office of Preparedness and Emergency Management (OPEM). The platform is username and password protected and available from any internet accessible device. No connection </w:t>
      </w:r>
      <w:r w:rsidRPr="00432E4E">
        <w:rPr>
          <w:rStyle w:val="normaltextrun"/>
        </w:rPr>
        <w:lastRenderedPageBreak/>
        <w:t xml:space="preserve">through Virtual Private Network is required. Access to </w:t>
      </w:r>
      <w:proofErr w:type="spellStart"/>
      <w:r w:rsidRPr="00432E4E">
        <w:rPr>
          <w:rStyle w:val="normaltextrun"/>
        </w:rPr>
        <w:t>WebEOC</w:t>
      </w:r>
      <w:proofErr w:type="spellEnd"/>
      <w:r w:rsidRPr="00432E4E">
        <w:rPr>
          <w:rStyle w:val="normaltextrun"/>
        </w:rPr>
        <w:t xml:space="preserve"> for this data reporting purpose may be requested </w:t>
      </w:r>
      <w:r w:rsidR="38C3CE91" w:rsidRPr="00432E4E">
        <w:rPr>
          <w:rStyle w:val="normaltextrun"/>
        </w:rPr>
        <w:t>by emailing</w:t>
      </w:r>
      <w:r w:rsidR="086ACCFC" w:rsidRPr="00432E4E">
        <w:rPr>
          <w:rStyle w:val="normaltextrun"/>
        </w:rPr>
        <w:t xml:space="preserve"> </w:t>
      </w:r>
      <w:r w:rsidR="0C25A5C8" w:rsidRPr="00432E4E">
        <w:rPr>
          <w:rStyle w:val="normaltextrun"/>
        </w:rPr>
        <w:t>dph.opem.data@mass.gov</w:t>
      </w:r>
      <w:r w:rsidR="6FDD6A60" w:rsidRPr="00432E4E">
        <w:rPr>
          <w:rStyle w:val="normaltextrun"/>
        </w:rPr>
        <w:t xml:space="preserve">. </w:t>
      </w:r>
    </w:p>
    <w:p w14:paraId="4F765619" w14:textId="516F62B1" w:rsidR="58E64CB4" w:rsidRPr="00432E4E" w:rsidRDefault="58E64CB4" w:rsidP="00432E4E">
      <w:pPr>
        <w:pStyle w:val="paragraph"/>
        <w:numPr>
          <w:ilvl w:val="0"/>
          <w:numId w:val="10"/>
        </w:numPr>
        <w:spacing w:before="0" w:beforeAutospacing="0" w:after="0" w:afterAutospacing="0"/>
        <w:ind w:right="-30"/>
        <w:textAlignment w:val="baseline"/>
        <w:rPr>
          <w:rStyle w:val="normaltextrun"/>
        </w:rPr>
      </w:pPr>
      <w:r w:rsidRPr="00432E4E">
        <w:rPr>
          <w:rStyle w:val="normaltextrun"/>
        </w:rPr>
        <w:t>The MA ACORN</w:t>
      </w:r>
      <w:r w:rsidR="6A884A02" w:rsidRPr="00432E4E">
        <w:rPr>
          <w:rStyle w:val="normaltextrun"/>
        </w:rPr>
        <w:t xml:space="preserve"> provides an automated, </w:t>
      </w:r>
      <w:r w:rsidR="32A413BD" w:rsidRPr="00432E4E">
        <w:rPr>
          <w:rStyle w:val="normaltextrun"/>
        </w:rPr>
        <w:t xml:space="preserve">no cost, and </w:t>
      </w:r>
      <w:r w:rsidR="6A884A02" w:rsidRPr="00432E4E">
        <w:rPr>
          <w:rStyle w:val="normaltextrun"/>
        </w:rPr>
        <w:t>near-real time data feed through GE HealthCare</w:t>
      </w:r>
      <w:r w:rsidR="6C144EB4" w:rsidRPr="00432E4E">
        <w:rPr>
          <w:rStyle w:val="normaltextrun"/>
        </w:rPr>
        <w:t xml:space="preserve"> (GEHC)</w:t>
      </w:r>
      <w:r w:rsidR="6A884A02" w:rsidRPr="00432E4E">
        <w:rPr>
          <w:rStyle w:val="normaltextrun"/>
        </w:rPr>
        <w:t xml:space="preserve"> technologies. </w:t>
      </w:r>
      <w:r w:rsidR="49EDF993" w:rsidRPr="00432E4E">
        <w:rPr>
          <w:rStyle w:val="normaltextrun"/>
        </w:rPr>
        <w:t>Use of t</w:t>
      </w:r>
      <w:r w:rsidR="6A884A02" w:rsidRPr="00432E4E">
        <w:rPr>
          <w:rStyle w:val="normaltextrun"/>
        </w:rPr>
        <w:t>he MA A</w:t>
      </w:r>
      <w:r w:rsidR="7396DCE9" w:rsidRPr="00432E4E">
        <w:rPr>
          <w:rStyle w:val="normaltextrun"/>
        </w:rPr>
        <w:t xml:space="preserve">CORN </w:t>
      </w:r>
      <w:r w:rsidR="7A60E819" w:rsidRPr="00432E4E">
        <w:rPr>
          <w:rStyle w:val="normaltextrun"/>
        </w:rPr>
        <w:t>eliminates the need for manual data reporting</w:t>
      </w:r>
      <w:r w:rsidR="7768B3C2" w:rsidRPr="00432E4E">
        <w:rPr>
          <w:rStyle w:val="normaltextrun"/>
        </w:rPr>
        <w:t xml:space="preserve"> into </w:t>
      </w:r>
      <w:proofErr w:type="spellStart"/>
      <w:r w:rsidR="7768B3C2" w:rsidRPr="00432E4E">
        <w:rPr>
          <w:rStyle w:val="normaltextrun"/>
        </w:rPr>
        <w:t>WebEOC</w:t>
      </w:r>
      <w:proofErr w:type="spellEnd"/>
      <w:r w:rsidR="7A60E819" w:rsidRPr="00432E4E">
        <w:rPr>
          <w:rStyle w:val="normaltextrun"/>
        </w:rPr>
        <w:t xml:space="preserve">. </w:t>
      </w:r>
      <w:r w:rsidR="2EAD0CAE" w:rsidRPr="00432E4E">
        <w:rPr>
          <w:rStyle w:val="normaltextrun"/>
        </w:rPr>
        <w:t xml:space="preserve">With MA ACORN, each hospital </w:t>
      </w:r>
      <w:r w:rsidR="6AA9F55C" w:rsidRPr="00432E4E">
        <w:rPr>
          <w:rStyle w:val="normaltextrun"/>
        </w:rPr>
        <w:t>generates</w:t>
      </w:r>
      <w:r w:rsidR="2EAD0CAE" w:rsidRPr="00432E4E">
        <w:rPr>
          <w:rStyle w:val="normaltextrun"/>
        </w:rPr>
        <w:t xml:space="preserve"> an automated report from their electronic medical records (EMR) platform which is </w:t>
      </w:r>
      <w:r w:rsidR="7D5735A4" w:rsidRPr="00432E4E">
        <w:rPr>
          <w:rStyle w:val="normaltextrun"/>
        </w:rPr>
        <w:t>transmitted to</w:t>
      </w:r>
      <w:r w:rsidR="2EAD0CAE" w:rsidRPr="00432E4E">
        <w:rPr>
          <w:rStyle w:val="normaltextrun"/>
        </w:rPr>
        <w:t xml:space="preserve"> GEHC every 15 minutes. These reports</w:t>
      </w:r>
      <w:r w:rsidR="0892DEC5" w:rsidRPr="00432E4E">
        <w:rPr>
          <w:rStyle w:val="normaltextrun"/>
        </w:rPr>
        <w:t xml:space="preserve"> contain</w:t>
      </w:r>
      <w:r w:rsidR="2EAD0CAE" w:rsidRPr="00432E4E">
        <w:rPr>
          <w:rStyle w:val="normaltextrun"/>
        </w:rPr>
        <w:t xml:space="preserve"> the same non-identified, aggregate capacity data that is currently manually enter</w:t>
      </w:r>
      <w:r w:rsidR="3E97F9B9" w:rsidRPr="00432E4E">
        <w:rPr>
          <w:rStyle w:val="normaltextrun"/>
        </w:rPr>
        <w:t>ed</w:t>
      </w:r>
      <w:r w:rsidR="2EAD0CAE" w:rsidRPr="00432E4E">
        <w:rPr>
          <w:rStyle w:val="normaltextrun"/>
        </w:rPr>
        <w:t xml:space="preserve"> but would </w:t>
      </w:r>
      <w:r w:rsidR="6E4BE7C1" w:rsidRPr="00432E4E">
        <w:rPr>
          <w:rStyle w:val="normaltextrun"/>
        </w:rPr>
        <w:t xml:space="preserve">provide more timely and accurate data. All data </w:t>
      </w:r>
      <w:r w:rsidR="2EAD0CAE" w:rsidRPr="00432E4E">
        <w:rPr>
          <w:rStyle w:val="normaltextrun"/>
        </w:rPr>
        <w:t>is encrypted at rest and in flight.</w:t>
      </w:r>
      <w:r w:rsidR="7BD4205E" w:rsidRPr="00432E4E">
        <w:rPr>
          <w:rStyle w:val="normaltextrun"/>
        </w:rPr>
        <w:t xml:space="preserve"> Access to the MA ACORN may be requested by emailing dph.opem.data@mass.gov</w:t>
      </w:r>
      <w:r w:rsidR="4156FA80" w:rsidRPr="00432E4E">
        <w:rPr>
          <w:rStyle w:val="normaltextrun"/>
        </w:rPr>
        <w:t>.</w:t>
      </w:r>
    </w:p>
    <w:p w14:paraId="6B827CF7" w14:textId="77777777" w:rsidR="00FB544C" w:rsidRPr="00AC222C" w:rsidRDefault="00FB544C" w:rsidP="00FB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2C3B019B" w14:textId="4D1B9946" w:rsidR="00FB544C" w:rsidRPr="00AC222C" w:rsidRDefault="00FB544C" w:rsidP="00FB54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If there are any questions about </w:t>
      </w:r>
      <w:proofErr w:type="spellStart"/>
      <w:r>
        <w:t>WebEOC</w:t>
      </w:r>
      <w:proofErr w:type="spellEnd"/>
      <w:r>
        <w:t xml:space="preserve"> </w:t>
      </w:r>
      <w:r w:rsidR="390AAA21">
        <w:t>or the MA ACORN</w:t>
      </w:r>
      <w:r>
        <w:t xml:space="preserve">, please reach out to OPEM via email </w:t>
      </w:r>
      <w:r w:rsidR="00921C76">
        <w:t xml:space="preserve">at </w:t>
      </w:r>
      <w:r w:rsidR="00921C76" w:rsidRPr="00AC222C">
        <w:t>dph</w:t>
      </w:r>
      <w:r w:rsidR="33B2B198">
        <w:t>.opem.data</w:t>
      </w:r>
      <w:r w:rsidR="009540EC">
        <w:t>@mass.gov.</w:t>
      </w:r>
      <w:r>
        <w:t xml:space="preserve"> </w:t>
      </w:r>
    </w:p>
    <w:p w14:paraId="6EB95CD7" w14:textId="77777777" w:rsidR="00FB544C" w:rsidRPr="00AC222C" w:rsidRDefault="00FB544C" w:rsidP="00FB544C">
      <w:pPr>
        <w:autoSpaceDE w:val="0"/>
        <w:autoSpaceDN w:val="0"/>
        <w:adjustRightInd w:val="0"/>
        <w:rPr>
          <w:rFonts w:eastAsia="@Batang"/>
          <w:szCs w:val="24"/>
        </w:rPr>
      </w:pPr>
    </w:p>
    <w:p w14:paraId="2588EE54" w14:textId="34E7577D" w:rsidR="00D8145E" w:rsidRDefault="00FB544C" w:rsidP="001E2D97">
      <w:pPr>
        <w:rPr>
          <w:color w:val="000000" w:themeColor="text1"/>
        </w:rPr>
      </w:pPr>
      <w:r w:rsidRPr="3DB86C4A">
        <w:rPr>
          <w:rFonts w:eastAsia="@Batang"/>
        </w:rPr>
        <w:t xml:space="preserve">In addition, DPH strongly encourages all </w:t>
      </w:r>
      <w:r w:rsidR="21A56709" w:rsidRPr="3DB86C4A">
        <w:rPr>
          <w:rFonts w:eastAsia="@Batang"/>
        </w:rPr>
        <w:t xml:space="preserve">hospitals </w:t>
      </w:r>
      <w:r w:rsidRPr="3DB86C4A">
        <w:rPr>
          <w:rFonts w:eastAsia="@Batang"/>
        </w:rPr>
        <w:t xml:space="preserve">in Massachusetts to </w:t>
      </w:r>
      <w:r w:rsidR="009540EC" w:rsidRPr="3DB86C4A">
        <w:rPr>
          <w:rFonts w:eastAsia="@Batang"/>
        </w:rPr>
        <w:t xml:space="preserve">continue to </w:t>
      </w:r>
      <w:r w:rsidRPr="3DB86C4A">
        <w:rPr>
          <w:rFonts w:eastAsia="@Batang"/>
        </w:rPr>
        <w:t>monitor the Department’s</w:t>
      </w:r>
      <w:r w:rsidRPr="3DB86C4A">
        <w:rPr>
          <w:color w:val="000000" w:themeColor="text1"/>
        </w:rPr>
        <w:t xml:space="preserve"> website that provides up-to-date information on respiratory illness in Massachusetts:  </w:t>
      </w:r>
      <w:hyperlink r:id="rId12" w:history="1">
        <w:r w:rsidRPr="3DB86C4A">
          <w:rPr>
            <w:rStyle w:val="Hyperlink"/>
          </w:rPr>
          <w:t>https://www.mass.gov/info-details/respiratory-illness-reporting</w:t>
        </w:r>
      </w:hyperlink>
      <w:r w:rsidRPr="3DB86C4A">
        <w:rPr>
          <w:color w:val="000000" w:themeColor="text1"/>
        </w:rPr>
        <w:t xml:space="preserve">. </w:t>
      </w:r>
    </w:p>
    <w:p w14:paraId="27AFC52E" w14:textId="77777777" w:rsidR="00BE5C1A" w:rsidRDefault="00BE5C1A" w:rsidP="001E2D97">
      <w:pPr>
        <w:rPr>
          <w:color w:val="000000" w:themeColor="text1"/>
        </w:rPr>
      </w:pPr>
    </w:p>
    <w:p w14:paraId="47734BB7" w14:textId="77777777" w:rsidR="00BE5C1A" w:rsidRDefault="00BE5C1A" w:rsidP="001E2D97">
      <w:pPr>
        <w:rPr>
          <w:color w:val="000000" w:themeColor="text1"/>
        </w:rPr>
      </w:pPr>
    </w:p>
    <w:p w14:paraId="66E86E73" w14:textId="6FDAED74" w:rsidR="00BE5C1A" w:rsidRPr="00525DA6" w:rsidRDefault="00BE5C1A" w:rsidP="00BE5C1A">
      <w:pPr>
        <w:pStyle w:val="paragraph"/>
        <w:spacing w:before="0" w:beforeAutospacing="0" w:after="0" w:afterAutospacing="0"/>
        <w:textAlignment w:val="baseline"/>
        <w:rPr>
          <w:rStyle w:val="eop"/>
          <w:i/>
          <w:iCs/>
        </w:rPr>
      </w:pPr>
    </w:p>
    <w:sectPr w:rsidR="00BE5C1A" w:rsidRPr="00525DA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B7C5D2" w14:textId="77777777" w:rsidR="005222AE" w:rsidRDefault="005222AE">
      <w:r>
        <w:separator/>
      </w:r>
    </w:p>
  </w:endnote>
  <w:endnote w:type="continuationSeparator" w:id="0">
    <w:p w14:paraId="5CA1F431" w14:textId="77777777" w:rsidR="005222AE" w:rsidRDefault="005222AE">
      <w:r>
        <w:continuationSeparator/>
      </w:r>
    </w:p>
  </w:endnote>
  <w:endnote w:type="continuationNotice" w:id="1">
    <w:p w14:paraId="4C9A1D62" w14:textId="77777777" w:rsidR="005222AE" w:rsidRDefault="00522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603AB" w14:textId="77777777" w:rsidR="005222AE" w:rsidRDefault="005222AE">
      <w:r>
        <w:separator/>
      </w:r>
    </w:p>
  </w:footnote>
  <w:footnote w:type="continuationSeparator" w:id="0">
    <w:p w14:paraId="100EA1B4" w14:textId="77777777" w:rsidR="005222AE" w:rsidRDefault="005222AE">
      <w:r>
        <w:continuationSeparator/>
      </w:r>
    </w:p>
  </w:footnote>
  <w:footnote w:type="continuationNotice" w:id="1">
    <w:p w14:paraId="62314A10" w14:textId="77777777" w:rsidR="005222AE" w:rsidRDefault="005222AE"/>
  </w:footnote>
  <w:footnote w:id="2">
    <w:p w14:paraId="1569D653" w14:textId="467DEABC" w:rsidR="5A7C5866" w:rsidRDefault="5A7C5866" w:rsidP="5A7C5866">
      <w:pPr>
        <w:pStyle w:val="FootnoteText"/>
        <w:rPr>
          <w:rStyle w:val="normaltextrun"/>
        </w:rPr>
      </w:pPr>
      <w:r w:rsidRPr="5A7C5866">
        <w:rPr>
          <w:rStyle w:val="FootnoteReference"/>
        </w:rPr>
        <w:footnoteRef/>
      </w:r>
      <w:r>
        <w:t xml:space="preserve"> Also of note, on April 10, 2024 CMS </w:t>
      </w:r>
      <w:hyperlink r:id="rId1" w:anchor=":~:text=Hospital%20and%20CAH%20Data%20Reporting">
        <w:r w:rsidRPr="5A7C5866">
          <w:rPr>
            <w:rStyle w:val="Hyperlink"/>
          </w:rPr>
          <w:t>released proposed rules</w:t>
        </w:r>
      </w:hyperlink>
      <w:r w:rsidRPr="5A7C5866">
        <w:rPr>
          <w:rStyle w:val="normaltextrun"/>
        </w:rPr>
        <w:t xml:space="preserve"> for Inpatient Prospective Payment Systems (IPPS) that if adopted, would go into effect on October 1, 2024. These proposed rules would replace the prior COVID-19 and Seasonal Influenza reporting standards and would require hospitals participating in IPPS to electronically report certain data elements about COVID-19, influenza, and respiratory syncytial virus (RSV), including confirmed infections of respiratory illnesses, COVID-19, influenza, and RSV, among hospitalized patients; hospital bed census and capacity; and limited patient demographic information, including age. CMS is proposing that, outside of a public health emergency (PHE), hospitals would report these data on a weekly basis. </w:t>
      </w:r>
    </w:p>
  </w:footnote>
  <w:footnote w:id="3">
    <w:p w14:paraId="0BB401A4" w14:textId="451640F3" w:rsidR="5A7C5866" w:rsidRDefault="5A7C5866" w:rsidP="5A7C5866">
      <w:pPr>
        <w:pStyle w:val="FootnoteText"/>
      </w:pPr>
      <w:r w:rsidRPr="5A7C5866">
        <w:rPr>
          <w:rStyle w:val="FootnoteReference"/>
        </w:rPr>
        <w:footnoteRef/>
      </w:r>
      <w:r>
        <w:t xml:space="preserve"> Under 105 CMR 130.333, federal and state data elements that addressed COVID hospitalizations are no longer required to be 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46B44E"/>
    <w:multiLevelType w:val="hybridMultilevel"/>
    <w:tmpl w:val="488C8FF4"/>
    <w:lvl w:ilvl="0" w:tplc="FFBA1924">
      <w:start w:val="1"/>
      <w:numFmt w:val="bullet"/>
      <w:lvlText w:val=""/>
      <w:lvlJc w:val="left"/>
      <w:pPr>
        <w:ind w:left="920" w:hanging="360"/>
      </w:pPr>
      <w:rPr>
        <w:rFonts w:ascii="Symbol" w:hAnsi="Symbol" w:hint="default"/>
      </w:rPr>
    </w:lvl>
    <w:lvl w:ilvl="1" w:tplc="B7FA7C1E">
      <w:start w:val="1"/>
      <w:numFmt w:val="bullet"/>
      <w:lvlText w:val="o"/>
      <w:lvlJc w:val="left"/>
      <w:pPr>
        <w:ind w:left="1640" w:hanging="360"/>
      </w:pPr>
      <w:rPr>
        <w:rFonts w:ascii="Courier New" w:hAnsi="Courier New" w:hint="default"/>
      </w:rPr>
    </w:lvl>
    <w:lvl w:ilvl="2" w:tplc="0800381E">
      <w:start w:val="1"/>
      <w:numFmt w:val="bullet"/>
      <w:lvlText w:val=""/>
      <w:lvlJc w:val="left"/>
      <w:pPr>
        <w:ind w:left="2360" w:hanging="360"/>
      </w:pPr>
      <w:rPr>
        <w:rFonts w:ascii="Wingdings" w:hAnsi="Wingdings" w:hint="default"/>
      </w:rPr>
    </w:lvl>
    <w:lvl w:ilvl="3" w:tplc="4154B60A">
      <w:start w:val="1"/>
      <w:numFmt w:val="bullet"/>
      <w:lvlText w:val=""/>
      <w:lvlJc w:val="left"/>
      <w:pPr>
        <w:ind w:left="3080" w:hanging="360"/>
      </w:pPr>
      <w:rPr>
        <w:rFonts w:ascii="Symbol" w:hAnsi="Symbol" w:hint="default"/>
      </w:rPr>
    </w:lvl>
    <w:lvl w:ilvl="4" w:tplc="413604B8">
      <w:start w:val="1"/>
      <w:numFmt w:val="bullet"/>
      <w:lvlText w:val="o"/>
      <w:lvlJc w:val="left"/>
      <w:pPr>
        <w:ind w:left="3800" w:hanging="360"/>
      </w:pPr>
      <w:rPr>
        <w:rFonts w:ascii="Courier New" w:hAnsi="Courier New" w:hint="default"/>
      </w:rPr>
    </w:lvl>
    <w:lvl w:ilvl="5" w:tplc="6F3CD328">
      <w:start w:val="1"/>
      <w:numFmt w:val="bullet"/>
      <w:lvlText w:val=""/>
      <w:lvlJc w:val="left"/>
      <w:pPr>
        <w:ind w:left="4520" w:hanging="360"/>
      </w:pPr>
      <w:rPr>
        <w:rFonts w:ascii="Wingdings" w:hAnsi="Wingdings" w:hint="default"/>
      </w:rPr>
    </w:lvl>
    <w:lvl w:ilvl="6" w:tplc="48381E18">
      <w:start w:val="1"/>
      <w:numFmt w:val="bullet"/>
      <w:lvlText w:val=""/>
      <w:lvlJc w:val="left"/>
      <w:pPr>
        <w:ind w:left="5240" w:hanging="360"/>
      </w:pPr>
      <w:rPr>
        <w:rFonts w:ascii="Symbol" w:hAnsi="Symbol" w:hint="default"/>
      </w:rPr>
    </w:lvl>
    <w:lvl w:ilvl="7" w:tplc="06B22D26">
      <w:start w:val="1"/>
      <w:numFmt w:val="bullet"/>
      <w:lvlText w:val="o"/>
      <w:lvlJc w:val="left"/>
      <w:pPr>
        <w:ind w:left="5960" w:hanging="360"/>
      </w:pPr>
      <w:rPr>
        <w:rFonts w:ascii="Courier New" w:hAnsi="Courier New" w:hint="default"/>
      </w:rPr>
    </w:lvl>
    <w:lvl w:ilvl="8" w:tplc="6100DAA6">
      <w:start w:val="1"/>
      <w:numFmt w:val="bullet"/>
      <w:lvlText w:val=""/>
      <w:lvlJc w:val="left"/>
      <w:pPr>
        <w:ind w:left="6680" w:hanging="360"/>
      </w:pPr>
      <w:rPr>
        <w:rFonts w:ascii="Wingdings" w:hAnsi="Wingdings" w:hint="default"/>
      </w:rPr>
    </w:lvl>
  </w:abstractNum>
  <w:abstractNum w:abstractNumId="1" w15:restartNumberingAfterBreak="0">
    <w:nsid w:val="1ACF3B0D"/>
    <w:multiLevelType w:val="hybridMultilevel"/>
    <w:tmpl w:val="33D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D2D5F"/>
    <w:multiLevelType w:val="hybridMultilevel"/>
    <w:tmpl w:val="7CDEE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863A9"/>
    <w:multiLevelType w:val="multilevel"/>
    <w:tmpl w:val="49664A5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D540120"/>
    <w:multiLevelType w:val="hybridMultilevel"/>
    <w:tmpl w:val="11DEB43A"/>
    <w:lvl w:ilvl="0" w:tplc="CDBC195A">
      <w:start w:val="1"/>
      <w:numFmt w:val="decimal"/>
      <w:lvlText w:val="%1."/>
      <w:lvlJc w:val="left"/>
      <w:pPr>
        <w:ind w:left="1080" w:hanging="360"/>
      </w:pPr>
      <w:rPr>
        <w:rFonts w:ascii="Times New Roman" w:hAnsi="Times New Roman" w:cs="Times New Roman" w:hint="default"/>
        <w:color w:val="auto"/>
        <w:sz w:val="24"/>
      </w:rPr>
    </w:lvl>
    <w:lvl w:ilvl="1" w:tplc="B2D2C13A">
      <w:start w:val="1"/>
      <w:numFmt w:val="decimal"/>
      <w:lvlText w:val="(%2)"/>
      <w:lvlJc w:val="left"/>
      <w:pPr>
        <w:ind w:left="1800" w:hanging="360"/>
      </w:pPr>
      <w:rPr>
        <w:rFonts w:ascii="Times New Roman" w:hAnsi="Times New Roman" w:cs="Times New Roman" w:hint="default"/>
        <w:color w:val="0070C0"/>
        <w:sz w:val="24"/>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82F38E8"/>
    <w:multiLevelType w:val="hybridMultilevel"/>
    <w:tmpl w:val="EB7E0054"/>
    <w:lvl w:ilvl="0" w:tplc="E86AB32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522C3"/>
    <w:multiLevelType w:val="hybridMultilevel"/>
    <w:tmpl w:val="5EF2E6A2"/>
    <w:lvl w:ilvl="0" w:tplc="84EA728A">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E64452"/>
    <w:multiLevelType w:val="multilevel"/>
    <w:tmpl w:val="8FC01A7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0CC0767"/>
    <w:multiLevelType w:val="multilevel"/>
    <w:tmpl w:val="32FC4B7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8830915"/>
    <w:multiLevelType w:val="multilevel"/>
    <w:tmpl w:val="27ECDA4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D224C59"/>
    <w:multiLevelType w:val="multilevel"/>
    <w:tmpl w:val="7116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2170642">
    <w:abstractNumId w:val="7"/>
  </w:num>
  <w:num w:numId="2" w16cid:durableId="574899895">
    <w:abstractNumId w:val="3"/>
  </w:num>
  <w:num w:numId="3" w16cid:durableId="1522670865">
    <w:abstractNumId w:val="10"/>
  </w:num>
  <w:num w:numId="4" w16cid:durableId="1334996165">
    <w:abstractNumId w:val="9"/>
  </w:num>
  <w:num w:numId="5" w16cid:durableId="1446651661">
    <w:abstractNumId w:val="8"/>
  </w:num>
  <w:num w:numId="6" w16cid:durableId="329215580">
    <w:abstractNumId w:val="1"/>
  </w:num>
  <w:num w:numId="7" w16cid:durableId="187530338">
    <w:abstractNumId w:val="2"/>
  </w:num>
  <w:num w:numId="8" w16cid:durableId="385876595">
    <w:abstractNumId w:val="6"/>
  </w:num>
  <w:num w:numId="9" w16cid:durableId="1673951660">
    <w:abstractNumId w:val="4"/>
  </w:num>
  <w:num w:numId="10" w16cid:durableId="759567493">
    <w:abstractNumId w:val="5"/>
  </w:num>
  <w:num w:numId="11" w16cid:durableId="194468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3284"/>
    <w:rsid w:val="00026A08"/>
    <w:rsid w:val="00033154"/>
    <w:rsid w:val="00033B21"/>
    <w:rsid w:val="00042048"/>
    <w:rsid w:val="00046BE5"/>
    <w:rsid w:val="000537DA"/>
    <w:rsid w:val="00053CCC"/>
    <w:rsid w:val="0005439A"/>
    <w:rsid w:val="0006313D"/>
    <w:rsid w:val="00070270"/>
    <w:rsid w:val="0009140C"/>
    <w:rsid w:val="000A1DE1"/>
    <w:rsid w:val="000B7D96"/>
    <w:rsid w:val="000D6E64"/>
    <w:rsid w:val="000F315B"/>
    <w:rsid w:val="0010001C"/>
    <w:rsid w:val="00104FFC"/>
    <w:rsid w:val="001125C0"/>
    <w:rsid w:val="00112A99"/>
    <w:rsid w:val="0015268B"/>
    <w:rsid w:val="00172C35"/>
    <w:rsid w:val="00177C77"/>
    <w:rsid w:val="0018083B"/>
    <w:rsid w:val="00181B5B"/>
    <w:rsid w:val="001875EA"/>
    <w:rsid w:val="001B6693"/>
    <w:rsid w:val="001C1253"/>
    <w:rsid w:val="001D78A8"/>
    <w:rsid w:val="001E2D97"/>
    <w:rsid w:val="00201D42"/>
    <w:rsid w:val="0021698C"/>
    <w:rsid w:val="00247B6D"/>
    <w:rsid w:val="00260D54"/>
    <w:rsid w:val="00276957"/>
    <w:rsid w:val="00276DCC"/>
    <w:rsid w:val="0028449E"/>
    <w:rsid w:val="002904F1"/>
    <w:rsid w:val="002A132F"/>
    <w:rsid w:val="002A656B"/>
    <w:rsid w:val="002C7B24"/>
    <w:rsid w:val="002D0517"/>
    <w:rsid w:val="002D1C21"/>
    <w:rsid w:val="00301022"/>
    <w:rsid w:val="00324A57"/>
    <w:rsid w:val="00362FE9"/>
    <w:rsid w:val="00363D4A"/>
    <w:rsid w:val="003702E5"/>
    <w:rsid w:val="003704AC"/>
    <w:rsid w:val="00375EAD"/>
    <w:rsid w:val="00385812"/>
    <w:rsid w:val="00385A64"/>
    <w:rsid w:val="00392D0B"/>
    <w:rsid w:val="00396019"/>
    <w:rsid w:val="003A7AFC"/>
    <w:rsid w:val="003C60EF"/>
    <w:rsid w:val="003D4822"/>
    <w:rsid w:val="003E0136"/>
    <w:rsid w:val="0041656B"/>
    <w:rsid w:val="00432E4E"/>
    <w:rsid w:val="004636BD"/>
    <w:rsid w:val="0046575D"/>
    <w:rsid w:val="004813AC"/>
    <w:rsid w:val="004B0D9D"/>
    <w:rsid w:val="004B37A0"/>
    <w:rsid w:val="004B5238"/>
    <w:rsid w:val="004B5CFB"/>
    <w:rsid w:val="004D6B39"/>
    <w:rsid w:val="004E0C3F"/>
    <w:rsid w:val="00512956"/>
    <w:rsid w:val="005222AE"/>
    <w:rsid w:val="00525DA6"/>
    <w:rsid w:val="00530145"/>
    <w:rsid w:val="005448AA"/>
    <w:rsid w:val="005757E1"/>
    <w:rsid w:val="00597625"/>
    <w:rsid w:val="005A231D"/>
    <w:rsid w:val="005B6BFE"/>
    <w:rsid w:val="005C23E0"/>
    <w:rsid w:val="005D08D3"/>
    <w:rsid w:val="00627F8F"/>
    <w:rsid w:val="0066354A"/>
    <w:rsid w:val="006849AE"/>
    <w:rsid w:val="00690B70"/>
    <w:rsid w:val="006A2685"/>
    <w:rsid w:val="006D06D9"/>
    <w:rsid w:val="006D77A6"/>
    <w:rsid w:val="00702109"/>
    <w:rsid w:val="00704DA7"/>
    <w:rsid w:val="007129D6"/>
    <w:rsid w:val="00713D01"/>
    <w:rsid w:val="0072610D"/>
    <w:rsid w:val="00757006"/>
    <w:rsid w:val="00775A1B"/>
    <w:rsid w:val="007918DC"/>
    <w:rsid w:val="007A1789"/>
    <w:rsid w:val="007B345D"/>
    <w:rsid w:val="007B3995"/>
    <w:rsid w:val="007B3F4B"/>
    <w:rsid w:val="007B70A2"/>
    <w:rsid w:val="007B71A4"/>
    <w:rsid w:val="007B7347"/>
    <w:rsid w:val="007D10F3"/>
    <w:rsid w:val="007D112E"/>
    <w:rsid w:val="007F3CDB"/>
    <w:rsid w:val="00811391"/>
    <w:rsid w:val="00843165"/>
    <w:rsid w:val="00847950"/>
    <w:rsid w:val="0085067B"/>
    <w:rsid w:val="00856821"/>
    <w:rsid w:val="00872D7E"/>
    <w:rsid w:val="008A3790"/>
    <w:rsid w:val="008E53F8"/>
    <w:rsid w:val="008F1F4B"/>
    <w:rsid w:val="00903AD7"/>
    <w:rsid w:val="00906AA1"/>
    <w:rsid w:val="009136BE"/>
    <w:rsid w:val="00921C76"/>
    <w:rsid w:val="00934E9D"/>
    <w:rsid w:val="009443EC"/>
    <w:rsid w:val="0094493E"/>
    <w:rsid w:val="009540EC"/>
    <w:rsid w:val="00956F43"/>
    <w:rsid w:val="00960470"/>
    <w:rsid w:val="009730E5"/>
    <w:rsid w:val="00984B4B"/>
    <w:rsid w:val="009908FF"/>
    <w:rsid w:val="009910F8"/>
    <w:rsid w:val="00995505"/>
    <w:rsid w:val="009A659F"/>
    <w:rsid w:val="009B1436"/>
    <w:rsid w:val="009B16AD"/>
    <w:rsid w:val="009B4E31"/>
    <w:rsid w:val="009B5C6E"/>
    <w:rsid w:val="009C1C36"/>
    <w:rsid w:val="009C4247"/>
    <w:rsid w:val="009C4428"/>
    <w:rsid w:val="009D48CD"/>
    <w:rsid w:val="009E34C4"/>
    <w:rsid w:val="00A004EF"/>
    <w:rsid w:val="00A05722"/>
    <w:rsid w:val="00A44F54"/>
    <w:rsid w:val="00A5531A"/>
    <w:rsid w:val="00A64B35"/>
    <w:rsid w:val="00A65101"/>
    <w:rsid w:val="00A860A5"/>
    <w:rsid w:val="00A90386"/>
    <w:rsid w:val="00A915E7"/>
    <w:rsid w:val="00AB3652"/>
    <w:rsid w:val="00AB6007"/>
    <w:rsid w:val="00AC7840"/>
    <w:rsid w:val="00AD3C6F"/>
    <w:rsid w:val="00AE34DD"/>
    <w:rsid w:val="00AE59C3"/>
    <w:rsid w:val="00AF1C61"/>
    <w:rsid w:val="00B0422F"/>
    <w:rsid w:val="00B16375"/>
    <w:rsid w:val="00B403BF"/>
    <w:rsid w:val="00B4BB40"/>
    <w:rsid w:val="00B515DB"/>
    <w:rsid w:val="00B608D9"/>
    <w:rsid w:val="00B652EC"/>
    <w:rsid w:val="00B668C5"/>
    <w:rsid w:val="00B9252B"/>
    <w:rsid w:val="00B95466"/>
    <w:rsid w:val="00B96301"/>
    <w:rsid w:val="00B97342"/>
    <w:rsid w:val="00BA4055"/>
    <w:rsid w:val="00BA7FB6"/>
    <w:rsid w:val="00BD4851"/>
    <w:rsid w:val="00BE5C1A"/>
    <w:rsid w:val="00BF4FAB"/>
    <w:rsid w:val="00BF6471"/>
    <w:rsid w:val="00C00042"/>
    <w:rsid w:val="00C20BFE"/>
    <w:rsid w:val="00C254B3"/>
    <w:rsid w:val="00C27C3F"/>
    <w:rsid w:val="00C32CE9"/>
    <w:rsid w:val="00C34D5C"/>
    <w:rsid w:val="00C352A1"/>
    <w:rsid w:val="00C431E0"/>
    <w:rsid w:val="00C46D29"/>
    <w:rsid w:val="00C64B97"/>
    <w:rsid w:val="00C7050B"/>
    <w:rsid w:val="00CA7166"/>
    <w:rsid w:val="00CB29E7"/>
    <w:rsid w:val="00CC1778"/>
    <w:rsid w:val="00CE2707"/>
    <w:rsid w:val="00CE4160"/>
    <w:rsid w:val="00CE575B"/>
    <w:rsid w:val="00CF35EA"/>
    <w:rsid w:val="00CF3DE8"/>
    <w:rsid w:val="00D0493F"/>
    <w:rsid w:val="00D107EF"/>
    <w:rsid w:val="00D30B60"/>
    <w:rsid w:val="00D5259D"/>
    <w:rsid w:val="00D56F91"/>
    <w:rsid w:val="00D70C50"/>
    <w:rsid w:val="00D8145E"/>
    <w:rsid w:val="00D8671C"/>
    <w:rsid w:val="00D8796E"/>
    <w:rsid w:val="00D91390"/>
    <w:rsid w:val="00DA57C3"/>
    <w:rsid w:val="00DA5890"/>
    <w:rsid w:val="00DA679C"/>
    <w:rsid w:val="00DC1CF3"/>
    <w:rsid w:val="00DC3855"/>
    <w:rsid w:val="00DD0844"/>
    <w:rsid w:val="00DE3C05"/>
    <w:rsid w:val="00E03BE8"/>
    <w:rsid w:val="00E12472"/>
    <w:rsid w:val="00E242A8"/>
    <w:rsid w:val="00E274B8"/>
    <w:rsid w:val="00E534B8"/>
    <w:rsid w:val="00E547EE"/>
    <w:rsid w:val="00E60D85"/>
    <w:rsid w:val="00E72707"/>
    <w:rsid w:val="00E84BE2"/>
    <w:rsid w:val="00E85BE8"/>
    <w:rsid w:val="00EA3A08"/>
    <w:rsid w:val="00F0586E"/>
    <w:rsid w:val="00F07FFB"/>
    <w:rsid w:val="00F10233"/>
    <w:rsid w:val="00F3503A"/>
    <w:rsid w:val="00F43932"/>
    <w:rsid w:val="00F63FBD"/>
    <w:rsid w:val="00FA575E"/>
    <w:rsid w:val="00FB544C"/>
    <w:rsid w:val="00FB5DBE"/>
    <w:rsid w:val="00FB7F42"/>
    <w:rsid w:val="00FC6B42"/>
    <w:rsid w:val="00FD6F01"/>
    <w:rsid w:val="00FD70F6"/>
    <w:rsid w:val="02597A9A"/>
    <w:rsid w:val="02725259"/>
    <w:rsid w:val="040613AA"/>
    <w:rsid w:val="046EF738"/>
    <w:rsid w:val="04F6D4AC"/>
    <w:rsid w:val="0596A49B"/>
    <w:rsid w:val="05AC2882"/>
    <w:rsid w:val="06A78192"/>
    <w:rsid w:val="06B28752"/>
    <w:rsid w:val="06C271AF"/>
    <w:rsid w:val="06E7C0D9"/>
    <w:rsid w:val="072CFFC3"/>
    <w:rsid w:val="074292B7"/>
    <w:rsid w:val="0836D9F7"/>
    <w:rsid w:val="086ACCFC"/>
    <w:rsid w:val="0892DEC5"/>
    <w:rsid w:val="08A4B583"/>
    <w:rsid w:val="08DCC7BC"/>
    <w:rsid w:val="096E908F"/>
    <w:rsid w:val="09BDAB18"/>
    <w:rsid w:val="09DF1EC1"/>
    <w:rsid w:val="09F8C854"/>
    <w:rsid w:val="0A894CD8"/>
    <w:rsid w:val="0A898866"/>
    <w:rsid w:val="0A99F4D6"/>
    <w:rsid w:val="0AB97CAA"/>
    <w:rsid w:val="0ADD2D90"/>
    <w:rsid w:val="0B35D76A"/>
    <w:rsid w:val="0BEBAFF1"/>
    <w:rsid w:val="0C25A5C8"/>
    <w:rsid w:val="0CADB086"/>
    <w:rsid w:val="0DB1D8E9"/>
    <w:rsid w:val="0E158BC9"/>
    <w:rsid w:val="0E63A28C"/>
    <w:rsid w:val="0EE88EA3"/>
    <w:rsid w:val="0F68B629"/>
    <w:rsid w:val="0FA59D0E"/>
    <w:rsid w:val="113E0B45"/>
    <w:rsid w:val="1140AA28"/>
    <w:rsid w:val="124EA764"/>
    <w:rsid w:val="127B3660"/>
    <w:rsid w:val="130F5F98"/>
    <w:rsid w:val="140A61C6"/>
    <w:rsid w:val="14B33099"/>
    <w:rsid w:val="14E8B16E"/>
    <w:rsid w:val="1603DEE4"/>
    <w:rsid w:val="17941EF8"/>
    <w:rsid w:val="18965D09"/>
    <w:rsid w:val="194044BA"/>
    <w:rsid w:val="199976FA"/>
    <w:rsid w:val="19BAA685"/>
    <w:rsid w:val="1B5E876E"/>
    <w:rsid w:val="1C711986"/>
    <w:rsid w:val="1C7E11E6"/>
    <w:rsid w:val="1D1CDB57"/>
    <w:rsid w:val="1DEB8E4D"/>
    <w:rsid w:val="1F5D4190"/>
    <w:rsid w:val="2018293C"/>
    <w:rsid w:val="20E9B17B"/>
    <w:rsid w:val="2150B0E5"/>
    <w:rsid w:val="21A56709"/>
    <w:rsid w:val="220BF53B"/>
    <w:rsid w:val="2284C853"/>
    <w:rsid w:val="23600C26"/>
    <w:rsid w:val="24FBDC87"/>
    <w:rsid w:val="25EBFE67"/>
    <w:rsid w:val="26143D87"/>
    <w:rsid w:val="2637B633"/>
    <w:rsid w:val="26A8C635"/>
    <w:rsid w:val="2925B15F"/>
    <w:rsid w:val="293E6F79"/>
    <w:rsid w:val="298884DE"/>
    <w:rsid w:val="29CF4DAA"/>
    <w:rsid w:val="29E20A23"/>
    <w:rsid w:val="2A7612F3"/>
    <w:rsid w:val="2B91F071"/>
    <w:rsid w:val="2BF7024F"/>
    <w:rsid w:val="2C3BE36C"/>
    <w:rsid w:val="2CB09000"/>
    <w:rsid w:val="2D06EE6C"/>
    <w:rsid w:val="2D105897"/>
    <w:rsid w:val="2D8D01B3"/>
    <w:rsid w:val="2EAD0CAE"/>
    <w:rsid w:val="2ECB12D1"/>
    <w:rsid w:val="2EE98D2C"/>
    <w:rsid w:val="2EF41EDC"/>
    <w:rsid w:val="2F8ACFC5"/>
    <w:rsid w:val="2FAF5258"/>
    <w:rsid w:val="2FCC68E7"/>
    <w:rsid w:val="303E8F2E"/>
    <w:rsid w:val="3092FEFF"/>
    <w:rsid w:val="318BF8C2"/>
    <w:rsid w:val="31D6EB56"/>
    <w:rsid w:val="32A413BD"/>
    <w:rsid w:val="32EBBB29"/>
    <w:rsid w:val="33025393"/>
    <w:rsid w:val="333C74F5"/>
    <w:rsid w:val="33B2B198"/>
    <w:rsid w:val="3573D1E9"/>
    <w:rsid w:val="36375719"/>
    <w:rsid w:val="36BB17C3"/>
    <w:rsid w:val="370FA24A"/>
    <w:rsid w:val="379F6C33"/>
    <w:rsid w:val="37E97D19"/>
    <w:rsid w:val="38446CDD"/>
    <w:rsid w:val="387E7054"/>
    <w:rsid w:val="38C3CE91"/>
    <w:rsid w:val="390AAA21"/>
    <w:rsid w:val="3A247394"/>
    <w:rsid w:val="3A6D566E"/>
    <w:rsid w:val="3AA8C4C3"/>
    <w:rsid w:val="3B7A4F53"/>
    <w:rsid w:val="3BC199B4"/>
    <w:rsid w:val="3D397491"/>
    <w:rsid w:val="3D6E6B04"/>
    <w:rsid w:val="3DB86C4A"/>
    <w:rsid w:val="3E3F6642"/>
    <w:rsid w:val="3E97F9B9"/>
    <w:rsid w:val="3EEA35B5"/>
    <w:rsid w:val="3F0BD63D"/>
    <w:rsid w:val="4156FA80"/>
    <w:rsid w:val="418F4486"/>
    <w:rsid w:val="42045979"/>
    <w:rsid w:val="4249D0EE"/>
    <w:rsid w:val="43317678"/>
    <w:rsid w:val="435D2432"/>
    <w:rsid w:val="453BFA3B"/>
    <w:rsid w:val="458901B4"/>
    <w:rsid w:val="463A6852"/>
    <w:rsid w:val="4717CCA0"/>
    <w:rsid w:val="48198907"/>
    <w:rsid w:val="4821B4EE"/>
    <w:rsid w:val="486783CC"/>
    <w:rsid w:val="48F11F90"/>
    <w:rsid w:val="49EDF993"/>
    <w:rsid w:val="4AED7AD7"/>
    <w:rsid w:val="4B35D157"/>
    <w:rsid w:val="4D06EBD5"/>
    <w:rsid w:val="4D4CC5E2"/>
    <w:rsid w:val="4E031003"/>
    <w:rsid w:val="4E031ACA"/>
    <w:rsid w:val="4E26D769"/>
    <w:rsid w:val="4E3AFF78"/>
    <w:rsid w:val="4EF85B81"/>
    <w:rsid w:val="4F818AFD"/>
    <w:rsid w:val="4F8E7222"/>
    <w:rsid w:val="4F99E2C5"/>
    <w:rsid w:val="515E782B"/>
    <w:rsid w:val="51A742F0"/>
    <w:rsid w:val="536F1AC0"/>
    <w:rsid w:val="541D63BA"/>
    <w:rsid w:val="5471DC1F"/>
    <w:rsid w:val="54C44BAB"/>
    <w:rsid w:val="54CCB916"/>
    <w:rsid w:val="557BD871"/>
    <w:rsid w:val="5631E94E"/>
    <w:rsid w:val="5645E0F8"/>
    <w:rsid w:val="5757CB79"/>
    <w:rsid w:val="57AC6D02"/>
    <w:rsid w:val="581D74E0"/>
    <w:rsid w:val="58E64CB4"/>
    <w:rsid w:val="58EF507A"/>
    <w:rsid w:val="590089BD"/>
    <w:rsid w:val="598701DC"/>
    <w:rsid w:val="5A7C5866"/>
    <w:rsid w:val="5A7E6BCB"/>
    <w:rsid w:val="5BF61ACA"/>
    <w:rsid w:val="5C7C4F50"/>
    <w:rsid w:val="5C901185"/>
    <w:rsid w:val="5CBEA29E"/>
    <w:rsid w:val="5F06B2F1"/>
    <w:rsid w:val="5F12B368"/>
    <w:rsid w:val="5F795933"/>
    <w:rsid w:val="5FC7B247"/>
    <w:rsid w:val="610DCC93"/>
    <w:rsid w:val="614A5A4B"/>
    <w:rsid w:val="61B954C3"/>
    <w:rsid w:val="621ED809"/>
    <w:rsid w:val="64569B88"/>
    <w:rsid w:val="64C94837"/>
    <w:rsid w:val="64FBAA33"/>
    <w:rsid w:val="653C4EDF"/>
    <w:rsid w:val="653D3ACC"/>
    <w:rsid w:val="6560DE8A"/>
    <w:rsid w:val="666ED158"/>
    <w:rsid w:val="6701D87D"/>
    <w:rsid w:val="67127C9B"/>
    <w:rsid w:val="676479D6"/>
    <w:rsid w:val="678CAE99"/>
    <w:rsid w:val="680AA1B9"/>
    <w:rsid w:val="699E9012"/>
    <w:rsid w:val="6A3E9A62"/>
    <w:rsid w:val="6A884A02"/>
    <w:rsid w:val="6AA9F55C"/>
    <w:rsid w:val="6B36113E"/>
    <w:rsid w:val="6B6C09C8"/>
    <w:rsid w:val="6C144EB4"/>
    <w:rsid w:val="6DA5E0DC"/>
    <w:rsid w:val="6E4BE7C1"/>
    <w:rsid w:val="6EB7D9F7"/>
    <w:rsid w:val="6FDD6A60"/>
    <w:rsid w:val="70B06197"/>
    <w:rsid w:val="70E9AFA2"/>
    <w:rsid w:val="71958E8E"/>
    <w:rsid w:val="71D29D7F"/>
    <w:rsid w:val="71F767B6"/>
    <w:rsid w:val="71FD67F2"/>
    <w:rsid w:val="726A6993"/>
    <w:rsid w:val="72B5EE01"/>
    <w:rsid w:val="72D04D70"/>
    <w:rsid w:val="7396DCE9"/>
    <w:rsid w:val="73E80259"/>
    <w:rsid w:val="746D32BC"/>
    <w:rsid w:val="7593DF9C"/>
    <w:rsid w:val="76217B4F"/>
    <w:rsid w:val="7768B3C2"/>
    <w:rsid w:val="7859869F"/>
    <w:rsid w:val="7863FE56"/>
    <w:rsid w:val="78F0F8C7"/>
    <w:rsid w:val="7929DE20"/>
    <w:rsid w:val="79737D80"/>
    <w:rsid w:val="79C85ECC"/>
    <w:rsid w:val="7A60E819"/>
    <w:rsid w:val="7A7565EE"/>
    <w:rsid w:val="7A8A4F24"/>
    <w:rsid w:val="7A8DE406"/>
    <w:rsid w:val="7A9E5B9E"/>
    <w:rsid w:val="7BD30D54"/>
    <w:rsid w:val="7BD4205E"/>
    <w:rsid w:val="7C5BAA17"/>
    <w:rsid w:val="7D5735A4"/>
    <w:rsid w:val="7D6E522A"/>
    <w:rsid w:val="7F16EC43"/>
    <w:rsid w:val="7FB3F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EE72FC73-60CF-4078-B042-24149AAB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Revision">
    <w:name w:val="Revision"/>
    <w:hidden/>
    <w:uiPriority w:val="99"/>
    <w:semiHidden/>
    <w:rsid w:val="009B5C6E"/>
    <w:rPr>
      <w:sz w:val="24"/>
    </w:rPr>
  </w:style>
  <w:style w:type="paragraph" w:customStyle="1" w:styleId="paragraph">
    <w:name w:val="paragraph"/>
    <w:basedOn w:val="Normal"/>
    <w:rsid w:val="009B4E31"/>
    <w:pPr>
      <w:spacing w:before="100" w:beforeAutospacing="1" w:after="100" w:afterAutospacing="1"/>
    </w:pPr>
    <w:rPr>
      <w:szCs w:val="24"/>
    </w:rPr>
  </w:style>
  <w:style w:type="character" w:customStyle="1" w:styleId="normaltextrun">
    <w:name w:val="normaltextrun"/>
    <w:basedOn w:val="DefaultParagraphFont"/>
    <w:rsid w:val="009B4E31"/>
  </w:style>
  <w:style w:type="character" w:customStyle="1" w:styleId="eop">
    <w:name w:val="eop"/>
    <w:basedOn w:val="DefaultParagraphFont"/>
    <w:rsid w:val="009B4E31"/>
  </w:style>
  <w:style w:type="paragraph" w:customStyle="1" w:styleId="xmsonormal">
    <w:name w:val="x_msonormal"/>
    <w:basedOn w:val="Normal"/>
    <w:rsid w:val="007B70A2"/>
    <w:pPr>
      <w:spacing w:before="100" w:beforeAutospacing="1" w:after="100" w:afterAutospacing="1"/>
    </w:pPr>
    <w:rPr>
      <w:szCs w:val="24"/>
    </w:rPr>
  </w:style>
  <w:style w:type="character" w:customStyle="1" w:styleId="x0ick">
    <w:name w:val="x0ick"/>
    <w:basedOn w:val="DefaultParagraphFont"/>
    <w:rsid w:val="007B70A2"/>
  </w:style>
  <w:style w:type="character" w:styleId="UnresolvedMention">
    <w:name w:val="Unresolved Mention"/>
    <w:basedOn w:val="DefaultParagraphFont"/>
    <w:uiPriority w:val="99"/>
    <w:semiHidden/>
    <w:unhideWhenUsed/>
    <w:rsid w:val="009A659F"/>
    <w:rPr>
      <w:color w:val="605E5C"/>
      <w:shd w:val="clear" w:color="auto" w:fill="E1DFDD"/>
    </w:rPr>
  </w:style>
  <w:style w:type="character" w:styleId="FollowedHyperlink">
    <w:name w:val="FollowedHyperlink"/>
    <w:basedOn w:val="DefaultParagraphFont"/>
    <w:rsid w:val="00AE34DD"/>
    <w:rPr>
      <w:color w:val="954F72" w:themeColor="followedHyperlink"/>
      <w:u w:val="single"/>
    </w:rPr>
  </w:style>
  <w:style w:type="character" w:styleId="CommentReference">
    <w:name w:val="annotation reference"/>
    <w:basedOn w:val="DefaultParagraphFont"/>
    <w:rsid w:val="00A5531A"/>
    <w:rPr>
      <w:sz w:val="16"/>
      <w:szCs w:val="16"/>
    </w:rPr>
  </w:style>
  <w:style w:type="paragraph" w:styleId="CommentText">
    <w:name w:val="annotation text"/>
    <w:basedOn w:val="Normal"/>
    <w:link w:val="CommentTextChar"/>
    <w:rsid w:val="00A5531A"/>
    <w:rPr>
      <w:sz w:val="20"/>
    </w:rPr>
  </w:style>
  <w:style w:type="character" w:customStyle="1" w:styleId="CommentTextChar">
    <w:name w:val="Comment Text Char"/>
    <w:basedOn w:val="DefaultParagraphFont"/>
    <w:link w:val="CommentText"/>
    <w:rsid w:val="00A5531A"/>
  </w:style>
  <w:style w:type="paragraph" w:styleId="CommentSubject">
    <w:name w:val="annotation subject"/>
    <w:basedOn w:val="CommentText"/>
    <w:next w:val="CommentText"/>
    <w:link w:val="CommentSubjectChar"/>
    <w:rsid w:val="00A5531A"/>
    <w:rPr>
      <w:b/>
      <w:bCs/>
    </w:rPr>
  </w:style>
  <w:style w:type="character" w:customStyle="1" w:styleId="CommentSubjectChar">
    <w:name w:val="Comment Subject Char"/>
    <w:basedOn w:val="CommentTextChar"/>
    <w:link w:val="CommentSubject"/>
    <w:rsid w:val="00A5531A"/>
    <w:rPr>
      <w:b/>
      <w:bCs/>
    </w:rPr>
  </w:style>
  <w:style w:type="character" w:styleId="Mention">
    <w:name w:val="Mention"/>
    <w:basedOn w:val="DefaultParagraphFont"/>
    <w:uiPriority w:val="99"/>
    <w:unhideWhenUsed/>
    <w:rsid w:val="0006313D"/>
    <w:rPr>
      <w:color w:val="2B579A"/>
      <w:shd w:val="clear" w:color="auto" w:fill="E6E6E6"/>
    </w:rPr>
  </w:style>
  <w:style w:type="paragraph" w:styleId="ListParagraph">
    <w:name w:val="List Paragraph"/>
    <w:basedOn w:val="Normal"/>
    <w:uiPriority w:val="34"/>
    <w:qFormat/>
    <w:rsid w:val="00D8796E"/>
    <w:pPr>
      <w:ind w:left="720"/>
      <w:contextualSpacing/>
    </w:pPr>
  </w:style>
  <w:style w:type="paragraph" w:styleId="Header">
    <w:name w:val="header"/>
    <w:basedOn w:val="Normal"/>
    <w:link w:val="HeaderChar"/>
    <w:rsid w:val="00C431E0"/>
    <w:pPr>
      <w:tabs>
        <w:tab w:val="center" w:pos="4680"/>
        <w:tab w:val="right" w:pos="9360"/>
      </w:tabs>
    </w:pPr>
  </w:style>
  <w:style w:type="character" w:customStyle="1" w:styleId="HeaderChar">
    <w:name w:val="Header Char"/>
    <w:basedOn w:val="DefaultParagraphFont"/>
    <w:link w:val="Header"/>
    <w:rsid w:val="00C431E0"/>
    <w:rPr>
      <w:sz w:val="24"/>
    </w:rPr>
  </w:style>
  <w:style w:type="paragraph" w:styleId="Footer">
    <w:name w:val="footer"/>
    <w:basedOn w:val="Normal"/>
    <w:link w:val="FooterChar"/>
    <w:rsid w:val="00C431E0"/>
    <w:pPr>
      <w:tabs>
        <w:tab w:val="center" w:pos="4680"/>
        <w:tab w:val="right" w:pos="9360"/>
      </w:tabs>
    </w:pPr>
  </w:style>
  <w:style w:type="character" w:customStyle="1" w:styleId="FooterChar">
    <w:name w:val="Footer Char"/>
    <w:basedOn w:val="DefaultParagraphFont"/>
    <w:link w:val="Footer"/>
    <w:rsid w:val="00C431E0"/>
    <w:rPr>
      <w:sz w:val="24"/>
    </w:rPr>
  </w:style>
  <w:style w:type="character" w:styleId="FootnoteReference">
    <w:name w:val="footnote reference"/>
    <w:basedOn w:val="DefaultParagraphFont"/>
    <w:uiPriority w:val="99"/>
    <w:unhideWhenUsed/>
    <w:rsid w:val="00C431E0"/>
    <w:rPr>
      <w:vertAlign w:val="superscript"/>
    </w:rPr>
  </w:style>
  <w:style w:type="character" w:customStyle="1" w:styleId="FootnoteTextChar">
    <w:name w:val="Footnote Text Char"/>
    <w:basedOn w:val="DefaultParagraphFont"/>
    <w:link w:val="FootnoteText"/>
    <w:uiPriority w:val="99"/>
    <w:rsid w:val="00C431E0"/>
  </w:style>
  <w:style w:type="paragraph" w:styleId="FootnoteText">
    <w:name w:val="footnote text"/>
    <w:basedOn w:val="Normal"/>
    <w:link w:val="FootnoteTextChar"/>
    <w:uiPriority w:val="99"/>
    <w:unhideWhenUsed/>
    <w:rsid w:val="00C431E0"/>
    <w:rPr>
      <w:sz w:val="20"/>
    </w:rPr>
  </w:style>
  <w:style w:type="character" w:customStyle="1" w:styleId="FootnoteTextChar1">
    <w:name w:val="Footnote Text Char1"/>
    <w:basedOn w:val="DefaultParagraphFont"/>
    <w:rsid w:val="00C4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1907608">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86523801">
      <w:bodyDiv w:val="1"/>
      <w:marLeft w:val="0"/>
      <w:marRight w:val="0"/>
      <w:marTop w:val="0"/>
      <w:marBottom w:val="0"/>
      <w:divBdr>
        <w:top w:val="none" w:sz="0" w:space="0" w:color="auto"/>
        <w:left w:val="none" w:sz="0" w:space="0" w:color="auto"/>
        <w:bottom w:val="none" w:sz="0" w:space="0" w:color="auto"/>
        <w:right w:val="none" w:sz="0" w:space="0" w:color="auto"/>
      </w:divBdr>
    </w:div>
    <w:div w:id="1024206686">
      <w:bodyDiv w:val="1"/>
      <w:marLeft w:val="0"/>
      <w:marRight w:val="0"/>
      <w:marTop w:val="0"/>
      <w:marBottom w:val="0"/>
      <w:divBdr>
        <w:top w:val="none" w:sz="0" w:space="0" w:color="auto"/>
        <w:left w:val="none" w:sz="0" w:space="0" w:color="auto"/>
        <w:bottom w:val="none" w:sz="0" w:space="0" w:color="auto"/>
        <w:right w:val="none" w:sz="0" w:space="0" w:color="auto"/>
      </w:divBdr>
      <w:divsChild>
        <w:div w:id="5595793">
          <w:marLeft w:val="0"/>
          <w:marRight w:val="0"/>
          <w:marTop w:val="0"/>
          <w:marBottom w:val="0"/>
          <w:divBdr>
            <w:top w:val="none" w:sz="0" w:space="0" w:color="auto"/>
            <w:left w:val="none" w:sz="0" w:space="0" w:color="auto"/>
            <w:bottom w:val="none" w:sz="0" w:space="0" w:color="auto"/>
            <w:right w:val="none" w:sz="0" w:space="0" w:color="auto"/>
          </w:divBdr>
        </w:div>
        <w:div w:id="10911381">
          <w:marLeft w:val="0"/>
          <w:marRight w:val="0"/>
          <w:marTop w:val="0"/>
          <w:marBottom w:val="0"/>
          <w:divBdr>
            <w:top w:val="none" w:sz="0" w:space="0" w:color="auto"/>
            <w:left w:val="none" w:sz="0" w:space="0" w:color="auto"/>
            <w:bottom w:val="none" w:sz="0" w:space="0" w:color="auto"/>
            <w:right w:val="none" w:sz="0" w:space="0" w:color="auto"/>
          </w:divBdr>
        </w:div>
        <w:div w:id="30496537">
          <w:marLeft w:val="0"/>
          <w:marRight w:val="0"/>
          <w:marTop w:val="0"/>
          <w:marBottom w:val="0"/>
          <w:divBdr>
            <w:top w:val="none" w:sz="0" w:space="0" w:color="auto"/>
            <w:left w:val="none" w:sz="0" w:space="0" w:color="auto"/>
            <w:bottom w:val="none" w:sz="0" w:space="0" w:color="auto"/>
            <w:right w:val="none" w:sz="0" w:space="0" w:color="auto"/>
          </w:divBdr>
        </w:div>
        <w:div w:id="35011666">
          <w:marLeft w:val="0"/>
          <w:marRight w:val="0"/>
          <w:marTop w:val="0"/>
          <w:marBottom w:val="0"/>
          <w:divBdr>
            <w:top w:val="none" w:sz="0" w:space="0" w:color="auto"/>
            <w:left w:val="none" w:sz="0" w:space="0" w:color="auto"/>
            <w:bottom w:val="none" w:sz="0" w:space="0" w:color="auto"/>
            <w:right w:val="none" w:sz="0" w:space="0" w:color="auto"/>
          </w:divBdr>
        </w:div>
        <w:div w:id="37899603">
          <w:marLeft w:val="0"/>
          <w:marRight w:val="0"/>
          <w:marTop w:val="0"/>
          <w:marBottom w:val="0"/>
          <w:divBdr>
            <w:top w:val="none" w:sz="0" w:space="0" w:color="auto"/>
            <w:left w:val="none" w:sz="0" w:space="0" w:color="auto"/>
            <w:bottom w:val="none" w:sz="0" w:space="0" w:color="auto"/>
            <w:right w:val="none" w:sz="0" w:space="0" w:color="auto"/>
          </w:divBdr>
        </w:div>
        <w:div w:id="77338020">
          <w:marLeft w:val="0"/>
          <w:marRight w:val="0"/>
          <w:marTop w:val="0"/>
          <w:marBottom w:val="0"/>
          <w:divBdr>
            <w:top w:val="none" w:sz="0" w:space="0" w:color="auto"/>
            <w:left w:val="none" w:sz="0" w:space="0" w:color="auto"/>
            <w:bottom w:val="none" w:sz="0" w:space="0" w:color="auto"/>
            <w:right w:val="none" w:sz="0" w:space="0" w:color="auto"/>
          </w:divBdr>
        </w:div>
        <w:div w:id="336156339">
          <w:marLeft w:val="0"/>
          <w:marRight w:val="0"/>
          <w:marTop w:val="0"/>
          <w:marBottom w:val="0"/>
          <w:divBdr>
            <w:top w:val="none" w:sz="0" w:space="0" w:color="auto"/>
            <w:left w:val="none" w:sz="0" w:space="0" w:color="auto"/>
            <w:bottom w:val="none" w:sz="0" w:space="0" w:color="auto"/>
            <w:right w:val="none" w:sz="0" w:space="0" w:color="auto"/>
          </w:divBdr>
        </w:div>
        <w:div w:id="442578480">
          <w:marLeft w:val="0"/>
          <w:marRight w:val="0"/>
          <w:marTop w:val="0"/>
          <w:marBottom w:val="0"/>
          <w:divBdr>
            <w:top w:val="none" w:sz="0" w:space="0" w:color="auto"/>
            <w:left w:val="none" w:sz="0" w:space="0" w:color="auto"/>
            <w:bottom w:val="none" w:sz="0" w:space="0" w:color="auto"/>
            <w:right w:val="none" w:sz="0" w:space="0" w:color="auto"/>
          </w:divBdr>
        </w:div>
        <w:div w:id="506332541">
          <w:marLeft w:val="0"/>
          <w:marRight w:val="0"/>
          <w:marTop w:val="0"/>
          <w:marBottom w:val="0"/>
          <w:divBdr>
            <w:top w:val="none" w:sz="0" w:space="0" w:color="auto"/>
            <w:left w:val="none" w:sz="0" w:space="0" w:color="auto"/>
            <w:bottom w:val="none" w:sz="0" w:space="0" w:color="auto"/>
            <w:right w:val="none" w:sz="0" w:space="0" w:color="auto"/>
          </w:divBdr>
        </w:div>
        <w:div w:id="649134616">
          <w:marLeft w:val="0"/>
          <w:marRight w:val="0"/>
          <w:marTop w:val="0"/>
          <w:marBottom w:val="0"/>
          <w:divBdr>
            <w:top w:val="none" w:sz="0" w:space="0" w:color="auto"/>
            <w:left w:val="none" w:sz="0" w:space="0" w:color="auto"/>
            <w:bottom w:val="none" w:sz="0" w:space="0" w:color="auto"/>
            <w:right w:val="none" w:sz="0" w:space="0" w:color="auto"/>
          </w:divBdr>
        </w:div>
        <w:div w:id="719324636">
          <w:marLeft w:val="0"/>
          <w:marRight w:val="0"/>
          <w:marTop w:val="0"/>
          <w:marBottom w:val="0"/>
          <w:divBdr>
            <w:top w:val="none" w:sz="0" w:space="0" w:color="auto"/>
            <w:left w:val="none" w:sz="0" w:space="0" w:color="auto"/>
            <w:bottom w:val="none" w:sz="0" w:space="0" w:color="auto"/>
            <w:right w:val="none" w:sz="0" w:space="0" w:color="auto"/>
          </w:divBdr>
        </w:div>
        <w:div w:id="786892974">
          <w:marLeft w:val="0"/>
          <w:marRight w:val="0"/>
          <w:marTop w:val="0"/>
          <w:marBottom w:val="0"/>
          <w:divBdr>
            <w:top w:val="none" w:sz="0" w:space="0" w:color="auto"/>
            <w:left w:val="none" w:sz="0" w:space="0" w:color="auto"/>
            <w:bottom w:val="none" w:sz="0" w:space="0" w:color="auto"/>
            <w:right w:val="none" w:sz="0" w:space="0" w:color="auto"/>
          </w:divBdr>
        </w:div>
        <w:div w:id="908149733">
          <w:marLeft w:val="0"/>
          <w:marRight w:val="0"/>
          <w:marTop w:val="0"/>
          <w:marBottom w:val="0"/>
          <w:divBdr>
            <w:top w:val="none" w:sz="0" w:space="0" w:color="auto"/>
            <w:left w:val="none" w:sz="0" w:space="0" w:color="auto"/>
            <w:bottom w:val="none" w:sz="0" w:space="0" w:color="auto"/>
            <w:right w:val="none" w:sz="0" w:space="0" w:color="auto"/>
          </w:divBdr>
        </w:div>
        <w:div w:id="916478044">
          <w:marLeft w:val="0"/>
          <w:marRight w:val="0"/>
          <w:marTop w:val="0"/>
          <w:marBottom w:val="0"/>
          <w:divBdr>
            <w:top w:val="none" w:sz="0" w:space="0" w:color="auto"/>
            <w:left w:val="none" w:sz="0" w:space="0" w:color="auto"/>
            <w:bottom w:val="none" w:sz="0" w:space="0" w:color="auto"/>
            <w:right w:val="none" w:sz="0" w:space="0" w:color="auto"/>
          </w:divBdr>
        </w:div>
        <w:div w:id="1050885778">
          <w:marLeft w:val="0"/>
          <w:marRight w:val="0"/>
          <w:marTop w:val="0"/>
          <w:marBottom w:val="0"/>
          <w:divBdr>
            <w:top w:val="none" w:sz="0" w:space="0" w:color="auto"/>
            <w:left w:val="none" w:sz="0" w:space="0" w:color="auto"/>
            <w:bottom w:val="none" w:sz="0" w:space="0" w:color="auto"/>
            <w:right w:val="none" w:sz="0" w:space="0" w:color="auto"/>
          </w:divBdr>
        </w:div>
        <w:div w:id="1181045987">
          <w:marLeft w:val="0"/>
          <w:marRight w:val="0"/>
          <w:marTop w:val="0"/>
          <w:marBottom w:val="0"/>
          <w:divBdr>
            <w:top w:val="none" w:sz="0" w:space="0" w:color="auto"/>
            <w:left w:val="none" w:sz="0" w:space="0" w:color="auto"/>
            <w:bottom w:val="none" w:sz="0" w:space="0" w:color="auto"/>
            <w:right w:val="none" w:sz="0" w:space="0" w:color="auto"/>
          </w:divBdr>
        </w:div>
        <w:div w:id="1226339179">
          <w:marLeft w:val="0"/>
          <w:marRight w:val="0"/>
          <w:marTop w:val="0"/>
          <w:marBottom w:val="0"/>
          <w:divBdr>
            <w:top w:val="none" w:sz="0" w:space="0" w:color="auto"/>
            <w:left w:val="none" w:sz="0" w:space="0" w:color="auto"/>
            <w:bottom w:val="none" w:sz="0" w:space="0" w:color="auto"/>
            <w:right w:val="none" w:sz="0" w:space="0" w:color="auto"/>
          </w:divBdr>
        </w:div>
        <w:div w:id="1249802135">
          <w:marLeft w:val="0"/>
          <w:marRight w:val="0"/>
          <w:marTop w:val="0"/>
          <w:marBottom w:val="0"/>
          <w:divBdr>
            <w:top w:val="none" w:sz="0" w:space="0" w:color="auto"/>
            <w:left w:val="none" w:sz="0" w:space="0" w:color="auto"/>
            <w:bottom w:val="none" w:sz="0" w:space="0" w:color="auto"/>
            <w:right w:val="none" w:sz="0" w:space="0" w:color="auto"/>
          </w:divBdr>
        </w:div>
        <w:div w:id="1385107911">
          <w:marLeft w:val="0"/>
          <w:marRight w:val="0"/>
          <w:marTop w:val="0"/>
          <w:marBottom w:val="0"/>
          <w:divBdr>
            <w:top w:val="none" w:sz="0" w:space="0" w:color="auto"/>
            <w:left w:val="none" w:sz="0" w:space="0" w:color="auto"/>
            <w:bottom w:val="none" w:sz="0" w:space="0" w:color="auto"/>
            <w:right w:val="none" w:sz="0" w:space="0" w:color="auto"/>
          </w:divBdr>
        </w:div>
        <w:div w:id="1448431438">
          <w:marLeft w:val="0"/>
          <w:marRight w:val="0"/>
          <w:marTop w:val="0"/>
          <w:marBottom w:val="0"/>
          <w:divBdr>
            <w:top w:val="none" w:sz="0" w:space="0" w:color="auto"/>
            <w:left w:val="none" w:sz="0" w:space="0" w:color="auto"/>
            <w:bottom w:val="none" w:sz="0" w:space="0" w:color="auto"/>
            <w:right w:val="none" w:sz="0" w:space="0" w:color="auto"/>
          </w:divBdr>
        </w:div>
        <w:div w:id="1491483977">
          <w:marLeft w:val="0"/>
          <w:marRight w:val="0"/>
          <w:marTop w:val="0"/>
          <w:marBottom w:val="0"/>
          <w:divBdr>
            <w:top w:val="none" w:sz="0" w:space="0" w:color="auto"/>
            <w:left w:val="none" w:sz="0" w:space="0" w:color="auto"/>
            <w:bottom w:val="none" w:sz="0" w:space="0" w:color="auto"/>
            <w:right w:val="none" w:sz="0" w:space="0" w:color="auto"/>
          </w:divBdr>
        </w:div>
        <w:div w:id="1916551238">
          <w:marLeft w:val="0"/>
          <w:marRight w:val="0"/>
          <w:marTop w:val="0"/>
          <w:marBottom w:val="0"/>
          <w:divBdr>
            <w:top w:val="none" w:sz="0" w:space="0" w:color="auto"/>
            <w:left w:val="none" w:sz="0" w:space="0" w:color="auto"/>
            <w:bottom w:val="none" w:sz="0" w:space="0" w:color="auto"/>
            <w:right w:val="none" w:sz="0" w:space="0" w:color="auto"/>
          </w:divBdr>
        </w:div>
        <w:div w:id="1950894377">
          <w:marLeft w:val="0"/>
          <w:marRight w:val="0"/>
          <w:marTop w:val="0"/>
          <w:marBottom w:val="0"/>
          <w:divBdr>
            <w:top w:val="none" w:sz="0" w:space="0" w:color="auto"/>
            <w:left w:val="none" w:sz="0" w:space="0" w:color="auto"/>
            <w:bottom w:val="none" w:sz="0" w:space="0" w:color="auto"/>
            <w:right w:val="none" w:sz="0" w:space="0" w:color="auto"/>
          </w:divBdr>
        </w:div>
        <w:div w:id="1978754958">
          <w:marLeft w:val="0"/>
          <w:marRight w:val="0"/>
          <w:marTop w:val="0"/>
          <w:marBottom w:val="0"/>
          <w:divBdr>
            <w:top w:val="none" w:sz="0" w:space="0" w:color="auto"/>
            <w:left w:val="none" w:sz="0" w:space="0" w:color="auto"/>
            <w:bottom w:val="none" w:sz="0" w:space="0" w:color="auto"/>
            <w:right w:val="none" w:sz="0" w:space="0" w:color="auto"/>
          </w:divBdr>
        </w:div>
      </w:divsChild>
    </w:div>
    <w:div w:id="1115369070">
      <w:bodyDiv w:val="1"/>
      <w:marLeft w:val="0"/>
      <w:marRight w:val="0"/>
      <w:marTop w:val="0"/>
      <w:marBottom w:val="0"/>
      <w:divBdr>
        <w:top w:val="none" w:sz="0" w:space="0" w:color="auto"/>
        <w:left w:val="none" w:sz="0" w:space="0" w:color="auto"/>
        <w:bottom w:val="none" w:sz="0" w:space="0" w:color="auto"/>
        <w:right w:val="none" w:sz="0" w:space="0" w:color="auto"/>
      </w:divBdr>
    </w:div>
    <w:div w:id="1190994305">
      <w:bodyDiv w:val="1"/>
      <w:marLeft w:val="0"/>
      <w:marRight w:val="0"/>
      <w:marTop w:val="0"/>
      <w:marBottom w:val="0"/>
      <w:divBdr>
        <w:top w:val="none" w:sz="0" w:space="0" w:color="auto"/>
        <w:left w:val="none" w:sz="0" w:space="0" w:color="auto"/>
        <w:bottom w:val="none" w:sz="0" w:space="0" w:color="auto"/>
        <w:right w:val="none" w:sz="0" w:space="0" w:color="auto"/>
      </w:divBdr>
      <w:divsChild>
        <w:div w:id="114566149">
          <w:marLeft w:val="0"/>
          <w:marRight w:val="0"/>
          <w:marTop w:val="0"/>
          <w:marBottom w:val="0"/>
          <w:divBdr>
            <w:top w:val="none" w:sz="0" w:space="0" w:color="auto"/>
            <w:left w:val="none" w:sz="0" w:space="0" w:color="auto"/>
            <w:bottom w:val="none" w:sz="0" w:space="0" w:color="auto"/>
            <w:right w:val="none" w:sz="0" w:space="0" w:color="auto"/>
          </w:divBdr>
        </w:div>
        <w:div w:id="340084907">
          <w:marLeft w:val="0"/>
          <w:marRight w:val="0"/>
          <w:marTop w:val="0"/>
          <w:marBottom w:val="0"/>
          <w:divBdr>
            <w:top w:val="none" w:sz="0" w:space="0" w:color="auto"/>
            <w:left w:val="none" w:sz="0" w:space="0" w:color="auto"/>
            <w:bottom w:val="none" w:sz="0" w:space="0" w:color="auto"/>
            <w:right w:val="none" w:sz="0" w:space="0" w:color="auto"/>
          </w:divBdr>
        </w:div>
        <w:div w:id="378558004">
          <w:marLeft w:val="0"/>
          <w:marRight w:val="0"/>
          <w:marTop w:val="0"/>
          <w:marBottom w:val="0"/>
          <w:divBdr>
            <w:top w:val="none" w:sz="0" w:space="0" w:color="auto"/>
            <w:left w:val="none" w:sz="0" w:space="0" w:color="auto"/>
            <w:bottom w:val="none" w:sz="0" w:space="0" w:color="auto"/>
            <w:right w:val="none" w:sz="0" w:space="0" w:color="auto"/>
          </w:divBdr>
        </w:div>
        <w:div w:id="550388736">
          <w:marLeft w:val="0"/>
          <w:marRight w:val="0"/>
          <w:marTop w:val="0"/>
          <w:marBottom w:val="0"/>
          <w:divBdr>
            <w:top w:val="none" w:sz="0" w:space="0" w:color="auto"/>
            <w:left w:val="none" w:sz="0" w:space="0" w:color="auto"/>
            <w:bottom w:val="none" w:sz="0" w:space="0" w:color="auto"/>
            <w:right w:val="none" w:sz="0" w:space="0" w:color="auto"/>
          </w:divBdr>
        </w:div>
        <w:div w:id="876620288">
          <w:marLeft w:val="0"/>
          <w:marRight w:val="0"/>
          <w:marTop w:val="0"/>
          <w:marBottom w:val="0"/>
          <w:divBdr>
            <w:top w:val="none" w:sz="0" w:space="0" w:color="auto"/>
            <w:left w:val="none" w:sz="0" w:space="0" w:color="auto"/>
            <w:bottom w:val="none" w:sz="0" w:space="0" w:color="auto"/>
            <w:right w:val="none" w:sz="0" w:space="0" w:color="auto"/>
          </w:divBdr>
        </w:div>
        <w:div w:id="1341857368">
          <w:marLeft w:val="0"/>
          <w:marRight w:val="0"/>
          <w:marTop w:val="0"/>
          <w:marBottom w:val="0"/>
          <w:divBdr>
            <w:top w:val="none" w:sz="0" w:space="0" w:color="auto"/>
            <w:left w:val="none" w:sz="0" w:space="0" w:color="auto"/>
            <w:bottom w:val="none" w:sz="0" w:space="0" w:color="auto"/>
            <w:right w:val="none" w:sz="0" w:space="0" w:color="auto"/>
          </w:divBdr>
        </w:div>
        <w:div w:id="1570925297">
          <w:marLeft w:val="0"/>
          <w:marRight w:val="0"/>
          <w:marTop w:val="0"/>
          <w:marBottom w:val="0"/>
          <w:divBdr>
            <w:top w:val="none" w:sz="0" w:space="0" w:color="auto"/>
            <w:left w:val="none" w:sz="0" w:space="0" w:color="auto"/>
            <w:bottom w:val="none" w:sz="0" w:space="0" w:color="auto"/>
            <w:right w:val="none" w:sz="0" w:space="0" w:color="auto"/>
          </w:divBdr>
        </w:div>
        <w:div w:id="1610892591">
          <w:marLeft w:val="0"/>
          <w:marRight w:val="0"/>
          <w:marTop w:val="0"/>
          <w:marBottom w:val="0"/>
          <w:divBdr>
            <w:top w:val="none" w:sz="0" w:space="0" w:color="auto"/>
            <w:left w:val="none" w:sz="0" w:space="0" w:color="auto"/>
            <w:bottom w:val="none" w:sz="0" w:space="0" w:color="auto"/>
            <w:right w:val="none" w:sz="0" w:space="0" w:color="auto"/>
          </w:divBdr>
        </w:div>
        <w:div w:id="1759986813">
          <w:marLeft w:val="0"/>
          <w:marRight w:val="0"/>
          <w:marTop w:val="0"/>
          <w:marBottom w:val="0"/>
          <w:divBdr>
            <w:top w:val="none" w:sz="0" w:space="0" w:color="auto"/>
            <w:left w:val="none" w:sz="0" w:space="0" w:color="auto"/>
            <w:bottom w:val="none" w:sz="0" w:space="0" w:color="auto"/>
            <w:right w:val="none" w:sz="0" w:space="0" w:color="auto"/>
          </w:divBdr>
        </w:div>
        <w:div w:id="1810979185">
          <w:marLeft w:val="0"/>
          <w:marRight w:val="0"/>
          <w:marTop w:val="0"/>
          <w:marBottom w:val="0"/>
          <w:divBdr>
            <w:top w:val="none" w:sz="0" w:space="0" w:color="auto"/>
            <w:left w:val="none" w:sz="0" w:space="0" w:color="auto"/>
            <w:bottom w:val="none" w:sz="0" w:space="0" w:color="auto"/>
            <w:right w:val="none" w:sz="0" w:space="0" w:color="auto"/>
          </w:divBdr>
        </w:div>
        <w:div w:id="202416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ss.gov/info-details/respiratory-illness-repor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covid-19-public-health-guidance-and-directiv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newsroom/fact-sheets/fy-2025-hospital-inpatient-prospective-payment-system-ipps-and-long-term-care-hospital-prospec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04dc79-df90-4006-86da-36df477002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1515AD27FAEC47B738952B354E4571" ma:contentTypeVersion="15" ma:contentTypeDescription="Create a new document." ma:contentTypeScope="" ma:versionID="c2f47f708bfe9b971426b785fff82330">
  <xsd:schema xmlns:xsd="http://www.w3.org/2001/XMLSchema" xmlns:xs="http://www.w3.org/2001/XMLSchema" xmlns:p="http://schemas.microsoft.com/office/2006/metadata/properties" xmlns:ns3="f504dc79-df90-4006-86da-36df47700221" xmlns:ns4="fbb578ec-86a1-422c-84b9-ab288c347c50" targetNamespace="http://schemas.microsoft.com/office/2006/metadata/properties" ma:root="true" ma:fieldsID="4e5a6054a98a1eb2aab1505ad98dc6c4" ns3:_="" ns4:_="">
    <xsd:import namespace="f504dc79-df90-4006-86da-36df47700221"/>
    <xsd:import namespace="fbb578ec-86a1-422c-84b9-ab288c347c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4dc79-df90-4006-86da-36df4770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b578ec-86a1-422c-84b9-ab288c347c5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f504dc79-df90-4006-86da-36df47700221"/>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156C2AF7-3BD6-4586-8D0B-D8CEF3894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4dc79-df90-4006-86da-36df47700221"/>
    <ds:schemaRef ds:uri="fbb578ec-86a1-422c-84b9-ab288c347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2</TotalTime>
  <Pages>3</Pages>
  <Words>801</Words>
  <Characters>5018</Characters>
  <Application>Microsoft Office Word</Application>
  <DocSecurity>0</DocSecurity>
  <Lines>41</Lines>
  <Paragraphs>11</Paragraphs>
  <ScaleCrop>false</ScaleCrop>
  <Company>Commonwealth of Massachusetts</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dc:creator>
  <cp:keywords/>
  <cp:lastModifiedBy>Katherine Fillo</cp:lastModifiedBy>
  <cp:revision>2</cp:revision>
  <cp:lastPrinted>2015-01-29T20:50:00Z</cp:lastPrinted>
  <dcterms:created xsi:type="dcterms:W3CDTF">2024-05-03T15:30:00Z</dcterms:created>
  <dcterms:modified xsi:type="dcterms:W3CDTF">2024-05-03T15:30:00Z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0x0101007F1515AD27FAEC47B738952B354E4571</vt:lpwstr>
  </property>
</Properties>
</file>