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Pr="00694805" w:rsidRDefault="00900E67" w:rsidP="00900E67">
      <w:pPr>
        <w:jc w:val="center"/>
        <w:rPr>
          <w:rFonts w:ascii="Arial" w:hAnsi="Arial" w:cs="Arial"/>
          <w:sz w:val="24"/>
          <w:szCs w:val="24"/>
        </w:rPr>
      </w:pPr>
      <w:r w:rsidRPr="00694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694805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Toc166848823"/>
      <w:r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Clarifications, Technical </w:t>
      </w:r>
      <w:r w:rsidR="00900E67" w:rsidRPr="00694805">
        <w:rPr>
          <w:rFonts w:ascii="Arial" w:hAnsi="Arial" w:cs="Arial"/>
          <w:b/>
          <w:bCs/>
          <w:color w:val="002060"/>
          <w:sz w:val="24"/>
          <w:szCs w:val="24"/>
        </w:rPr>
        <w:t>Corrections</w:t>
      </w:r>
      <w:r w:rsidR="53E7D088" w:rsidRPr="00694805">
        <w:rPr>
          <w:rFonts w:ascii="Arial" w:hAnsi="Arial" w:cs="Arial"/>
          <w:b/>
          <w:bCs/>
          <w:color w:val="002060"/>
          <w:sz w:val="24"/>
          <w:szCs w:val="24"/>
        </w:rPr>
        <w:t>,</w:t>
      </w:r>
      <w:r w:rsidR="004557D2"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900E67"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and Policy Changes </w:t>
      </w:r>
    </w:p>
    <w:p w14:paraId="7DF17F19" w14:textId="6B041656" w:rsidR="008E53B1" w:rsidRPr="00694805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to </w:t>
      </w:r>
      <w:r w:rsidR="701C7240" w:rsidRPr="00694805">
        <w:rPr>
          <w:rFonts w:ascii="Arial" w:hAnsi="Arial" w:cs="Arial"/>
          <w:b/>
          <w:bCs/>
          <w:color w:val="002060"/>
          <w:sz w:val="24"/>
          <w:szCs w:val="24"/>
        </w:rPr>
        <w:t>the Technical</w:t>
      </w:r>
      <w:r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 Specifications for</w:t>
      </w:r>
      <w:r w:rsidR="00900E67"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8E53B1" w:rsidRPr="00694805">
        <w:rPr>
          <w:rFonts w:ascii="Arial" w:hAnsi="Arial" w:cs="Arial"/>
          <w:b/>
          <w:bCs/>
          <w:color w:val="002060"/>
          <w:sz w:val="24"/>
          <w:szCs w:val="24"/>
        </w:rPr>
        <w:t>the</w:t>
      </w:r>
    </w:p>
    <w:p w14:paraId="1EAE19B0" w14:textId="12D69997" w:rsidR="0087545A" w:rsidRPr="00694805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MassHealth </w:t>
      </w:r>
      <w:r w:rsidR="00C4361F" w:rsidRPr="00694805">
        <w:rPr>
          <w:rFonts w:ascii="Arial" w:hAnsi="Arial" w:cs="Arial"/>
          <w:b/>
          <w:bCs/>
          <w:color w:val="002060"/>
          <w:sz w:val="24"/>
          <w:szCs w:val="24"/>
        </w:rPr>
        <w:t>M</w:t>
      </w:r>
      <w:r w:rsidR="00427DB1"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anaged Behavioral Health Vendor </w:t>
      </w:r>
      <w:r w:rsidR="00F85D52"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(MBHV) </w:t>
      </w:r>
      <w:r w:rsidRPr="00694805">
        <w:rPr>
          <w:rFonts w:ascii="Arial" w:hAnsi="Arial" w:cs="Arial"/>
          <w:b/>
          <w:bCs/>
          <w:color w:val="002060"/>
          <w:sz w:val="24"/>
          <w:szCs w:val="24"/>
        </w:rPr>
        <w:t xml:space="preserve">Quality and Equity Incentive Program </w:t>
      </w:r>
      <w:r w:rsidR="00F85D52" w:rsidRPr="00694805">
        <w:rPr>
          <w:rFonts w:ascii="Arial" w:hAnsi="Arial" w:cs="Arial"/>
          <w:b/>
          <w:bCs/>
          <w:color w:val="002060"/>
          <w:sz w:val="24"/>
          <w:szCs w:val="24"/>
        </w:rPr>
        <w:t>(MBHV-QEIP)</w:t>
      </w:r>
    </w:p>
    <w:p w14:paraId="6B0E2AEC" w14:textId="0CD9E836" w:rsidR="0087545A" w:rsidRPr="00694805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694805">
        <w:rPr>
          <w:rFonts w:ascii="Arial" w:hAnsi="Arial" w:cs="Arial"/>
          <w:b/>
          <w:bCs/>
          <w:color w:val="002060"/>
          <w:sz w:val="24"/>
          <w:szCs w:val="24"/>
        </w:rPr>
        <w:t>Performance Year 2</w:t>
      </w:r>
    </w:p>
    <w:p w14:paraId="0B0F94A1" w14:textId="228771BF" w:rsidR="00D44292" w:rsidRPr="00694805" w:rsidRDefault="00D44292" w:rsidP="00D4429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49A549" w14:textId="1B5621BA" w:rsidR="006A1000" w:rsidRPr="00694805" w:rsidRDefault="00900E67" w:rsidP="00D44292">
      <w:pPr>
        <w:rPr>
          <w:rFonts w:ascii="Arial" w:hAnsi="Arial" w:cs="Arial"/>
          <w:color w:val="000000" w:themeColor="text1"/>
          <w:sz w:val="24"/>
          <w:szCs w:val="24"/>
        </w:rPr>
      </w:pPr>
      <w:r w:rsidRPr="00694805">
        <w:rPr>
          <w:rFonts w:ascii="Arial" w:hAnsi="Arial" w:cs="Arial"/>
          <w:color w:val="000000" w:themeColor="text1"/>
          <w:sz w:val="24"/>
          <w:szCs w:val="24"/>
        </w:rPr>
        <w:t xml:space="preserve">This document </w:t>
      </w:r>
      <w:r w:rsidR="000A27BC" w:rsidRPr="00694805">
        <w:rPr>
          <w:rFonts w:ascii="Arial" w:hAnsi="Arial" w:cs="Arial"/>
          <w:color w:val="000000" w:themeColor="text1"/>
          <w:sz w:val="24"/>
          <w:szCs w:val="24"/>
        </w:rPr>
        <w:t xml:space="preserve">outlines </w:t>
      </w:r>
      <w:r w:rsidR="3B0EA2D3" w:rsidRPr="00694805">
        <w:rPr>
          <w:rFonts w:ascii="Arial" w:hAnsi="Arial" w:cs="Arial"/>
          <w:color w:val="000000" w:themeColor="text1"/>
          <w:sz w:val="24"/>
          <w:szCs w:val="24"/>
        </w:rPr>
        <w:t xml:space="preserve">clarifications, technical </w:t>
      </w:r>
      <w:r w:rsidRPr="00694805">
        <w:rPr>
          <w:rFonts w:ascii="Arial" w:hAnsi="Arial" w:cs="Arial"/>
          <w:color w:val="000000" w:themeColor="text1"/>
          <w:sz w:val="24"/>
          <w:szCs w:val="24"/>
        </w:rPr>
        <w:t>corrections</w:t>
      </w:r>
      <w:r w:rsidR="04B64386" w:rsidRPr="00694805">
        <w:rPr>
          <w:rFonts w:ascii="Arial" w:hAnsi="Arial" w:cs="Arial"/>
          <w:color w:val="000000" w:themeColor="text1"/>
          <w:sz w:val="24"/>
          <w:szCs w:val="24"/>
        </w:rPr>
        <w:t>,</w:t>
      </w:r>
      <w:r w:rsidR="004557D2" w:rsidRPr="006948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4805">
        <w:rPr>
          <w:rFonts w:ascii="Arial" w:hAnsi="Arial" w:cs="Arial"/>
          <w:color w:val="000000" w:themeColor="text1"/>
          <w:sz w:val="24"/>
          <w:szCs w:val="24"/>
        </w:rPr>
        <w:t xml:space="preserve">and policy </w:t>
      </w:r>
      <w:r w:rsidR="00040A48" w:rsidRPr="00694805">
        <w:rPr>
          <w:rFonts w:ascii="Arial" w:hAnsi="Arial" w:cs="Arial"/>
          <w:color w:val="000000" w:themeColor="text1"/>
          <w:sz w:val="24"/>
          <w:szCs w:val="24"/>
        </w:rPr>
        <w:t>changes to the</w:t>
      </w:r>
      <w:r w:rsidRPr="006948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A48" w:rsidRPr="00694805">
        <w:rPr>
          <w:rFonts w:ascii="Arial" w:hAnsi="Arial" w:cs="Arial"/>
          <w:color w:val="000000" w:themeColor="text1"/>
          <w:sz w:val="24"/>
          <w:szCs w:val="24"/>
        </w:rPr>
        <w:t xml:space="preserve">Technical Specifications for </w:t>
      </w:r>
      <w:r w:rsidR="000A27BC" w:rsidRPr="00694805">
        <w:rPr>
          <w:rFonts w:ascii="Arial" w:hAnsi="Arial" w:cs="Arial"/>
          <w:color w:val="000000" w:themeColor="text1"/>
          <w:sz w:val="24"/>
          <w:szCs w:val="24"/>
        </w:rPr>
        <w:t>Performance Year</w:t>
      </w:r>
      <w:r w:rsidR="00702FD3" w:rsidRPr="00694805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0A27BC" w:rsidRPr="00694805">
        <w:rPr>
          <w:rFonts w:ascii="Arial" w:hAnsi="Arial" w:cs="Arial"/>
          <w:color w:val="000000" w:themeColor="text1"/>
          <w:sz w:val="24"/>
          <w:szCs w:val="24"/>
        </w:rPr>
        <w:t xml:space="preserve"> (PY2) </w:t>
      </w:r>
      <w:r w:rsidR="002C4109" w:rsidRPr="00694805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040A48" w:rsidRPr="00694805">
        <w:rPr>
          <w:rFonts w:ascii="Arial" w:hAnsi="Arial" w:cs="Arial"/>
          <w:color w:val="000000" w:themeColor="text1"/>
          <w:sz w:val="24"/>
          <w:szCs w:val="24"/>
        </w:rPr>
        <w:t xml:space="preserve">the MassHealth </w:t>
      </w:r>
      <w:r w:rsidR="00C4361F" w:rsidRPr="00694805">
        <w:rPr>
          <w:rFonts w:ascii="Arial" w:hAnsi="Arial" w:cs="Arial"/>
          <w:color w:val="000000" w:themeColor="text1"/>
          <w:sz w:val="24"/>
          <w:szCs w:val="24"/>
        </w:rPr>
        <w:t>M</w:t>
      </w:r>
      <w:r w:rsidR="00427DB1" w:rsidRPr="00694805">
        <w:rPr>
          <w:rFonts w:ascii="Arial" w:hAnsi="Arial" w:cs="Arial"/>
          <w:color w:val="000000" w:themeColor="text1"/>
          <w:sz w:val="24"/>
          <w:szCs w:val="24"/>
        </w:rPr>
        <w:t>BHV</w:t>
      </w:r>
      <w:r w:rsidR="007326C7" w:rsidRPr="006948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4805">
        <w:rPr>
          <w:rFonts w:ascii="Arial" w:hAnsi="Arial" w:cs="Arial"/>
          <w:color w:val="000000" w:themeColor="text1"/>
          <w:sz w:val="24"/>
          <w:szCs w:val="24"/>
        </w:rPr>
        <w:t>Quality and Equity Incentives Program</w:t>
      </w:r>
      <w:r w:rsidR="00611017" w:rsidRPr="0069480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C4361F" w:rsidRPr="00694805">
        <w:rPr>
          <w:rFonts w:ascii="Arial" w:hAnsi="Arial" w:cs="Arial"/>
          <w:color w:val="000000" w:themeColor="text1"/>
          <w:sz w:val="24"/>
          <w:szCs w:val="24"/>
        </w:rPr>
        <w:t>M</w:t>
      </w:r>
      <w:r w:rsidR="00F85D52" w:rsidRPr="00694805">
        <w:rPr>
          <w:rFonts w:ascii="Arial" w:hAnsi="Arial" w:cs="Arial"/>
          <w:color w:val="000000" w:themeColor="text1"/>
          <w:sz w:val="24"/>
          <w:szCs w:val="24"/>
        </w:rPr>
        <w:t>BHV-</w:t>
      </w:r>
      <w:r w:rsidR="00611017" w:rsidRPr="00694805">
        <w:rPr>
          <w:rFonts w:ascii="Arial" w:hAnsi="Arial" w:cs="Arial"/>
          <w:color w:val="000000" w:themeColor="text1"/>
          <w:sz w:val="24"/>
          <w:szCs w:val="24"/>
        </w:rPr>
        <w:t>QEIP)</w:t>
      </w:r>
      <w:r w:rsidRPr="0069480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44292" w:rsidRPr="00694805">
        <w:rPr>
          <w:rFonts w:ascii="Arial" w:hAnsi="Arial" w:cs="Arial"/>
          <w:color w:val="000000" w:themeColor="text1"/>
          <w:sz w:val="24"/>
          <w:szCs w:val="24"/>
        </w:rPr>
        <w:t xml:space="preserve">Updates are incorporated into the change log table below. </w:t>
      </w:r>
    </w:p>
    <w:p w14:paraId="4ABBDDE5" w14:textId="4B6ADF42" w:rsidR="00B75291" w:rsidRPr="00694805" w:rsidRDefault="00B75291" w:rsidP="4CB88954">
      <w:pPr>
        <w:rPr>
          <w:rFonts w:ascii="Arial" w:hAnsi="Arial" w:cs="Arial"/>
          <w:color w:val="000000" w:themeColor="text1"/>
          <w:sz w:val="24"/>
          <w:szCs w:val="24"/>
        </w:rPr>
      </w:pPr>
      <w:r w:rsidRPr="00694805">
        <w:rPr>
          <w:rFonts w:ascii="Arial" w:hAnsi="Arial" w:cs="Arial"/>
          <w:color w:val="000000" w:themeColor="text1"/>
          <w:sz w:val="24"/>
          <w:szCs w:val="24"/>
        </w:rPr>
        <w:t>MassHealth’s working definition</w:t>
      </w:r>
      <w:r w:rsidR="002C4109" w:rsidRPr="00694805">
        <w:rPr>
          <w:rFonts w:ascii="Arial" w:hAnsi="Arial" w:cs="Arial"/>
          <w:color w:val="000000" w:themeColor="text1"/>
          <w:sz w:val="24"/>
          <w:szCs w:val="24"/>
        </w:rPr>
        <w:t>s</w:t>
      </w:r>
      <w:r w:rsidRPr="00694805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6BA86436" w:rsidRPr="00694805">
        <w:rPr>
          <w:rFonts w:ascii="Arial" w:hAnsi="Arial" w:cs="Arial"/>
          <w:color w:val="000000" w:themeColor="text1"/>
          <w:sz w:val="24"/>
          <w:szCs w:val="24"/>
        </w:rPr>
        <w:t xml:space="preserve">clarification, </w:t>
      </w:r>
      <w:r w:rsidR="00EF6E1D" w:rsidRPr="00694805">
        <w:rPr>
          <w:rFonts w:ascii="Arial" w:hAnsi="Arial" w:cs="Arial"/>
          <w:color w:val="000000" w:themeColor="text1"/>
          <w:sz w:val="24"/>
          <w:szCs w:val="24"/>
        </w:rPr>
        <w:t xml:space="preserve">technical </w:t>
      </w:r>
      <w:r w:rsidRPr="00694805">
        <w:rPr>
          <w:rFonts w:ascii="Arial" w:hAnsi="Arial" w:cs="Arial"/>
          <w:color w:val="000000" w:themeColor="text1"/>
          <w:sz w:val="24"/>
          <w:szCs w:val="24"/>
        </w:rPr>
        <w:t>correction</w:t>
      </w:r>
      <w:r w:rsidR="002C4109" w:rsidRPr="006948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4805">
        <w:rPr>
          <w:rFonts w:ascii="Arial" w:hAnsi="Arial" w:cs="Arial"/>
          <w:color w:val="000000" w:themeColor="text1"/>
          <w:sz w:val="24"/>
          <w:szCs w:val="24"/>
        </w:rPr>
        <w:t>and policy changes are as follows:</w:t>
      </w:r>
    </w:p>
    <w:p w14:paraId="529D676D" w14:textId="75082579" w:rsidR="1A92BC77" w:rsidRPr="00694805" w:rsidRDefault="1A92BC77" w:rsidP="4CB88954">
      <w:pPr>
        <w:ind w:firstLine="720"/>
        <w:rPr>
          <w:rFonts w:ascii="Arial" w:eastAsia="Arial" w:hAnsi="Arial" w:cs="Arial"/>
          <w:sz w:val="24"/>
          <w:szCs w:val="24"/>
        </w:rPr>
      </w:pPr>
      <w:r w:rsidRPr="00694805">
        <w:rPr>
          <w:rFonts w:ascii="Arial" w:eastAsia="Arial" w:hAnsi="Arial" w:cs="Arial"/>
          <w:b/>
          <w:bCs/>
          <w:sz w:val="24"/>
          <w:szCs w:val="24"/>
        </w:rPr>
        <w:t>Clarification</w:t>
      </w:r>
      <w:r w:rsidRPr="00694805">
        <w:rPr>
          <w:rFonts w:ascii="Arial" w:eastAsia="Arial" w:hAnsi="Arial" w:cs="Arial"/>
          <w:sz w:val="24"/>
          <w:szCs w:val="24"/>
        </w:rPr>
        <w:t xml:space="preserve"> is additional information that explains an existing requirement</w:t>
      </w:r>
      <w:r w:rsidR="6233C127" w:rsidRPr="00694805">
        <w:rPr>
          <w:rFonts w:ascii="Arial" w:eastAsia="Arial" w:hAnsi="Arial" w:cs="Arial"/>
          <w:sz w:val="24"/>
          <w:szCs w:val="24"/>
        </w:rPr>
        <w:t>.</w:t>
      </w:r>
    </w:p>
    <w:p w14:paraId="63FC9A23" w14:textId="40CC968A" w:rsidR="0044507C" w:rsidRPr="00694805" w:rsidRDefault="0044507C" w:rsidP="4CB88954">
      <w:pPr>
        <w:ind w:firstLine="720"/>
        <w:rPr>
          <w:rFonts w:ascii="Arial" w:eastAsia="Arial" w:hAnsi="Arial" w:cs="Arial"/>
          <w:sz w:val="24"/>
          <w:szCs w:val="24"/>
        </w:rPr>
      </w:pPr>
      <w:r w:rsidRPr="00694805">
        <w:rPr>
          <w:rFonts w:ascii="Arial" w:hAnsi="Arial" w:cs="Arial"/>
          <w:b/>
          <w:bCs/>
          <w:sz w:val="24"/>
          <w:szCs w:val="24"/>
        </w:rPr>
        <w:t xml:space="preserve">Technical </w:t>
      </w:r>
      <w:r w:rsidR="00D44292" w:rsidRPr="00694805">
        <w:rPr>
          <w:rFonts w:ascii="Arial" w:hAnsi="Arial" w:cs="Arial"/>
          <w:b/>
          <w:bCs/>
          <w:sz w:val="24"/>
          <w:szCs w:val="24"/>
        </w:rPr>
        <w:t xml:space="preserve">Correction </w:t>
      </w:r>
      <w:r w:rsidR="00D44292" w:rsidRPr="00694805">
        <w:rPr>
          <w:rFonts w:ascii="Arial" w:hAnsi="Arial" w:cs="Arial"/>
          <w:sz w:val="24"/>
          <w:szCs w:val="24"/>
        </w:rPr>
        <w:t>is a change made to rectify an error in the technical specification</w:t>
      </w:r>
      <w:r w:rsidR="27AB41D5" w:rsidRPr="00694805">
        <w:rPr>
          <w:rFonts w:ascii="Arial" w:hAnsi="Arial" w:cs="Arial"/>
          <w:sz w:val="24"/>
          <w:szCs w:val="24"/>
        </w:rPr>
        <w:t>.</w:t>
      </w:r>
    </w:p>
    <w:p w14:paraId="471BF302" w14:textId="449691EF" w:rsidR="00D44292" w:rsidRPr="00694805" w:rsidRDefault="00D44292" w:rsidP="00403F2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694805">
        <w:rPr>
          <w:rFonts w:ascii="Arial" w:hAnsi="Arial" w:cs="Arial"/>
          <w:b/>
          <w:bCs/>
          <w:sz w:val="24"/>
          <w:szCs w:val="24"/>
        </w:rPr>
        <w:t xml:space="preserve">Policy Update </w:t>
      </w:r>
      <w:r w:rsidRPr="00694805">
        <w:rPr>
          <w:rFonts w:ascii="Arial" w:hAnsi="Arial" w:cs="Arial"/>
          <w:sz w:val="24"/>
          <w:szCs w:val="24"/>
        </w:rPr>
        <w:t>is a modification of an existing requirement</w:t>
      </w:r>
      <w:r w:rsidR="3631D69A" w:rsidRPr="00694805">
        <w:rPr>
          <w:rFonts w:ascii="Arial" w:hAnsi="Arial" w:cs="Arial"/>
          <w:sz w:val="24"/>
          <w:szCs w:val="24"/>
        </w:rPr>
        <w:t>.</w:t>
      </w:r>
    </w:p>
    <w:p w14:paraId="16DACEBC" w14:textId="4A59AAFC" w:rsidR="00611017" w:rsidRPr="00694805" w:rsidRDefault="00611017" w:rsidP="0061101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80"/>
        <w:gridCol w:w="990"/>
        <w:gridCol w:w="1530"/>
        <w:gridCol w:w="1800"/>
        <w:gridCol w:w="2880"/>
        <w:gridCol w:w="1350"/>
      </w:tblGrid>
      <w:tr w:rsidR="008E6BC4" w:rsidRPr="00694805" w14:paraId="3EAEF6C6" w14:textId="77777777" w:rsidTr="07617AEE">
        <w:trPr>
          <w:trHeight w:val="479"/>
          <w:tblHeader/>
        </w:trPr>
        <w:tc>
          <w:tcPr>
            <w:tcW w:w="1980" w:type="dxa"/>
          </w:tcPr>
          <w:p w14:paraId="4E022361" w14:textId="47D59F06" w:rsidR="008E6BC4" w:rsidRPr="00694805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9480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Measure Name</w:t>
            </w:r>
          </w:p>
        </w:tc>
        <w:tc>
          <w:tcPr>
            <w:tcW w:w="990" w:type="dxa"/>
          </w:tcPr>
          <w:p w14:paraId="431431C1" w14:textId="59C259DC" w:rsidR="008E6BC4" w:rsidRPr="00694805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9480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Page #</w:t>
            </w:r>
          </w:p>
        </w:tc>
        <w:tc>
          <w:tcPr>
            <w:tcW w:w="1530" w:type="dxa"/>
          </w:tcPr>
          <w:p w14:paraId="78C59A11" w14:textId="1270170F" w:rsidR="008E6BC4" w:rsidRPr="00694805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9480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Type of Update</w:t>
            </w:r>
          </w:p>
        </w:tc>
        <w:tc>
          <w:tcPr>
            <w:tcW w:w="1800" w:type="dxa"/>
          </w:tcPr>
          <w:p w14:paraId="4FB48007" w14:textId="7A88B13B" w:rsidR="008E6BC4" w:rsidRPr="00694805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9480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Section Header</w:t>
            </w:r>
          </w:p>
        </w:tc>
        <w:tc>
          <w:tcPr>
            <w:tcW w:w="2880" w:type="dxa"/>
          </w:tcPr>
          <w:p w14:paraId="55485D80" w14:textId="2120236B" w:rsidR="008E6BC4" w:rsidRPr="00694805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9480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Update</w:t>
            </w:r>
          </w:p>
        </w:tc>
        <w:tc>
          <w:tcPr>
            <w:tcW w:w="1350" w:type="dxa"/>
          </w:tcPr>
          <w:p w14:paraId="5437C9D8" w14:textId="5FBAFB85" w:rsidR="008E6BC4" w:rsidRPr="00694805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9480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Update release date</w:t>
            </w:r>
          </w:p>
        </w:tc>
      </w:tr>
      <w:tr w:rsidR="00366A70" w:rsidRPr="00694805" w14:paraId="5D8971A9" w14:textId="77777777" w:rsidTr="07617AEE">
        <w:trPr>
          <w:trHeight w:val="479"/>
        </w:trPr>
        <w:tc>
          <w:tcPr>
            <w:tcW w:w="1980" w:type="dxa"/>
          </w:tcPr>
          <w:p w14:paraId="6BF94975" w14:textId="1D76AD8B" w:rsidR="00366A70" w:rsidRPr="00A31DAA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</w:tcPr>
          <w:p w14:paraId="558410A1" w14:textId="3CF1A5E9" w:rsidR="00366A70" w:rsidRPr="00A31DAA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530" w:type="dxa"/>
          </w:tcPr>
          <w:p w14:paraId="467EC588" w14:textId="25526CF9" w:rsidR="00366A70" w:rsidRPr="00A31DAA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</w:tcPr>
          <w:p w14:paraId="086CD278" w14:textId="662B42C7" w:rsidR="00366A70" w:rsidRPr="00A31DAA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PY2 Performance Requirements and Assessment</w:t>
            </w:r>
          </w:p>
        </w:tc>
        <w:tc>
          <w:tcPr>
            <w:tcW w:w="2880" w:type="dxa"/>
          </w:tcPr>
          <w:p w14:paraId="51D2F3D3" w14:textId="4FB00B1D" w:rsidR="00366A70" w:rsidRPr="00A31DAA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Changed due date for Component 2 from December 31, </w:t>
            </w:r>
            <w:proofErr w:type="gramStart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January 23, 2026</w:t>
            </w: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24E0C244" w14:textId="5E3F88C9" w:rsidR="00366A70" w:rsidRPr="00A31DAA" w:rsidRDefault="15B5C4CF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7617AEE">
              <w:rPr>
                <w:rFonts w:ascii="Arial" w:hAnsi="Arial" w:cs="Arial"/>
                <w:sz w:val="24"/>
                <w:szCs w:val="24"/>
              </w:rPr>
              <w:t>11/1</w:t>
            </w:r>
            <w:r w:rsidR="008B6C6A">
              <w:rPr>
                <w:rFonts w:ascii="Arial" w:hAnsi="Arial" w:cs="Arial"/>
                <w:sz w:val="24"/>
                <w:szCs w:val="24"/>
              </w:rPr>
              <w:t>8</w:t>
            </w:r>
            <w:r w:rsidRPr="07617AEE">
              <w:rPr>
                <w:rFonts w:ascii="Arial" w:hAnsi="Arial" w:cs="Arial"/>
                <w:sz w:val="24"/>
                <w:szCs w:val="24"/>
              </w:rPr>
              <w:t>/25</w:t>
            </w:r>
          </w:p>
        </w:tc>
      </w:tr>
      <w:tr w:rsidR="00366A70" w:rsidRPr="00694805" w14:paraId="0B8D8316" w14:textId="77777777" w:rsidTr="07617AEE">
        <w:trPr>
          <w:trHeight w:val="479"/>
        </w:trPr>
        <w:tc>
          <w:tcPr>
            <w:tcW w:w="1980" w:type="dxa"/>
          </w:tcPr>
          <w:p w14:paraId="5BADF96D" w14:textId="77777777" w:rsidR="00366A70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A31DAA">
              <w:rPr>
                <w:rFonts w:ascii="Arial" w:hAnsi="Arial" w:cs="Arial"/>
                <w:sz w:val="24"/>
                <w:szCs w:val="24"/>
              </w:rPr>
              <w:t>Disability Competent Care</w:t>
            </w:r>
          </w:p>
          <w:p w14:paraId="668D8AED" w14:textId="4C3B426B" w:rsidR="00366A70" w:rsidRPr="00AE4FBB" w:rsidRDefault="00366A70" w:rsidP="00366A70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1785A1" w14:textId="23330C5F" w:rsidR="00366A70" w:rsidRPr="00A31DAA" w:rsidRDefault="00366A70" w:rsidP="00366A7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A31DAA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530" w:type="dxa"/>
          </w:tcPr>
          <w:p w14:paraId="246E6208" w14:textId="35174351" w:rsidR="00366A70" w:rsidRPr="00A31DAA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A31DAA">
              <w:rPr>
                <w:rFonts w:ascii="Arial" w:hAnsi="Arial" w:cs="Arial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</w:tcPr>
          <w:p w14:paraId="39B3A001" w14:textId="38E405B6" w:rsidR="00366A70" w:rsidRPr="00A31DAA" w:rsidRDefault="00366A70" w:rsidP="00366A70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A31DAA">
              <w:rPr>
                <w:rFonts w:ascii="Arial" w:hAnsi="Arial" w:cs="Arial"/>
                <w:sz w:val="24"/>
                <w:szCs w:val="24"/>
              </w:rPr>
              <w:t>PY2 Performance Requirements &amp; Assessment</w:t>
            </w:r>
          </w:p>
        </w:tc>
        <w:tc>
          <w:tcPr>
            <w:tcW w:w="2880" w:type="dxa"/>
          </w:tcPr>
          <w:p w14:paraId="3B0E0AB3" w14:textId="1EBBE352" w:rsidR="00366A70" w:rsidRPr="00A31DAA" w:rsidRDefault="00366A70" w:rsidP="00366A70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A31DAA">
              <w:rPr>
                <w:rFonts w:ascii="Arial" w:hAnsi="Arial" w:cs="Arial"/>
                <w:sz w:val="24"/>
                <w:szCs w:val="24"/>
              </w:rPr>
              <w:t>Corrected the formula for calculating the DCC Training Rate.</w:t>
            </w:r>
          </w:p>
        </w:tc>
        <w:tc>
          <w:tcPr>
            <w:tcW w:w="1350" w:type="dxa"/>
          </w:tcPr>
          <w:p w14:paraId="24BD41AE" w14:textId="3C19F01E" w:rsidR="00366A70" w:rsidRPr="00A31DAA" w:rsidRDefault="2AAA7557" w:rsidP="07617AEE">
            <w:pPr>
              <w:rPr>
                <w:rFonts w:ascii="Arial" w:hAnsi="Arial" w:cs="Arial"/>
                <w:sz w:val="24"/>
                <w:szCs w:val="24"/>
              </w:rPr>
            </w:pPr>
            <w:r w:rsidRPr="07617AEE">
              <w:rPr>
                <w:rFonts w:ascii="Arial" w:hAnsi="Arial" w:cs="Arial"/>
                <w:sz w:val="24"/>
                <w:szCs w:val="24"/>
              </w:rPr>
              <w:t>11/1</w:t>
            </w:r>
            <w:r w:rsidR="008B6C6A">
              <w:rPr>
                <w:rFonts w:ascii="Arial" w:hAnsi="Arial" w:cs="Arial"/>
                <w:sz w:val="24"/>
                <w:szCs w:val="24"/>
              </w:rPr>
              <w:t>8</w:t>
            </w:r>
            <w:r w:rsidR="00366A70" w:rsidRPr="07617AEE">
              <w:rPr>
                <w:rFonts w:ascii="Arial" w:hAnsi="Arial" w:cs="Arial"/>
                <w:sz w:val="24"/>
                <w:szCs w:val="24"/>
              </w:rPr>
              <w:t>/25</w:t>
            </w:r>
          </w:p>
        </w:tc>
      </w:tr>
      <w:tr w:rsidR="00366A70" w:rsidRPr="00694805" w14:paraId="6131DCD5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8E8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RELD SOGI Data Completeness – All Sub-measures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B53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4, 10, 15, 23, 35, 40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BDF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95B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EE7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694805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694805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B67" w14:textId="1C6A8DD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06/0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/25</w:t>
            </w:r>
          </w:p>
        </w:tc>
      </w:tr>
      <w:tr w:rsidR="00366A70" w:rsidRPr="00694805" w14:paraId="194BC427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6E0" w14:textId="368A6C3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RELD SOGI Data Completeness – </w:t>
            </w: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Disability Sub-measure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039" w14:textId="0F7F256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A42D" w14:textId="5F520A7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12E" w14:textId="32AD459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Administrative Specification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957" w14:textId="3BB0DE03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For Numerator, clarified ages for each of the six disability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151" w14:textId="1FF2696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213CAEF7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CFB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Health-Related Social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EB6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AAD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186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A5A" w14:textId="77777777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694805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694805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E28" w14:textId="6B2BFACD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35FA01C0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0BEE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Health-Related Social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6E8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3A9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8C5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Administrative Specification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742" w14:textId="77777777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694805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694805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2B6" w14:textId="1A358363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2D088152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4A7" w14:textId="2D2C174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A2A" w14:textId="17BB3DC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B87" w14:textId="5F8C926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B59" w14:textId="4156BF7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Measure Information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CBC" w14:textId="72F117B1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Provided additional general guidance that “</w:t>
            </w:r>
            <w:r w:rsidRPr="003C3624">
              <w:rPr>
                <w:rFonts w:ascii="Arial" w:hAnsi="Arial" w:cs="Arial"/>
                <w:sz w:val="24"/>
                <w:szCs w:val="24"/>
              </w:rPr>
              <w:t>stratification may use imputed or other sources of data for race and ethnicity only when self-reported race and ethnicity data are not available.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C78" w14:textId="60AD588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7FF5D770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D3A" w14:textId="1D92631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028" w14:textId="13F0FB39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290" w14:textId="1EE2693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499" w14:textId="6EEB1C99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1398" w14:textId="46F51406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Added the word “eligible” to “eligible behavioral health outpatient visits” in Component 2 description.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908" w14:textId="445494D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0975D9B3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B78" w14:textId="088A768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4149" w14:textId="30FACFF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D6E" w14:textId="506962E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B9E" w14:textId="665AA8BD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140" w14:textId="1970B619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Clarified Component 2, changing “either interpreter services or in language services” to “language assistance services”.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0D1" w14:textId="577F2164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75EF1BF7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BB7" w14:textId="51F73C7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475" w14:textId="70A3963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98F" w14:textId="40EC85C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C2DB" w14:textId="0FFD32B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894" w14:textId="5478AAD3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 xml:space="preserve">Added an interim step </w:t>
            </w:r>
            <w:r>
              <w:rPr>
                <w:rFonts w:ascii="Arial" w:hAnsi="Arial" w:cs="Arial"/>
                <w:sz w:val="24"/>
                <w:szCs w:val="24"/>
              </w:rPr>
              <w:t>to the process for identifying eligible events</w:t>
            </w:r>
            <w:r w:rsidRPr="00694805">
              <w:rPr>
                <w:rFonts w:ascii="Arial" w:hAnsi="Arial" w:cs="Arial"/>
                <w:sz w:val="24"/>
                <w:szCs w:val="24"/>
              </w:rPr>
              <w:t xml:space="preserve"> to exclude events that </w:t>
            </w:r>
            <w:r>
              <w:rPr>
                <w:rFonts w:ascii="Arial" w:hAnsi="Arial" w:cs="Arial"/>
                <w:sz w:val="24"/>
                <w:szCs w:val="24"/>
              </w:rPr>
              <w:t>are</w:t>
            </w:r>
            <w:r w:rsidRPr="00694805">
              <w:rPr>
                <w:rFonts w:ascii="Arial" w:hAnsi="Arial" w:cs="Arial"/>
                <w:sz w:val="24"/>
                <w:szCs w:val="24"/>
              </w:rPr>
              <w:t xml:space="preserve"> coded as a CBHC core outpatient services encounter (encounter bundle) occurring with a CBHC provider.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A9E" w14:textId="44A8D8B4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5FCAD05D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DA8" w14:textId="7F93A0E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914" w14:textId="5D8FB20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8A2" w14:textId="6CAD8BB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5B4" w14:textId="58D6994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CC5F" w14:textId="3BC39E99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694805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694805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1E9" w14:textId="1C168F0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1FEEEEEF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196" w14:textId="61E931E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C45D" w14:textId="4EA1416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AB5" w14:textId="4D93C39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9D8" w14:textId="70280C3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DC4" w14:textId="5D531154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 xml:space="preserve">Added the word “eligible” to “eligible behavioral </w:t>
            </w:r>
            <w:r w:rsidRPr="00694805">
              <w:rPr>
                <w:rFonts w:ascii="Arial" w:hAnsi="Arial" w:cs="Arial"/>
                <w:sz w:val="24"/>
                <w:szCs w:val="24"/>
              </w:rPr>
              <w:lastRenderedPageBreak/>
              <w:t>health outpatient visits” in Component 2 description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numerator.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7D2" w14:textId="5530931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06/06/25</w:t>
            </w:r>
          </w:p>
        </w:tc>
      </w:tr>
      <w:tr w:rsidR="00366A70" w:rsidRPr="00694805" w14:paraId="2FB65BF8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BD1" w14:textId="2AA0385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197" w14:textId="53D87E1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E54" w14:textId="6F447A69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981" w14:textId="2562CAE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D4C" w14:textId="5A0DFDB1" w:rsidR="00366A70" w:rsidRPr="00694805" w:rsidRDefault="00366A70" w:rsidP="00366A70">
            <w:pPr>
              <w:rPr>
                <w:rFonts w:ascii="Arial" w:hAnsi="Arial" w:cs="Arial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Clarified Component 2 description and numerator, changing “either interpreter services or in language services” to “language assistance services”.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8BB" w14:textId="46EFA27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7BE614C3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739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433" w14:textId="7373E3C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5EBC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3B5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F53" w14:textId="74E2C6F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For Component 2 Numerator, addition of “language services documentation system (e.g., vendor logs) as an acceptable source of documentation for language assistance services provided.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24F" w14:textId="0D34995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7A8CBBCF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48A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AF5" w14:textId="6FA5DFB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743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282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PY2 Performance Requirements and Assessment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804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Changed due date for Component 2 from September 30, </w:t>
            </w:r>
            <w:proofErr w:type="gramStart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  <w:proofErr w:type="gramEnd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December 31, 2025.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55C9" w14:textId="13A3CC7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2BD7BF16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275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887" w14:textId="7C114684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B75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 Correction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E3B" w14:textId="3BC77FD3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Definition— Covered Individuals with Self-reported Disability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879" w14:textId="439F405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sz w:val="24"/>
                <w:szCs w:val="24"/>
              </w:rPr>
              <w:t>Clarified ages for each of the six questions to align with the ages listed in the RELD SOGI Data Completeness – Disability Data Completeness measure (under Eligible Population)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808" w14:textId="027423D6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5EA2935A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337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Patient Experience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EC1" w14:textId="16F57F2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74F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08E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EFE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survey question response choices.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416" w14:textId="69F3271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60D231F2" w14:textId="77777777" w:rsidTr="07617AEE">
        <w:trPr>
          <w:trHeight w:val="2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8DA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Patient Experience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EE9" w14:textId="7E4524A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7EE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5E5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 Measure</w:t>
            </w:r>
            <w:proofErr w:type="gramEnd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Information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344" w14:textId="777777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Updated question scoring methodology.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FB5" w14:textId="51A20B2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2FA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366A70" w:rsidRPr="00694805" w14:paraId="466E68F7" w14:textId="77777777" w:rsidTr="07617AEE">
        <w:trPr>
          <w:trHeight w:val="232"/>
        </w:trPr>
        <w:tc>
          <w:tcPr>
            <w:tcW w:w="1980" w:type="dxa"/>
          </w:tcPr>
          <w:p w14:paraId="2B0AAAB1" w14:textId="6F86AC3D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RELD SOGI: Data Completeness – </w:t>
            </w: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All sub-measures</w:t>
            </w:r>
          </w:p>
        </w:tc>
        <w:tc>
          <w:tcPr>
            <w:tcW w:w="990" w:type="dxa"/>
          </w:tcPr>
          <w:p w14:paraId="534324D6" w14:textId="668CDE43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3, 9, </w:t>
            </w:r>
            <w:proofErr w:type="gramStart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14,  22,  34</w:t>
            </w:r>
            <w:proofErr w:type="gramEnd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, 39</w:t>
            </w:r>
          </w:p>
        </w:tc>
        <w:tc>
          <w:tcPr>
            <w:tcW w:w="1530" w:type="dxa"/>
          </w:tcPr>
          <w:p w14:paraId="51E90C18" w14:textId="72C08CC3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7481D333" w14:textId="5FE5072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Overview</w:t>
            </w:r>
          </w:p>
        </w:tc>
        <w:tc>
          <w:tcPr>
            <w:tcW w:w="2880" w:type="dxa"/>
          </w:tcPr>
          <w:p w14:paraId="33904D9B" w14:textId="778E9DB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Denominator Source to “MassHealth Administrative and Encounter Data.”</w:t>
            </w:r>
          </w:p>
        </w:tc>
        <w:tc>
          <w:tcPr>
            <w:tcW w:w="1350" w:type="dxa"/>
          </w:tcPr>
          <w:p w14:paraId="41FDF35F" w14:textId="2A849F8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45F4D655" w14:textId="77777777" w:rsidTr="07617AEE">
        <w:trPr>
          <w:trHeight w:val="232"/>
        </w:trPr>
        <w:tc>
          <w:tcPr>
            <w:tcW w:w="1980" w:type="dxa"/>
          </w:tcPr>
          <w:p w14:paraId="54EB3CC7" w14:textId="452636B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RELD SOGI: Data Completeness – All sub-measures</w:t>
            </w:r>
          </w:p>
        </w:tc>
        <w:tc>
          <w:tcPr>
            <w:tcW w:w="990" w:type="dxa"/>
          </w:tcPr>
          <w:p w14:paraId="5F877129" w14:textId="59411CB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4, 10, 15, 23, 35, 40</w:t>
            </w:r>
          </w:p>
        </w:tc>
        <w:tc>
          <w:tcPr>
            <w:tcW w:w="1530" w:type="dxa"/>
          </w:tcPr>
          <w:p w14:paraId="6A0D2E0C" w14:textId="7868FC7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16AC81BE" w14:textId="239C8F44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880" w:type="dxa"/>
          </w:tcPr>
          <w:p w14:paraId="72FA0167" w14:textId="21A2A48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Continuous Enrollment criteria to “Continuous enrollment in MassHealth for the measurement year.”</w:t>
            </w:r>
          </w:p>
        </w:tc>
        <w:tc>
          <w:tcPr>
            <w:tcW w:w="1350" w:type="dxa"/>
          </w:tcPr>
          <w:p w14:paraId="7C14D323" w14:textId="242010F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0E132997" w14:textId="77777777" w:rsidTr="07617AEE">
        <w:trPr>
          <w:trHeight w:val="232"/>
        </w:trPr>
        <w:tc>
          <w:tcPr>
            <w:tcW w:w="1980" w:type="dxa"/>
          </w:tcPr>
          <w:p w14:paraId="7CC56F0F" w14:textId="7F9A595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Health-Related Social Needs</w:t>
            </w:r>
          </w:p>
        </w:tc>
        <w:tc>
          <w:tcPr>
            <w:tcW w:w="990" w:type="dxa"/>
          </w:tcPr>
          <w:p w14:paraId="3D428BC2" w14:textId="22F836B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530" w:type="dxa"/>
          </w:tcPr>
          <w:p w14:paraId="3CF86E50" w14:textId="50637E9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21ACCEED" w14:textId="52E2C76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880" w:type="dxa"/>
          </w:tcPr>
          <w:p w14:paraId="7D8B2818" w14:textId="7383177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Rate 2: HRSN Screen Positive Rate to “Covered Individuals who had an HRSN identified (i.e., screen positive) among cases in numerator Rate 1.”</w:t>
            </w:r>
          </w:p>
        </w:tc>
        <w:tc>
          <w:tcPr>
            <w:tcW w:w="1350" w:type="dxa"/>
          </w:tcPr>
          <w:p w14:paraId="5E8E244B" w14:textId="7D375AE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176BBE0D" w14:textId="77777777" w:rsidTr="07617AEE">
        <w:trPr>
          <w:trHeight w:val="232"/>
        </w:trPr>
        <w:tc>
          <w:tcPr>
            <w:tcW w:w="1980" w:type="dxa"/>
          </w:tcPr>
          <w:p w14:paraId="5454406A" w14:textId="38F58E4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Health-Related Social Needs</w:t>
            </w:r>
          </w:p>
        </w:tc>
        <w:tc>
          <w:tcPr>
            <w:tcW w:w="990" w:type="dxa"/>
          </w:tcPr>
          <w:p w14:paraId="3F37F96D" w14:textId="10A833D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30" w:type="dxa"/>
          </w:tcPr>
          <w:p w14:paraId="6168990C" w14:textId="421A8D43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04C44205" w14:textId="7C24682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880" w:type="dxa"/>
          </w:tcPr>
          <w:p w14:paraId="7825796D" w14:textId="61CD376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description of Rate 2: HRSN Screen Positive Rate to “Covered Individuals who had an HRSN identified (i.e., screen positive) among cases in numerator Rate 1.”</w:t>
            </w:r>
          </w:p>
        </w:tc>
        <w:tc>
          <w:tcPr>
            <w:tcW w:w="1350" w:type="dxa"/>
          </w:tcPr>
          <w:p w14:paraId="50B052F7" w14:textId="4FA7FA5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11A99ABB" w14:textId="77777777" w:rsidTr="07617AEE">
        <w:trPr>
          <w:trHeight w:val="232"/>
        </w:trPr>
        <w:tc>
          <w:tcPr>
            <w:tcW w:w="1980" w:type="dxa"/>
          </w:tcPr>
          <w:p w14:paraId="33A46EA1" w14:textId="3F603D9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Health-Related Social Needs</w:t>
            </w:r>
          </w:p>
        </w:tc>
        <w:tc>
          <w:tcPr>
            <w:tcW w:w="990" w:type="dxa"/>
          </w:tcPr>
          <w:p w14:paraId="4634E144" w14:textId="7AC1A29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30" w:type="dxa"/>
          </w:tcPr>
          <w:p w14:paraId="75B2D22E" w14:textId="5E383AD4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68361ECD" w14:textId="01E1897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880" w:type="dxa"/>
          </w:tcPr>
          <w:p w14:paraId="7F48947B" w14:textId="671E32A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Rate 2 denominator description.</w:t>
            </w:r>
          </w:p>
        </w:tc>
        <w:tc>
          <w:tcPr>
            <w:tcW w:w="1350" w:type="dxa"/>
          </w:tcPr>
          <w:p w14:paraId="1E75361C" w14:textId="7A3C612D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2C67776F" w14:textId="77777777" w:rsidTr="07617AEE">
        <w:trPr>
          <w:trHeight w:val="232"/>
        </w:trPr>
        <w:tc>
          <w:tcPr>
            <w:tcW w:w="1980" w:type="dxa"/>
          </w:tcPr>
          <w:p w14:paraId="6A0D5234" w14:textId="3ACACBD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Health-Related Social Needs</w:t>
            </w:r>
          </w:p>
        </w:tc>
        <w:tc>
          <w:tcPr>
            <w:tcW w:w="990" w:type="dxa"/>
          </w:tcPr>
          <w:p w14:paraId="1C177819" w14:textId="10FB6D2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30" w:type="dxa"/>
          </w:tcPr>
          <w:p w14:paraId="4B671D70" w14:textId="49A3075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Change</w:t>
            </w:r>
          </w:p>
        </w:tc>
        <w:tc>
          <w:tcPr>
            <w:tcW w:w="1800" w:type="dxa"/>
          </w:tcPr>
          <w:p w14:paraId="4DE14108" w14:textId="190FB2E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Data Reporting Requirements</w:t>
            </w:r>
          </w:p>
        </w:tc>
        <w:tc>
          <w:tcPr>
            <w:tcW w:w="2880" w:type="dxa"/>
          </w:tcPr>
          <w:p w14:paraId="5588A699" w14:textId="0A4F9719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Added ICD-10 Code “Z59.12” to ICD-10 Codes Contribution to Rate 2 Numerators for Utility Difficulties.</w:t>
            </w:r>
          </w:p>
        </w:tc>
        <w:tc>
          <w:tcPr>
            <w:tcW w:w="1350" w:type="dxa"/>
          </w:tcPr>
          <w:p w14:paraId="766C1B7D" w14:textId="7968FFA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045AFEA7" w14:textId="77777777" w:rsidTr="07617AEE">
        <w:trPr>
          <w:trHeight w:val="232"/>
        </w:trPr>
        <w:tc>
          <w:tcPr>
            <w:tcW w:w="1980" w:type="dxa"/>
          </w:tcPr>
          <w:p w14:paraId="5EB3E2A8" w14:textId="5EE2E47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Health-Related Social Needs</w:t>
            </w:r>
          </w:p>
        </w:tc>
        <w:tc>
          <w:tcPr>
            <w:tcW w:w="990" w:type="dxa"/>
          </w:tcPr>
          <w:p w14:paraId="360B231E" w14:textId="042597B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30" w:type="dxa"/>
          </w:tcPr>
          <w:p w14:paraId="644F18CD" w14:textId="6BB4C53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497767AF" w14:textId="7556D2E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Supplemental Data Reporting Requirements</w:t>
            </w:r>
          </w:p>
        </w:tc>
        <w:tc>
          <w:tcPr>
            <w:tcW w:w="2880" w:type="dxa"/>
          </w:tcPr>
          <w:p w14:paraId="04D17E0B" w14:textId="6F236F99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Added language about audit expectations.</w:t>
            </w:r>
          </w:p>
        </w:tc>
        <w:tc>
          <w:tcPr>
            <w:tcW w:w="1350" w:type="dxa"/>
          </w:tcPr>
          <w:p w14:paraId="73DD1AD3" w14:textId="4C253AE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1E906431" w14:textId="77777777" w:rsidTr="07617AEE">
        <w:trPr>
          <w:trHeight w:val="232"/>
        </w:trPr>
        <w:tc>
          <w:tcPr>
            <w:tcW w:w="1980" w:type="dxa"/>
          </w:tcPr>
          <w:p w14:paraId="2980080E" w14:textId="56521E2D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Health-Related Social Needs</w:t>
            </w:r>
          </w:p>
        </w:tc>
        <w:tc>
          <w:tcPr>
            <w:tcW w:w="990" w:type="dxa"/>
          </w:tcPr>
          <w:p w14:paraId="2FC1C01B" w14:textId="22000D8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30" w:type="dxa"/>
          </w:tcPr>
          <w:p w14:paraId="36F38D12" w14:textId="72AD3D4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3877CD65" w14:textId="5A519C7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PY2 Performance Requirements &amp; Assessment</w:t>
            </w:r>
          </w:p>
        </w:tc>
        <w:tc>
          <w:tcPr>
            <w:tcW w:w="2880" w:type="dxa"/>
          </w:tcPr>
          <w:p w14:paraId="670F7E12" w14:textId="041A4E5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that the data submission due date is applicable to all data submitted by the MBHV (administrative and supplemental, as applicable). </w:t>
            </w:r>
          </w:p>
        </w:tc>
        <w:tc>
          <w:tcPr>
            <w:tcW w:w="1350" w:type="dxa"/>
          </w:tcPr>
          <w:p w14:paraId="58646555" w14:textId="4B52A76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6D053ABA" w14:textId="77777777" w:rsidTr="07617AEE">
        <w:trPr>
          <w:trHeight w:val="232"/>
        </w:trPr>
        <w:tc>
          <w:tcPr>
            <w:tcW w:w="1980" w:type="dxa"/>
          </w:tcPr>
          <w:p w14:paraId="147B047A" w14:textId="54E7DAF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Quality Performance </w:t>
            </w: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Disparities Reduction</w:t>
            </w:r>
          </w:p>
        </w:tc>
        <w:tc>
          <w:tcPr>
            <w:tcW w:w="990" w:type="dxa"/>
          </w:tcPr>
          <w:p w14:paraId="4E676634" w14:textId="42BDC7D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30" w:type="dxa"/>
          </w:tcPr>
          <w:p w14:paraId="6FC8C755" w14:textId="598E6E49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0493FE0B" w14:textId="4FC751F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880" w:type="dxa"/>
          </w:tcPr>
          <w:p w14:paraId="3C85B0B5" w14:textId="015ABE0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Clarified that the eligible population for applicable quality measure is </w:t>
            </w: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defined in their respective measure steward technical specifications. </w:t>
            </w:r>
          </w:p>
        </w:tc>
        <w:tc>
          <w:tcPr>
            <w:tcW w:w="1350" w:type="dxa"/>
          </w:tcPr>
          <w:p w14:paraId="6FD8D8E2" w14:textId="3CEC3C29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03/14/25</w:t>
            </w:r>
          </w:p>
        </w:tc>
      </w:tr>
      <w:tr w:rsidR="00366A70" w:rsidRPr="00694805" w14:paraId="23752D5A" w14:textId="77777777" w:rsidTr="07617AEE">
        <w:trPr>
          <w:trHeight w:val="232"/>
        </w:trPr>
        <w:tc>
          <w:tcPr>
            <w:tcW w:w="1980" w:type="dxa"/>
          </w:tcPr>
          <w:p w14:paraId="0B7DEC26" w14:textId="678CDB9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990" w:type="dxa"/>
          </w:tcPr>
          <w:p w14:paraId="78D92DDE" w14:textId="441B213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30" w:type="dxa"/>
          </w:tcPr>
          <w:p w14:paraId="3EC1831A" w14:textId="1165D38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20CF5430" w14:textId="38048B5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Reporting Method</w:t>
            </w:r>
          </w:p>
        </w:tc>
        <w:tc>
          <w:tcPr>
            <w:tcW w:w="2880" w:type="dxa"/>
          </w:tcPr>
          <w:p w14:paraId="4CDD83D0" w14:textId="42E425B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Added language about requesting additional member-level data.</w:t>
            </w:r>
          </w:p>
        </w:tc>
        <w:tc>
          <w:tcPr>
            <w:tcW w:w="1350" w:type="dxa"/>
          </w:tcPr>
          <w:p w14:paraId="69169C40" w14:textId="4DCCB76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576ACF05" w14:textId="77777777" w:rsidTr="07617AEE">
        <w:trPr>
          <w:trHeight w:val="232"/>
        </w:trPr>
        <w:tc>
          <w:tcPr>
            <w:tcW w:w="1980" w:type="dxa"/>
          </w:tcPr>
          <w:p w14:paraId="419BC9F8" w14:textId="33C3594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</w:tcPr>
          <w:p w14:paraId="10A0190C" w14:textId="466526C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30" w:type="dxa"/>
          </w:tcPr>
          <w:p w14:paraId="68ED8EB0" w14:textId="57354BB3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7C87F204" w14:textId="06537CE4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880" w:type="dxa"/>
          </w:tcPr>
          <w:p w14:paraId="065C7BDE" w14:textId="61B239D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title of Component 2 to “Address Language Access needs in Behavioral Health Outpatient Settings”.</w:t>
            </w:r>
          </w:p>
        </w:tc>
        <w:tc>
          <w:tcPr>
            <w:tcW w:w="1350" w:type="dxa"/>
          </w:tcPr>
          <w:p w14:paraId="2508A33B" w14:textId="41A4C156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1BAB721D" w14:textId="77777777" w:rsidTr="07617AEE">
        <w:trPr>
          <w:trHeight w:val="232"/>
        </w:trPr>
        <w:tc>
          <w:tcPr>
            <w:tcW w:w="1980" w:type="dxa"/>
          </w:tcPr>
          <w:p w14:paraId="5669D3F5" w14:textId="5EF950E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</w:tcPr>
          <w:p w14:paraId="2DC5C963" w14:textId="31AACF2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30" w:type="dxa"/>
          </w:tcPr>
          <w:p w14:paraId="15CE1DB3" w14:textId="453680A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1DF6A0F4" w14:textId="7B9928D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880" w:type="dxa"/>
          </w:tcPr>
          <w:p w14:paraId="35656EB7" w14:textId="21F1B8F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Component 2 measure summary description to add “occurring with an MBHV Network Provider”</w:t>
            </w:r>
          </w:p>
        </w:tc>
        <w:tc>
          <w:tcPr>
            <w:tcW w:w="1350" w:type="dxa"/>
          </w:tcPr>
          <w:p w14:paraId="7EC39DDC" w14:textId="6899CEB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543C9783" w14:textId="77777777" w:rsidTr="07617AEE">
        <w:trPr>
          <w:trHeight w:val="232"/>
        </w:trPr>
        <w:tc>
          <w:tcPr>
            <w:tcW w:w="1980" w:type="dxa"/>
          </w:tcPr>
          <w:p w14:paraId="7BD4979E" w14:textId="51E62054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</w:tcPr>
          <w:p w14:paraId="25C994AB" w14:textId="68CFF12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30" w:type="dxa"/>
          </w:tcPr>
          <w:p w14:paraId="415918CC" w14:textId="4EBFEAC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12191830" w14:textId="60B7A3D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Eligible Population </w:t>
            </w:r>
          </w:p>
        </w:tc>
        <w:tc>
          <w:tcPr>
            <w:tcW w:w="2880" w:type="dxa"/>
          </w:tcPr>
          <w:p w14:paraId="67C1A740" w14:textId="1B5DBCA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title of Component 2 to “Address Language Access Needs in Behavioral Health Outpatient Settings”.</w:t>
            </w:r>
          </w:p>
        </w:tc>
        <w:tc>
          <w:tcPr>
            <w:tcW w:w="1350" w:type="dxa"/>
          </w:tcPr>
          <w:p w14:paraId="0B3A3CD6" w14:textId="6F9B3CF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7ABD1C10" w14:textId="77777777" w:rsidTr="07617AEE">
        <w:trPr>
          <w:trHeight w:val="232"/>
        </w:trPr>
        <w:tc>
          <w:tcPr>
            <w:tcW w:w="1980" w:type="dxa"/>
          </w:tcPr>
          <w:p w14:paraId="2755CE43" w14:textId="352914C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</w:tcPr>
          <w:p w14:paraId="6D301803" w14:textId="7A7091C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530" w:type="dxa"/>
          </w:tcPr>
          <w:p w14:paraId="1270A79E" w14:textId="09EEEA3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07EBF95D" w14:textId="01C63948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Definitions</w:t>
            </w:r>
          </w:p>
        </w:tc>
        <w:tc>
          <w:tcPr>
            <w:tcW w:w="2880" w:type="dxa"/>
          </w:tcPr>
          <w:p w14:paraId="2C966D69" w14:textId="0C228D4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Clarified definition of “Language Assistance Services” </w:t>
            </w:r>
          </w:p>
        </w:tc>
        <w:tc>
          <w:tcPr>
            <w:tcW w:w="1350" w:type="dxa"/>
          </w:tcPr>
          <w:p w14:paraId="41F11C80" w14:textId="317E68F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222FDC16" w14:textId="77777777" w:rsidTr="07617AEE">
        <w:trPr>
          <w:trHeight w:val="232"/>
        </w:trPr>
        <w:tc>
          <w:tcPr>
            <w:tcW w:w="1980" w:type="dxa"/>
          </w:tcPr>
          <w:p w14:paraId="33D693AF" w14:textId="3198F9C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</w:tcPr>
          <w:p w14:paraId="49EC64D5" w14:textId="3F9DD099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30" w:type="dxa"/>
          </w:tcPr>
          <w:p w14:paraId="0CE52B6E" w14:textId="7572B96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4EBFCB97" w14:textId="249767F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Administrative Specifications </w:t>
            </w:r>
          </w:p>
        </w:tc>
        <w:tc>
          <w:tcPr>
            <w:tcW w:w="2880" w:type="dxa"/>
          </w:tcPr>
          <w:p w14:paraId="2EF23546" w14:textId="0240F48D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title of Component 2 to “Address Language Access needs in Behavioral Health Outpatient Settings”.</w:t>
            </w:r>
          </w:p>
        </w:tc>
        <w:tc>
          <w:tcPr>
            <w:tcW w:w="1350" w:type="dxa"/>
          </w:tcPr>
          <w:p w14:paraId="1CF29AF8" w14:textId="598E4743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10C8141A" w14:textId="77777777" w:rsidTr="07617AEE">
        <w:trPr>
          <w:trHeight w:val="232"/>
        </w:trPr>
        <w:tc>
          <w:tcPr>
            <w:tcW w:w="1980" w:type="dxa"/>
          </w:tcPr>
          <w:p w14:paraId="46D2252A" w14:textId="702A850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</w:tcPr>
          <w:p w14:paraId="06E8A6F6" w14:textId="7BD64D3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30" w:type="dxa"/>
          </w:tcPr>
          <w:p w14:paraId="2659D1A8" w14:textId="2699272C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5ECCECE6" w14:textId="5E6558F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Reporting Method</w:t>
            </w:r>
          </w:p>
        </w:tc>
        <w:tc>
          <w:tcPr>
            <w:tcW w:w="2880" w:type="dxa"/>
          </w:tcPr>
          <w:p w14:paraId="76A92FB5" w14:textId="338F53A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sampling methodology language and added reference to the QEIP Portal User Guide, which contains further sampling methodology details.</w:t>
            </w:r>
          </w:p>
        </w:tc>
        <w:tc>
          <w:tcPr>
            <w:tcW w:w="1350" w:type="dxa"/>
          </w:tcPr>
          <w:p w14:paraId="53983222" w14:textId="4250CCA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65CBA689" w14:textId="77777777" w:rsidTr="07617AEE">
        <w:trPr>
          <w:trHeight w:val="232"/>
        </w:trPr>
        <w:tc>
          <w:tcPr>
            <w:tcW w:w="1980" w:type="dxa"/>
          </w:tcPr>
          <w:p w14:paraId="5404F820" w14:textId="22D859F6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</w:tcPr>
          <w:p w14:paraId="5DAFD88D" w14:textId="61000A2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30" w:type="dxa"/>
          </w:tcPr>
          <w:p w14:paraId="3E137130" w14:textId="5993826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0AEA21B9" w14:textId="0AFF1871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Reporting Method</w:t>
            </w:r>
          </w:p>
        </w:tc>
        <w:tc>
          <w:tcPr>
            <w:tcW w:w="2880" w:type="dxa"/>
          </w:tcPr>
          <w:p w14:paraId="531C5D2B" w14:textId="13422E1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Added language about audit expectations.</w:t>
            </w:r>
          </w:p>
        </w:tc>
        <w:tc>
          <w:tcPr>
            <w:tcW w:w="1350" w:type="dxa"/>
          </w:tcPr>
          <w:p w14:paraId="022F25D9" w14:textId="30C6F68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63515826" w14:textId="77777777" w:rsidTr="07617AEE">
        <w:trPr>
          <w:trHeight w:val="232"/>
        </w:trPr>
        <w:tc>
          <w:tcPr>
            <w:tcW w:w="1980" w:type="dxa"/>
          </w:tcPr>
          <w:p w14:paraId="63DBBA93" w14:textId="1F4BD88D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Language Access</w:t>
            </w:r>
          </w:p>
        </w:tc>
        <w:tc>
          <w:tcPr>
            <w:tcW w:w="990" w:type="dxa"/>
          </w:tcPr>
          <w:p w14:paraId="7F9197CE" w14:textId="3BBF497A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30" w:type="dxa"/>
          </w:tcPr>
          <w:p w14:paraId="0F79A416" w14:textId="0E8A4F7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</w:tcPr>
          <w:p w14:paraId="4898A959" w14:textId="38DD68CB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PY2 Performance Requirements and Assessment</w:t>
            </w:r>
          </w:p>
        </w:tc>
        <w:tc>
          <w:tcPr>
            <w:tcW w:w="2880" w:type="dxa"/>
          </w:tcPr>
          <w:p w14:paraId="23A58E81" w14:textId="609EC0E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Changed due date for Component 2 from September 1, </w:t>
            </w:r>
            <w:proofErr w:type="gramStart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  <w:proofErr w:type="gramEnd"/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September 30, 2025.</w:t>
            </w:r>
          </w:p>
        </w:tc>
        <w:tc>
          <w:tcPr>
            <w:tcW w:w="1350" w:type="dxa"/>
          </w:tcPr>
          <w:p w14:paraId="2158B62B" w14:textId="5BED9D0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61B12FD6" w14:textId="77777777" w:rsidTr="07617AEE">
        <w:trPr>
          <w:trHeight w:val="232"/>
        </w:trPr>
        <w:tc>
          <w:tcPr>
            <w:tcW w:w="1980" w:type="dxa"/>
          </w:tcPr>
          <w:p w14:paraId="0A833AD7" w14:textId="5E319A8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Competent Care</w:t>
            </w:r>
          </w:p>
        </w:tc>
        <w:tc>
          <w:tcPr>
            <w:tcW w:w="990" w:type="dxa"/>
          </w:tcPr>
          <w:p w14:paraId="6774EF0B" w14:textId="2D897C8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30" w:type="dxa"/>
          </w:tcPr>
          <w:p w14:paraId="0C0367E5" w14:textId="30D3B8A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</w:tcPr>
          <w:p w14:paraId="79B56912" w14:textId="7140AF8D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PY2 Performance Requirements and Assessments</w:t>
            </w:r>
          </w:p>
        </w:tc>
        <w:tc>
          <w:tcPr>
            <w:tcW w:w="2880" w:type="dxa"/>
          </w:tcPr>
          <w:p w14:paraId="3F8CD02D" w14:textId="7062F994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reporting requirements for the DCC Training Report.</w:t>
            </w:r>
          </w:p>
        </w:tc>
        <w:tc>
          <w:tcPr>
            <w:tcW w:w="1350" w:type="dxa"/>
          </w:tcPr>
          <w:p w14:paraId="181B12E9" w14:textId="45ADB730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tr w:rsidR="00366A70" w:rsidRPr="00694805" w14:paraId="53DE3790" w14:textId="77777777" w:rsidTr="07617AEE">
        <w:trPr>
          <w:trHeight w:val="232"/>
        </w:trPr>
        <w:tc>
          <w:tcPr>
            <w:tcW w:w="1980" w:type="dxa"/>
            <w:tcBorders>
              <w:bottom w:val="single" w:sz="4" w:space="0" w:color="auto"/>
            </w:tcBorders>
          </w:tcPr>
          <w:p w14:paraId="362E9980" w14:textId="26115632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Patient Experience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4C38AE8" w14:textId="64FD26DE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B4C417" w14:textId="62F44A27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DD39014" w14:textId="71B213AF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PY2 Performance Requirements and Assessment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84B346B" w14:textId="13C3EB96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Updated description of Member Experience Assessment Report to review and assessment of PY1 baseline survey results (originally stated PY2).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26CEF5" w14:textId="34597545" w:rsidR="00366A70" w:rsidRPr="00694805" w:rsidRDefault="00366A70" w:rsidP="00366A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4805">
              <w:rPr>
                <w:rFonts w:ascii="Arial" w:hAnsi="Arial" w:cs="Arial"/>
                <w:color w:val="000000" w:themeColor="text1"/>
                <w:sz w:val="24"/>
                <w:szCs w:val="24"/>
              </w:rPr>
              <w:t>03/14/25</w:t>
            </w:r>
          </w:p>
        </w:tc>
      </w:tr>
      <w:bookmarkEnd w:id="0"/>
    </w:tbl>
    <w:p w14:paraId="5A361ACD" w14:textId="6720AE47" w:rsidR="00403F2D" w:rsidRPr="00694805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</w:p>
    <w:sectPr w:rsidR="00403F2D" w:rsidRPr="0069480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C774" w14:textId="77777777" w:rsidR="00E93D32" w:rsidRDefault="00E93D32" w:rsidP="00246D3E">
      <w:pPr>
        <w:spacing w:after="0" w:line="240" w:lineRule="auto"/>
      </w:pPr>
      <w:r>
        <w:separator/>
      </w:r>
    </w:p>
  </w:endnote>
  <w:endnote w:type="continuationSeparator" w:id="0">
    <w:p w14:paraId="62E405FB" w14:textId="77777777" w:rsidR="00E93D32" w:rsidRDefault="00E93D32" w:rsidP="00246D3E">
      <w:pPr>
        <w:spacing w:after="0" w:line="240" w:lineRule="auto"/>
      </w:pPr>
      <w:r>
        <w:continuationSeparator/>
      </w:r>
    </w:p>
  </w:endnote>
  <w:endnote w:type="continuationNotice" w:id="1">
    <w:p w14:paraId="32A05606" w14:textId="77777777" w:rsidR="00E93D32" w:rsidRDefault="00E93D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4066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34BE1B" w14:textId="7C1C20F9" w:rsidR="00246D3E" w:rsidRDefault="00246D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81890" w14:textId="77777777" w:rsidR="00246D3E" w:rsidRDefault="0024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99DE" w14:textId="77777777" w:rsidR="00E93D32" w:rsidRDefault="00E93D32" w:rsidP="00246D3E">
      <w:pPr>
        <w:spacing w:after="0" w:line="240" w:lineRule="auto"/>
      </w:pPr>
      <w:r>
        <w:separator/>
      </w:r>
    </w:p>
  </w:footnote>
  <w:footnote w:type="continuationSeparator" w:id="0">
    <w:p w14:paraId="4A8ED159" w14:textId="77777777" w:rsidR="00E93D32" w:rsidRDefault="00E93D32" w:rsidP="00246D3E">
      <w:pPr>
        <w:spacing w:after="0" w:line="240" w:lineRule="auto"/>
      </w:pPr>
      <w:r>
        <w:continuationSeparator/>
      </w:r>
    </w:p>
  </w:footnote>
  <w:footnote w:type="continuationNotice" w:id="1">
    <w:p w14:paraId="435C0DAB" w14:textId="77777777" w:rsidR="00E93D32" w:rsidRDefault="00E93D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F1D"/>
    <w:multiLevelType w:val="hybridMultilevel"/>
    <w:tmpl w:val="FF1C6F44"/>
    <w:lvl w:ilvl="0" w:tplc="3E162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14BC1"/>
    <w:rsid w:val="00017DF7"/>
    <w:rsid w:val="000201C2"/>
    <w:rsid w:val="00023251"/>
    <w:rsid w:val="000258CC"/>
    <w:rsid w:val="0002756D"/>
    <w:rsid w:val="00031DF1"/>
    <w:rsid w:val="000327FD"/>
    <w:rsid w:val="0003444D"/>
    <w:rsid w:val="00034DDC"/>
    <w:rsid w:val="00037F29"/>
    <w:rsid w:val="00040A48"/>
    <w:rsid w:val="00054B9A"/>
    <w:rsid w:val="00063810"/>
    <w:rsid w:val="00072B55"/>
    <w:rsid w:val="00093369"/>
    <w:rsid w:val="000A27BC"/>
    <w:rsid w:val="000A7DCE"/>
    <w:rsid w:val="000B51AA"/>
    <w:rsid w:val="00107D62"/>
    <w:rsid w:val="00132F52"/>
    <w:rsid w:val="00133DDD"/>
    <w:rsid w:val="001361F0"/>
    <w:rsid w:val="001452FB"/>
    <w:rsid w:val="00154076"/>
    <w:rsid w:val="001558BF"/>
    <w:rsid w:val="00164C28"/>
    <w:rsid w:val="00172E98"/>
    <w:rsid w:val="00183693"/>
    <w:rsid w:val="00187DDF"/>
    <w:rsid w:val="001911E2"/>
    <w:rsid w:val="00193743"/>
    <w:rsid w:val="001A0148"/>
    <w:rsid w:val="001A5E95"/>
    <w:rsid w:val="001B759E"/>
    <w:rsid w:val="001C0521"/>
    <w:rsid w:val="001C4A52"/>
    <w:rsid w:val="001E4D08"/>
    <w:rsid w:val="001E6D90"/>
    <w:rsid w:val="001E7DEE"/>
    <w:rsid w:val="002140ED"/>
    <w:rsid w:val="00246D3E"/>
    <w:rsid w:val="0025420D"/>
    <w:rsid w:val="00254AA4"/>
    <w:rsid w:val="00261AC9"/>
    <w:rsid w:val="002657E1"/>
    <w:rsid w:val="0027414D"/>
    <w:rsid w:val="00285388"/>
    <w:rsid w:val="0028696A"/>
    <w:rsid w:val="002B12B2"/>
    <w:rsid w:val="002B736D"/>
    <w:rsid w:val="002C03EC"/>
    <w:rsid w:val="002C4109"/>
    <w:rsid w:val="002D1902"/>
    <w:rsid w:val="002D5E91"/>
    <w:rsid w:val="002F4913"/>
    <w:rsid w:val="00301065"/>
    <w:rsid w:val="00302CA9"/>
    <w:rsid w:val="00304F0F"/>
    <w:rsid w:val="003077B3"/>
    <w:rsid w:val="003149AA"/>
    <w:rsid w:val="00320F9C"/>
    <w:rsid w:val="00324AFB"/>
    <w:rsid w:val="00331365"/>
    <w:rsid w:val="00335F09"/>
    <w:rsid w:val="0033747F"/>
    <w:rsid w:val="00341FC4"/>
    <w:rsid w:val="0034287B"/>
    <w:rsid w:val="00346F78"/>
    <w:rsid w:val="00350ECC"/>
    <w:rsid w:val="00355273"/>
    <w:rsid w:val="003643D2"/>
    <w:rsid w:val="00364FDA"/>
    <w:rsid w:val="00366A70"/>
    <w:rsid w:val="00382C48"/>
    <w:rsid w:val="003941B0"/>
    <w:rsid w:val="003A36ED"/>
    <w:rsid w:val="003B30D4"/>
    <w:rsid w:val="003B7481"/>
    <w:rsid w:val="003C3624"/>
    <w:rsid w:val="003C6EAA"/>
    <w:rsid w:val="003D584E"/>
    <w:rsid w:val="003F74F4"/>
    <w:rsid w:val="00403AAE"/>
    <w:rsid w:val="00403F2D"/>
    <w:rsid w:val="00417E38"/>
    <w:rsid w:val="004205CA"/>
    <w:rsid w:val="00427DB1"/>
    <w:rsid w:val="00436684"/>
    <w:rsid w:val="0044507C"/>
    <w:rsid w:val="00445DB9"/>
    <w:rsid w:val="00451455"/>
    <w:rsid w:val="00453219"/>
    <w:rsid w:val="0045392D"/>
    <w:rsid w:val="00455669"/>
    <w:rsid w:val="004557D2"/>
    <w:rsid w:val="00457372"/>
    <w:rsid w:val="00460D13"/>
    <w:rsid w:val="0046489A"/>
    <w:rsid w:val="00467A44"/>
    <w:rsid w:val="0047583E"/>
    <w:rsid w:val="004777D8"/>
    <w:rsid w:val="004800A9"/>
    <w:rsid w:val="00485BA7"/>
    <w:rsid w:val="00491B33"/>
    <w:rsid w:val="004941A6"/>
    <w:rsid w:val="004C1C18"/>
    <w:rsid w:val="004D4A65"/>
    <w:rsid w:val="00502865"/>
    <w:rsid w:val="00504C4E"/>
    <w:rsid w:val="00505DE6"/>
    <w:rsid w:val="00525323"/>
    <w:rsid w:val="00525731"/>
    <w:rsid w:val="00540C98"/>
    <w:rsid w:val="0055740C"/>
    <w:rsid w:val="00561FA5"/>
    <w:rsid w:val="00576631"/>
    <w:rsid w:val="00576924"/>
    <w:rsid w:val="005774C0"/>
    <w:rsid w:val="00580202"/>
    <w:rsid w:val="005852A7"/>
    <w:rsid w:val="00594DB7"/>
    <w:rsid w:val="005A0B91"/>
    <w:rsid w:val="005A7621"/>
    <w:rsid w:val="005A7AD2"/>
    <w:rsid w:val="005B39D7"/>
    <w:rsid w:val="005B6127"/>
    <w:rsid w:val="005C1DE2"/>
    <w:rsid w:val="005C4D69"/>
    <w:rsid w:val="005C67A4"/>
    <w:rsid w:val="005F20DD"/>
    <w:rsid w:val="005F6892"/>
    <w:rsid w:val="00601220"/>
    <w:rsid w:val="00605B8F"/>
    <w:rsid w:val="00611017"/>
    <w:rsid w:val="00613524"/>
    <w:rsid w:val="00614081"/>
    <w:rsid w:val="00614671"/>
    <w:rsid w:val="006362DD"/>
    <w:rsid w:val="006666C0"/>
    <w:rsid w:val="00671C34"/>
    <w:rsid w:val="00690137"/>
    <w:rsid w:val="00693B29"/>
    <w:rsid w:val="006946EE"/>
    <w:rsid w:val="00694805"/>
    <w:rsid w:val="006A1000"/>
    <w:rsid w:val="00700F4C"/>
    <w:rsid w:val="0070253A"/>
    <w:rsid w:val="00702FD3"/>
    <w:rsid w:val="00703BC4"/>
    <w:rsid w:val="00703E57"/>
    <w:rsid w:val="0071105C"/>
    <w:rsid w:val="00720B7A"/>
    <w:rsid w:val="0072231F"/>
    <w:rsid w:val="007268F6"/>
    <w:rsid w:val="00731088"/>
    <w:rsid w:val="007326C7"/>
    <w:rsid w:val="007327E1"/>
    <w:rsid w:val="00743E9D"/>
    <w:rsid w:val="00760118"/>
    <w:rsid w:val="00765204"/>
    <w:rsid w:val="0076E01C"/>
    <w:rsid w:val="007745E4"/>
    <w:rsid w:val="00775A59"/>
    <w:rsid w:val="00796234"/>
    <w:rsid w:val="007B459C"/>
    <w:rsid w:val="007C3027"/>
    <w:rsid w:val="007D292D"/>
    <w:rsid w:val="007D7B22"/>
    <w:rsid w:val="007E4B9E"/>
    <w:rsid w:val="007E64EA"/>
    <w:rsid w:val="007F4AA9"/>
    <w:rsid w:val="007F6ADB"/>
    <w:rsid w:val="00801BE4"/>
    <w:rsid w:val="0081604A"/>
    <w:rsid w:val="008217BC"/>
    <w:rsid w:val="0082446C"/>
    <w:rsid w:val="00833913"/>
    <w:rsid w:val="008342CC"/>
    <w:rsid w:val="00835790"/>
    <w:rsid w:val="00856C7A"/>
    <w:rsid w:val="0087545A"/>
    <w:rsid w:val="008779F5"/>
    <w:rsid w:val="008816AB"/>
    <w:rsid w:val="0089138B"/>
    <w:rsid w:val="00897F32"/>
    <w:rsid w:val="008A4667"/>
    <w:rsid w:val="008A47AA"/>
    <w:rsid w:val="008B6C6A"/>
    <w:rsid w:val="008C0E19"/>
    <w:rsid w:val="008C7DD0"/>
    <w:rsid w:val="008D6F5C"/>
    <w:rsid w:val="008E4ADD"/>
    <w:rsid w:val="008E53B1"/>
    <w:rsid w:val="008E6BC4"/>
    <w:rsid w:val="00900143"/>
    <w:rsid w:val="00900E67"/>
    <w:rsid w:val="0090412F"/>
    <w:rsid w:val="00921A83"/>
    <w:rsid w:val="009248F8"/>
    <w:rsid w:val="00931EFC"/>
    <w:rsid w:val="00947E7B"/>
    <w:rsid w:val="0095071F"/>
    <w:rsid w:val="0095669B"/>
    <w:rsid w:val="00962B29"/>
    <w:rsid w:val="00964A4C"/>
    <w:rsid w:val="009743B0"/>
    <w:rsid w:val="0098115E"/>
    <w:rsid w:val="00982755"/>
    <w:rsid w:val="00985CE8"/>
    <w:rsid w:val="00991298"/>
    <w:rsid w:val="009974A5"/>
    <w:rsid w:val="009A409C"/>
    <w:rsid w:val="009B292B"/>
    <w:rsid w:val="009C7119"/>
    <w:rsid w:val="009D62D7"/>
    <w:rsid w:val="009D76A8"/>
    <w:rsid w:val="009E2639"/>
    <w:rsid w:val="009E4481"/>
    <w:rsid w:val="009F412F"/>
    <w:rsid w:val="00A01F18"/>
    <w:rsid w:val="00A1112A"/>
    <w:rsid w:val="00A114AF"/>
    <w:rsid w:val="00A13DED"/>
    <w:rsid w:val="00A21005"/>
    <w:rsid w:val="00A27DAF"/>
    <w:rsid w:val="00A31DAA"/>
    <w:rsid w:val="00A41C9C"/>
    <w:rsid w:val="00A5449E"/>
    <w:rsid w:val="00A54584"/>
    <w:rsid w:val="00A546A4"/>
    <w:rsid w:val="00A57D78"/>
    <w:rsid w:val="00A617A9"/>
    <w:rsid w:val="00A77A53"/>
    <w:rsid w:val="00AA446E"/>
    <w:rsid w:val="00AA4E21"/>
    <w:rsid w:val="00AA5AF5"/>
    <w:rsid w:val="00AC09F2"/>
    <w:rsid w:val="00AD090E"/>
    <w:rsid w:val="00AD4973"/>
    <w:rsid w:val="00AE46FC"/>
    <w:rsid w:val="00AE4FBB"/>
    <w:rsid w:val="00AF3C6B"/>
    <w:rsid w:val="00B05B34"/>
    <w:rsid w:val="00B13197"/>
    <w:rsid w:val="00B22F06"/>
    <w:rsid w:val="00B2642B"/>
    <w:rsid w:val="00B330BC"/>
    <w:rsid w:val="00B35853"/>
    <w:rsid w:val="00B41F6D"/>
    <w:rsid w:val="00B4253F"/>
    <w:rsid w:val="00B43E9E"/>
    <w:rsid w:val="00B646C1"/>
    <w:rsid w:val="00B6789D"/>
    <w:rsid w:val="00B72B1F"/>
    <w:rsid w:val="00B75291"/>
    <w:rsid w:val="00B76D00"/>
    <w:rsid w:val="00B82046"/>
    <w:rsid w:val="00B96382"/>
    <w:rsid w:val="00B96A62"/>
    <w:rsid w:val="00BA073B"/>
    <w:rsid w:val="00BC6E59"/>
    <w:rsid w:val="00BD5C50"/>
    <w:rsid w:val="00BE04E4"/>
    <w:rsid w:val="00BE05CA"/>
    <w:rsid w:val="00BE08D3"/>
    <w:rsid w:val="00BE7520"/>
    <w:rsid w:val="00BF31ED"/>
    <w:rsid w:val="00BF35AF"/>
    <w:rsid w:val="00BF4CC9"/>
    <w:rsid w:val="00C23F20"/>
    <w:rsid w:val="00C4361F"/>
    <w:rsid w:val="00C436BE"/>
    <w:rsid w:val="00C6087B"/>
    <w:rsid w:val="00C623C0"/>
    <w:rsid w:val="00C7711A"/>
    <w:rsid w:val="00C8042D"/>
    <w:rsid w:val="00C806FD"/>
    <w:rsid w:val="00C8101A"/>
    <w:rsid w:val="00CA18E8"/>
    <w:rsid w:val="00CA307C"/>
    <w:rsid w:val="00CA338A"/>
    <w:rsid w:val="00CA4650"/>
    <w:rsid w:val="00CB79F7"/>
    <w:rsid w:val="00CC7E96"/>
    <w:rsid w:val="00CE14A0"/>
    <w:rsid w:val="00CE659F"/>
    <w:rsid w:val="00CE70BD"/>
    <w:rsid w:val="00D05017"/>
    <w:rsid w:val="00D110E1"/>
    <w:rsid w:val="00D13B1F"/>
    <w:rsid w:val="00D1492E"/>
    <w:rsid w:val="00D1614E"/>
    <w:rsid w:val="00D16A4C"/>
    <w:rsid w:val="00D206C2"/>
    <w:rsid w:val="00D27FCA"/>
    <w:rsid w:val="00D32295"/>
    <w:rsid w:val="00D36C94"/>
    <w:rsid w:val="00D44292"/>
    <w:rsid w:val="00D504AD"/>
    <w:rsid w:val="00D536E8"/>
    <w:rsid w:val="00D61A27"/>
    <w:rsid w:val="00D670DB"/>
    <w:rsid w:val="00D702AE"/>
    <w:rsid w:val="00D73255"/>
    <w:rsid w:val="00D74294"/>
    <w:rsid w:val="00D8250E"/>
    <w:rsid w:val="00DC039A"/>
    <w:rsid w:val="00DC09F4"/>
    <w:rsid w:val="00DD49E5"/>
    <w:rsid w:val="00DD5CD0"/>
    <w:rsid w:val="00DD6172"/>
    <w:rsid w:val="00DF27DE"/>
    <w:rsid w:val="00E0425A"/>
    <w:rsid w:val="00E14A9E"/>
    <w:rsid w:val="00E24B7B"/>
    <w:rsid w:val="00E40B35"/>
    <w:rsid w:val="00E5265C"/>
    <w:rsid w:val="00E57EDE"/>
    <w:rsid w:val="00E64B1C"/>
    <w:rsid w:val="00E65126"/>
    <w:rsid w:val="00E92F5F"/>
    <w:rsid w:val="00E93D32"/>
    <w:rsid w:val="00E9596D"/>
    <w:rsid w:val="00E95A7E"/>
    <w:rsid w:val="00EA0E1A"/>
    <w:rsid w:val="00ED3FAE"/>
    <w:rsid w:val="00ED420E"/>
    <w:rsid w:val="00EE6AFA"/>
    <w:rsid w:val="00EF48F9"/>
    <w:rsid w:val="00EF6E1D"/>
    <w:rsid w:val="00F0265A"/>
    <w:rsid w:val="00F11409"/>
    <w:rsid w:val="00F34BB5"/>
    <w:rsid w:val="00F460EC"/>
    <w:rsid w:val="00F46B5E"/>
    <w:rsid w:val="00F63AC4"/>
    <w:rsid w:val="00F71C11"/>
    <w:rsid w:val="00F7305B"/>
    <w:rsid w:val="00F74E6C"/>
    <w:rsid w:val="00F75D8F"/>
    <w:rsid w:val="00F7706F"/>
    <w:rsid w:val="00F77C2D"/>
    <w:rsid w:val="00F85D52"/>
    <w:rsid w:val="00F96D3F"/>
    <w:rsid w:val="00FA7D63"/>
    <w:rsid w:val="00FB5763"/>
    <w:rsid w:val="00FC3A33"/>
    <w:rsid w:val="00FD3F5E"/>
    <w:rsid w:val="00FD5044"/>
    <w:rsid w:val="00FE6B94"/>
    <w:rsid w:val="04B64386"/>
    <w:rsid w:val="05322332"/>
    <w:rsid w:val="07617AEE"/>
    <w:rsid w:val="0B07DA74"/>
    <w:rsid w:val="0BA8957E"/>
    <w:rsid w:val="0E3125E4"/>
    <w:rsid w:val="0E5B2887"/>
    <w:rsid w:val="12F3C1D1"/>
    <w:rsid w:val="15B5C4CF"/>
    <w:rsid w:val="1614398C"/>
    <w:rsid w:val="16B05469"/>
    <w:rsid w:val="19DD0164"/>
    <w:rsid w:val="1A92BC77"/>
    <w:rsid w:val="1B5730F7"/>
    <w:rsid w:val="1DD24307"/>
    <w:rsid w:val="1DE068AF"/>
    <w:rsid w:val="23854A97"/>
    <w:rsid w:val="2425B786"/>
    <w:rsid w:val="27AB41D5"/>
    <w:rsid w:val="28649E86"/>
    <w:rsid w:val="2AAA7557"/>
    <w:rsid w:val="2C110A82"/>
    <w:rsid w:val="2F766A57"/>
    <w:rsid w:val="34915217"/>
    <w:rsid w:val="3631D69A"/>
    <w:rsid w:val="37AA8CA9"/>
    <w:rsid w:val="37CEE84A"/>
    <w:rsid w:val="3838D80D"/>
    <w:rsid w:val="3B0EA2D3"/>
    <w:rsid w:val="41DA218C"/>
    <w:rsid w:val="4311782F"/>
    <w:rsid w:val="431756FA"/>
    <w:rsid w:val="4AD035F4"/>
    <w:rsid w:val="4CB88954"/>
    <w:rsid w:val="50859BFD"/>
    <w:rsid w:val="53E7D088"/>
    <w:rsid w:val="55516D6E"/>
    <w:rsid w:val="57A7814E"/>
    <w:rsid w:val="5A76BED9"/>
    <w:rsid w:val="5BCF1F6F"/>
    <w:rsid w:val="5D86BD41"/>
    <w:rsid w:val="6233C127"/>
    <w:rsid w:val="65FFA62F"/>
    <w:rsid w:val="6822A1CD"/>
    <w:rsid w:val="6AA42312"/>
    <w:rsid w:val="6BA86436"/>
    <w:rsid w:val="6EE298F4"/>
    <w:rsid w:val="6F8ED833"/>
    <w:rsid w:val="6FFAA230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ED9BD"/>
  <w15:chartTrackingRefBased/>
  <w15:docId w15:val="{C6145DEB-7152-4F86-9670-4DED3620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3E"/>
  </w:style>
  <w:style w:type="paragraph" w:styleId="Footer">
    <w:name w:val="footer"/>
    <w:basedOn w:val="Normal"/>
    <w:link w:val="Foot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F3D65-BD41-4770-83A5-4B6124E68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1184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2</cp:revision>
  <cp:lastPrinted>2025-11-20T21:14:00Z</cp:lastPrinted>
  <dcterms:created xsi:type="dcterms:W3CDTF">2025-11-20T21:16:00Z</dcterms:created>
  <dcterms:modified xsi:type="dcterms:W3CDTF">2025-11-20T21:16:00Z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a46e2c67-b915-4416-96c4-6eec5a2a1ea9</vt:lpwstr>
  </property>
</Properties>
</file>