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935C" w14:textId="77777777" w:rsidR="00292993" w:rsidRPr="00C116B2" w:rsidRDefault="00292993" w:rsidP="00292993">
      <w:pPr>
        <w:spacing w:after="0" w:line="240" w:lineRule="auto"/>
        <w:contextualSpacing/>
        <w:jc w:val="center"/>
        <w:rPr>
          <w:rFonts w:ascii="Times New Roman" w:hAnsi="Times New Roman" w:cs="Times New Roman"/>
        </w:rPr>
      </w:pPr>
      <w:r w:rsidRPr="00C116B2">
        <w:rPr>
          <w:rFonts w:ascii="Times New Roman" w:hAnsi="Times New Roman" w:cs="Times New Roman"/>
        </w:rPr>
        <w:t>Statutory Advisory Board (SAB)</w:t>
      </w:r>
    </w:p>
    <w:p w14:paraId="7E8407C8" w14:textId="5E13EDFE" w:rsidR="00292993" w:rsidRPr="00ED1730" w:rsidRDefault="00484303" w:rsidP="00ED1730">
      <w:pPr>
        <w:spacing w:after="0" w:line="240" w:lineRule="auto"/>
        <w:contextualSpacing/>
        <w:jc w:val="center"/>
        <w:rPr>
          <w:rFonts w:ascii="Times New Roman" w:hAnsi="Times New Roman" w:cs="Times New Roman"/>
        </w:rPr>
      </w:pPr>
      <w:r>
        <w:rPr>
          <w:rFonts w:ascii="Times New Roman" w:hAnsi="Times New Roman" w:cs="Times New Roman"/>
        </w:rPr>
        <w:t>Dece</w:t>
      </w:r>
      <w:r w:rsidR="00292993" w:rsidRPr="00C116B2">
        <w:rPr>
          <w:rFonts w:ascii="Times New Roman" w:hAnsi="Times New Roman" w:cs="Times New Roman"/>
        </w:rPr>
        <w:t xml:space="preserve">mber </w:t>
      </w:r>
      <w:r>
        <w:rPr>
          <w:rFonts w:ascii="Times New Roman" w:hAnsi="Times New Roman" w:cs="Times New Roman"/>
        </w:rPr>
        <w:t>2</w:t>
      </w:r>
      <w:r w:rsidR="00292993" w:rsidRPr="00C116B2">
        <w:rPr>
          <w:rFonts w:ascii="Times New Roman" w:hAnsi="Times New Roman" w:cs="Times New Roman"/>
        </w:rPr>
        <w:t>, 2025</w:t>
      </w:r>
    </w:p>
    <w:p w14:paraId="2A2B77CC" w14:textId="2575B69B" w:rsidR="00292993" w:rsidRPr="00ED1730" w:rsidRDefault="00ED1730" w:rsidP="00292993">
      <w:pPr>
        <w:spacing w:after="0" w:line="240" w:lineRule="auto"/>
        <w:contextualSpacing/>
        <w:jc w:val="center"/>
        <w:rPr>
          <w:rFonts w:ascii="Times New Roman" w:hAnsi="Times New Roman" w:cs="Times New Roman"/>
        </w:rPr>
      </w:pPr>
      <w:r w:rsidRPr="00ED1730">
        <w:rPr>
          <w:rFonts w:ascii="Times New Roman" w:hAnsi="Times New Roman" w:cs="Times New Roman"/>
        </w:rPr>
        <w:t xml:space="preserve">Meeting </w:t>
      </w:r>
      <w:r w:rsidR="00292993" w:rsidRPr="00ED1730">
        <w:rPr>
          <w:rFonts w:ascii="Times New Roman" w:hAnsi="Times New Roman" w:cs="Times New Roman"/>
        </w:rPr>
        <w:t>Minutes</w:t>
      </w:r>
    </w:p>
    <w:p w14:paraId="609F9590" w14:textId="77777777" w:rsidR="00292993" w:rsidRPr="00C116B2" w:rsidRDefault="00292993" w:rsidP="00292993">
      <w:pPr>
        <w:spacing w:after="0" w:line="240" w:lineRule="auto"/>
        <w:contextualSpacing/>
        <w:rPr>
          <w:rFonts w:ascii="Times New Roman" w:hAnsi="Times New Roman" w:cs="Times New Roman"/>
          <w:u w:val="single"/>
        </w:rPr>
      </w:pPr>
    </w:p>
    <w:p w14:paraId="6539A7F3" w14:textId="39A1498F" w:rsidR="00292993" w:rsidRPr="00C116B2" w:rsidRDefault="00292993" w:rsidP="00292993">
      <w:pPr>
        <w:spacing w:after="0" w:line="240" w:lineRule="auto"/>
        <w:contextualSpacing/>
        <w:rPr>
          <w:rFonts w:ascii="Times New Roman" w:hAnsi="Times New Roman" w:cs="Times New Roman"/>
        </w:rPr>
      </w:pPr>
      <w:r w:rsidRPr="00C116B2">
        <w:rPr>
          <w:rFonts w:ascii="Times New Roman" w:hAnsi="Times New Roman" w:cs="Times New Roman"/>
        </w:rPr>
        <w:t xml:space="preserve">SAB Attendees: Brian MacDonald, Blair Wong, Nancy Rumbolt-Trzcinski, </w:t>
      </w:r>
      <w:r w:rsidR="002806DE">
        <w:rPr>
          <w:rFonts w:ascii="Times New Roman" w:hAnsi="Times New Roman" w:cs="Times New Roman"/>
        </w:rPr>
        <w:t xml:space="preserve">and </w:t>
      </w:r>
      <w:r w:rsidRPr="00C116B2">
        <w:rPr>
          <w:rFonts w:ascii="Times New Roman" w:hAnsi="Times New Roman" w:cs="Times New Roman"/>
        </w:rPr>
        <w:t>Kathy Petkauskos</w:t>
      </w:r>
    </w:p>
    <w:p w14:paraId="6FED1208" w14:textId="77777777" w:rsidR="00292993" w:rsidRPr="00C116B2" w:rsidRDefault="00292993" w:rsidP="00292993">
      <w:pPr>
        <w:spacing w:after="0" w:line="240" w:lineRule="auto"/>
        <w:contextualSpacing/>
        <w:rPr>
          <w:rFonts w:ascii="Times New Roman" w:hAnsi="Times New Roman" w:cs="Times New Roman"/>
        </w:rPr>
      </w:pPr>
    </w:p>
    <w:p w14:paraId="74D9A74D" w14:textId="77777777" w:rsidR="00292993" w:rsidRPr="00C116B2" w:rsidRDefault="00292993" w:rsidP="00292993">
      <w:pPr>
        <w:spacing w:after="0" w:line="240" w:lineRule="auto"/>
        <w:contextualSpacing/>
        <w:rPr>
          <w:rFonts w:ascii="Times New Roman" w:hAnsi="Times New Roman" w:cs="Times New Roman"/>
        </w:rPr>
      </w:pPr>
      <w:r w:rsidRPr="00C116B2">
        <w:rPr>
          <w:rFonts w:ascii="Times New Roman" w:hAnsi="Times New Roman" w:cs="Times New Roman"/>
        </w:rPr>
        <w:t>MCB Staff Attendees: John Oliveira, Justine Muir, Nathan Skrocki, and Lucy Evangelidis</w:t>
      </w:r>
    </w:p>
    <w:p w14:paraId="5CF4327A" w14:textId="77777777" w:rsidR="00292993" w:rsidRPr="00C116B2" w:rsidRDefault="00292993" w:rsidP="00292993">
      <w:pPr>
        <w:spacing w:after="0" w:line="240" w:lineRule="auto"/>
        <w:contextualSpacing/>
        <w:rPr>
          <w:rFonts w:ascii="Times New Roman" w:hAnsi="Times New Roman" w:cs="Times New Roman"/>
        </w:rPr>
      </w:pPr>
    </w:p>
    <w:p w14:paraId="581F9012" w14:textId="3708046A" w:rsidR="00292993" w:rsidRPr="00C116B2" w:rsidRDefault="00292993" w:rsidP="00292993">
      <w:pPr>
        <w:spacing w:after="0" w:line="240" w:lineRule="auto"/>
        <w:contextualSpacing/>
        <w:rPr>
          <w:rFonts w:ascii="Times New Roman" w:hAnsi="Times New Roman" w:cs="Times New Roman"/>
        </w:rPr>
      </w:pPr>
      <w:r w:rsidRPr="00C116B2">
        <w:rPr>
          <w:rFonts w:ascii="Times New Roman" w:hAnsi="Times New Roman" w:cs="Times New Roman"/>
        </w:rPr>
        <w:t>Meeting held via Zoom, recording available to the public on the MCB YouTube channel</w:t>
      </w:r>
      <w:r w:rsidR="002806DE">
        <w:rPr>
          <w:rFonts w:ascii="Times New Roman" w:hAnsi="Times New Roman" w:cs="Times New Roman"/>
        </w:rPr>
        <w:t xml:space="preserve">. </w:t>
      </w:r>
      <w:r w:rsidRPr="00C116B2">
        <w:rPr>
          <w:rFonts w:ascii="Times New Roman" w:hAnsi="Times New Roman" w:cs="Times New Roman"/>
        </w:rPr>
        <w:t>Public invited to participate through Q&amp;A at the end of the meeting</w:t>
      </w:r>
      <w:r w:rsidR="00ED1730">
        <w:rPr>
          <w:rFonts w:ascii="Times New Roman" w:hAnsi="Times New Roman" w:cs="Times New Roman"/>
        </w:rPr>
        <w:t>.</w:t>
      </w:r>
    </w:p>
    <w:p w14:paraId="4DE6DA5B" w14:textId="77777777" w:rsidR="00292993" w:rsidRPr="00C116B2" w:rsidRDefault="00292993" w:rsidP="00292993">
      <w:pPr>
        <w:spacing w:after="0" w:line="240" w:lineRule="auto"/>
        <w:contextualSpacing/>
        <w:rPr>
          <w:rFonts w:ascii="Times New Roman" w:hAnsi="Times New Roman" w:cs="Times New Roman"/>
        </w:rPr>
      </w:pPr>
    </w:p>
    <w:p w14:paraId="2C53AA67" w14:textId="77777777" w:rsidR="00292993" w:rsidRPr="00C116B2" w:rsidRDefault="00292993" w:rsidP="00292993">
      <w:pPr>
        <w:spacing w:after="0" w:line="240" w:lineRule="auto"/>
        <w:contextualSpacing/>
        <w:rPr>
          <w:rFonts w:ascii="Times New Roman" w:hAnsi="Times New Roman" w:cs="Times New Roman"/>
          <w:u w:val="single"/>
        </w:rPr>
      </w:pPr>
    </w:p>
    <w:p w14:paraId="37255114" w14:textId="1209ECC1" w:rsidR="00B22B25" w:rsidRPr="00460E61" w:rsidRDefault="00292993" w:rsidP="00292993">
      <w:pPr>
        <w:spacing w:after="0" w:line="240" w:lineRule="auto"/>
        <w:contextualSpacing/>
        <w:rPr>
          <w:rFonts w:ascii="Times New Roman" w:hAnsi="Times New Roman" w:cs="Times New Roman"/>
          <w:u w:val="single"/>
        </w:rPr>
      </w:pPr>
      <w:r w:rsidRPr="00C116B2">
        <w:rPr>
          <w:rFonts w:ascii="Times New Roman" w:hAnsi="Times New Roman" w:cs="Times New Roman"/>
          <w:u w:val="single"/>
        </w:rPr>
        <w:t>Minutes</w:t>
      </w:r>
    </w:p>
    <w:p w14:paraId="2B2C9F3C" w14:textId="77777777" w:rsidR="00460E61" w:rsidRDefault="00460E61" w:rsidP="00292993">
      <w:pPr>
        <w:spacing w:after="0" w:line="240" w:lineRule="auto"/>
        <w:rPr>
          <w:rFonts w:ascii="Times New Roman" w:hAnsi="Times New Roman" w:cs="Times New Roman"/>
        </w:rPr>
      </w:pPr>
    </w:p>
    <w:p w14:paraId="23FAC3F9" w14:textId="21CC50CD" w:rsidR="00460E61" w:rsidRPr="00C116B2" w:rsidRDefault="00460E61" w:rsidP="00292993">
      <w:pPr>
        <w:spacing w:after="0" w:line="240" w:lineRule="auto"/>
        <w:rPr>
          <w:rFonts w:ascii="Times New Roman" w:hAnsi="Times New Roman" w:cs="Times New Roman"/>
        </w:rPr>
      </w:pPr>
      <w:r w:rsidRPr="00460E61">
        <w:rPr>
          <w:rFonts w:ascii="Times New Roman" w:hAnsi="Times New Roman" w:cs="Times New Roman"/>
        </w:rPr>
        <w:t>A quorum was reached. A motion to approve the November 4, 2025 minutes was made by Nancy and seconded by Blair. The motion passed unanimously. Board members confirmed that meeting recordings and minutes from May onward are now posted and up to date on the MCB website, with November minutes to be added following this meeting.</w:t>
      </w:r>
    </w:p>
    <w:p w14:paraId="2C52B258" w14:textId="77777777" w:rsidR="00292993" w:rsidRPr="00C116B2" w:rsidRDefault="00292993" w:rsidP="00292993">
      <w:pPr>
        <w:spacing w:after="0" w:line="240" w:lineRule="auto"/>
        <w:rPr>
          <w:rFonts w:ascii="Times New Roman" w:hAnsi="Times New Roman" w:cs="Times New Roman"/>
        </w:rPr>
      </w:pPr>
    </w:p>
    <w:p w14:paraId="0D50243E" w14:textId="347B7C7E" w:rsidR="00292993" w:rsidRPr="006C0F65" w:rsidRDefault="003B2B07" w:rsidP="00292993">
      <w:pPr>
        <w:spacing w:after="0" w:line="240" w:lineRule="auto"/>
        <w:rPr>
          <w:rFonts w:ascii="Times New Roman" w:hAnsi="Times New Roman" w:cs="Times New Roman"/>
          <w:b/>
          <w:bCs/>
        </w:rPr>
      </w:pPr>
      <w:r w:rsidRPr="006C0F65">
        <w:rPr>
          <w:rFonts w:ascii="Times New Roman" w:hAnsi="Times New Roman" w:cs="Times New Roman"/>
          <w:b/>
          <w:bCs/>
        </w:rPr>
        <w:t>Commissioner Update – John Oliveira</w:t>
      </w:r>
    </w:p>
    <w:p w14:paraId="6E6A138E" w14:textId="77777777" w:rsidR="00C20334" w:rsidRPr="00C20334" w:rsidRDefault="00C20334" w:rsidP="00C20334">
      <w:pPr>
        <w:spacing w:after="0"/>
        <w:rPr>
          <w:rFonts w:ascii="Times New Roman" w:hAnsi="Times New Roman" w:cs="Times New Roman"/>
        </w:rPr>
      </w:pPr>
      <w:r w:rsidRPr="00C20334">
        <w:rPr>
          <w:rFonts w:ascii="Times New Roman" w:hAnsi="Times New Roman" w:cs="Times New Roman"/>
        </w:rPr>
        <w:t>Commissioner Oliveira reported on federal funding, grants, and outreach initiatives:</w:t>
      </w:r>
    </w:p>
    <w:p w14:paraId="767D15FC" w14:textId="77777777" w:rsidR="00C20334" w:rsidRPr="00C20334" w:rsidRDefault="00C20334" w:rsidP="00C20334">
      <w:pPr>
        <w:numPr>
          <w:ilvl w:val="0"/>
          <w:numId w:val="11"/>
        </w:numPr>
        <w:spacing w:after="0"/>
        <w:rPr>
          <w:rFonts w:ascii="Times New Roman" w:hAnsi="Times New Roman" w:cs="Times New Roman"/>
        </w:rPr>
      </w:pPr>
      <w:r w:rsidRPr="00C20334">
        <w:rPr>
          <w:rFonts w:ascii="Times New Roman" w:hAnsi="Times New Roman" w:cs="Times New Roman"/>
          <w:b/>
          <w:bCs/>
        </w:rPr>
        <w:t>Federal funding and continuing resolution</w:t>
      </w:r>
    </w:p>
    <w:p w14:paraId="37C157DD"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The recent federal government shutdown has ended; RSA staff have returned to work and layoff notices have been rescinded.</w:t>
      </w:r>
    </w:p>
    <w:p w14:paraId="0F5481BE" w14:textId="130BE05D"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MCB has received approximately 33% of its FFY26 VR grant and 33% of its Older Independent Blind grant. A smaller supported employment/independent living grant (about $60,000 total) is expected shortly.</w:t>
      </w:r>
    </w:p>
    <w:p w14:paraId="3802224D"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These FFY26 funds have been set up in the fiscal system. MCB will continue to use remaining FFY25 federal funds through the end of December (which currently cover staff and services) and then transition to FFY26 funds in January.</w:t>
      </w:r>
    </w:p>
    <w:p w14:paraId="44EABA5D"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Congress has passed a continuing resolution through January 30, 2026. Until a full federal budget is approved, MCB will monitor spending closely and maximize use of state match funds to stretch federal dollars.</w:t>
      </w:r>
    </w:p>
    <w:p w14:paraId="7BFC6C2E" w14:textId="77777777" w:rsidR="00C20334" w:rsidRPr="00C20334" w:rsidRDefault="00C20334" w:rsidP="00C20334">
      <w:pPr>
        <w:numPr>
          <w:ilvl w:val="0"/>
          <w:numId w:val="11"/>
        </w:numPr>
        <w:spacing w:after="0"/>
        <w:rPr>
          <w:rFonts w:ascii="Times New Roman" w:hAnsi="Times New Roman" w:cs="Times New Roman"/>
        </w:rPr>
      </w:pPr>
      <w:r w:rsidRPr="00C20334">
        <w:rPr>
          <w:rFonts w:ascii="Times New Roman" w:hAnsi="Times New Roman" w:cs="Times New Roman"/>
          <w:b/>
          <w:bCs/>
        </w:rPr>
        <w:t>RSA organizational status</w:t>
      </w:r>
    </w:p>
    <w:p w14:paraId="1DCF1E38"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RSA remains within the U.S. Department of Education; some federal agencies were reassigned during the shutdown, but RSA was not.</w:t>
      </w:r>
    </w:p>
    <w:p w14:paraId="2DC70769"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There is ongoing speculation that RSA may eventually move to the Department of Labor or Health and Human Services, but no official decision has been announced.</w:t>
      </w:r>
    </w:p>
    <w:p w14:paraId="47742268"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MCB has continued to meet all RSA reporting deadlines and submit required forms, including during the shutdown, ensuring the continuation of grant processing and data reporting.</w:t>
      </w:r>
    </w:p>
    <w:p w14:paraId="4D58D2C3" w14:textId="77777777" w:rsidR="00C20334" w:rsidRPr="00C20334" w:rsidRDefault="00C20334" w:rsidP="00C20334">
      <w:pPr>
        <w:numPr>
          <w:ilvl w:val="0"/>
          <w:numId w:val="11"/>
        </w:numPr>
        <w:spacing w:after="0"/>
        <w:rPr>
          <w:rFonts w:ascii="Times New Roman" w:hAnsi="Times New Roman" w:cs="Times New Roman"/>
        </w:rPr>
      </w:pPr>
      <w:r w:rsidRPr="00C20334">
        <w:rPr>
          <w:rFonts w:ascii="Times New Roman" w:hAnsi="Times New Roman" w:cs="Times New Roman"/>
          <w:b/>
          <w:bCs/>
        </w:rPr>
        <w:lastRenderedPageBreak/>
        <w:t>Earmark-funded training</w:t>
      </w:r>
    </w:p>
    <w:p w14:paraId="639A5AA7" w14:textId="65D6997B"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Earmark funding for the Carroll Center and Mass Association for the Blind and Visually Impaired</w:t>
      </w:r>
      <w:r w:rsidR="007F4827">
        <w:rPr>
          <w:rFonts w:ascii="Times New Roman" w:hAnsi="Times New Roman" w:cs="Times New Roman"/>
        </w:rPr>
        <w:t xml:space="preserve"> (MABVI)</w:t>
      </w:r>
      <w:r w:rsidRPr="00C20334">
        <w:rPr>
          <w:rFonts w:ascii="Times New Roman" w:hAnsi="Times New Roman" w:cs="Times New Roman"/>
        </w:rPr>
        <w:t xml:space="preserve"> is available and vendors are expected to be actively booking consumers.</w:t>
      </w:r>
    </w:p>
    <w:p w14:paraId="3394B460"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Consumers can self-refer to the Carroll Center or MABVI for computer, independent living, and related training supported by the earmark; MCB staff may also refer consumers. Billing is drawn directly from the earmark funding rather than individual consumer case budgets.</w:t>
      </w:r>
    </w:p>
    <w:p w14:paraId="6AD89C71" w14:textId="77777777" w:rsidR="00C20334" w:rsidRPr="00C20334" w:rsidRDefault="00C20334" w:rsidP="00C20334">
      <w:pPr>
        <w:numPr>
          <w:ilvl w:val="0"/>
          <w:numId w:val="11"/>
        </w:numPr>
        <w:spacing w:after="0"/>
        <w:rPr>
          <w:rFonts w:ascii="Times New Roman" w:hAnsi="Times New Roman" w:cs="Times New Roman"/>
        </w:rPr>
      </w:pPr>
      <w:r w:rsidRPr="00C20334">
        <w:rPr>
          <w:rFonts w:ascii="Times New Roman" w:hAnsi="Times New Roman" w:cs="Times New Roman"/>
          <w:b/>
          <w:bCs/>
        </w:rPr>
        <w:t>New in-home training earmark</w:t>
      </w:r>
    </w:p>
    <w:p w14:paraId="12F68587"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A new, non-designated legislative earmark will fund a vendor to provide in-home training to consumers.</w:t>
      </w:r>
    </w:p>
    <w:p w14:paraId="166D43DE"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The earmark will also allow MCB to support consumers receiving training under multiple earmarks (Carroll, MABVI, and the new in-home training vendor).</w:t>
      </w:r>
    </w:p>
    <w:p w14:paraId="78D15B7C"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MCB will develop and release an RFR in the near future, with the goal of having an in-home training provider in place in early 2026.</w:t>
      </w:r>
    </w:p>
    <w:p w14:paraId="12AF9AF6" w14:textId="77777777" w:rsidR="00C20334" w:rsidRPr="00C20334" w:rsidRDefault="00C20334" w:rsidP="00C20334">
      <w:pPr>
        <w:numPr>
          <w:ilvl w:val="0"/>
          <w:numId w:val="11"/>
        </w:numPr>
        <w:spacing w:after="0"/>
        <w:rPr>
          <w:rFonts w:ascii="Times New Roman" w:hAnsi="Times New Roman" w:cs="Times New Roman"/>
        </w:rPr>
      </w:pPr>
      <w:r w:rsidRPr="00C20334">
        <w:rPr>
          <w:rFonts w:ascii="Times New Roman" w:hAnsi="Times New Roman" w:cs="Times New Roman"/>
          <w:b/>
          <w:bCs/>
        </w:rPr>
        <w:t>National recruitment media campaign</w:t>
      </w:r>
    </w:p>
    <w:p w14:paraId="75D88D08"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Using reallotment federal dollars, MCB contracted with UMass last year to develop short promotional video “reels” highlighting careers in the blindness field (orientation and mobility, vision rehabilitation therapy, assistive technology, and teaching students with visual impairments).</w:t>
      </w:r>
    </w:p>
    <w:p w14:paraId="0FA7588E" w14:textId="4B495034"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MCB then issued an RFR and engaged a media firm to purchase and manage social media advertising.</w:t>
      </w:r>
      <w:r w:rsidR="00C90EF0">
        <w:rPr>
          <w:rFonts w:ascii="Times New Roman" w:hAnsi="Times New Roman" w:cs="Times New Roman"/>
        </w:rPr>
        <w:t>s</w:t>
      </w:r>
    </w:p>
    <w:p w14:paraId="21FD01C0" w14:textId="42AB9F5B"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 xml:space="preserve">A new landing page on mass.gov/mcb hosts the videos and includes links to related training programs across the country, including UMass programs. Visitors can </w:t>
      </w:r>
      <w:r w:rsidR="003A57C0">
        <w:rPr>
          <w:rFonts w:ascii="Times New Roman" w:hAnsi="Times New Roman" w:cs="Times New Roman"/>
        </w:rPr>
        <w:t>explore</w:t>
      </w:r>
      <w:r w:rsidRPr="00C20334">
        <w:rPr>
          <w:rFonts w:ascii="Times New Roman" w:hAnsi="Times New Roman" w:cs="Times New Roman"/>
        </w:rPr>
        <w:t xml:space="preserve"> program websites for contact information and application details.</w:t>
      </w:r>
    </w:p>
    <w:p w14:paraId="0238E524" w14:textId="1EE87DF4"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The campaign targets individuals ages 18</w:t>
      </w:r>
      <w:r w:rsidR="00476A88">
        <w:rPr>
          <w:rFonts w:ascii="Times New Roman" w:hAnsi="Times New Roman" w:cs="Times New Roman"/>
        </w:rPr>
        <w:t>-</w:t>
      </w:r>
      <w:r w:rsidRPr="00C20334">
        <w:rPr>
          <w:rFonts w:ascii="Times New Roman" w:hAnsi="Times New Roman" w:cs="Times New Roman"/>
        </w:rPr>
        <w:t>45, particularly college juniors/seniors and mid-career adults considering a career change, and will run on platforms such as TikTok, Instagram, and Google.</w:t>
      </w:r>
    </w:p>
    <w:p w14:paraId="5BBB4701"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Ads will be geo-targeted to Massachusetts and several other large states/metro areas (including California, Texas, and Illinois) to help address nationwide workforce shortages in blindness services.</w:t>
      </w:r>
    </w:p>
    <w:p w14:paraId="3A9FE2A8" w14:textId="77777777" w:rsidR="00C20334" w:rsidRPr="00C20334" w:rsidRDefault="00C20334" w:rsidP="00C20334">
      <w:pPr>
        <w:numPr>
          <w:ilvl w:val="1"/>
          <w:numId w:val="11"/>
        </w:numPr>
        <w:spacing w:after="0"/>
        <w:rPr>
          <w:rFonts w:ascii="Times New Roman" w:hAnsi="Times New Roman" w:cs="Times New Roman"/>
        </w:rPr>
      </w:pPr>
      <w:r w:rsidRPr="00C20334">
        <w:rPr>
          <w:rFonts w:ascii="Times New Roman" w:hAnsi="Times New Roman" w:cs="Times New Roman"/>
        </w:rPr>
        <w:t>The campaign is launching this week. MCB will receive monthly analytics (clicks, views, etc.) and plans to follow up with universities by late spring/early summer 2026 to determine whether inquiries and applications have increased.</w:t>
      </w:r>
    </w:p>
    <w:p w14:paraId="1BCCE06F" w14:textId="77777777" w:rsidR="00AD0BC8" w:rsidRPr="00C116B2" w:rsidRDefault="00AD0BC8" w:rsidP="00AD0BC8">
      <w:pPr>
        <w:spacing w:after="0"/>
        <w:rPr>
          <w:rFonts w:ascii="Times New Roman" w:hAnsi="Times New Roman" w:cs="Times New Roman"/>
        </w:rPr>
      </w:pPr>
    </w:p>
    <w:p w14:paraId="7A923835" w14:textId="77777777" w:rsidR="00227106" w:rsidRPr="00227106" w:rsidRDefault="00227106" w:rsidP="00227106">
      <w:pPr>
        <w:spacing w:after="0"/>
        <w:rPr>
          <w:rFonts w:ascii="Times New Roman" w:hAnsi="Times New Roman" w:cs="Times New Roman"/>
          <w:b/>
          <w:bCs/>
        </w:rPr>
      </w:pPr>
      <w:r w:rsidRPr="00227106">
        <w:rPr>
          <w:rFonts w:ascii="Times New Roman" w:hAnsi="Times New Roman" w:cs="Times New Roman"/>
          <w:b/>
          <w:bCs/>
        </w:rPr>
        <w:t>Programs &amp; Services Update – Justine Muir</w:t>
      </w:r>
    </w:p>
    <w:p w14:paraId="56834988" w14:textId="77777777" w:rsidR="00227106" w:rsidRPr="00227106" w:rsidRDefault="00227106" w:rsidP="00227106">
      <w:pPr>
        <w:spacing w:after="0"/>
        <w:rPr>
          <w:rFonts w:ascii="Times New Roman" w:hAnsi="Times New Roman" w:cs="Times New Roman"/>
        </w:rPr>
      </w:pPr>
      <w:r w:rsidRPr="00227106">
        <w:rPr>
          <w:rFonts w:ascii="Times New Roman" w:hAnsi="Times New Roman" w:cs="Times New Roman"/>
        </w:rPr>
        <w:t>Justine provided an update focused on transition-age (Pre-ETS) services:</w:t>
      </w:r>
    </w:p>
    <w:p w14:paraId="05A8BF0D" w14:textId="77777777" w:rsidR="00227106" w:rsidRPr="00227106" w:rsidRDefault="00227106" w:rsidP="00227106">
      <w:pPr>
        <w:numPr>
          <w:ilvl w:val="0"/>
          <w:numId w:val="12"/>
        </w:numPr>
        <w:spacing w:after="0"/>
        <w:rPr>
          <w:rFonts w:ascii="Times New Roman" w:hAnsi="Times New Roman" w:cs="Times New Roman"/>
          <w:b/>
          <w:bCs/>
        </w:rPr>
      </w:pPr>
      <w:r w:rsidRPr="00227106">
        <w:rPr>
          <w:rFonts w:ascii="Times New Roman" w:hAnsi="Times New Roman" w:cs="Times New Roman"/>
          <w:b/>
          <w:bCs/>
        </w:rPr>
        <w:t>Visions of Collaborations conference (spring 2026)</w:t>
      </w:r>
    </w:p>
    <w:p w14:paraId="35B604A1" w14:textId="0290367B" w:rsidR="00227106" w:rsidRPr="00227106" w:rsidRDefault="00227106" w:rsidP="00227106">
      <w:pPr>
        <w:numPr>
          <w:ilvl w:val="1"/>
          <w:numId w:val="12"/>
        </w:numPr>
        <w:spacing w:after="0"/>
        <w:rPr>
          <w:rFonts w:ascii="Times New Roman" w:hAnsi="Times New Roman" w:cs="Times New Roman"/>
        </w:rPr>
      </w:pPr>
      <w:r w:rsidRPr="00227106">
        <w:rPr>
          <w:rFonts w:ascii="Times New Roman" w:hAnsi="Times New Roman" w:cs="Times New Roman"/>
        </w:rPr>
        <w:lastRenderedPageBreak/>
        <w:t>Planning has begun for the annual Visions of Collaborations conference, which focuses on educators and professionals working with transition-age students (Pre-ETS youth ages 14</w:t>
      </w:r>
      <w:r w:rsidR="00702D94">
        <w:rPr>
          <w:rFonts w:ascii="Times New Roman" w:hAnsi="Times New Roman" w:cs="Times New Roman"/>
        </w:rPr>
        <w:t>-</w:t>
      </w:r>
      <w:r w:rsidRPr="00227106">
        <w:rPr>
          <w:rFonts w:ascii="Times New Roman" w:hAnsi="Times New Roman" w:cs="Times New Roman"/>
        </w:rPr>
        <w:t>22 who are still in secondary education).</w:t>
      </w:r>
    </w:p>
    <w:p w14:paraId="22DC6317" w14:textId="77777777" w:rsidR="00227106" w:rsidRPr="00227106" w:rsidRDefault="00227106" w:rsidP="00227106">
      <w:pPr>
        <w:numPr>
          <w:ilvl w:val="1"/>
          <w:numId w:val="12"/>
        </w:numPr>
        <w:spacing w:after="0"/>
        <w:rPr>
          <w:rFonts w:ascii="Times New Roman" w:hAnsi="Times New Roman" w:cs="Times New Roman"/>
        </w:rPr>
      </w:pPr>
      <w:r w:rsidRPr="00227106">
        <w:rPr>
          <w:rFonts w:ascii="Times New Roman" w:hAnsi="Times New Roman" w:cs="Times New Roman"/>
        </w:rPr>
        <w:t>The internal MCB planning team is meeting this week; external partners (schools, collaboratives, and other agencies) will be brought into the planning process in the coming weeks.</w:t>
      </w:r>
    </w:p>
    <w:p w14:paraId="7BD23195" w14:textId="77777777" w:rsidR="00227106" w:rsidRPr="00227106" w:rsidRDefault="00227106" w:rsidP="00227106">
      <w:pPr>
        <w:numPr>
          <w:ilvl w:val="1"/>
          <w:numId w:val="12"/>
        </w:numPr>
        <w:spacing w:after="0"/>
        <w:rPr>
          <w:rFonts w:ascii="Times New Roman" w:hAnsi="Times New Roman" w:cs="Times New Roman"/>
        </w:rPr>
      </w:pPr>
      <w:r w:rsidRPr="00227106">
        <w:rPr>
          <w:rFonts w:ascii="Times New Roman" w:hAnsi="Times New Roman" w:cs="Times New Roman"/>
        </w:rPr>
        <w:t>The conference will highlight best practices in preparing students for post-secondary education, training, and employment.</w:t>
      </w:r>
    </w:p>
    <w:p w14:paraId="49C5253A" w14:textId="77777777" w:rsidR="00227106" w:rsidRPr="00227106" w:rsidRDefault="00227106" w:rsidP="00227106">
      <w:pPr>
        <w:numPr>
          <w:ilvl w:val="0"/>
          <w:numId w:val="12"/>
        </w:numPr>
        <w:spacing w:after="0"/>
        <w:rPr>
          <w:rFonts w:ascii="Times New Roman" w:hAnsi="Times New Roman" w:cs="Times New Roman"/>
          <w:b/>
          <w:bCs/>
        </w:rPr>
      </w:pPr>
      <w:r w:rsidRPr="00227106">
        <w:rPr>
          <w:rFonts w:ascii="Times New Roman" w:hAnsi="Times New Roman" w:cs="Times New Roman"/>
          <w:b/>
          <w:bCs/>
        </w:rPr>
        <w:t>Pre-ETS program participation</w:t>
      </w:r>
    </w:p>
    <w:p w14:paraId="2B3204E7" w14:textId="77777777" w:rsidR="00227106" w:rsidRPr="00227106" w:rsidRDefault="00227106" w:rsidP="00227106">
      <w:pPr>
        <w:numPr>
          <w:ilvl w:val="1"/>
          <w:numId w:val="12"/>
        </w:numPr>
        <w:spacing w:after="0"/>
        <w:rPr>
          <w:rFonts w:ascii="Times New Roman" w:hAnsi="Times New Roman" w:cs="Times New Roman"/>
        </w:rPr>
      </w:pPr>
      <w:r w:rsidRPr="00227106">
        <w:rPr>
          <w:rFonts w:ascii="Times New Roman" w:hAnsi="Times New Roman" w:cs="Times New Roman"/>
        </w:rPr>
        <w:t>MCB is seeing strong participation across Pre-ETS programming statewide.</w:t>
      </w:r>
    </w:p>
    <w:p w14:paraId="38F2DBCC" w14:textId="747A1E38" w:rsidR="00227106" w:rsidRPr="00227106" w:rsidRDefault="00227106" w:rsidP="00227106">
      <w:pPr>
        <w:numPr>
          <w:ilvl w:val="1"/>
          <w:numId w:val="12"/>
        </w:numPr>
        <w:spacing w:after="0"/>
        <w:rPr>
          <w:rFonts w:ascii="Times New Roman" w:hAnsi="Times New Roman" w:cs="Times New Roman"/>
        </w:rPr>
      </w:pPr>
      <w:r w:rsidRPr="00227106">
        <w:rPr>
          <w:rFonts w:ascii="Times New Roman" w:hAnsi="Times New Roman" w:cs="Times New Roman"/>
        </w:rPr>
        <w:t>Youth are engaging in activities such as job exploration, post-secondary preparation (college, training, certificate programs), workplace readiness, self-advocacy, and work-based learning experiences (job shadowing</w:t>
      </w:r>
      <w:r w:rsidR="008B6D41">
        <w:rPr>
          <w:rFonts w:ascii="Times New Roman" w:hAnsi="Times New Roman" w:cs="Times New Roman"/>
        </w:rPr>
        <w:t>,</w:t>
      </w:r>
      <w:r w:rsidR="009773D3">
        <w:rPr>
          <w:rFonts w:ascii="Times New Roman" w:hAnsi="Times New Roman" w:cs="Times New Roman"/>
        </w:rPr>
        <w:t xml:space="preserve"> </w:t>
      </w:r>
      <w:r w:rsidRPr="00227106">
        <w:rPr>
          <w:rFonts w:ascii="Times New Roman" w:hAnsi="Times New Roman" w:cs="Times New Roman"/>
        </w:rPr>
        <w:t>work-based learning opportunities).</w:t>
      </w:r>
    </w:p>
    <w:p w14:paraId="57E6FEB2" w14:textId="58901636" w:rsidR="00227106" w:rsidRPr="00227106" w:rsidRDefault="00227106" w:rsidP="00227106">
      <w:pPr>
        <w:numPr>
          <w:ilvl w:val="1"/>
          <w:numId w:val="12"/>
        </w:numPr>
        <w:spacing w:after="0"/>
        <w:rPr>
          <w:rFonts w:ascii="Times New Roman" w:hAnsi="Times New Roman" w:cs="Times New Roman"/>
        </w:rPr>
      </w:pPr>
      <w:r w:rsidRPr="00227106">
        <w:rPr>
          <w:rFonts w:ascii="Times New Roman" w:hAnsi="Times New Roman" w:cs="Times New Roman"/>
        </w:rPr>
        <w:t>Programs are offered in a range of formats</w:t>
      </w:r>
      <w:r w:rsidR="00E91518">
        <w:rPr>
          <w:rFonts w:ascii="Times New Roman" w:hAnsi="Times New Roman" w:cs="Times New Roman"/>
        </w:rPr>
        <w:t xml:space="preserve"> to provide flexibility for students and families: </w:t>
      </w:r>
      <w:r w:rsidRPr="00227106">
        <w:rPr>
          <w:rFonts w:ascii="Times New Roman" w:hAnsi="Times New Roman" w:cs="Times New Roman"/>
        </w:rPr>
        <w:t>weekends, after-school, in-person, hybrid, and remote</w:t>
      </w:r>
      <w:r w:rsidR="00E91518">
        <w:rPr>
          <w:rFonts w:ascii="Times New Roman" w:hAnsi="Times New Roman" w:cs="Times New Roman"/>
        </w:rPr>
        <w:t>.</w:t>
      </w:r>
    </w:p>
    <w:p w14:paraId="7D515E09" w14:textId="77777777" w:rsidR="009773D3" w:rsidRDefault="009773D3" w:rsidP="009773D3">
      <w:pPr>
        <w:spacing w:after="0"/>
        <w:rPr>
          <w:rFonts w:ascii="Times New Roman" w:hAnsi="Times New Roman" w:cs="Times New Roman"/>
          <w:b/>
          <w:bCs/>
        </w:rPr>
      </w:pPr>
    </w:p>
    <w:p w14:paraId="7F651F26" w14:textId="292B4DB8" w:rsidR="009773D3" w:rsidRPr="009773D3" w:rsidRDefault="009773D3" w:rsidP="009773D3">
      <w:pPr>
        <w:spacing w:after="0"/>
        <w:rPr>
          <w:rFonts w:ascii="Times New Roman" w:hAnsi="Times New Roman" w:cs="Times New Roman"/>
          <w:b/>
          <w:bCs/>
        </w:rPr>
      </w:pPr>
      <w:r w:rsidRPr="009773D3">
        <w:rPr>
          <w:rFonts w:ascii="Times New Roman" w:hAnsi="Times New Roman" w:cs="Times New Roman"/>
          <w:b/>
          <w:bCs/>
        </w:rPr>
        <w:t>Dashboard Update – Nathan Skrocki</w:t>
      </w:r>
    </w:p>
    <w:p w14:paraId="6568F215" w14:textId="77777777" w:rsidR="009773D3" w:rsidRPr="009773D3" w:rsidRDefault="009773D3" w:rsidP="009773D3">
      <w:pPr>
        <w:spacing w:after="0"/>
        <w:rPr>
          <w:rFonts w:ascii="Times New Roman" w:hAnsi="Times New Roman" w:cs="Times New Roman"/>
        </w:rPr>
      </w:pPr>
      <w:r w:rsidRPr="009773D3">
        <w:rPr>
          <w:rFonts w:ascii="Times New Roman" w:hAnsi="Times New Roman" w:cs="Times New Roman"/>
        </w:rPr>
        <w:t>Nate shared updated consumer and registration metrics:</w:t>
      </w:r>
    </w:p>
    <w:p w14:paraId="061C0472" w14:textId="77777777" w:rsidR="009773D3" w:rsidRPr="009773D3" w:rsidRDefault="009773D3" w:rsidP="009773D3">
      <w:pPr>
        <w:numPr>
          <w:ilvl w:val="0"/>
          <w:numId w:val="13"/>
        </w:numPr>
        <w:spacing w:after="0"/>
        <w:rPr>
          <w:rFonts w:ascii="Times New Roman" w:hAnsi="Times New Roman" w:cs="Times New Roman"/>
        </w:rPr>
      </w:pPr>
      <w:r w:rsidRPr="009773D3">
        <w:rPr>
          <w:rFonts w:ascii="Times New Roman" w:hAnsi="Times New Roman" w:cs="Times New Roman"/>
          <w:b/>
          <w:bCs/>
        </w:rPr>
        <w:t>Open cases</w:t>
      </w:r>
    </w:p>
    <w:p w14:paraId="7BE343B4"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SR Children: approximately 900 open cases.</w:t>
      </w:r>
    </w:p>
    <w:p w14:paraId="58A95CBB"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SR Adults: approximately 3,300 open cases.</w:t>
      </w:r>
    </w:p>
    <w:p w14:paraId="74575403"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VR Youth: 204 open cases.</w:t>
      </w:r>
    </w:p>
    <w:p w14:paraId="553EEE60"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VR Adults: 769 open cases.</w:t>
      </w:r>
    </w:p>
    <w:p w14:paraId="6A4BB94E"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Roughly 80% of all open cases are on the SR side.</w:t>
      </w:r>
    </w:p>
    <w:p w14:paraId="7610DCC5" w14:textId="77777777" w:rsidR="009773D3" w:rsidRPr="009773D3" w:rsidRDefault="009773D3" w:rsidP="009773D3">
      <w:pPr>
        <w:numPr>
          <w:ilvl w:val="0"/>
          <w:numId w:val="13"/>
        </w:numPr>
        <w:spacing w:after="0"/>
        <w:rPr>
          <w:rFonts w:ascii="Times New Roman" w:hAnsi="Times New Roman" w:cs="Times New Roman"/>
        </w:rPr>
      </w:pPr>
      <w:r w:rsidRPr="009773D3">
        <w:rPr>
          <w:rFonts w:ascii="Times New Roman" w:hAnsi="Times New Roman" w:cs="Times New Roman"/>
          <w:b/>
          <w:bCs/>
        </w:rPr>
        <w:t>Closed cases (CY25 to date)</w:t>
      </w:r>
    </w:p>
    <w:p w14:paraId="7FF25FEF"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SR: Over 100 children and more than 200 adults closed so far this calendar year.</w:t>
      </w:r>
    </w:p>
    <w:p w14:paraId="10574319"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VR (since July 1): 60 successful and 39 unsuccessful closures.</w:t>
      </w:r>
    </w:p>
    <w:p w14:paraId="7EB5BF84" w14:textId="77777777" w:rsidR="009773D3" w:rsidRPr="009773D3" w:rsidRDefault="009773D3" w:rsidP="009773D3">
      <w:pPr>
        <w:numPr>
          <w:ilvl w:val="0"/>
          <w:numId w:val="13"/>
        </w:numPr>
        <w:spacing w:after="0"/>
        <w:rPr>
          <w:rFonts w:ascii="Times New Roman" w:hAnsi="Times New Roman" w:cs="Times New Roman"/>
        </w:rPr>
      </w:pPr>
      <w:r w:rsidRPr="009773D3">
        <w:rPr>
          <w:rFonts w:ascii="Times New Roman" w:hAnsi="Times New Roman" w:cs="Times New Roman"/>
          <w:b/>
          <w:bCs/>
        </w:rPr>
        <w:t>Demographics</w:t>
      </w:r>
    </w:p>
    <w:p w14:paraId="701CE838" w14:textId="79DC6DE0" w:rsidR="009773D3" w:rsidRPr="009773D3" w:rsidRDefault="009773D3" w:rsidP="00FA7B70">
      <w:pPr>
        <w:numPr>
          <w:ilvl w:val="1"/>
          <w:numId w:val="13"/>
        </w:numPr>
        <w:spacing w:after="0"/>
        <w:rPr>
          <w:rFonts w:ascii="Times New Roman" w:hAnsi="Times New Roman" w:cs="Times New Roman"/>
        </w:rPr>
      </w:pPr>
      <w:r w:rsidRPr="009773D3">
        <w:rPr>
          <w:rFonts w:ascii="Times New Roman" w:hAnsi="Times New Roman" w:cs="Times New Roman"/>
        </w:rPr>
        <w:t>VR age distribution remains stable. The largest age cohorts are:</w:t>
      </w:r>
      <w:r w:rsidR="00FA7B70">
        <w:rPr>
          <w:rFonts w:ascii="Times New Roman" w:hAnsi="Times New Roman" w:cs="Times New Roman"/>
        </w:rPr>
        <w:t xml:space="preserve"> </w:t>
      </w:r>
      <w:r w:rsidRPr="009773D3">
        <w:rPr>
          <w:rFonts w:ascii="Times New Roman" w:hAnsi="Times New Roman" w:cs="Times New Roman"/>
        </w:rPr>
        <w:t>19</w:t>
      </w:r>
      <w:r w:rsidR="00CA36D4" w:rsidRPr="00FA7B70">
        <w:rPr>
          <w:rFonts w:ascii="Times New Roman" w:hAnsi="Times New Roman" w:cs="Times New Roman"/>
        </w:rPr>
        <w:t>-</w:t>
      </w:r>
      <w:r w:rsidRPr="009773D3">
        <w:rPr>
          <w:rFonts w:ascii="Times New Roman" w:hAnsi="Times New Roman" w:cs="Times New Roman"/>
        </w:rPr>
        <w:t>29, followed by</w:t>
      </w:r>
      <w:r w:rsidR="00FA7B70">
        <w:rPr>
          <w:rFonts w:ascii="Times New Roman" w:hAnsi="Times New Roman" w:cs="Times New Roman"/>
        </w:rPr>
        <w:t xml:space="preserve"> </w:t>
      </w:r>
      <w:r w:rsidRPr="009773D3">
        <w:rPr>
          <w:rFonts w:ascii="Times New Roman" w:hAnsi="Times New Roman" w:cs="Times New Roman"/>
        </w:rPr>
        <w:t>30–39.</w:t>
      </w:r>
    </w:p>
    <w:p w14:paraId="2005AA27"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Notably, 48 individuals aged 70+ are currently receiving VR services.</w:t>
      </w:r>
    </w:p>
    <w:p w14:paraId="145D4CBF" w14:textId="77777777" w:rsidR="009773D3" w:rsidRPr="009773D3" w:rsidRDefault="009773D3" w:rsidP="009773D3">
      <w:pPr>
        <w:numPr>
          <w:ilvl w:val="0"/>
          <w:numId w:val="13"/>
        </w:numPr>
        <w:spacing w:after="0"/>
        <w:rPr>
          <w:rFonts w:ascii="Times New Roman" w:hAnsi="Times New Roman" w:cs="Times New Roman"/>
        </w:rPr>
      </w:pPr>
      <w:r w:rsidRPr="009773D3">
        <w:rPr>
          <w:rFonts w:ascii="Times New Roman" w:hAnsi="Times New Roman" w:cs="Times New Roman"/>
          <w:b/>
          <w:bCs/>
        </w:rPr>
        <w:t>Registrations and documents</w:t>
      </w:r>
    </w:p>
    <w:p w14:paraId="5A56062A"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Nearly 7,800 Certificates of Blindness issued in 2025.</w:t>
      </w:r>
    </w:p>
    <w:p w14:paraId="31375DBD" w14:textId="77777777"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1,026 MCB ID cards produced.</w:t>
      </w:r>
    </w:p>
    <w:p w14:paraId="3413E564" w14:textId="5B9D9211" w:rsidR="009773D3" w:rsidRPr="009773D3" w:rsidRDefault="009773D3" w:rsidP="009773D3">
      <w:pPr>
        <w:numPr>
          <w:ilvl w:val="1"/>
          <w:numId w:val="13"/>
        </w:numPr>
        <w:spacing w:after="0"/>
        <w:rPr>
          <w:rFonts w:ascii="Times New Roman" w:hAnsi="Times New Roman" w:cs="Times New Roman"/>
        </w:rPr>
      </w:pPr>
      <w:r w:rsidRPr="009773D3">
        <w:rPr>
          <w:rFonts w:ascii="Times New Roman" w:hAnsi="Times New Roman" w:cs="Times New Roman"/>
        </w:rPr>
        <w:t>1,673 new registrants year-to-date, with 40</w:t>
      </w:r>
      <w:r w:rsidR="00C34245">
        <w:rPr>
          <w:rFonts w:ascii="Times New Roman" w:hAnsi="Times New Roman" w:cs="Times New Roman"/>
        </w:rPr>
        <w:t>-</w:t>
      </w:r>
      <w:r w:rsidRPr="009773D3">
        <w:rPr>
          <w:rFonts w:ascii="Times New Roman" w:hAnsi="Times New Roman" w:cs="Times New Roman"/>
        </w:rPr>
        <w:t>45 new registrations per week</w:t>
      </w:r>
      <w:r w:rsidR="00C34245">
        <w:rPr>
          <w:rFonts w:ascii="Times New Roman" w:hAnsi="Times New Roman" w:cs="Times New Roman"/>
        </w:rPr>
        <w:t xml:space="preserve"> the past several weeks</w:t>
      </w:r>
      <w:r w:rsidRPr="009773D3">
        <w:rPr>
          <w:rFonts w:ascii="Times New Roman" w:hAnsi="Times New Roman" w:cs="Times New Roman"/>
        </w:rPr>
        <w:t>; trends suggest total new registrations will be around 1,800 by year’s end.</w:t>
      </w:r>
    </w:p>
    <w:p w14:paraId="2B52656E" w14:textId="77777777" w:rsidR="009773D3" w:rsidRPr="009773D3" w:rsidRDefault="009773D3" w:rsidP="009773D3">
      <w:pPr>
        <w:spacing w:after="0"/>
        <w:rPr>
          <w:rFonts w:ascii="Times New Roman" w:hAnsi="Times New Roman" w:cs="Times New Roman"/>
        </w:rPr>
      </w:pPr>
    </w:p>
    <w:p w14:paraId="7A53FCF9" w14:textId="35918970" w:rsidR="009773D3" w:rsidRPr="009773D3" w:rsidRDefault="009773D3" w:rsidP="009773D3">
      <w:pPr>
        <w:spacing w:after="0"/>
        <w:rPr>
          <w:rFonts w:ascii="Times New Roman" w:hAnsi="Times New Roman" w:cs="Times New Roman"/>
        </w:rPr>
      </w:pPr>
      <w:r w:rsidRPr="009773D3">
        <w:rPr>
          <w:rFonts w:ascii="Times New Roman" w:hAnsi="Times New Roman" w:cs="Times New Roman"/>
        </w:rPr>
        <w:lastRenderedPageBreak/>
        <w:t>Nate invited board members to contact him if they are interested in additional or more detailed data beyond what is presented at meetings.</w:t>
      </w:r>
    </w:p>
    <w:p w14:paraId="692CC98E" w14:textId="77777777" w:rsidR="00C43093" w:rsidRDefault="00C43093" w:rsidP="00C43093">
      <w:pPr>
        <w:spacing w:after="0"/>
        <w:rPr>
          <w:rFonts w:ascii="Times New Roman" w:hAnsi="Times New Roman" w:cs="Times New Roman"/>
          <w:b/>
          <w:bCs/>
        </w:rPr>
      </w:pPr>
    </w:p>
    <w:p w14:paraId="7F75D644" w14:textId="7306DBD7" w:rsidR="00C43093" w:rsidRPr="00C43093" w:rsidRDefault="00C43093" w:rsidP="00C43093">
      <w:pPr>
        <w:spacing w:after="0"/>
        <w:rPr>
          <w:rFonts w:ascii="Times New Roman" w:hAnsi="Times New Roman" w:cs="Times New Roman"/>
          <w:b/>
          <w:bCs/>
        </w:rPr>
      </w:pPr>
      <w:r w:rsidRPr="00C43093">
        <w:rPr>
          <w:rFonts w:ascii="Times New Roman" w:hAnsi="Times New Roman" w:cs="Times New Roman"/>
          <w:b/>
          <w:bCs/>
        </w:rPr>
        <w:t>Follow-Up on Prior Questions: Lobbying, Fundraising, and Legislative Information</w:t>
      </w:r>
    </w:p>
    <w:p w14:paraId="66A9F92B" w14:textId="77777777" w:rsidR="00C43093" w:rsidRPr="00C43093" w:rsidRDefault="00C43093" w:rsidP="00C43093">
      <w:pPr>
        <w:spacing w:after="0"/>
        <w:rPr>
          <w:rFonts w:ascii="Times New Roman" w:hAnsi="Times New Roman" w:cs="Times New Roman"/>
        </w:rPr>
      </w:pPr>
      <w:r w:rsidRPr="00C43093">
        <w:rPr>
          <w:rFonts w:ascii="Times New Roman" w:hAnsi="Times New Roman" w:cs="Times New Roman"/>
        </w:rPr>
        <w:t>Commissioner Oliveira reported back on several questions raised at previous meetings:</w:t>
      </w:r>
    </w:p>
    <w:p w14:paraId="21C8DA3D" w14:textId="77777777" w:rsidR="00C43093" w:rsidRPr="00C43093" w:rsidRDefault="00C43093" w:rsidP="00C43093">
      <w:pPr>
        <w:numPr>
          <w:ilvl w:val="0"/>
          <w:numId w:val="14"/>
        </w:numPr>
        <w:spacing w:after="0"/>
        <w:rPr>
          <w:rFonts w:ascii="Times New Roman" w:hAnsi="Times New Roman" w:cs="Times New Roman"/>
        </w:rPr>
      </w:pPr>
      <w:r w:rsidRPr="00C43093">
        <w:rPr>
          <w:rFonts w:ascii="Times New Roman" w:hAnsi="Times New Roman" w:cs="Times New Roman"/>
          <w:b/>
          <w:bCs/>
        </w:rPr>
        <w:t>Autonomous vehicles and advocacy</w:t>
      </w:r>
    </w:p>
    <w:p w14:paraId="3169140D" w14:textId="77777777" w:rsidR="00C43093" w:rsidRPr="00C43093" w:rsidRDefault="00C43093" w:rsidP="00C43093">
      <w:pPr>
        <w:numPr>
          <w:ilvl w:val="1"/>
          <w:numId w:val="14"/>
        </w:numPr>
        <w:spacing w:after="0"/>
        <w:rPr>
          <w:rFonts w:ascii="Times New Roman" w:hAnsi="Times New Roman" w:cs="Times New Roman"/>
        </w:rPr>
      </w:pPr>
      <w:r w:rsidRPr="00C43093">
        <w:rPr>
          <w:rFonts w:ascii="Times New Roman" w:hAnsi="Times New Roman" w:cs="Times New Roman"/>
        </w:rPr>
        <w:t>MCB cannot lobby for or endorse specific autonomous vehicle services or companies.</w:t>
      </w:r>
    </w:p>
    <w:p w14:paraId="273311EA" w14:textId="77777777" w:rsidR="00C43093" w:rsidRPr="00C43093" w:rsidRDefault="00C43093" w:rsidP="00C43093">
      <w:pPr>
        <w:numPr>
          <w:ilvl w:val="1"/>
          <w:numId w:val="14"/>
        </w:numPr>
        <w:spacing w:after="0"/>
        <w:rPr>
          <w:rFonts w:ascii="Times New Roman" w:hAnsi="Times New Roman" w:cs="Times New Roman"/>
        </w:rPr>
      </w:pPr>
      <w:r w:rsidRPr="00C43093">
        <w:rPr>
          <w:rFonts w:ascii="Times New Roman" w:hAnsi="Times New Roman" w:cs="Times New Roman"/>
        </w:rPr>
        <w:t>The agency may provide neutral information to legislators upon request and can host informational events, but must invite multiple companies/services so as not to appear to favor any particular vendor.</w:t>
      </w:r>
    </w:p>
    <w:p w14:paraId="6D42F3A7" w14:textId="77777777" w:rsidR="00C43093" w:rsidRPr="00C43093" w:rsidRDefault="00C43093" w:rsidP="00C43093">
      <w:pPr>
        <w:numPr>
          <w:ilvl w:val="0"/>
          <w:numId w:val="14"/>
        </w:numPr>
        <w:spacing w:after="0"/>
        <w:rPr>
          <w:rFonts w:ascii="Times New Roman" w:hAnsi="Times New Roman" w:cs="Times New Roman"/>
        </w:rPr>
      </w:pPr>
      <w:r w:rsidRPr="00C43093">
        <w:rPr>
          <w:rFonts w:ascii="Times New Roman" w:hAnsi="Times New Roman" w:cs="Times New Roman"/>
          <w:b/>
          <w:bCs/>
        </w:rPr>
        <w:t>Regional Advisory Councils (RACs) and fundraising</w:t>
      </w:r>
    </w:p>
    <w:p w14:paraId="3C8A4FF8" w14:textId="77777777" w:rsidR="00C43093" w:rsidRPr="00C43093" w:rsidRDefault="00C43093" w:rsidP="00C43093">
      <w:pPr>
        <w:numPr>
          <w:ilvl w:val="1"/>
          <w:numId w:val="14"/>
        </w:numPr>
        <w:spacing w:after="0"/>
        <w:rPr>
          <w:rFonts w:ascii="Times New Roman" w:hAnsi="Times New Roman" w:cs="Times New Roman"/>
        </w:rPr>
      </w:pPr>
      <w:r w:rsidRPr="00C43093">
        <w:rPr>
          <w:rFonts w:ascii="Times New Roman" w:hAnsi="Times New Roman" w:cs="Times New Roman"/>
        </w:rPr>
        <w:t>RACs are advisory bodies that assist Regional Directors and are not established by statute. Their primary role is to provide feedback on regional services and issues.</w:t>
      </w:r>
    </w:p>
    <w:p w14:paraId="212AB224" w14:textId="77777777" w:rsidR="00C43093" w:rsidRPr="00C43093" w:rsidRDefault="00C43093" w:rsidP="00C43093">
      <w:pPr>
        <w:numPr>
          <w:ilvl w:val="1"/>
          <w:numId w:val="14"/>
        </w:numPr>
        <w:spacing w:after="0"/>
        <w:rPr>
          <w:rFonts w:ascii="Times New Roman" w:hAnsi="Times New Roman" w:cs="Times New Roman"/>
        </w:rPr>
      </w:pPr>
      <w:r w:rsidRPr="00C43093">
        <w:rPr>
          <w:rFonts w:ascii="Times New Roman" w:hAnsi="Times New Roman" w:cs="Times New Roman"/>
        </w:rPr>
        <w:t>If RACs were to raise or manage funds directly under MCB, complex financial and audit requirements (e.g., state comptroller oversight, bank account management) would apply, making the arrangement impractical.</w:t>
      </w:r>
    </w:p>
    <w:p w14:paraId="7E00C8C5" w14:textId="77777777" w:rsidR="00C43093" w:rsidRPr="00C43093" w:rsidRDefault="00C43093" w:rsidP="00C43093">
      <w:pPr>
        <w:numPr>
          <w:ilvl w:val="1"/>
          <w:numId w:val="14"/>
        </w:numPr>
        <w:spacing w:after="0"/>
        <w:rPr>
          <w:rFonts w:ascii="Times New Roman" w:hAnsi="Times New Roman" w:cs="Times New Roman"/>
        </w:rPr>
      </w:pPr>
      <w:r w:rsidRPr="00C43093">
        <w:rPr>
          <w:rFonts w:ascii="Times New Roman" w:hAnsi="Times New Roman" w:cs="Times New Roman"/>
        </w:rPr>
        <w:t>Individual advisory council members could form or partner with an independent nonprofit to conduct fundraising, but may not represent such activities as “on behalf of MCB.”</w:t>
      </w:r>
    </w:p>
    <w:p w14:paraId="7F232885" w14:textId="77777777" w:rsidR="00C43093" w:rsidRPr="00C43093" w:rsidRDefault="00C43093" w:rsidP="00C43093">
      <w:pPr>
        <w:numPr>
          <w:ilvl w:val="0"/>
          <w:numId w:val="14"/>
        </w:numPr>
        <w:spacing w:after="0"/>
        <w:rPr>
          <w:rFonts w:ascii="Times New Roman" w:hAnsi="Times New Roman" w:cs="Times New Roman"/>
        </w:rPr>
      </w:pPr>
      <w:r w:rsidRPr="00C43093">
        <w:rPr>
          <w:rFonts w:ascii="Times New Roman" w:hAnsi="Times New Roman" w:cs="Times New Roman"/>
          <w:b/>
          <w:bCs/>
        </w:rPr>
        <w:t>Legislative awareness page</w:t>
      </w:r>
    </w:p>
    <w:p w14:paraId="02D6795F" w14:textId="77777777" w:rsidR="00C43093" w:rsidRPr="00C43093" w:rsidRDefault="00C43093" w:rsidP="00C43093">
      <w:pPr>
        <w:numPr>
          <w:ilvl w:val="1"/>
          <w:numId w:val="14"/>
        </w:numPr>
        <w:spacing w:after="0"/>
        <w:rPr>
          <w:rFonts w:ascii="Times New Roman" w:hAnsi="Times New Roman" w:cs="Times New Roman"/>
        </w:rPr>
      </w:pPr>
      <w:r w:rsidRPr="00C43093">
        <w:rPr>
          <w:rFonts w:ascii="Times New Roman" w:hAnsi="Times New Roman" w:cs="Times New Roman"/>
        </w:rPr>
        <w:t>MCB plans to develop a webpage tentatively titled along the lines of “Legislative Issues of Interest to the Blind Community.”</w:t>
      </w:r>
    </w:p>
    <w:p w14:paraId="78FAD925" w14:textId="77777777" w:rsidR="00C43093" w:rsidRPr="00C43093" w:rsidRDefault="00C43093" w:rsidP="00C43093">
      <w:pPr>
        <w:numPr>
          <w:ilvl w:val="1"/>
          <w:numId w:val="14"/>
        </w:numPr>
        <w:spacing w:after="0"/>
        <w:rPr>
          <w:rFonts w:ascii="Times New Roman" w:hAnsi="Times New Roman" w:cs="Times New Roman"/>
        </w:rPr>
      </w:pPr>
      <w:r w:rsidRPr="00C43093">
        <w:rPr>
          <w:rFonts w:ascii="Times New Roman" w:hAnsi="Times New Roman" w:cs="Times New Roman"/>
        </w:rPr>
        <w:t>Consumer organizations and MCB’s legislative liaison will be able to send information for posting. The page will:</w:t>
      </w:r>
    </w:p>
    <w:p w14:paraId="4A696404" w14:textId="6807E7B8" w:rsidR="00C43093" w:rsidRPr="00C43093" w:rsidRDefault="00C43093" w:rsidP="00C43093">
      <w:pPr>
        <w:numPr>
          <w:ilvl w:val="2"/>
          <w:numId w:val="14"/>
        </w:numPr>
        <w:spacing w:after="0"/>
        <w:rPr>
          <w:rFonts w:ascii="Times New Roman" w:hAnsi="Times New Roman" w:cs="Times New Roman"/>
        </w:rPr>
      </w:pPr>
      <w:r w:rsidRPr="00C43093">
        <w:rPr>
          <w:rFonts w:ascii="Times New Roman" w:hAnsi="Times New Roman" w:cs="Times New Roman"/>
        </w:rPr>
        <w:t>Share bill information and links when available</w:t>
      </w:r>
      <w:r w:rsidR="007E3764">
        <w:rPr>
          <w:rFonts w:ascii="Times New Roman" w:hAnsi="Times New Roman" w:cs="Times New Roman"/>
        </w:rPr>
        <w:t>.</w:t>
      </w:r>
    </w:p>
    <w:p w14:paraId="482EDCDF" w14:textId="77777777" w:rsidR="00C43093" w:rsidRPr="00C43093" w:rsidRDefault="00C43093" w:rsidP="00C43093">
      <w:pPr>
        <w:numPr>
          <w:ilvl w:val="2"/>
          <w:numId w:val="14"/>
        </w:numPr>
        <w:spacing w:after="0"/>
        <w:rPr>
          <w:rFonts w:ascii="Times New Roman" w:hAnsi="Times New Roman" w:cs="Times New Roman"/>
        </w:rPr>
      </w:pPr>
      <w:r w:rsidRPr="00C43093">
        <w:rPr>
          <w:rFonts w:ascii="Times New Roman" w:hAnsi="Times New Roman" w:cs="Times New Roman"/>
        </w:rPr>
        <w:t>Present content in an informational, neutral manner (not for or against specific legislation).</w:t>
      </w:r>
    </w:p>
    <w:p w14:paraId="48DC34AC" w14:textId="77777777" w:rsidR="00C43093" w:rsidRPr="00C43093" w:rsidRDefault="00C43093" w:rsidP="00C43093">
      <w:pPr>
        <w:numPr>
          <w:ilvl w:val="1"/>
          <w:numId w:val="14"/>
        </w:numPr>
        <w:spacing w:after="0"/>
        <w:rPr>
          <w:rFonts w:ascii="Times New Roman" w:hAnsi="Times New Roman" w:cs="Times New Roman"/>
        </w:rPr>
      </w:pPr>
      <w:r w:rsidRPr="00C43093">
        <w:rPr>
          <w:rFonts w:ascii="Times New Roman" w:hAnsi="Times New Roman" w:cs="Times New Roman"/>
        </w:rPr>
        <w:t>Commissioner Oliveira encouraged consumers interested in advocacy and lobbying to connect with organizations such as NFB, ACB, and other consumer groups that lead those efforts.</w:t>
      </w:r>
    </w:p>
    <w:p w14:paraId="695D8ADD" w14:textId="77777777" w:rsidR="00831CA1" w:rsidRDefault="00831CA1" w:rsidP="00831CA1">
      <w:pPr>
        <w:spacing w:after="0"/>
        <w:rPr>
          <w:rFonts w:ascii="Times New Roman" w:hAnsi="Times New Roman" w:cs="Times New Roman"/>
          <w:b/>
          <w:bCs/>
        </w:rPr>
      </w:pPr>
    </w:p>
    <w:p w14:paraId="2191A745" w14:textId="6A19584E" w:rsidR="00831CA1" w:rsidRPr="00831CA1" w:rsidRDefault="00831CA1" w:rsidP="00831CA1">
      <w:pPr>
        <w:spacing w:after="0"/>
        <w:rPr>
          <w:rFonts w:ascii="Times New Roman" w:hAnsi="Times New Roman" w:cs="Times New Roman"/>
          <w:b/>
          <w:bCs/>
        </w:rPr>
      </w:pPr>
      <w:r w:rsidRPr="00831CA1">
        <w:rPr>
          <w:rFonts w:ascii="Times New Roman" w:hAnsi="Times New Roman" w:cs="Times New Roman"/>
          <w:b/>
          <w:bCs/>
        </w:rPr>
        <w:t>Board Discussion</w:t>
      </w:r>
    </w:p>
    <w:p w14:paraId="6BCAB504" w14:textId="77777777" w:rsidR="00831CA1" w:rsidRPr="00831CA1" w:rsidRDefault="00831CA1" w:rsidP="00831CA1">
      <w:pPr>
        <w:spacing w:after="0"/>
        <w:rPr>
          <w:rFonts w:ascii="Times New Roman" w:hAnsi="Times New Roman" w:cs="Times New Roman"/>
        </w:rPr>
      </w:pPr>
      <w:r w:rsidRPr="00831CA1">
        <w:rPr>
          <w:rFonts w:ascii="Times New Roman" w:hAnsi="Times New Roman" w:cs="Times New Roman"/>
        </w:rPr>
        <w:t>White Cane Awareness Day and regional events</w:t>
      </w:r>
    </w:p>
    <w:p w14:paraId="5A8F4812" w14:textId="77777777" w:rsidR="00831CA1" w:rsidRPr="00831CA1" w:rsidRDefault="00831CA1" w:rsidP="00831CA1">
      <w:pPr>
        <w:numPr>
          <w:ilvl w:val="0"/>
          <w:numId w:val="15"/>
        </w:numPr>
        <w:spacing w:after="0"/>
        <w:rPr>
          <w:rFonts w:ascii="Times New Roman" w:hAnsi="Times New Roman" w:cs="Times New Roman"/>
        </w:rPr>
      </w:pPr>
      <w:r w:rsidRPr="00831CA1">
        <w:rPr>
          <w:rFonts w:ascii="Times New Roman" w:hAnsi="Times New Roman" w:cs="Times New Roman"/>
        </w:rPr>
        <w:t>Blair:</w:t>
      </w:r>
    </w:p>
    <w:p w14:paraId="45CCD0DA" w14:textId="77777777"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Praised the staff videos and the recruitment initiative, noting the importance of attracting new professionals to MCB and the blindness field.</w:t>
      </w:r>
    </w:p>
    <w:p w14:paraId="5D750DC4" w14:textId="77777777"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 xml:space="preserve">Referenced media articles about potential state employee buyout/early retirement programs and asked whether such initiatives could affect MCB staff. John </w:t>
      </w:r>
      <w:r w:rsidRPr="00831CA1">
        <w:rPr>
          <w:rFonts w:ascii="Times New Roman" w:hAnsi="Times New Roman" w:cs="Times New Roman"/>
        </w:rPr>
        <w:lastRenderedPageBreak/>
        <w:t>indicated he has no information beyond what is publicly reported and emphasized that the recruitment campaign predates those discussions.</w:t>
      </w:r>
    </w:p>
    <w:p w14:paraId="6E9DF87C" w14:textId="77777777"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Observed that White Cane Awareness Day at the State House appeared to be at or near capacity and raised the possibility of regional White Cane events across MCB’s five regions in 2026 to increase local participation and connection among consumers and staff.</w:t>
      </w:r>
    </w:p>
    <w:p w14:paraId="3D52968C" w14:textId="77777777" w:rsidR="00831CA1" w:rsidRPr="00831CA1" w:rsidRDefault="00831CA1" w:rsidP="00831CA1">
      <w:pPr>
        <w:numPr>
          <w:ilvl w:val="0"/>
          <w:numId w:val="15"/>
        </w:numPr>
        <w:spacing w:after="0"/>
        <w:rPr>
          <w:rFonts w:ascii="Times New Roman" w:hAnsi="Times New Roman" w:cs="Times New Roman"/>
        </w:rPr>
      </w:pPr>
      <w:r w:rsidRPr="00831CA1">
        <w:rPr>
          <w:rFonts w:ascii="Times New Roman" w:hAnsi="Times New Roman" w:cs="Times New Roman"/>
        </w:rPr>
        <w:t>John:</w:t>
      </w:r>
    </w:p>
    <w:p w14:paraId="2466491C" w14:textId="77777777"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Confirmed that the State House event is consistently well attended and sometimes appears more crowded because attendees tend to sit on aisle seats, leaving blocks of seats in the middle of rows open.</w:t>
      </w:r>
    </w:p>
    <w:p w14:paraId="030F7F42" w14:textId="77777777"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Noted that staff are assigned to entrances and assist with seating, breakfast, and wayfinding.</w:t>
      </w:r>
    </w:p>
    <w:p w14:paraId="0491B06A" w14:textId="6332C0BE"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Highlighted the significant planning and staffing required to run the State House event and expressed openness to exploring partnerships with local organizations (e.g., in Worcester, Springfield, New Bedford</w:t>
      </w:r>
      <w:r w:rsidR="0088482F">
        <w:rPr>
          <w:rFonts w:ascii="Times New Roman" w:hAnsi="Times New Roman" w:cs="Times New Roman"/>
        </w:rPr>
        <w:t xml:space="preserve">, </w:t>
      </w:r>
      <w:r w:rsidRPr="00831CA1">
        <w:rPr>
          <w:rFonts w:ascii="Times New Roman" w:hAnsi="Times New Roman" w:cs="Times New Roman"/>
        </w:rPr>
        <w:t>Fall River, Brockton</w:t>
      </w:r>
      <w:r w:rsidR="0088482F">
        <w:rPr>
          <w:rFonts w:ascii="Times New Roman" w:hAnsi="Times New Roman" w:cs="Times New Roman"/>
        </w:rPr>
        <w:t>, Lowell</w:t>
      </w:r>
      <w:r w:rsidRPr="00831CA1">
        <w:rPr>
          <w:rFonts w:ascii="Times New Roman" w:hAnsi="Times New Roman" w:cs="Times New Roman"/>
        </w:rPr>
        <w:t>) that already host white cane events, rather than MCB alone coordinating multiple full-scale events.</w:t>
      </w:r>
    </w:p>
    <w:p w14:paraId="64299725" w14:textId="77777777"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Agreed that regional collaboration could extend MCB’s reach while balancing staff workload.</w:t>
      </w:r>
    </w:p>
    <w:p w14:paraId="2A983F99" w14:textId="77777777" w:rsidR="00831CA1" w:rsidRPr="00831CA1" w:rsidRDefault="00831CA1" w:rsidP="00831CA1">
      <w:pPr>
        <w:numPr>
          <w:ilvl w:val="0"/>
          <w:numId w:val="15"/>
        </w:numPr>
        <w:spacing w:after="0"/>
        <w:rPr>
          <w:rFonts w:ascii="Times New Roman" w:hAnsi="Times New Roman" w:cs="Times New Roman"/>
        </w:rPr>
      </w:pPr>
      <w:r w:rsidRPr="00831CA1">
        <w:rPr>
          <w:rFonts w:ascii="Times New Roman" w:hAnsi="Times New Roman" w:cs="Times New Roman"/>
        </w:rPr>
        <w:t>Kathy:</w:t>
      </w:r>
    </w:p>
    <w:p w14:paraId="2DCCA0FB" w14:textId="77777777"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Shared that she attended the event in the overflow room, where acoustics and captions were strong and many seats remained available.</w:t>
      </w:r>
    </w:p>
    <w:p w14:paraId="1E489334" w14:textId="77777777"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Suggested exploring livestreaming (beyond radio reading services) to reach more people statewide who cannot travel to Boston.</w:t>
      </w:r>
    </w:p>
    <w:p w14:paraId="6143F972" w14:textId="77777777" w:rsidR="00831CA1" w:rsidRPr="00831CA1" w:rsidRDefault="00831CA1" w:rsidP="00831CA1">
      <w:pPr>
        <w:numPr>
          <w:ilvl w:val="0"/>
          <w:numId w:val="15"/>
        </w:numPr>
        <w:spacing w:after="0"/>
        <w:rPr>
          <w:rFonts w:ascii="Times New Roman" w:hAnsi="Times New Roman" w:cs="Times New Roman"/>
        </w:rPr>
      </w:pPr>
      <w:r w:rsidRPr="00831CA1">
        <w:rPr>
          <w:rFonts w:ascii="Times New Roman" w:hAnsi="Times New Roman" w:cs="Times New Roman"/>
        </w:rPr>
        <w:t>John:</w:t>
      </w:r>
    </w:p>
    <w:p w14:paraId="07C5762A" w14:textId="5163F57D"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 xml:space="preserve">Confirmed that the event is currently </w:t>
      </w:r>
      <w:r w:rsidR="002C378B">
        <w:rPr>
          <w:rFonts w:ascii="Times New Roman" w:hAnsi="Times New Roman" w:cs="Times New Roman"/>
        </w:rPr>
        <w:t>streamed</w:t>
      </w:r>
      <w:r w:rsidRPr="00831CA1">
        <w:rPr>
          <w:rFonts w:ascii="Times New Roman" w:hAnsi="Times New Roman" w:cs="Times New Roman"/>
        </w:rPr>
        <w:t xml:space="preserve"> multiple times on </w:t>
      </w:r>
      <w:r w:rsidR="007F0B26">
        <w:rPr>
          <w:rFonts w:ascii="Times New Roman" w:hAnsi="Times New Roman" w:cs="Times New Roman"/>
        </w:rPr>
        <w:t>livestream</w:t>
      </w:r>
      <w:r w:rsidRPr="00831CA1">
        <w:rPr>
          <w:rFonts w:ascii="Times New Roman" w:hAnsi="Times New Roman" w:cs="Times New Roman"/>
        </w:rPr>
        <w:t xml:space="preserve"> services.</w:t>
      </w:r>
    </w:p>
    <w:p w14:paraId="3D52E460" w14:textId="77777777" w:rsidR="00831CA1" w:rsidRPr="00831CA1" w:rsidRDefault="00831CA1" w:rsidP="00831CA1">
      <w:pPr>
        <w:numPr>
          <w:ilvl w:val="1"/>
          <w:numId w:val="15"/>
        </w:numPr>
        <w:spacing w:after="0"/>
        <w:rPr>
          <w:rFonts w:ascii="Times New Roman" w:hAnsi="Times New Roman" w:cs="Times New Roman"/>
        </w:rPr>
      </w:pPr>
      <w:r w:rsidRPr="00831CA1">
        <w:rPr>
          <w:rFonts w:ascii="Times New Roman" w:hAnsi="Times New Roman" w:cs="Times New Roman"/>
        </w:rPr>
        <w:t>Agreed to investigate technical and logistical options for broader video livestreaming from the State House.</w:t>
      </w:r>
    </w:p>
    <w:p w14:paraId="51436590" w14:textId="77777777" w:rsidR="00C03A94" w:rsidRDefault="00C03A94" w:rsidP="00831CA1">
      <w:pPr>
        <w:spacing w:after="0"/>
        <w:rPr>
          <w:rFonts w:ascii="Times New Roman" w:hAnsi="Times New Roman" w:cs="Times New Roman"/>
          <w:b/>
          <w:bCs/>
        </w:rPr>
      </w:pPr>
    </w:p>
    <w:p w14:paraId="30101CC7" w14:textId="7C89E5D7" w:rsidR="00831CA1" w:rsidRPr="00831CA1" w:rsidRDefault="00831CA1" w:rsidP="00831CA1">
      <w:pPr>
        <w:spacing w:after="0"/>
        <w:rPr>
          <w:rFonts w:ascii="Times New Roman" w:hAnsi="Times New Roman" w:cs="Times New Roman"/>
        </w:rPr>
      </w:pPr>
      <w:r w:rsidRPr="00831CA1">
        <w:rPr>
          <w:rFonts w:ascii="Times New Roman" w:hAnsi="Times New Roman" w:cs="Times New Roman"/>
          <w:b/>
          <w:bCs/>
        </w:rPr>
        <w:t>Reverse Job Fairs and regional focus</w:t>
      </w:r>
    </w:p>
    <w:p w14:paraId="752CD954" w14:textId="77777777" w:rsidR="00831CA1" w:rsidRPr="00831CA1" w:rsidRDefault="00831CA1" w:rsidP="00831CA1">
      <w:pPr>
        <w:numPr>
          <w:ilvl w:val="0"/>
          <w:numId w:val="16"/>
        </w:numPr>
        <w:spacing w:after="0"/>
        <w:rPr>
          <w:rFonts w:ascii="Times New Roman" w:hAnsi="Times New Roman" w:cs="Times New Roman"/>
        </w:rPr>
      </w:pPr>
      <w:r w:rsidRPr="00831CA1">
        <w:rPr>
          <w:rFonts w:ascii="Times New Roman" w:hAnsi="Times New Roman" w:cs="Times New Roman"/>
        </w:rPr>
        <w:t>Nona (Region 2 – Worcester) requested consideration of a regional Reverse Job Fair for central Massachusetts.</w:t>
      </w:r>
    </w:p>
    <w:p w14:paraId="549A5FF4" w14:textId="77777777" w:rsidR="00831CA1" w:rsidRPr="00831CA1" w:rsidRDefault="00831CA1" w:rsidP="00831CA1">
      <w:pPr>
        <w:numPr>
          <w:ilvl w:val="0"/>
          <w:numId w:val="16"/>
        </w:numPr>
        <w:spacing w:after="0"/>
        <w:rPr>
          <w:rFonts w:ascii="Times New Roman" w:hAnsi="Times New Roman" w:cs="Times New Roman"/>
        </w:rPr>
      </w:pPr>
      <w:r w:rsidRPr="00831CA1">
        <w:rPr>
          <w:rFonts w:ascii="Times New Roman" w:hAnsi="Times New Roman" w:cs="Times New Roman"/>
        </w:rPr>
        <w:t>John:</w:t>
      </w:r>
    </w:p>
    <w:p w14:paraId="415FF7F8" w14:textId="77777777" w:rsidR="00831CA1" w:rsidRPr="00831CA1" w:rsidRDefault="00831CA1" w:rsidP="00831CA1">
      <w:pPr>
        <w:numPr>
          <w:ilvl w:val="1"/>
          <w:numId w:val="16"/>
        </w:numPr>
        <w:spacing w:after="0"/>
        <w:rPr>
          <w:rFonts w:ascii="Times New Roman" w:hAnsi="Times New Roman" w:cs="Times New Roman"/>
        </w:rPr>
      </w:pPr>
      <w:r w:rsidRPr="00831CA1">
        <w:rPr>
          <w:rFonts w:ascii="Times New Roman" w:hAnsi="Times New Roman" w:cs="Times New Roman"/>
        </w:rPr>
        <w:t>Explained that statewide virtual Reverse Job Fairs help maximize employer participation and candidate match, as employers often prefer events with a larger pool of candidates.</w:t>
      </w:r>
    </w:p>
    <w:p w14:paraId="19B8C741" w14:textId="77777777" w:rsidR="00831CA1" w:rsidRPr="00831CA1" w:rsidRDefault="00831CA1" w:rsidP="00831CA1">
      <w:pPr>
        <w:numPr>
          <w:ilvl w:val="1"/>
          <w:numId w:val="16"/>
        </w:numPr>
        <w:spacing w:after="0"/>
        <w:rPr>
          <w:rFonts w:ascii="Times New Roman" w:hAnsi="Times New Roman" w:cs="Times New Roman"/>
        </w:rPr>
      </w:pPr>
      <w:r w:rsidRPr="00831CA1">
        <w:rPr>
          <w:rFonts w:ascii="Times New Roman" w:hAnsi="Times New Roman" w:cs="Times New Roman"/>
        </w:rPr>
        <w:t>Noted the challenge of ensuring enough local candidates whose interests match participating employers if events are highly region-specific.</w:t>
      </w:r>
    </w:p>
    <w:p w14:paraId="60C0BA24" w14:textId="77777777" w:rsidR="00831CA1" w:rsidRPr="00831CA1" w:rsidRDefault="00831CA1" w:rsidP="00831CA1">
      <w:pPr>
        <w:numPr>
          <w:ilvl w:val="1"/>
          <w:numId w:val="16"/>
        </w:numPr>
        <w:spacing w:after="0"/>
        <w:rPr>
          <w:rFonts w:ascii="Times New Roman" w:hAnsi="Times New Roman" w:cs="Times New Roman"/>
        </w:rPr>
      </w:pPr>
      <w:r w:rsidRPr="00831CA1">
        <w:rPr>
          <w:rFonts w:ascii="Times New Roman" w:hAnsi="Times New Roman" w:cs="Times New Roman"/>
        </w:rPr>
        <w:lastRenderedPageBreak/>
        <w:t>Agreed to bring the suggestion to the employment team and explore ways to incorporate more regional focus within the existing Reverse Job Fair model (for example, highlighting regional candidates or inviting certain employers to focus on specific areas).</w:t>
      </w:r>
    </w:p>
    <w:p w14:paraId="4A6CC1FC" w14:textId="77777777" w:rsidR="0088482F" w:rsidRDefault="0088482F" w:rsidP="00831CA1">
      <w:pPr>
        <w:spacing w:after="0"/>
        <w:rPr>
          <w:rFonts w:ascii="Times New Roman" w:hAnsi="Times New Roman" w:cs="Times New Roman"/>
          <w:b/>
          <w:bCs/>
        </w:rPr>
      </w:pPr>
    </w:p>
    <w:p w14:paraId="5CB1D363" w14:textId="76E8575F" w:rsidR="00831CA1" w:rsidRPr="00831CA1" w:rsidRDefault="00831CA1" w:rsidP="00831CA1">
      <w:pPr>
        <w:spacing w:after="0"/>
        <w:rPr>
          <w:rFonts w:ascii="Times New Roman" w:hAnsi="Times New Roman" w:cs="Times New Roman"/>
          <w:b/>
          <w:bCs/>
        </w:rPr>
      </w:pPr>
      <w:r w:rsidRPr="00831CA1">
        <w:rPr>
          <w:rFonts w:ascii="Times New Roman" w:hAnsi="Times New Roman" w:cs="Times New Roman"/>
          <w:b/>
          <w:bCs/>
        </w:rPr>
        <w:t>Public Comment &amp; Questions</w:t>
      </w:r>
    </w:p>
    <w:p w14:paraId="2D0774C7" w14:textId="77777777" w:rsidR="00831CA1" w:rsidRPr="00831CA1" w:rsidRDefault="00831CA1" w:rsidP="00831CA1">
      <w:pPr>
        <w:numPr>
          <w:ilvl w:val="0"/>
          <w:numId w:val="17"/>
        </w:numPr>
        <w:spacing w:after="0"/>
        <w:rPr>
          <w:rFonts w:ascii="Times New Roman" w:hAnsi="Times New Roman" w:cs="Times New Roman"/>
        </w:rPr>
      </w:pPr>
      <w:r w:rsidRPr="00831CA1">
        <w:rPr>
          <w:rFonts w:ascii="Times New Roman" w:hAnsi="Times New Roman" w:cs="Times New Roman"/>
          <w:b/>
          <w:bCs/>
        </w:rPr>
        <w:t>Accessibility of recruitment videos – Jerry Barrier</w:t>
      </w:r>
    </w:p>
    <w:p w14:paraId="1217BAC8" w14:textId="77777777" w:rsidR="00831CA1" w:rsidRPr="00831CA1" w:rsidRDefault="00831CA1" w:rsidP="00831CA1">
      <w:pPr>
        <w:numPr>
          <w:ilvl w:val="1"/>
          <w:numId w:val="17"/>
        </w:numPr>
        <w:spacing w:after="0"/>
        <w:rPr>
          <w:rFonts w:ascii="Times New Roman" w:hAnsi="Times New Roman" w:cs="Times New Roman"/>
        </w:rPr>
      </w:pPr>
      <w:r w:rsidRPr="00831CA1">
        <w:rPr>
          <w:rFonts w:ascii="Times New Roman" w:hAnsi="Times New Roman" w:cs="Times New Roman"/>
        </w:rPr>
        <w:t>Jerry reported that the audio of the recruitment reels sounded muffled during the Zoom playback and asked whether transcripts or audio description would be available.</w:t>
      </w:r>
    </w:p>
    <w:p w14:paraId="33653EE2" w14:textId="77777777" w:rsidR="00831CA1" w:rsidRPr="00831CA1" w:rsidRDefault="00831CA1" w:rsidP="00831CA1">
      <w:pPr>
        <w:numPr>
          <w:ilvl w:val="1"/>
          <w:numId w:val="17"/>
        </w:numPr>
        <w:spacing w:after="0"/>
        <w:rPr>
          <w:rFonts w:ascii="Times New Roman" w:hAnsi="Times New Roman" w:cs="Times New Roman"/>
        </w:rPr>
      </w:pPr>
      <w:r w:rsidRPr="00831CA1">
        <w:rPr>
          <w:rFonts w:ascii="Times New Roman" w:hAnsi="Times New Roman" w:cs="Times New Roman"/>
        </w:rPr>
        <w:t>John and Justine:</w:t>
      </w:r>
    </w:p>
    <w:p w14:paraId="4E2A2EBB" w14:textId="77777777" w:rsidR="00831CA1" w:rsidRPr="00831CA1" w:rsidRDefault="00831CA1" w:rsidP="00831CA1">
      <w:pPr>
        <w:numPr>
          <w:ilvl w:val="2"/>
          <w:numId w:val="17"/>
        </w:numPr>
        <w:spacing w:after="0"/>
        <w:rPr>
          <w:rFonts w:ascii="Times New Roman" w:hAnsi="Times New Roman" w:cs="Times New Roman"/>
        </w:rPr>
      </w:pPr>
      <w:r w:rsidRPr="00831CA1">
        <w:rPr>
          <w:rFonts w:ascii="Times New Roman" w:hAnsi="Times New Roman" w:cs="Times New Roman"/>
        </w:rPr>
        <w:t>Explained that the original videos (developed with UMass) have clear audio and that the muffling was likely due to Zoom playback.</w:t>
      </w:r>
    </w:p>
    <w:p w14:paraId="434F927A" w14:textId="77777777" w:rsidR="00831CA1" w:rsidRPr="00831CA1" w:rsidRDefault="00831CA1" w:rsidP="00831CA1">
      <w:pPr>
        <w:numPr>
          <w:ilvl w:val="2"/>
          <w:numId w:val="17"/>
        </w:numPr>
        <w:spacing w:after="0"/>
        <w:rPr>
          <w:rFonts w:ascii="Times New Roman" w:hAnsi="Times New Roman" w:cs="Times New Roman"/>
        </w:rPr>
      </w:pPr>
      <w:r w:rsidRPr="00831CA1">
        <w:rPr>
          <w:rFonts w:ascii="Times New Roman" w:hAnsi="Times New Roman" w:cs="Times New Roman"/>
        </w:rPr>
        <w:t>Noted that the short length of the reels (about 30 seconds) leaves little room for separate audio description, but that text descriptions were created as part of the production process.</w:t>
      </w:r>
    </w:p>
    <w:p w14:paraId="188BBA63" w14:textId="59658E10" w:rsidR="00D50266" w:rsidRDefault="00831CA1" w:rsidP="00D50266">
      <w:pPr>
        <w:numPr>
          <w:ilvl w:val="2"/>
          <w:numId w:val="17"/>
        </w:numPr>
        <w:spacing w:after="0"/>
        <w:rPr>
          <w:rFonts w:ascii="Times New Roman" w:hAnsi="Times New Roman" w:cs="Times New Roman"/>
        </w:rPr>
      </w:pPr>
      <w:r w:rsidRPr="00831CA1">
        <w:rPr>
          <w:rFonts w:ascii="Times New Roman" w:hAnsi="Times New Roman" w:cs="Times New Roman"/>
        </w:rPr>
        <w:t>Indicated they will review how those accessibility features appear on the social media platforms once the campaign is live and can provide transcripts as needed.</w:t>
      </w:r>
    </w:p>
    <w:p w14:paraId="5006948E" w14:textId="77777777" w:rsidR="00315258" w:rsidRPr="00315258" w:rsidRDefault="00315258" w:rsidP="00B829FE">
      <w:pPr>
        <w:spacing w:after="0"/>
        <w:ind w:left="2160"/>
        <w:rPr>
          <w:rFonts w:ascii="Times New Roman" w:hAnsi="Times New Roman" w:cs="Times New Roman"/>
        </w:rPr>
      </w:pPr>
    </w:p>
    <w:p w14:paraId="5F694824" w14:textId="77777777" w:rsidR="00315258" w:rsidRPr="00AD4886" w:rsidRDefault="00315258" w:rsidP="00315258">
      <w:pPr>
        <w:spacing w:after="0"/>
        <w:rPr>
          <w:rFonts w:ascii="Times New Roman" w:hAnsi="Times New Roman" w:cs="Times New Roman"/>
          <w:b/>
          <w:bCs/>
        </w:rPr>
      </w:pPr>
      <w:r w:rsidRPr="00AD4886">
        <w:rPr>
          <w:rFonts w:ascii="Times New Roman" w:hAnsi="Times New Roman" w:cs="Times New Roman"/>
          <w:b/>
          <w:bCs/>
        </w:rPr>
        <w:t>Next Meeting</w:t>
      </w:r>
    </w:p>
    <w:p w14:paraId="6A715893" w14:textId="02FBDDE6" w:rsidR="00736989" w:rsidRPr="00E34DD8" w:rsidRDefault="00315258" w:rsidP="00D50266">
      <w:pPr>
        <w:spacing w:after="0"/>
        <w:rPr>
          <w:rFonts w:ascii="Times New Roman" w:hAnsi="Times New Roman" w:cs="Times New Roman"/>
        </w:rPr>
      </w:pPr>
      <w:r w:rsidRPr="00AD4886">
        <w:rPr>
          <w:rFonts w:ascii="Times New Roman" w:hAnsi="Times New Roman" w:cs="Times New Roman"/>
        </w:rPr>
        <w:t xml:space="preserve">The next SAB meeting is scheduled for </w:t>
      </w:r>
      <w:r w:rsidR="002D75E7">
        <w:rPr>
          <w:rFonts w:ascii="Times New Roman" w:hAnsi="Times New Roman" w:cs="Times New Roman"/>
        </w:rPr>
        <w:t>January 6,</w:t>
      </w:r>
      <w:r w:rsidRPr="00AD4886">
        <w:rPr>
          <w:rFonts w:ascii="Times New Roman" w:hAnsi="Times New Roman" w:cs="Times New Roman"/>
        </w:rPr>
        <w:t xml:space="preserve"> 202</w:t>
      </w:r>
      <w:r w:rsidR="002D75E7">
        <w:rPr>
          <w:rFonts w:ascii="Times New Roman" w:hAnsi="Times New Roman" w:cs="Times New Roman"/>
        </w:rPr>
        <w:t>6</w:t>
      </w:r>
      <w:r w:rsidRPr="00AD4886">
        <w:rPr>
          <w:rFonts w:ascii="Times New Roman" w:hAnsi="Times New Roman" w:cs="Times New Roman"/>
        </w:rPr>
        <w:t>.</w:t>
      </w:r>
      <w:r>
        <w:rPr>
          <w:rFonts w:ascii="Times New Roman" w:hAnsi="Times New Roman" w:cs="Times New Roman"/>
        </w:rPr>
        <w:t xml:space="preserve"> </w:t>
      </w:r>
      <w:r w:rsidRPr="00AD4886">
        <w:rPr>
          <w:rFonts w:ascii="Times New Roman" w:hAnsi="Times New Roman" w:cs="Times New Roman"/>
          <w:b/>
          <w:bCs/>
        </w:rPr>
        <w:t>Meeting adjourned.</w:t>
      </w:r>
    </w:p>
    <w:sectPr w:rsidR="00736989" w:rsidRPr="00E34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AC3"/>
    <w:multiLevelType w:val="multilevel"/>
    <w:tmpl w:val="3A649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5449F"/>
    <w:multiLevelType w:val="multilevel"/>
    <w:tmpl w:val="A8E8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91919"/>
    <w:multiLevelType w:val="multilevel"/>
    <w:tmpl w:val="EF8E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77BFA"/>
    <w:multiLevelType w:val="multilevel"/>
    <w:tmpl w:val="014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53303"/>
    <w:multiLevelType w:val="hybridMultilevel"/>
    <w:tmpl w:val="80F2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172BF"/>
    <w:multiLevelType w:val="multilevel"/>
    <w:tmpl w:val="B428F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501A2"/>
    <w:multiLevelType w:val="hybridMultilevel"/>
    <w:tmpl w:val="9B50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C26F8"/>
    <w:multiLevelType w:val="multilevel"/>
    <w:tmpl w:val="5DDAC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462DC"/>
    <w:multiLevelType w:val="multilevel"/>
    <w:tmpl w:val="A59E4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C1C46"/>
    <w:multiLevelType w:val="multilevel"/>
    <w:tmpl w:val="D56AC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56652"/>
    <w:multiLevelType w:val="multilevel"/>
    <w:tmpl w:val="59767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16792"/>
    <w:multiLevelType w:val="hybridMultilevel"/>
    <w:tmpl w:val="2940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8649E"/>
    <w:multiLevelType w:val="multilevel"/>
    <w:tmpl w:val="8EEEC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23E36"/>
    <w:multiLevelType w:val="multilevel"/>
    <w:tmpl w:val="A912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87123"/>
    <w:multiLevelType w:val="multilevel"/>
    <w:tmpl w:val="A120F75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5B115919"/>
    <w:multiLevelType w:val="multilevel"/>
    <w:tmpl w:val="C060D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E1336E"/>
    <w:multiLevelType w:val="hybridMultilevel"/>
    <w:tmpl w:val="82C2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0102">
    <w:abstractNumId w:val="4"/>
  </w:num>
  <w:num w:numId="2" w16cid:durableId="124741066">
    <w:abstractNumId w:val="13"/>
  </w:num>
  <w:num w:numId="3" w16cid:durableId="652102438">
    <w:abstractNumId w:val="11"/>
  </w:num>
  <w:num w:numId="4" w16cid:durableId="428626334">
    <w:abstractNumId w:val="7"/>
  </w:num>
  <w:num w:numId="5" w16cid:durableId="1533348099">
    <w:abstractNumId w:val="16"/>
  </w:num>
  <w:num w:numId="6" w16cid:durableId="723678863">
    <w:abstractNumId w:val="5"/>
  </w:num>
  <w:num w:numId="7" w16cid:durableId="1600872374">
    <w:abstractNumId w:val="6"/>
  </w:num>
  <w:num w:numId="8" w16cid:durableId="833035489">
    <w:abstractNumId w:val="14"/>
  </w:num>
  <w:num w:numId="9" w16cid:durableId="932249763">
    <w:abstractNumId w:val="1"/>
  </w:num>
  <w:num w:numId="10" w16cid:durableId="1650747797">
    <w:abstractNumId w:val="3"/>
  </w:num>
  <w:num w:numId="11" w16cid:durableId="709651089">
    <w:abstractNumId w:val="2"/>
  </w:num>
  <w:num w:numId="12" w16cid:durableId="355229557">
    <w:abstractNumId w:val="8"/>
  </w:num>
  <w:num w:numId="13" w16cid:durableId="46153105">
    <w:abstractNumId w:val="15"/>
  </w:num>
  <w:num w:numId="14" w16cid:durableId="560406035">
    <w:abstractNumId w:val="10"/>
  </w:num>
  <w:num w:numId="15" w16cid:durableId="1364746104">
    <w:abstractNumId w:val="0"/>
  </w:num>
  <w:num w:numId="16" w16cid:durableId="1408574103">
    <w:abstractNumId w:val="12"/>
  </w:num>
  <w:num w:numId="17" w16cid:durableId="1489205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93"/>
    <w:rsid w:val="00075230"/>
    <w:rsid w:val="000B59AC"/>
    <w:rsid w:val="000E01A1"/>
    <w:rsid w:val="000F11CC"/>
    <w:rsid w:val="00140FB5"/>
    <w:rsid w:val="001B3F3B"/>
    <w:rsid w:val="00227106"/>
    <w:rsid w:val="0024613F"/>
    <w:rsid w:val="002806DE"/>
    <w:rsid w:val="00292993"/>
    <w:rsid w:val="002C378B"/>
    <w:rsid w:val="002D75E7"/>
    <w:rsid w:val="00315258"/>
    <w:rsid w:val="00346B59"/>
    <w:rsid w:val="003A26E7"/>
    <w:rsid w:val="003A57C0"/>
    <w:rsid w:val="003B2B07"/>
    <w:rsid w:val="003F1666"/>
    <w:rsid w:val="00460E61"/>
    <w:rsid w:val="00476A88"/>
    <w:rsid w:val="00484303"/>
    <w:rsid w:val="0049423A"/>
    <w:rsid w:val="005B0E1D"/>
    <w:rsid w:val="0068377A"/>
    <w:rsid w:val="006C0F65"/>
    <w:rsid w:val="006F6F3C"/>
    <w:rsid w:val="00702D94"/>
    <w:rsid w:val="00722073"/>
    <w:rsid w:val="007271FE"/>
    <w:rsid w:val="00731DBB"/>
    <w:rsid w:val="00736989"/>
    <w:rsid w:val="0077353E"/>
    <w:rsid w:val="007E3764"/>
    <w:rsid w:val="007F0B26"/>
    <w:rsid w:val="007F4827"/>
    <w:rsid w:val="00811D9D"/>
    <w:rsid w:val="00831CA1"/>
    <w:rsid w:val="00856B2D"/>
    <w:rsid w:val="0086140D"/>
    <w:rsid w:val="00883A7A"/>
    <w:rsid w:val="0088482F"/>
    <w:rsid w:val="008B6D41"/>
    <w:rsid w:val="009607D6"/>
    <w:rsid w:val="009773D3"/>
    <w:rsid w:val="009A2F0E"/>
    <w:rsid w:val="00A04E72"/>
    <w:rsid w:val="00A12174"/>
    <w:rsid w:val="00A61836"/>
    <w:rsid w:val="00A92B25"/>
    <w:rsid w:val="00AD050F"/>
    <w:rsid w:val="00AD0BC8"/>
    <w:rsid w:val="00AD4886"/>
    <w:rsid w:val="00B22B25"/>
    <w:rsid w:val="00B741B1"/>
    <w:rsid w:val="00B829FE"/>
    <w:rsid w:val="00BE72D0"/>
    <w:rsid w:val="00C03A94"/>
    <w:rsid w:val="00C116B2"/>
    <w:rsid w:val="00C20334"/>
    <w:rsid w:val="00C34245"/>
    <w:rsid w:val="00C43093"/>
    <w:rsid w:val="00C90EF0"/>
    <w:rsid w:val="00CA36D4"/>
    <w:rsid w:val="00CE4AC3"/>
    <w:rsid w:val="00D41D82"/>
    <w:rsid w:val="00D50266"/>
    <w:rsid w:val="00DA123B"/>
    <w:rsid w:val="00DA74C0"/>
    <w:rsid w:val="00DF1CCB"/>
    <w:rsid w:val="00E3193E"/>
    <w:rsid w:val="00E34DD8"/>
    <w:rsid w:val="00E70B64"/>
    <w:rsid w:val="00E90295"/>
    <w:rsid w:val="00E91518"/>
    <w:rsid w:val="00EB1556"/>
    <w:rsid w:val="00EB4B57"/>
    <w:rsid w:val="00ED1730"/>
    <w:rsid w:val="00F7280D"/>
    <w:rsid w:val="00F95362"/>
    <w:rsid w:val="00FA0D13"/>
    <w:rsid w:val="00FA7B70"/>
    <w:rsid w:val="00FC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ABA4"/>
  <w15:chartTrackingRefBased/>
  <w15:docId w15:val="{F0F9C29C-F9F1-48B1-B476-4723768A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93"/>
  </w:style>
  <w:style w:type="paragraph" w:styleId="Heading1">
    <w:name w:val="heading 1"/>
    <w:basedOn w:val="Normal"/>
    <w:next w:val="Normal"/>
    <w:link w:val="Heading1Char"/>
    <w:uiPriority w:val="9"/>
    <w:qFormat/>
    <w:rsid w:val="00292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993"/>
    <w:rPr>
      <w:rFonts w:eastAsiaTheme="majorEastAsia" w:cstheme="majorBidi"/>
      <w:color w:val="272727" w:themeColor="text1" w:themeTint="D8"/>
    </w:rPr>
  </w:style>
  <w:style w:type="paragraph" w:styleId="Title">
    <w:name w:val="Title"/>
    <w:basedOn w:val="Normal"/>
    <w:next w:val="Normal"/>
    <w:link w:val="TitleChar"/>
    <w:uiPriority w:val="10"/>
    <w:qFormat/>
    <w:rsid w:val="00292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993"/>
    <w:pPr>
      <w:spacing w:before="160"/>
      <w:jc w:val="center"/>
    </w:pPr>
    <w:rPr>
      <w:i/>
      <w:iCs/>
      <w:color w:val="404040" w:themeColor="text1" w:themeTint="BF"/>
    </w:rPr>
  </w:style>
  <w:style w:type="character" w:customStyle="1" w:styleId="QuoteChar">
    <w:name w:val="Quote Char"/>
    <w:basedOn w:val="DefaultParagraphFont"/>
    <w:link w:val="Quote"/>
    <w:uiPriority w:val="29"/>
    <w:rsid w:val="00292993"/>
    <w:rPr>
      <w:i/>
      <w:iCs/>
      <w:color w:val="404040" w:themeColor="text1" w:themeTint="BF"/>
    </w:rPr>
  </w:style>
  <w:style w:type="paragraph" w:styleId="ListParagraph">
    <w:name w:val="List Paragraph"/>
    <w:basedOn w:val="Normal"/>
    <w:uiPriority w:val="34"/>
    <w:qFormat/>
    <w:rsid w:val="00292993"/>
    <w:pPr>
      <w:ind w:left="720"/>
      <w:contextualSpacing/>
    </w:pPr>
  </w:style>
  <w:style w:type="character" w:styleId="IntenseEmphasis">
    <w:name w:val="Intense Emphasis"/>
    <w:basedOn w:val="DefaultParagraphFont"/>
    <w:uiPriority w:val="21"/>
    <w:qFormat/>
    <w:rsid w:val="00292993"/>
    <w:rPr>
      <w:i/>
      <w:iCs/>
      <w:color w:val="0F4761" w:themeColor="accent1" w:themeShade="BF"/>
    </w:rPr>
  </w:style>
  <w:style w:type="paragraph" w:styleId="IntenseQuote">
    <w:name w:val="Intense Quote"/>
    <w:basedOn w:val="Normal"/>
    <w:next w:val="Normal"/>
    <w:link w:val="IntenseQuoteChar"/>
    <w:uiPriority w:val="30"/>
    <w:qFormat/>
    <w:rsid w:val="00292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993"/>
    <w:rPr>
      <w:i/>
      <w:iCs/>
      <w:color w:val="0F4761" w:themeColor="accent1" w:themeShade="BF"/>
    </w:rPr>
  </w:style>
  <w:style w:type="character" w:styleId="IntenseReference">
    <w:name w:val="Intense Reference"/>
    <w:basedOn w:val="DefaultParagraphFont"/>
    <w:uiPriority w:val="32"/>
    <w:qFormat/>
    <w:rsid w:val="002929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08922">
      <w:bodyDiv w:val="1"/>
      <w:marLeft w:val="0"/>
      <w:marRight w:val="0"/>
      <w:marTop w:val="0"/>
      <w:marBottom w:val="0"/>
      <w:divBdr>
        <w:top w:val="none" w:sz="0" w:space="0" w:color="auto"/>
        <w:left w:val="none" w:sz="0" w:space="0" w:color="auto"/>
        <w:bottom w:val="none" w:sz="0" w:space="0" w:color="auto"/>
        <w:right w:val="none" w:sz="0" w:space="0" w:color="auto"/>
      </w:divBdr>
    </w:div>
    <w:div w:id="557319997">
      <w:bodyDiv w:val="1"/>
      <w:marLeft w:val="0"/>
      <w:marRight w:val="0"/>
      <w:marTop w:val="0"/>
      <w:marBottom w:val="0"/>
      <w:divBdr>
        <w:top w:val="none" w:sz="0" w:space="0" w:color="auto"/>
        <w:left w:val="none" w:sz="0" w:space="0" w:color="auto"/>
        <w:bottom w:val="none" w:sz="0" w:space="0" w:color="auto"/>
        <w:right w:val="none" w:sz="0" w:space="0" w:color="auto"/>
      </w:divBdr>
    </w:div>
    <w:div w:id="704986304">
      <w:bodyDiv w:val="1"/>
      <w:marLeft w:val="0"/>
      <w:marRight w:val="0"/>
      <w:marTop w:val="0"/>
      <w:marBottom w:val="0"/>
      <w:divBdr>
        <w:top w:val="none" w:sz="0" w:space="0" w:color="auto"/>
        <w:left w:val="none" w:sz="0" w:space="0" w:color="auto"/>
        <w:bottom w:val="none" w:sz="0" w:space="0" w:color="auto"/>
        <w:right w:val="none" w:sz="0" w:space="0" w:color="auto"/>
      </w:divBdr>
    </w:div>
    <w:div w:id="803550039">
      <w:bodyDiv w:val="1"/>
      <w:marLeft w:val="0"/>
      <w:marRight w:val="0"/>
      <w:marTop w:val="0"/>
      <w:marBottom w:val="0"/>
      <w:divBdr>
        <w:top w:val="none" w:sz="0" w:space="0" w:color="auto"/>
        <w:left w:val="none" w:sz="0" w:space="0" w:color="auto"/>
        <w:bottom w:val="none" w:sz="0" w:space="0" w:color="auto"/>
        <w:right w:val="none" w:sz="0" w:space="0" w:color="auto"/>
      </w:divBdr>
    </w:div>
    <w:div w:id="899706202">
      <w:bodyDiv w:val="1"/>
      <w:marLeft w:val="0"/>
      <w:marRight w:val="0"/>
      <w:marTop w:val="0"/>
      <w:marBottom w:val="0"/>
      <w:divBdr>
        <w:top w:val="none" w:sz="0" w:space="0" w:color="auto"/>
        <w:left w:val="none" w:sz="0" w:space="0" w:color="auto"/>
        <w:bottom w:val="none" w:sz="0" w:space="0" w:color="auto"/>
        <w:right w:val="none" w:sz="0" w:space="0" w:color="auto"/>
      </w:divBdr>
    </w:div>
    <w:div w:id="1029919148">
      <w:bodyDiv w:val="1"/>
      <w:marLeft w:val="0"/>
      <w:marRight w:val="0"/>
      <w:marTop w:val="0"/>
      <w:marBottom w:val="0"/>
      <w:divBdr>
        <w:top w:val="none" w:sz="0" w:space="0" w:color="auto"/>
        <w:left w:val="none" w:sz="0" w:space="0" w:color="auto"/>
        <w:bottom w:val="none" w:sz="0" w:space="0" w:color="auto"/>
        <w:right w:val="none" w:sz="0" w:space="0" w:color="auto"/>
      </w:divBdr>
    </w:div>
    <w:div w:id="1043136543">
      <w:bodyDiv w:val="1"/>
      <w:marLeft w:val="0"/>
      <w:marRight w:val="0"/>
      <w:marTop w:val="0"/>
      <w:marBottom w:val="0"/>
      <w:divBdr>
        <w:top w:val="none" w:sz="0" w:space="0" w:color="auto"/>
        <w:left w:val="none" w:sz="0" w:space="0" w:color="auto"/>
        <w:bottom w:val="none" w:sz="0" w:space="0" w:color="auto"/>
        <w:right w:val="none" w:sz="0" w:space="0" w:color="auto"/>
      </w:divBdr>
    </w:div>
    <w:div w:id="1119639261">
      <w:bodyDiv w:val="1"/>
      <w:marLeft w:val="0"/>
      <w:marRight w:val="0"/>
      <w:marTop w:val="0"/>
      <w:marBottom w:val="0"/>
      <w:divBdr>
        <w:top w:val="none" w:sz="0" w:space="0" w:color="auto"/>
        <w:left w:val="none" w:sz="0" w:space="0" w:color="auto"/>
        <w:bottom w:val="none" w:sz="0" w:space="0" w:color="auto"/>
        <w:right w:val="none" w:sz="0" w:space="0" w:color="auto"/>
      </w:divBdr>
    </w:div>
    <w:div w:id="1341810599">
      <w:bodyDiv w:val="1"/>
      <w:marLeft w:val="0"/>
      <w:marRight w:val="0"/>
      <w:marTop w:val="0"/>
      <w:marBottom w:val="0"/>
      <w:divBdr>
        <w:top w:val="none" w:sz="0" w:space="0" w:color="auto"/>
        <w:left w:val="none" w:sz="0" w:space="0" w:color="auto"/>
        <w:bottom w:val="none" w:sz="0" w:space="0" w:color="auto"/>
        <w:right w:val="none" w:sz="0" w:space="0" w:color="auto"/>
      </w:divBdr>
    </w:div>
    <w:div w:id="1400131640">
      <w:bodyDiv w:val="1"/>
      <w:marLeft w:val="0"/>
      <w:marRight w:val="0"/>
      <w:marTop w:val="0"/>
      <w:marBottom w:val="0"/>
      <w:divBdr>
        <w:top w:val="none" w:sz="0" w:space="0" w:color="auto"/>
        <w:left w:val="none" w:sz="0" w:space="0" w:color="auto"/>
        <w:bottom w:val="none" w:sz="0" w:space="0" w:color="auto"/>
        <w:right w:val="none" w:sz="0" w:space="0" w:color="auto"/>
      </w:divBdr>
    </w:div>
    <w:div w:id="1443527408">
      <w:bodyDiv w:val="1"/>
      <w:marLeft w:val="0"/>
      <w:marRight w:val="0"/>
      <w:marTop w:val="0"/>
      <w:marBottom w:val="0"/>
      <w:divBdr>
        <w:top w:val="none" w:sz="0" w:space="0" w:color="auto"/>
        <w:left w:val="none" w:sz="0" w:space="0" w:color="auto"/>
        <w:bottom w:val="none" w:sz="0" w:space="0" w:color="auto"/>
        <w:right w:val="none" w:sz="0" w:space="0" w:color="auto"/>
      </w:divBdr>
    </w:div>
    <w:div w:id="1899436924">
      <w:bodyDiv w:val="1"/>
      <w:marLeft w:val="0"/>
      <w:marRight w:val="0"/>
      <w:marTop w:val="0"/>
      <w:marBottom w:val="0"/>
      <w:divBdr>
        <w:top w:val="none" w:sz="0" w:space="0" w:color="auto"/>
        <w:left w:val="none" w:sz="0" w:space="0" w:color="auto"/>
        <w:bottom w:val="none" w:sz="0" w:space="0" w:color="auto"/>
        <w:right w:val="none" w:sz="0" w:space="0" w:color="auto"/>
      </w:divBdr>
    </w:div>
    <w:div w:id="1959604803">
      <w:bodyDiv w:val="1"/>
      <w:marLeft w:val="0"/>
      <w:marRight w:val="0"/>
      <w:marTop w:val="0"/>
      <w:marBottom w:val="0"/>
      <w:divBdr>
        <w:top w:val="none" w:sz="0" w:space="0" w:color="auto"/>
        <w:left w:val="none" w:sz="0" w:space="0" w:color="auto"/>
        <w:bottom w:val="none" w:sz="0" w:space="0" w:color="auto"/>
        <w:right w:val="none" w:sz="0" w:space="0" w:color="auto"/>
      </w:divBdr>
    </w:div>
    <w:div w:id="2012177191">
      <w:bodyDiv w:val="1"/>
      <w:marLeft w:val="0"/>
      <w:marRight w:val="0"/>
      <w:marTop w:val="0"/>
      <w:marBottom w:val="0"/>
      <w:divBdr>
        <w:top w:val="none" w:sz="0" w:space="0" w:color="auto"/>
        <w:left w:val="none" w:sz="0" w:space="0" w:color="auto"/>
        <w:bottom w:val="none" w:sz="0" w:space="0" w:color="auto"/>
        <w:right w:val="none" w:sz="0" w:space="0" w:color="auto"/>
      </w:divBdr>
    </w:div>
    <w:div w:id="2081706409">
      <w:bodyDiv w:val="1"/>
      <w:marLeft w:val="0"/>
      <w:marRight w:val="0"/>
      <w:marTop w:val="0"/>
      <w:marBottom w:val="0"/>
      <w:divBdr>
        <w:top w:val="none" w:sz="0" w:space="0" w:color="auto"/>
        <w:left w:val="none" w:sz="0" w:space="0" w:color="auto"/>
        <w:bottom w:val="none" w:sz="0" w:space="0" w:color="auto"/>
        <w:right w:val="none" w:sz="0" w:space="0" w:color="auto"/>
      </w:divBdr>
    </w:div>
    <w:div w:id="20835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60</TotalTime>
  <Pages>6</Pages>
  <Words>1756</Words>
  <Characters>10015</Characters>
  <Application>Microsoft Office Word</Application>
  <DocSecurity>0</DocSecurity>
  <Lines>83</Lines>
  <Paragraphs>23</Paragraphs>
  <ScaleCrop>false</ScaleCrop>
  <Company>Commonwealth of Massachusetts</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Kunen, Alexandra (MCB)</dc:creator>
  <cp:keywords/>
  <dc:description/>
  <cp:lastModifiedBy>Kunen, Alexandra (MCB)</cp:lastModifiedBy>
  <cp:revision>38</cp:revision>
  <dcterms:created xsi:type="dcterms:W3CDTF">2025-12-03T19:28:00Z</dcterms:created>
  <dcterms:modified xsi:type="dcterms:W3CDTF">2025-12-03T20:28:00Z</dcterms:modified>
</cp:coreProperties>
</file>