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8CCB2" w14:textId="77777777" w:rsidR="003A3887" w:rsidRPr="004672CC" w:rsidRDefault="003A3887" w:rsidP="00417209">
      <w:pPr>
        <w:pStyle w:val="Heading1"/>
        <w:jc w:val="center"/>
      </w:pPr>
      <w:r w:rsidRPr="004672CC">
        <w:t>Statutory Advisory Board (SAB)</w:t>
      </w:r>
    </w:p>
    <w:p w14:paraId="10B1AF52" w14:textId="2274400D" w:rsidR="003A3887" w:rsidRPr="004672CC" w:rsidRDefault="003A3887" w:rsidP="00417209">
      <w:pPr>
        <w:pStyle w:val="Heading1"/>
        <w:jc w:val="center"/>
      </w:pPr>
      <w:r w:rsidRPr="004672CC">
        <w:t>May 5, 2026</w:t>
      </w:r>
    </w:p>
    <w:p w14:paraId="0B9F8A6D" w14:textId="77777777" w:rsidR="003A3887" w:rsidRPr="004672CC" w:rsidRDefault="003A3887" w:rsidP="00417209">
      <w:pPr>
        <w:pStyle w:val="Heading1"/>
        <w:jc w:val="center"/>
      </w:pPr>
      <w:r w:rsidRPr="004672CC">
        <w:t>Meeting Minutes</w:t>
      </w:r>
    </w:p>
    <w:p w14:paraId="028E1C77" w14:textId="77777777" w:rsidR="003A3887" w:rsidRPr="004672CC" w:rsidRDefault="003A3887" w:rsidP="003A3887">
      <w:pPr>
        <w:spacing w:after="0" w:line="240" w:lineRule="auto"/>
        <w:contextualSpacing/>
        <w:rPr>
          <w:rFonts w:ascii="Times New Roman" w:hAnsi="Times New Roman" w:cs="Times New Roman"/>
          <w:u w:val="single"/>
        </w:rPr>
      </w:pPr>
    </w:p>
    <w:p w14:paraId="20E6C2CC" w14:textId="21FD1027" w:rsidR="003A3887" w:rsidRPr="004672CC" w:rsidRDefault="003A3887" w:rsidP="003A3887">
      <w:pPr>
        <w:pStyle w:val="NoSpacing"/>
        <w:rPr>
          <w:rFonts w:ascii="Times New Roman" w:hAnsi="Times New Roman" w:cs="Times New Roman"/>
        </w:rPr>
      </w:pPr>
      <w:r w:rsidRPr="004672CC">
        <w:rPr>
          <w:rFonts w:ascii="Times New Roman" w:hAnsi="Times New Roman" w:cs="Times New Roman"/>
        </w:rPr>
        <w:t>SAB Attendees: Brian MacDonald, Blair Wong, Kerlyne Pacombe, and Nancy Rumbolt-Trzcinski</w:t>
      </w:r>
    </w:p>
    <w:p w14:paraId="4FCBBD1D" w14:textId="77777777" w:rsidR="003A3887" w:rsidRPr="004672CC" w:rsidRDefault="003A3887" w:rsidP="003A3887">
      <w:pPr>
        <w:pStyle w:val="NoSpacing"/>
        <w:rPr>
          <w:rFonts w:ascii="Times New Roman" w:hAnsi="Times New Roman" w:cs="Times New Roman"/>
        </w:rPr>
      </w:pPr>
    </w:p>
    <w:p w14:paraId="5622EA6F" w14:textId="77777777" w:rsidR="003A3887" w:rsidRPr="004672CC" w:rsidRDefault="003A3887" w:rsidP="003A3887">
      <w:pPr>
        <w:pStyle w:val="NoSpacing"/>
        <w:rPr>
          <w:rFonts w:ascii="Times New Roman" w:hAnsi="Times New Roman" w:cs="Times New Roman"/>
        </w:rPr>
      </w:pPr>
      <w:r w:rsidRPr="004672CC">
        <w:rPr>
          <w:rFonts w:ascii="Times New Roman" w:hAnsi="Times New Roman" w:cs="Times New Roman"/>
        </w:rPr>
        <w:t>MCB Staff Attendees: John Oliveira, Nathan Skrocki, Justine Muir, and Lucy Evangelidis</w:t>
      </w:r>
    </w:p>
    <w:p w14:paraId="1488898E" w14:textId="77777777" w:rsidR="003A3887" w:rsidRPr="004672CC" w:rsidRDefault="003A3887" w:rsidP="003A3887">
      <w:pPr>
        <w:pStyle w:val="NoSpacing"/>
        <w:rPr>
          <w:rFonts w:ascii="Times New Roman" w:hAnsi="Times New Roman" w:cs="Times New Roman"/>
        </w:rPr>
      </w:pPr>
    </w:p>
    <w:p w14:paraId="5511CF45" w14:textId="77777777" w:rsidR="003A3887" w:rsidRPr="004672CC" w:rsidRDefault="003A3887" w:rsidP="003A3887">
      <w:pPr>
        <w:pStyle w:val="NoSpacing"/>
        <w:rPr>
          <w:rFonts w:ascii="Times New Roman" w:hAnsi="Times New Roman" w:cs="Times New Roman"/>
        </w:rPr>
      </w:pPr>
      <w:r w:rsidRPr="004672CC">
        <w:rPr>
          <w:rFonts w:ascii="Times New Roman" w:hAnsi="Times New Roman" w:cs="Times New Roman"/>
        </w:rPr>
        <w:t xml:space="preserve">Meeting held via Zoom, recording available to the public on the MCB YouTube channel. Public </w:t>
      </w:r>
      <w:proofErr w:type="gramStart"/>
      <w:r w:rsidRPr="004672CC">
        <w:rPr>
          <w:rFonts w:ascii="Times New Roman" w:hAnsi="Times New Roman" w:cs="Times New Roman"/>
        </w:rPr>
        <w:t>invited</w:t>
      </w:r>
      <w:proofErr w:type="gramEnd"/>
      <w:r w:rsidRPr="004672CC">
        <w:rPr>
          <w:rFonts w:ascii="Times New Roman" w:hAnsi="Times New Roman" w:cs="Times New Roman"/>
        </w:rPr>
        <w:t xml:space="preserve"> to participate through Q&amp;A at the end of the meeting.</w:t>
      </w:r>
    </w:p>
    <w:p w14:paraId="27497D3C" w14:textId="77777777" w:rsidR="003A3887" w:rsidRPr="004672CC" w:rsidRDefault="003A3887" w:rsidP="003A3887">
      <w:pPr>
        <w:pStyle w:val="NoSpacing"/>
        <w:rPr>
          <w:rFonts w:ascii="Times New Roman" w:hAnsi="Times New Roman" w:cs="Times New Roman"/>
        </w:rPr>
      </w:pPr>
    </w:p>
    <w:p w14:paraId="4956213E" w14:textId="77777777" w:rsidR="003A3887" w:rsidRPr="004672CC" w:rsidRDefault="003A3887" w:rsidP="003A3887">
      <w:pPr>
        <w:pStyle w:val="NoSpacing"/>
        <w:rPr>
          <w:rFonts w:ascii="Times New Roman" w:hAnsi="Times New Roman" w:cs="Times New Roman"/>
          <w:u w:val="single"/>
        </w:rPr>
      </w:pPr>
      <w:r w:rsidRPr="004672CC">
        <w:rPr>
          <w:rFonts w:ascii="Times New Roman" w:hAnsi="Times New Roman" w:cs="Times New Roman"/>
          <w:u w:val="single"/>
        </w:rPr>
        <w:t>Minutes</w:t>
      </w:r>
    </w:p>
    <w:p w14:paraId="08461514" w14:textId="77777777" w:rsidR="003A3887" w:rsidRPr="004672CC" w:rsidRDefault="003A3887" w:rsidP="003A3887">
      <w:pPr>
        <w:pStyle w:val="NoSpacing"/>
        <w:rPr>
          <w:rFonts w:ascii="Times New Roman" w:hAnsi="Times New Roman" w:cs="Times New Roman"/>
        </w:rPr>
      </w:pPr>
      <w:r w:rsidRPr="004672CC">
        <w:rPr>
          <w:rFonts w:ascii="Times New Roman" w:hAnsi="Times New Roman" w:cs="Times New Roman"/>
        </w:rPr>
        <w:t>A quorum was reached. The meeting was held via Zoom in accordance with authorization approved by Governor Healey through June 30, 2027. The meeting was recorded and will be posted on the MCB website along with the minutes.</w:t>
      </w:r>
    </w:p>
    <w:p w14:paraId="03A353AC" w14:textId="77777777" w:rsidR="003A3887" w:rsidRPr="004672CC" w:rsidRDefault="003A3887" w:rsidP="003A3887">
      <w:pPr>
        <w:pStyle w:val="NoSpacing"/>
        <w:rPr>
          <w:rFonts w:ascii="Times New Roman" w:hAnsi="Times New Roman" w:cs="Times New Roman"/>
        </w:rPr>
      </w:pPr>
    </w:p>
    <w:p w14:paraId="2BCD91D3" w14:textId="6EEE4E18" w:rsidR="003A3887" w:rsidRPr="004672CC" w:rsidRDefault="003A3887" w:rsidP="003A3887">
      <w:pPr>
        <w:pStyle w:val="NoSpacing"/>
        <w:rPr>
          <w:rFonts w:ascii="Times New Roman" w:hAnsi="Times New Roman" w:cs="Times New Roman"/>
        </w:rPr>
      </w:pPr>
      <w:r w:rsidRPr="004672CC">
        <w:rPr>
          <w:rFonts w:ascii="Times New Roman" w:hAnsi="Times New Roman" w:cs="Times New Roman"/>
        </w:rPr>
        <w:t xml:space="preserve">A motion to approve </w:t>
      </w:r>
      <w:proofErr w:type="gramStart"/>
      <w:r w:rsidRPr="004672CC">
        <w:rPr>
          <w:rFonts w:ascii="Times New Roman" w:hAnsi="Times New Roman" w:cs="Times New Roman"/>
        </w:rPr>
        <w:t>the April</w:t>
      </w:r>
      <w:proofErr w:type="gramEnd"/>
      <w:r w:rsidRPr="004672CC">
        <w:rPr>
          <w:rFonts w:ascii="Times New Roman" w:hAnsi="Times New Roman" w:cs="Times New Roman"/>
        </w:rPr>
        <w:t xml:space="preserve"> 7, </w:t>
      </w:r>
      <w:proofErr w:type="gramStart"/>
      <w:r w:rsidRPr="004672CC">
        <w:rPr>
          <w:rFonts w:ascii="Times New Roman" w:hAnsi="Times New Roman" w:cs="Times New Roman"/>
        </w:rPr>
        <w:t>2026</w:t>
      </w:r>
      <w:proofErr w:type="gramEnd"/>
      <w:r w:rsidRPr="004672CC">
        <w:rPr>
          <w:rFonts w:ascii="Times New Roman" w:hAnsi="Times New Roman" w:cs="Times New Roman"/>
        </w:rPr>
        <w:t xml:space="preserve"> minutes was made by B</w:t>
      </w:r>
      <w:r w:rsidR="00CF43C8" w:rsidRPr="004672CC">
        <w:rPr>
          <w:rFonts w:ascii="Times New Roman" w:hAnsi="Times New Roman" w:cs="Times New Roman"/>
        </w:rPr>
        <w:t>rian</w:t>
      </w:r>
      <w:r w:rsidRPr="004672CC">
        <w:rPr>
          <w:rFonts w:ascii="Times New Roman" w:hAnsi="Times New Roman" w:cs="Times New Roman"/>
        </w:rPr>
        <w:t xml:space="preserve"> and seconded by Nancy. The motion passed. No edits or questions were raised regarding the minutes.</w:t>
      </w:r>
    </w:p>
    <w:p w14:paraId="79074156" w14:textId="77777777" w:rsidR="00CF43C8" w:rsidRPr="004672CC" w:rsidRDefault="00CF43C8" w:rsidP="003A3887">
      <w:pPr>
        <w:pStyle w:val="NoSpacing"/>
        <w:rPr>
          <w:rFonts w:ascii="Times New Roman" w:hAnsi="Times New Roman" w:cs="Times New Roman"/>
        </w:rPr>
      </w:pPr>
    </w:p>
    <w:p w14:paraId="36240A2C" w14:textId="1FA71D7E" w:rsidR="00CF43C8" w:rsidRPr="004672CC" w:rsidRDefault="00CF43C8" w:rsidP="00763013">
      <w:pPr>
        <w:pStyle w:val="Heading2"/>
      </w:pPr>
      <w:r w:rsidRPr="004672CC">
        <w:t xml:space="preserve">Commissioner Update – John Oliveira </w:t>
      </w:r>
    </w:p>
    <w:p w14:paraId="673F40FB" w14:textId="77777777" w:rsidR="00432512" w:rsidRPr="004672CC" w:rsidRDefault="00432512" w:rsidP="002D774C">
      <w:pPr>
        <w:pStyle w:val="Heading3"/>
      </w:pPr>
      <w:r w:rsidRPr="004672CC">
        <w:t>Federal and State Updates</w:t>
      </w:r>
    </w:p>
    <w:p w14:paraId="00ACC351" w14:textId="77777777" w:rsidR="00432512" w:rsidRPr="004672CC" w:rsidRDefault="00432512" w:rsidP="00432512">
      <w:pPr>
        <w:pStyle w:val="NoSpacing"/>
        <w:numPr>
          <w:ilvl w:val="0"/>
          <w:numId w:val="9"/>
        </w:numPr>
        <w:rPr>
          <w:rFonts w:ascii="Times New Roman" w:hAnsi="Times New Roman" w:cs="Times New Roman"/>
        </w:rPr>
      </w:pPr>
      <w:r w:rsidRPr="004672CC">
        <w:rPr>
          <w:rFonts w:ascii="Times New Roman" w:hAnsi="Times New Roman" w:cs="Times New Roman"/>
        </w:rPr>
        <w:t>Federal funding remains stable, and MCB has received all federal funding for the current fiscal year.</w:t>
      </w:r>
    </w:p>
    <w:p w14:paraId="7ECD9DA3" w14:textId="77777777" w:rsidR="00432512" w:rsidRPr="004672CC" w:rsidRDefault="00432512" w:rsidP="00432512">
      <w:pPr>
        <w:pStyle w:val="NoSpacing"/>
        <w:numPr>
          <w:ilvl w:val="0"/>
          <w:numId w:val="9"/>
        </w:numPr>
        <w:rPr>
          <w:rFonts w:ascii="Times New Roman" w:hAnsi="Times New Roman" w:cs="Times New Roman"/>
        </w:rPr>
      </w:pPr>
      <w:r w:rsidRPr="004672CC">
        <w:rPr>
          <w:rFonts w:ascii="Times New Roman" w:hAnsi="Times New Roman" w:cs="Times New Roman"/>
        </w:rPr>
        <w:t>No major changes are expected in the Governor’s proposed state budget for MCB.</w:t>
      </w:r>
    </w:p>
    <w:p w14:paraId="312584A8" w14:textId="77777777" w:rsidR="00432512" w:rsidRPr="004672CC" w:rsidRDefault="00432512" w:rsidP="00432512">
      <w:pPr>
        <w:pStyle w:val="NoSpacing"/>
        <w:numPr>
          <w:ilvl w:val="0"/>
          <w:numId w:val="9"/>
        </w:numPr>
        <w:rPr>
          <w:rFonts w:ascii="Times New Roman" w:hAnsi="Times New Roman" w:cs="Times New Roman"/>
        </w:rPr>
      </w:pPr>
      <w:r w:rsidRPr="004672CC">
        <w:rPr>
          <w:rFonts w:ascii="Times New Roman" w:hAnsi="Times New Roman" w:cs="Times New Roman"/>
        </w:rPr>
        <w:t>The state budget process continues through the Senate, House, and conference committee process, with a final budget expected by July.</w:t>
      </w:r>
    </w:p>
    <w:p w14:paraId="075EEB97" w14:textId="77777777" w:rsidR="00432512" w:rsidRPr="004672CC" w:rsidRDefault="00432512" w:rsidP="00432512">
      <w:pPr>
        <w:pStyle w:val="NoSpacing"/>
        <w:numPr>
          <w:ilvl w:val="0"/>
          <w:numId w:val="9"/>
        </w:numPr>
        <w:rPr>
          <w:rFonts w:ascii="Times New Roman" w:hAnsi="Times New Roman" w:cs="Times New Roman"/>
        </w:rPr>
      </w:pPr>
      <w:r w:rsidRPr="004672CC">
        <w:rPr>
          <w:rFonts w:ascii="Times New Roman" w:hAnsi="Times New Roman" w:cs="Times New Roman"/>
        </w:rPr>
        <w:t>RSA operations continue as normal despite ongoing rumors regarding a possible move to the Department of Labor.</w:t>
      </w:r>
    </w:p>
    <w:p w14:paraId="5F80A910" w14:textId="77777777" w:rsidR="00432512" w:rsidRPr="004672CC" w:rsidRDefault="00432512" w:rsidP="00432512">
      <w:pPr>
        <w:pStyle w:val="NoSpacing"/>
        <w:numPr>
          <w:ilvl w:val="0"/>
          <w:numId w:val="9"/>
        </w:numPr>
        <w:rPr>
          <w:rFonts w:ascii="Times New Roman" w:hAnsi="Times New Roman" w:cs="Times New Roman"/>
        </w:rPr>
      </w:pPr>
      <w:r w:rsidRPr="004672CC">
        <w:rPr>
          <w:rFonts w:ascii="Times New Roman" w:hAnsi="Times New Roman" w:cs="Times New Roman"/>
        </w:rPr>
        <w:t>Federal grant programs and approvals continue without interruption.</w:t>
      </w:r>
    </w:p>
    <w:p w14:paraId="65E2C744" w14:textId="77777777" w:rsidR="00432512" w:rsidRPr="004672CC" w:rsidRDefault="00432512" w:rsidP="002D774C">
      <w:pPr>
        <w:pStyle w:val="Heading3"/>
      </w:pPr>
      <w:r w:rsidRPr="004672CC">
        <w:t>International Collaboration</w:t>
      </w:r>
    </w:p>
    <w:p w14:paraId="48037097" w14:textId="77777777" w:rsidR="00432512" w:rsidRPr="004672CC" w:rsidRDefault="00432512" w:rsidP="00432512">
      <w:pPr>
        <w:pStyle w:val="NoSpacing"/>
        <w:numPr>
          <w:ilvl w:val="0"/>
          <w:numId w:val="10"/>
        </w:numPr>
        <w:rPr>
          <w:rFonts w:ascii="Times New Roman" w:hAnsi="Times New Roman" w:cs="Times New Roman"/>
        </w:rPr>
      </w:pPr>
      <w:r w:rsidRPr="004672CC">
        <w:rPr>
          <w:rFonts w:ascii="Times New Roman" w:hAnsi="Times New Roman" w:cs="Times New Roman"/>
        </w:rPr>
        <w:t>A delegation from Greece will visit Massachusetts to learn about blindness services and service delivery models in the United States.</w:t>
      </w:r>
    </w:p>
    <w:p w14:paraId="4703387B" w14:textId="77777777" w:rsidR="00432512" w:rsidRPr="004672CC" w:rsidRDefault="00432512" w:rsidP="00432512">
      <w:pPr>
        <w:pStyle w:val="NoSpacing"/>
        <w:numPr>
          <w:ilvl w:val="0"/>
          <w:numId w:val="10"/>
        </w:numPr>
        <w:rPr>
          <w:rFonts w:ascii="Times New Roman" w:hAnsi="Times New Roman" w:cs="Times New Roman"/>
        </w:rPr>
      </w:pPr>
      <w:r w:rsidRPr="004672CC">
        <w:rPr>
          <w:rFonts w:ascii="Times New Roman" w:hAnsi="Times New Roman" w:cs="Times New Roman"/>
        </w:rPr>
        <w:t>Visits are planned with MCB, the Carroll Center, Perkins School for the Blind, and other organizations.</w:t>
      </w:r>
    </w:p>
    <w:p w14:paraId="619AA88A" w14:textId="77777777" w:rsidR="00432512" w:rsidRPr="004672CC" w:rsidRDefault="00432512" w:rsidP="00432512">
      <w:pPr>
        <w:pStyle w:val="NoSpacing"/>
        <w:numPr>
          <w:ilvl w:val="0"/>
          <w:numId w:val="10"/>
        </w:numPr>
        <w:rPr>
          <w:rFonts w:ascii="Times New Roman" w:hAnsi="Times New Roman" w:cs="Times New Roman"/>
        </w:rPr>
      </w:pPr>
      <w:r w:rsidRPr="004672CC">
        <w:rPr>
          <w:rFonts w:ascii="Times New Roman" w:hAnsi="Times New Roman" w:cs="Times New Roman"/>
        </w:rPr>
        <w:lastRenderedPageBreak/>
        <w:t>The group will spend approximately one week in Massachusetts participating in educational meetings and site visits.</w:t>
      </w:r>
    </w:p>
    <w:p w14:paraId="05409884" w14:textId="77777777" w:rsidR="00432512" w:rsidRPr="004672CC" w:rsidRDefault="00432512" w:rsidP="002D774C">
      <w:pPr>
        <w:pStyle w:val="Heading3"/>
      </w:pPr>
      <w:r w:rsidRPr="004672CC">
        <w:t>Public Awareness Campaign</w:t>
      </w:r>
    </w:p>
    <w:p w14:paraId="1A27C663" w14:textId="77777777" w:rsidR="00432512" w:rsidRPr="004672CC" w:rsidRDefault="00432512" w:rsidP="00432512">
      <w:pPr>
        <w:pStyle w:val="NoSpacing"/>
        <w:numPr>
          <w:ilvl w:val="0"/>
          <w:numId w:val="11"/>
        </w:numPr>
        <w:rPr>
          <w:rFonts w:ascii="Times New Roman" w:hAnsi="Times New Roman" w:cs="Times New Roman"/>
        </w:rPr>
      </w:pPr>
      <w:r w:rsidRPr="004672CC">
        <w:rPr>
          <w:rFonts w:ascii="Times New Roman" w:hAnsi="Times New Roman" w:cs="Times New Roman"/>
        </w:rPr>
        <w:t>MCB’s outreach campaign promoting careers in blindness rehabilitation and education services is concluding.</w:t>
      </w:r>
    </w:p>
    <w:p w14:paraId="02F293EB" w14:textId="77777777" w:rsidR="00432512" w:rsidRPr="004672CC" w:rsidRDefault="00432512" w:rsidP="00432512">
      <w:pPr>
        <w:pStyle w:val="NoSpacing"/>
        <w:numPr>
          <w:ilvl w:val="0"/>
          <w:numId w:val="11"/>
        </w:numPr>
        <w:rPr>
          <w:rFonts w:ascii="Times New Roman" w:hAnsi="Times New Roman" w:cs="Times New Roman"/>
        </w:rPr>
      </w:pPr>
      <w:r w:rsidRPr="004672CC">
        <w:rPr>
          <w:rFonts w:ascii="Times New Roman" w:hAnsi="Times New Roman" w:cs="Times New Roman"/>
        </w:rPr>
        <w:t>The campaign generated millions of impressions and approximately 200,000 visits to the informational landing page.</w:t>
      </w:r>
    </w:p>
    <w:p w14:paraId="2F214A95" w14:textId="77777777" w:rsidR="00432512" w:rsidRPr="004672CC" w:rsidRDefault="00432512" w:rsidP="00432512">
      <w:pPr>
        <w:pStyle w:val="NoSpacing"/>
        <w:numPr>
          <w:ilvl w:val="0"/>
          <w:numId w:val="11"/>
        </w:numPr>
        <w:rPr>
          <w:rFonts w:ascii="Times New Roman" w:hAnsi="Times New Roman" w:cs="Times New Roman"/>
        </w:rPr>
      </w:pPr>
      <w:r w:rsidRPr="004672CC">
        <w:rPr>
          <w:rFonts w:ascii="Times New Roman" w:hAnsi="Times New Roman" w:cs="Times New Roman"/>
        </w:rPr>
        <w:t>The landing page highlighted training opportunities for teachers of the visually impaired, vision rehabilitation therapists, orientation and mobility specialists, and vocational rehabilitation counselors.</w:t>
      </w:r>
    </w:p>
    <w:p w14:paraId="2B36F00D" w14:textId="77777777" w:rsidR="00432512" w:rsidRPr="004672CC" w:rsidRDefault="00432512" w:rsidP="00432512">
      <w:pPr>
        <w:pStyle w:val="NoSpacing"/>
        <w:numPr>
          <w:ilvl w:val="0"/>
          <w:numId w:val="11"/>
        </w:numPr>
        <w:rPr>
          <w:rFonts w:ascii="Times New Roman" w:hAnsi="Times New Roman" w:cs="Times New Roman"/>
        </w:rPr>
      </w:pPr>
      <w:r w:rsidRPr="004672CC">
        <w:rPr>
          <w:rFonts w:ascii="Times New Roman" w:hAnsi="Times New Roman" w:cs="Times New Roman"/>
        </w:rPr>
        <w:t>Massachusetts technology policies prevented detailed tracking of which training programs users visited after leaving the landing page.</w:t>
      </w:r>
    </w:p>
    <w:p w14:paraId="75A3FCDC" w14:textId="77777777" w:rsidR="00432512" w:rsidRPr="004672CC" w:rsidRDefault="00432512" w:rsidP="00432512">
      <w:pPr>
        <w:pStyle w:val="NoSpacing"/>
        <w:numPr>
          <w:ilvl w:val="0"/>
          <w:numId w:val="11"/>
        </w:numPr>
        <w:rPr>
          <w:rFonts w:ascii="Times New Roman" w:hAnsi="Times New Roman" w:cs="Times New Roman"/>
        </w:rPr>
      </w:pPr>
      <w:r w:rsidRPr="004672CC">
        <w:rPr>
          <w:rFonts w:ascii="Times New Roman" w:hAnsi="Times New Roman" w:cs="Times New Roman"/>
        </w:rPr>
        <w:t>MCB plans to survey participating training programs to determine whether they experienced increases in inquiries or applications during the campaign period.</w:t>
      </w:r>
    </w:p>
    <w:p w14:paraId="2F287178" w14:textId="77777777" w:rsidR="00432512" w:rsidRPr="004672CC" w:rsidRDefault="00432512" w:rsidP="00432512">
      <w:pPr>
        <w:pStyle w:val="NoSpacing"/>
        <w:numPr>
          <w:ilvl w:val="0"/>
          <w:numId w:val="11"/>
        </w:numPr>
        <w:rPr>
          <w:rFonts w:ascii="Times New Roman" w:hAnsi="Times New Roman" w:cs="Times New Roman"/>
        </w:rPr>
      </w:pPr>
      <w:r w:rsidRPr="004672CC">
        <w:rPr>
          <w:rFonts w:ascii="Times New Roman" w:hAnsi="Times New Roman" w:cs="Times New Roman"/>
        </w:rPr>
        <w:t>Demographic trends showed varying engagement levels by gender across campaign quarters.</w:t>
      </w:r>
    </w:p>
    <w:p w14:paraId="3D95D1A6" w14:textId="77777777" w:rsidR="00432512" w:rsidRPr="004672CC" w:rsidRDefault="00432512" w:rsidP="00432512">
      <w:pPr>
        <w:pStyle w:val="NoSpacing"/>
        <w:numPr>
          <w:ilvl w:val="0"/>
          <w:numId w:val="11"/>
        </w:numPr>
        <w:rPr>
          <w:rFonts w:ascii="Times New Roman" w:hAnsi="Times New Roman" w:cs="Times New Roman"/>
        </w:rPr>
      </w:pPr>
      <w:r w:rsidRPr="004672CC">
        <w:rPr>
          <w:rFonts w:ascii="Times New Roman" w:hAnsi="Times New Roman" w:cs="Times New Roman"/>
        </w:rPr>
        <w:t>MCB will evaluate long-term outcomes before determining whether to pursue additional funding or revised outreach strategies.</w:t>
      </w:r>
    </w:p>
    <w:p w14:paraId="3798AAF7" w14:textId="77777777" w:rsidR="00432512" w:rsidRPr="004672CC" w:rsidRDefault="00432512" w:rsidP="002D774C">
      <w:pPr>
        <w:pStyle w:val="Heading3"/>
      </w:pPr>
      <w:r w:rsidRPr="004672CC">
        <w:t>Upcoming Events</w:t>
      </w:r>
    </w:p>
    <w:p w14:paraId="76E3A184" w14:textId="77777777" w:rsidR="00432512" w:rsidRPr="004672CC" w:rsidRDefault="00432512" w:rsidP="00432512">
      <w:pPr>
        <w:pStyle w:val="NoSpacing"/>
        <w:numPr>
          <w:ilvl w:val="0"/>
          <w:numId w:val="12"/>
        </w:numPr>
        <w:rPr>
          <w:rFonts w:ascii="Times New Roman" w:hAnsi="Times New Roman" w:cs="Times New Roman"/>
        </w:rPr>
      </w:pPr>
      <w:r w:rsidRPr="004672CC">
        <w:rPr>
          <w:rFonts w:ascii="Times New Roman" w:hAnsi="Times New Roman" w:cs="Times New Roman"/>
        </w:rPr>
        <w:t>Commissioner Oliveira will attend the Bay State Council convention in Burlington to provide updates on MCB activities and initiatives.</w:t>
      </w:r>
    </w:p>
    <w:p w14:paraId="5362345D" w14:textId="77777777" w:rsidR="00DA7D83" w:rsidRPr="004672CC" w:rsidRDefault="00DA7D83" w:rsidP="00DA7D83">
      <w:pPr>
        <w:pStyle w:val="NoSpacing"/>
        <w:rPr>
          <w:rFonts w:ascii="Times New Roman" w:hAnsi="Times New Roman" w:cs="Times New Roman"/>
        </w:rPr>
      </w:pPr>
    </w:p>
    <w:p w14:paraId="32F81C01" w14:textId="3C5D1722" w:rsidR="00DA7D83" w:rsidRPr="004672CC" w:rsidRDefault="004D69D2" w:rsidP="00417209">
      <w:pPr>
        <w:pStyle w:val="Heading2"/>
      </w:pPr>
      <w:r w:rsidRPr="004672CC">
        <w:t>Programs &amp; Services Update – Justine Muir</w:t>
      </w:r>
    </w:p>
    <w:p w14:paraId="52208927" w14:textId="77777777" w:rsidR="00174F63" w:rsidRPr="004672CC" w:rsidRDefault="00174F63" w:rsidP="002D774C">
      <w:pPr>
        <w:pStyle w:val="Heading3"/>
      </w:pPr>
      <w:r w:rsidRPr="004672CC">
        <w:t>Visions of Collaboration Conference</w:t>
      </w:r>
    </w:p>
    <w:p w14:paraId="453A7549" w14:textId="77777777" w:rsidR="00174F63" w:rsidRPr="004672CC" w:rsidRDefault="00174F63" w:rsidP="00174F63">
      <w:pPr>
        <w:pStyle w:val="NoSpacing"/>
        <w:numPr>
          <w:ilvl w:val="0"/>
          <w:numId w:val="13"/>
        </w:numPr>
        <w:rPr>
          <w:rFonts w:ascii="Times New Roman" w:hAnsi="Times New Roman" w:cs="Times New Roman"/>
        </w:rPr>
      </w:pPr>
      <w:r w:rsidRPr="004672CC">
        <w:rPr>
          <w:rFonts w:ascii="Times New Roman" w:hAnsi="Times New Roman" w:cs="Times New Roman"/>
        </w:rPr>
        <w:t>The 2026 Visions of Collaboration conference was held on May 1 and reached full capacity.</w:t>
      </w:r>
    </w:p>
    <w:p w14:paraId="6EB23C5F" w14:textId="77777777" w:rsidR="00174F63" w:rsidRPr="004672CC" w:rsidRDefault="00174F63" w:rsidP="00174F63">
      <w:pPr>
        <w:pStyle w:val="NoSpacing"/>
        <w:numPr>
          <w:ilvl w:val="0"/>
          <w:numId w:val="13"/>
        </w:numPr>
        <w:rPr>
          <w:rFonts w:ascii="Times New Roman" w:hAnsi="Times New Roman" w:cs="Times New Roman"/>
        </w:rPr>
      </w:pPr>
      <w:r w:rsidRPr="004672CC">
        <w:rPr>
          <w:rFonts w:ascii="Times New Roman" w:hAnsi="Times New Roman" w:cs="Times New Roman"/>
        </w:rPr>
        <w:t>The conference focused on transition planning and collaboration for students who are legally blind.</w:t>
      </w:r>
    </w:p>
    <w:p w14:paraId="46C2F3F5" w14:textId="77777777" w:rsidR="00174F63" w:rsidRPr="004672CC" w:rsidRDefault="00174F63" w:rsidP="00174F63">
      <w:pPr>
        <w:pStyle w:val="NoSpacing"/>
        <w:numPr>
          <w:ilvl w:val="0"/>
          <w:numId w:val="13"/>
        </w:numPr>
        <w:rPr>
          <w:rFonts w:ascii="Times New Roman" w:hAnsi="Times New Roman" w:cs="Times New Roman"/>
        </w:rPr>
      </w:pPr>
      <w:r w:rsidRPr="004672CC">
        <w:rPr>
          <w:rFonts w:ascii="Times New Roman" w:hAnsi="Times New Roman" w:cs="Times New Roman"/>
        </w:rPr>
        <w:t>Attendees included educators, transition specialists, orientation and mobility specialists, and other school-based service providers.</w:t>
      </w:r>
    </w:p>
    <w:p w14:paraId="4015EA20" w14:textId="77777777" w:rsidR="00174F63" w:rsidRPr="004672CC" w:rsidRDefault="00174F63" w:rsidP="00A64928">
      <w:pPr>
        <w:pStyle w:val="NoSpacing"/>
        <w:numPr>
          <w:ilvl w:val="0"/>
          <w:numId w:val="13"/>
        </w:numPr>
        <w:rPr>
          <w:rFonts w:ascii="Times New Roman" w:hAnsi="Times New Roman" w:cs="Times New Roman"/>
        </w:rPr>
      </w:pPr>
      <w:r w:rsidRPr="004672CC">
        <w:rPr>
          <w:rFonts w:ascii="Times New Roman" w:hAnsi="Times New Roman" w:cs="Times New Roman"/>
        </w:rPr>
        <w:t>The conference featured keynote presentations, breakout sessions, and interactive discussions.</w:t>
      </w:r>
    </w:p>
    <w:p w14:paraId="23C3AB96" w14:textId="77777777" w:rsidR="00174F63" w:rsidRPr="004672CC" w:rsidRDefault="00174F63" w:rsidP="00A64928">
      <w:pPr>
        <w:pStyle w:val="NoSpacing"/>
        <w:numPr>
          <w:ilvl w:val="0"/>
          <w:numId w:val="13"/>
        </w:numPr>
        <w:rPr>
          <w:rFonts w:ascii="Times New Roman" w:hAnsi="Times New Roman" w:cs="Times New Roman"/>
        </w:rPr>
      </w:pPr>
      <w:r w:rsidRPr="004672CC">
        <w:rPr>
          <w:rFonts w:ascii="Times New Roman" w:hAnsi="Times New Roman" w:cs="Times New Roman"/>
        </w:rPr>
        <w:t>A new regional case conference session was introduced, allowing participants to collaborate on real-world student cases and share strategies.</w:t>
      </w:r>
    </w:p>
    <w:p w14:paraId="249A6ACB" w14:textId="77777777" w:rsidR="00174F63" w:rsidRPr="004672CC" w:rsidRDefault="00174F63" w:rsidP="00A64928">
      <w:pPr>
        <w:pStyle w:val="NoSpacing"/>
        <w:numPr>
          <w:ilvl w:val="0"/>
          <w:numId w:val="13"/>
        </w:numPr>
        <w:rPr>
          <w:rFonts w:ascii="Times New Roman" w:hAnsi="Times New Roman" w:cs="Times New Roman"/>
        </w:rPr>
      </w:pPr>
      <w:r w:rsidRPr="004672CC">
        <w:rPr>
          <w:rFonts w:ascii="Times New Roman" w:hAnsi="Times New Roman" w:cs="Times New Roman"/>
        </w:rPr>
        <w:t>Eleven partner organizations participated as exhibitors, providing attendees with resources and networking opportunities.</w:t>
      </w:r>
    </w:p>
    <w:p w14:paraId="52FFA44B" w14:textId="77777777" w:rsidR="00174F63" w:rsidRPr="004672CC" w:rsidRDefault="00174F63" w:rsidP="00A64928">
      <w:pPr>
        <w:pStyle w:val="NoSpacing"/>
        <w:numPr>
          <w:ilvl w:val="0"/>
          <w:numId w:val="13"/>
        </w:numPr>
        <w:rPr>
          <w:rFonts w:ascii="Times New Roman" w:hAnsi="Times New Roman" w:cs="Times New Roman"/>
        </w:rPr>
      </w:pPr>
      <w:r w:rsidRPr="004672CC">
        <w:rPr>
          <w:rFonts w:ascii="Times New Roman" w:hAnsi="Times New Roman" w:cs="Times New Roman"/>
        </w:rPr>
        <w:t xml:space="preserve">Early feedback from participants </w:t>
      </w:r>
      <w:proofErr w:type="gramStart"/>
      <w:r w:rsidRPr="004672CC">
        <w:rPr>
          <w:rFonts w:ascii="Times New Roman" w:hAnsi="Times New Roman" w:cs="Times New Roman"/>
        </w:rPr>
        <w:t>has been</w:t>
      </w:r>
      <w:proofErr w:type="gramEnd"/>
      <w:r w:rsidRPr="004672CC">
        <w:rPr>
          <w:rFonts w:ascii="Times New Roman" w:hAnsi="Times New Roman" w:cs="Times New Roman"/>
        </w:rPr>
        <w:t xml:space="preserve"> highly positive.</w:t>
      </w:r>
    </w:p>
    <w:p w14:paraId="344EB414" w14:textId="77777777" w:rsidR="00174F63" w:rsidRPr="004672CC" w:rsidRDefault="00174F63" w:rsidP="00A64928">
      <w:pPr>
        <w:pStyle w:val="NoSpacing"/>
        <w:numPr>
          <w:ilvl w:val="0"/>
          <w:numId w:val="13"/>
        </w:numPr>
        <w:rPr>
          <w:rFonts w:ascii="Times New Roman" w:hAnsi="Times New Roman" w:cs="Times New Roman"/>
        </w:rPr>
      </w:pPr>
      <w:r w:rsidRPr="004672CC">
        <w:rPr>
          <w:rFonts w:ascii="Times New Roman" w:hAnsi="Times New Roman" w:cs="Times New Roman"/>
        </w:rPr>
        <w:t>A post-conference survey will be distributed to guide planning for next year’s conference.</w:t>
      </w:r>
    </w:p>
    <w:p w14:paraId="4A5F2D25" w14:textId="77777777" w:rsidR="00174F63" w:rsidRPr="004672CC" w:rsidRDefault="00174F63" w:rsidP="002D774C">
      <w:pPr>
        <w:pStyle w:val="Heading3"/>
      </w:pPr>
      <w:r w:rsidRPr="004672CC">
        <w:lastRenderedPageBreak/>
        <w:t>Summer Internship Program</w:t>
      </w:r>
    </w:p>
    <w:p w14:paraId="4053C207" w14:textId="77777777" w:rsidR="00174F63" w:rsidRPr="004672CC" w:rsidRDefault="00174F63" w:rsidP="00A64928">
      <w:pPr>
        <w:pStyle w:val="NoSpacing"/>
        <w:numPr>
          <w:ilvl w:val="0"/>
          <w:numId w:val="14"/>
        </w:numPr>
        <w:rPr>
          <w:rFonts w:ascii="Times New Roman" w:hAnsi="Times New Roman" w:cs="Times New Roman"/>
        </w:rPr>
      </w:pPr>
      <w:r w:rsidRPr="004672CC">
        <w:rPr>
          <w:rFonts w:ascii="Times New Roman" w:hAnsi="Times New Roman" w:cs="Times New Roman"/>
        </w:rPr>
        <w:t>The summer internship program is in its final planning stages.</w:t>
      </w:r>
    </w:p>
    <w:p w14:paraId="68475B5C" w14:textId="77777777" w:rsidR="00174F63" w:rsidRPr="004672CC" w:rsidRDefault="00174F63" w:rsidP="00A64928">
      <w:pPr>
        <w:pStyle w:val="NoSpacing"/>
        <w:numPr>
          <w:ilvl w:val="0"/>
          <w:numId w:val="14"/>
        </w:numPr>
        <w:rPr>
          <w:rFonts w:ascii="Times New Roman" w:hAnsi="Times New Roman" w:cs="Times New Roman"/>
        </w:rPr>
      </w:pPr>
      <w:r w:rsidRPr="004672CC">
        <w:rPr>
          <w:rFonts w:ascii="Times New Roman" w:hAnsi="Times New Roman" w:cs="Times New Roman"/>
        </w:rPr>
        <w:t>Approximately 70 interns are expected to participate, representing growth over the previous year.</w:t>
      </w:r>
    </w:p>
    <w:p w14:paraId="1488C9F1" w14:textId="77777777" w:rsidR="00174F63" w:rsidRPr="004672CC" w:rsidRDefault="00174F63" w:rsidP="00A64928">
      <w:pPr>
        <w:pStyle w:val="NoSpacing"/>
        <w:numPr>
          <w:ilvl w:val="0"/>
          <w:numId w:val="14"/>
        </w:numPr>
        <w:rPr>
          <w:rFonts w:ascii="Times New Roman" w:hAnsi="Times New Roman" w:cs="Times New Roman"/>
        </w:rPr>
      </w:pPr>
      <w:r w:rsidRPr="004672CC">
        <w:rPr>
          <w:rFonts w:ascii="Times New Roman" w:hAnsi="Times New Roman" w:cs="Times New Roman"/>
        </w:rPr>
        <w:t>The program serves both first-time job seekers and individuals pursuing career changes.</w:t>
      </w:r>
    </w:p>
    <w:p w14:paraId="5EB7DD25" w14:textId="77777777" w:rsidR="00174F63" w:rsidRPr="004672CC" w:rsidRDefault="00174F63" w:rsidP="00A64928">
      <w:pPr>
        <w:pStyle w:val="NoSpacing"/>
        <w:numPr>
          <w:ilvl w:val="0"/>
          <w:numId w:val="14"/>
        </w:numPr>
        <w:rPr>
          <w:rFonts w:ascii="Times New Roman" w:hAnsi="Times New Roman" w:cs="Times New Roman"/>
        </w:rPr>
      </w:pPr>
      <w:r w:rsidRPr="004672CC">
        <w:rPr>
          <w:rFonts w:ascii="Times New Roman" w:hAnsi="Times New Roman" w:cs="Times New Roman"/>
        </w:rPr>
        <w:t>Internships provide workplace experience, skills development, and career exploration opportunities.</w:t>
      </w:r>
    </w:p>
    <w:p w14:paraId="4EABAFEE" w14:textId="77777777" w:rsidR="00174F63" w:rsidRPr="004672CC" w:rsidRDefault="00174F63" w:rsidP="002D774C">
      <w:pPr>
        <w:pStyle w:val="Heading3"/>
      </w:pPr>
      <w:r w:rsidRPr="004672CC">
        <w:t>White Cane Awareness Day</w:t>
      </w:r>
    </w:p>
    <w:p w14:paraId="2B890EFC" w14:textId="77777777" w:rsidR="00174F63" w:rsidRPr="004672CC" w:rsidRDefault="00174F63" w:rsidP="00A64928">
      <w:pPr>
        <w:pStyle w:val="NoSpacing"/>
        <w:numPr>
          <w:ilvl w:val="0"/>
          <w:numId w:val="15"/>
        </w:numPr>
        <w:rPr>
          <w:rFonts w:ascii="Times New Roman" w:hAnsi="Times New Roman" w:cs="Times New Roman"/>
        </w:rPr>
      </w:pPr>
      <w:r w:rsidRPr="004672CC">
        <w:rPr>
          <w:rFonts w:ascii="Times New Roman" w:hAnsi="Times New Roman" w:cs="Times New Roman"/>
        </w:rPr>
        <w:t>Planning is underway for the annual White Cane Awareness Day event in October.</w:t>
      </w:r>
    </w:p>
    <w:p w14:paraId="4410A500" w14:textId="77777777" w:rsidR="00174F63" w:rsidRPr="004672CC" w:rsidRDefault="00174F63" w:rsidP="00A64928">
      <w:pPr>
        <w:pStyle w:val="NoSpacing"/>
        <w:numPr>
          <w:ilvl w:val="0"/>
          <w:numId w:val="15"/>
        </w:numPr>
        <w:rPr>
          <w:rFonts w:ascii="Times New Roman" w:hAnsi="Times New Roman" w:cs="Times New Roman"/>
        </w:rPr>
      </w:pPr>
      <w:r w:rsidRPr="004672CC">
        <w:rPr>
          <w:rFonts w:ascii="Times New Roman" w:hAnsi="Times New Roman" w:cs="Times New Roman"/>
        </w:rPr>
        <w:t>MCB is seeking State House availability to potentially hold the event on October 15, the official White Cane Safety Awareness Day.</w:t>
      </w:r>
    </w:p>
    <w:p w14:paraId="629FC215" w14:textId="77777777" w:rsidR="004D69D2" w:rsidRPr="004672CC" w:rsidRDefault="004D69D2" w:rsidP="00174F63">
      <w:pPr>
        <w:pStyle w:val="NoSpacing"/>
        <w:rPr>
          <w:rFonts w:ascii="Times New Roman" w:hAnsi="Times New Roman" w:cs="Times New Roman"/>
        </w:rPr>
      </w:pPr>
    </w:p>
    <w:p w14:paraId="4B6D9962" w14:textId="071211C5" w:rsidR="00A64928" w:rsidRPr="004672CC" w:rsidRDefault="00A96D60" w:rsidP="00417209">
      <w:pPr>
        <w:pStyle w:val="Heading2"/>
      </w:pPr>
      <w:r w:rsidRPr="004672CC">
        <w:t>Dashboard Update – Nathan Skrocki</w:t>
      </w:r>
    </w:p>
    <w:p w14:paraId="29DC52E9" w14:textId="77777777" w:rsidR="007A6992" w:rsidRPr="004672CC" w:rsidRDefault="007A6992" w:rsidP="002D774C">
      <w:pPr>
        <w:pStyle w:val="Heading3"/>
      </w:pPr>
      <w:r w:rsidRPr="004672CC">
        <w:t>Open Cases</w:t>
      </w:r>
    </w:p>
    <w:p w14:paraId="0465784F" w14:textId="77777777" w:rsidR="007A6992" w:rsidRPr="004672CC" w:rsidRDefault="007A6992" w:rsidP="009A4922">
      <w:pPr>
        <w:pStyle w:val="NoSpacing"/>
        <w:numPr>
          <w:ilvl w:val="0"/>
          <w:numId w:val="16"/>
        </w:numPr>
        <w:rPr>
          <w:rFonts w:ascii="Times New Roman" w:hAnsi="Times New Roman" w:cs="Times New Roman"/>
        </w:rPr>
      </w:pPr>
      <w:r w:rsidRPr="004672CC">
        <w:rPr>
          <w:rFonts w:ascii="Times New Roman" w:hAnsi="Times New Roman" w:cs="Times New Roman"/>
        </w:rPr>
        <w:t>917 children’s cases</w:t>
      </w:r>
    </w:p>
    <w:p w14:paraId="43C52300" w14:textId="77777777" w:rsidR="007A6992" w:rsidRPr="004672CC" w:rsidRDefault="007A6992" w:rsidP="009A4922">
      <w:pPr>
        <w:pStyle w:val="NoSpacing"/>
        <w:numPr>
          <w:ilvl w:val="0"/>
          <w:numId w:val="16"/>
        </w:numPr>
        <w:rPr>
          <w:rFonts w:ascii="Times New Roman" w:hAnsi="Times New Roman" w:cs="Times New Roman"/>
        </w:rPr>
      </w:pPr>
      <w:r w:rsidRPr="004672CC">
        <w:rPr>
          <w:rFonts w:ascii="Times New Roman" w:hAnsi="Times New Roman" w:cs="Times New Roman"/>
        </w:rPr>
        <w:t>3,303 adult SR cases</w:t>
      </w:r>
    </w:p>
    <w:p w14:paraId="7CDC8898" w14:textId="77777777" w:rsidR="007A6992" w:rsidRPr="004672CC" w:rsidRDefault="007A6992" w:rsidP="009A4922">
      <w:pPr>
        <w:pStyle w:val="NoSpacing"/>
        <w:numPr>
          <w:ilvl w:val="0"/>
          <w:numId w:val="16"/>
        </w:numPr>
        <w:rPr>
          <w:rFonts w:ascii="Times New Roman" w:hAnsi="Times New Roman" w:cs="Times New Roman"/>
        </w:rPr>
      </w:pPr>
      <w:r w:rsidRPr="004672CC">
        <w:rPr>
          <w:rFonts w:ascii="Times New Roman" w:hAnsi="Times New Roman" w:cs="Times New Roman"/>
        </w:rPr>
        <w:t xml:space="preserve">200 </w:t>
      </w:r>
      <w:proofErr w:type="gramStart"/>
      <w:r w:rsidRPr="004672CC">
        <w:rPr>
          <w:rFonts w:ascii="Times New Roman" w:hAnsi="Times New Roman" w:cs="Times New Roman"/>
        </w:rPr>
        <w:t>VR youth</w:t>
      </w:r>
      <w:proofErr w:type="gramEnd"/>
      <w:r w:rsidRPr="004672CC">
        <w:rPr>
          <w:rFonts w:ascii="Times New Roman" w:hAnsi="Times New Roman" w:cs="Times New Roman"/>
        </w:rPr>
        <w:t xml:space="preserve"> cases</w:t>
      </w:r>
    </w:p>
    <w:p w14:paraId="33712801" w14:textId="77777777" w:rsidR="007A6992" w:rsidRPr="004672CC" w:rsidRDefault="007A6992" w:rsidP="009A4922">
      <w:pPr>
        <w:pStyle w:val="NoSpacing"/>
        <w:numPr>
          <w:ilvl w:val="0"/>
          <w:numId w:val="16"/>
        </w:numPr>
        <w:rPr>
          <w:rFonts w:ascii="Times New Roman" w:hAnsi="Times New Roman" w:cs="Times New Roman"/>
        </w:rPr>
      </w:pPr>
      <w:r w:rsidRPr="004672CC">
        <w:rPr>
          <w:rFonts w:ascii="Times New Roman" w:hAnsi="Times New Roman" w:cs="Times New Roman"/>
        </w:rPr>
        <w:t>771 VR adult cases</w:t>
      </w:r>
    </w:p>
    <w:p w14:paraId="171880B6" w14:textId="77777777" w:rsidR="007A6992" w:rsidRPr="004672CC" w:rsidRDefault="007A6992" w:rsidP="009A4922">
      <w:pPr>
        <w:pStyle w:val="NoSpacing"/>
        <w:numPr>
          <w:ilvl w:val="0"/>
          <w:numId w:val="16"/>
        </w:numPr>
        <w:rPr>
          <w:rFonts w:ascii="Times New Roman" w:hAnsi="Times New Roman" w:cs="Times New Roman"/>
        </w:rPr>
      </w:pPr>
      <w:r w:rsidRPr="004672CC">
        <w:rPr>
          <w:rFonts w:ascii="Times New Roman" w:hAnsi="Times New Roman" w:cs="Times New Roman"/>
        </w:rPr>
        <w:t>Overall case numbers remain stable compared to previous months.</w:t>
      </w:r>
    </w:p>
    <w:p w14:paraId="220E917F" w14:textId="77777777" w:rsidR="007A6992" w:rsidRPr="004672CC" w:rsidRDefault="007A6992" w:rsidP="002D774C">
      <w:pPr>
        <w:pStyle w:val="Heading3"/>
      </w:pPr>
      <w:r w:rsidRPr="004672CC">
        <w:t>Closed Cases</w:t>
      </w:r>
    </w:p>
    <w:p w14:paraId="23F084A3" w14:textId="64687F5F" w:rsidR="007A6992" w:rsidRPr="004672CC" w:rsidRDefault="007A6992" w:rsidP="00506A68">
      <w:pPr>
        <w:pStyle w:val="NoSpacing"/>
        <w:numPr>
          <w:ilvl w:val="0"/>
          <w:numId w:val="17"/>
        </w:numPr>
        <w:rPr>
          <w:rFonts w:ascii="Times New Roman" w:hAnsi="Times New Roman" w:cs="Times New Roman"/>
        </w:rPr>
      </w:pPr>
      <w:r w:rsidRPr="004672CC">
        <w:rPr>
          <w:rFonts w:ascii="Times New Roman" w:hAnsi="Times New Roman" w:cs="Times New Roman"/>
        </w:rPr>
        <w:t>26 children’s cases c</w:t>
      </w:r>
    </w:p>
    <w:p w14:paraId="5D1D3056" w14:textId="77777777" w:rsidR="007A6992" w:rsidRPr="004672CC" w:rsidRDefault="007A6992" w:rsidP="00506A68">
      <w:pPr>
        <w:pStyle w:val="NoSpacing"/>
        <w:numPr>
          <w:ilvl w:val="0"/>
          <w:numId w:val="17"/>
        </w:numPr>
        <w:rPr>
          <w:rFonts w:ascii="Times New Roman" w:hAnsi="Times New Roman" w:cs="Times New Roman"/>
        </w:rPr>
      </w:pPr>
      <w:r w:rsidRPr="004672CC">
        <w:rPr>
          <w:rFonts w:ascii="Times New Roman" w:hAnsi="Times New Roman" w:cs="Times New Roman"/>
        </w:rPr>
        <w:t xml:space="preserve">802 </w:t>
      </w:r>
      <w:proofErr w:type="gramStart"/>
      <w:r w:rsidRPr="004672CC">
        <w:rPr>
          <w:rFonts w:ascii="Times New Roman" w:hAnsi="Times New Roman" w:cs="Times New Roman"/>
        </w:rPr>
        <w:t>SR adult</w:t>
      </w:r>
      <w:proofErr w:type="gramEnd"/>
      <w:r w:rsidRPr="004672CC">
        <w:rPr>
          <w:rFonts w:ascii="Times New Roman" w:hAnsi="Times New Roman" w:cs="Times New Roman"/>
        </w:rPr>
        <w:t xml:space="preserve"> cases </w:t>
      </w:r>
      <w:proofErr w:type="gramStart"/>
      <w:r w:rsidRPr="004672CC">
        <w:rPr>
          <w:rFonts w:ascii="Times New Roman" w:hAnsi="Times New Roman" w:cs="Times New Roman"/>
        </w:rPr>
        <w:t>closed</w:t>
      </w:r>
      <w:proofErr w:type="gramEnd"/>
      <w:r w:rsidRPr="004672CC">
        <w:rPr>
          <w:rFonts w:ascii="Times New Roman" w:hAnsi="Times New Roman" w:cs="Times New Roman"/>
        </w:rPr>
        <w:t xml:space="preserve"> since January 1</w:t>
      </w:r>
    </w:p>
    <w:p w14:paraId="43D44C40" w14:textId="77777777" w:rsidR="007A6992" w:rsidRPr="004672CC" w:rsidRDefault="007A6992" w:rsidP="00506A68">
      <w:pPr>
        <w:pStyle w:val="NoSpacing"/>
        <w:numPr>
          <w:ilvl w:val="0"/>
          <w:numId w:val="17"/>
        </w:numPr>
        <w:rPr>
          <w:rFonts w:ascii="Times New Roman" w:hAnsi="Times New Roman" w:cs="Times New Roman"/>
        </w:rPr>
      </w:pPr>
      <w:r w:rsidRPr="004672CC">
        <w:rPr>
          <w:rFonts w:ascii="Times New Roman" w:hAnsi="Times New Roman" w:cs="Times New Roman"/>
        </w:rPr>
        <w:t>125 successful VR closures since July 1 of the previous year</w:t>
      </w:r>
    </w:p>
    <w:p w14:paraId="427E1A80" w14:textId="77777777" w:rsidR="007A6992" w:rsidRPr="004672CC" w:rsidRDefault="007A6992" w:rsidP="00506A68">
      <w:pPr>
        <w:pStyle w:val="NoSpacing"/>
        <w:numPr>
          <w:ilvl w:val="0"/>
          <w:numId w:val="17"/>
        </w:numPr>
        <w:rPr>
          <w:rFonts w:ascii="Times New Roman" w:hAnsi="Times New Roman" w:cs="Times New Roman"/>
        </w:rPr>
      </w:pPr>
      <w:r w:rsidRPr="004672CC">
        <w:rPr>
          <w:rFonts w:ascii="Times New Roman" w:hAnsi="Times New Roman" w:cs="Times New Roman"/>
        </w:rPr>
        <w:t>71 unsuccessful VR closures</w:t>
      </w:r>
    </w:p>
    <w:p w14:paraId="7ACB85E0" w14:textId="77777777" w:rsidR="007A6992" w:rsidRPr="004672CC" w:rsidRDefault="007A6992" w:rsidP="002D774C">
      <w:pPr>
        <w:pStyle w:val="Heading3"/>
      </w:pPr>
      <w:r w:rsidRPr="004672CC">
        <w:t>Registrations and Certifications</w:t>
      </w:r>
    </w:p>
    <w:p w14:paraId="6CDBD95C" w14:textId="77777777" w:rsidR="007A6992" w:rsidRPr="004672CC" w:rsidRDefault="007A6992" w:rsidP="004A1E26">
      <w:pPr>
        <w:pStyle w:val="NoSpacing"/>
        <w:numPr>
          <w:ilvl w:val="0"/>
          <w:numId w:val="18"/>
        </w:numPr>
        <w:rPr>
          <w:rFonts w:ascii="Times New Roman" w:hAnsi="Times New Roman" w:cs="Times New Roman"/>
        </w:rPr>
      </w:pPr>
      <w:r w:rsidRPr="004672CC">
        <w:rPr>
          <w:rFonts w:ascii="Times New Roman" w:hAnsi="Times New Roman" w:cs="Times New Roman"/>
        </w:rPr>
        <w:t>560 new registrants year-to-date</w:t>
      </w:r>
    </w:p>
    <w:p w14:paraId="492E8958" w14:textId="77777777" w:rsidR="007A6992" w:rsidRPr="004672CC" w:rsidRDefault="007A6992" w:rsidP="004A1E26">
      <w:pPr>
        <w:pStyle w:val="NoSpacing"/>
        <w:numPr>
          <w:ilvl w:val="0"/>
          <w:numId w:val="18"/>
        </w:numPr>
        <w:rPr>
          <w:rFonts w:ascii="Times New Roman" w:hAnsi="Times New Roman" w:cs="Times New Roman"/>
        </w:rPr>
      </w:pPr>
      <w:r w:rsidRPr="004672CC">
        <w:rPr>
          <w:rFonts w:ascii="Times New Roman" w:hAnsi="Times New Roman" w:cs="Times New Roman"/>
        </w:rPr>
        <w:t>389 MCB ID cards issued during the first four months of the year</w:t>
      </w:r>
    </w:p>
    <w:p w14:paraId="1957D69A" w14:textId="77777777" w:rsidR="007A6992" w:rsidRPr="004672CC" w:rsidRDefault="007A6992" w:rsidP="004A1E26">
      <w:pPr>
        <w:pStyle w:val="NoSpacing"/>
        <w:numPr>
          <w:ilvl w:val="0"/>
          <w:numId w:val="18"/>
        </w:numPr>
        <w:rPr>
          <w:rFonts w:ascii="Times New Roman" w:hAnsi="Times New Roman" w:cs="Times New Roman"/>
        </w:rPr>
      </w:pPr>
      <w:r w:rsidRPr="004672CC">
        <w:rPr>
          <w:rFonts w:ascii="Times New Roman" w:hAnsi="Times New Roman" w:cs="Times New Roman"/>
        </w:rPr>
        <w:t>2,529 Certificates of Blindness issued during the first four months of the year</w:t>
      </w:r>
    </w:p>
    <w:p w14:paraId="59D09F6B" w14:textId="77777777" w:rsidR="007A6992" w:rsidRPr="004672CC" w:rsidRDefault="007A6992" w:rsidP="002D774C">
      <w:pPr>
        <w:pStyle w:val="Heading3"/>
      </w:pPr>
      <w:r w:rsidRPr="004672CC">
        <w:t>Regional and VR Trends</w:t>
      </w:r>
    </w:p>
    <w:p w14:paraId="3380C508" w14:textId="77777777" w:rsidR="007A6992" w:rsidRPr="004672CC" w:rsidRDefault="007A6992" w:rsidP="004A1E26">
      <w:pPr>
        <w:pStyle w:val="NoSpacing"/>
        <w:numPr>
          <w:ilvl w:val="0"/>
          <w:numId w:val="19"/>
        </w:numPr>
        <w:rPr>
          <w:rFonts w:ascii="Times New Roman" w:hAnsi="Times New Roman" w:cs="Times New Roman"/>
        </w:rPr>
      </w:pPr>
      <w:r w:rsidRPr="004672CC">
        <w:rPr>
          <w:rFonts w:ascii="Times New Roman" w:hAnsi="Times New Roman" w:cs="Times New Roman"/>
        </w:rPr>
        <w:t>New registrations remain evenly distributed across MCB’s six regional offices.</w:t>
      </w:r>
    </w:p>
    <w:p w14:paraId="6E1392BA" w14:textId="77777777" w:rsidR="007A6992" w:rsidRPr="004672CC" w:rsidRDefault="007A6992" w:rsidP="004A1E26">
      <w:pPr>
        <w:pStyle w:val="NoSpacing"/>
        <w:numPr>
          <w:ilvl w:val="0"/>
          <w:numId w:val="19"/>
        </w:numPr>
        <w:rPr>
          <w:rFonts w:ascii="Times New Roman" w:hAnsi="Times New Roman" w:cs="Times New Roman"/>
        </w:rPr>
      </w:pPr>
      <w:r w:rsidRPr="004672CC">
        <w:rPr>
          <w:rFonts w:ascii="Times New Roman" w:hAnsi="Times New Roman" w:cs="Times New Roman"/>
        </w:rPr>
        <w:t xml:space="preserve">Unsuccessful VR closures are </w:t>
      </w:r>
      <w:proofErr w:type="gramStart"/>
      <w:r w:rsidRPr="004672CC">
        <w:rPr>
          <w:rFonts w:ascii="Times New Roman" w:hAnsi="Times New Roman" w:cs="Times New Roman"/>
        </w:rPr>
        <w:t>most commonly related</w:t>
      </w:r>
      <w:proofErr w:type="gramEnd"/>
      <w:r w:rsidRPr="004672CC">
        <w:rPr>
          <w:rFonts w:ascii="Times New Roman" w:hAnsi="Times New Roman" w:cs="Times New Roman"/>
        </w:rPr>
        <w:t xml:space="preserve"> to medical or personal circumstances that temporarily prevent consumers from pursuing employment goals.</w:t>
      </w:r>
    </w:p>
    <w:p w14:paraId="7FF0ED11" w14:textId="77777777" w:rsidR="007A6992" w:rsidRPr="004672CC" w:rsidRDefault="007A6992" w:rsidP="004A1E26">
      <w:pPr>
        <w:pStyle w:val="NoSpacing"/>
        <w:numPr>
          <w:ilvl w:val="0"/>
          <w:numId w:val="19"/>
        </w:numPr>
        <w:rPr>
          <w:rFonts w:ascii="Times New Roman" w:hAnsi="Times New Roman" w:cs="Times New Roman"/>
        </w:rPr>
      </w:pPr>
      <w:r w:rsidRPr="004672CC">
        <w:rPr>
          <w:rFonts w:ascii="Times New Roman" w:hAnsi="Times New Roman" w:cs="Times New Roman"/>
        </w:rPr>
        <w:t>MCB continues monitoring employment trends and vocational placement outcomes across different industries and regions.</w:t>
      </w:r>
    </w:p>
    <w:p w14:paraId="58C39CFC" w14:textId="77777777" w:rsidR="007A6992" w:rsidRPr="004672CC" w:rsidRDefault="007A6992" w:rsidP="004A1E26">
      <w:pPr>
        <w:pStyle w:val="NoSpacing"/>
        <w:numPr>
          <w:ilvl w:val="0"/>
          <w:numId w:val="19"/>
        </w:numPr>
        <w:rPr>
          <w:rFonts w:ascii="Times New Roman" w:hAnsi="Times New Roman" w:cs="Times New Roman"/>
        </w:rPr>
      </w:pPr>
      <w:r w:rsidRPr="004672CC">
        <w:rPr>
          <w:rFonts w:ascii="Times New Roman" w:hAnsi="Times New Roman" w:cs="Times New Roman"/>
        </w:rPr>
        <w:t>Discussion included the importance of aligning training opportunities with evolving employer demands and technology trends.</w:t>
      </w:r>
    </w:p>
    <w:p w14:paraId="636A5A78" w14:textId="77777777" w:rsidR="007A6992" w:rsidRPr="004672CC" w:rsidRDefault="007A6992" w:rsidP="004A1E26">
      <w:pPr>
        <w:pStyle w:val="NoSpacing"/>
        <w:numPr>
          <w:ilvl w:val="0"/>
          <w:numId w:val="19"/>
        </w:numPr>
        <w:rPr>
          <w:rFonts w:ascii="Times New Roman" w:hAnsi="Times New Roman" w:cs="Times New Roman"/>
        </w:rPr>
      </w:pPr>
      <w:r w:rsidRPr="004672CC">
        <w:rPr>
          <w:rFonts w:ascii="Times New Roman" w:hAnsi="Times New Roman" w:cs="Times New Roman"/>
        </w:rPr>
        <w:lastRenderedPageBreak/>
        <w:t>Staff noted participation in local employment collaboratives to stay informed on workforce trends and hiring opportunities.</w:t>
      </w:r>
    </w:p>
    <w:p w14:paraId="142412E7" w14:textId="77777777" w:rsidR="0045493B" w:rsidRPr="004672CC" w:rsidRDefault="0045493B" w:rsidP="0045493B">
      <w:pPr>
        <w:pStyle w:val="NoSpacing"/>
        <w:ind w:left="360"/>
        <w:rPr>
          <w:rFonts w:ascii="Times New Roman" w:hAnsi="Times New Roman" w:cs="Times New Roman"/>
        </w:rPr>
      </w:pPr>
    </w:p>
    <w:p w14:paraId="4BBC7271" w14:textId="62E87E34" w:rsidR="00A96D60" w:rsidRPr="004672CC" w:rsidRDefault="0045493B" w:rsidP="00417209">
      <w:pPr>
        <w:pStyle w:val="Heading2"/>
      </w:pPr>
      <w:r w:rsidRPr="004672CC">
        <w:t>Public Comments &amp; Questions</w:t>
      </w:r>
    </w:p>
    <w:p w14:paraId="6A56E307" w14:textId="77777777" w:rsidR="004170E0" w:rsidRPr="004672CC" w:rsidRDefault="004170E0" w:rsidP="002D774C">
      <w:pPr>
        <w:pStyle w:val="Heading3"/>
      </w:pPr>
      <w:r w:rsidRPr="004672CC">
        <w:t>Visions of Collaboration Conference Discussion</w:t>
      </w:r>
    </w:p>
    <w:p w14:paraId="22506759" w14:textId="77777777" w:rsidR="004170E0" w:rsidRPr="004672CC" w:rsidRDefault="004170E0" w:rsidP="00BF39A9">
      <w:pPr>
        <w:pStyle w:val="NoSpacing"/>
        <w:numPr>
          <w:ilvl w:val="0"/>
          <w:numId w:val="20"/>
        </w:numPr>
        <w:rPr>
          <w:rFonts w:ascii="Times New Roman" w:hAnsi="Times New Roman" w:cs="Times New Roman"/>
        </w:rPr>
      </w:pPr>
      <w:r w:rsidRPr="004672CC">
        <w:rPr>
          <w:rFonts w:ascii="Times New Roman" w:hAnsi="Times New Roman" w:cs="Times New Roman"/>
        </w:rPr>
        <w:t>Audience questions focused on conference outcomes, participant eligibility, and evaluation methods for the Visions of Collaboration conference.</w:t>
      </w:r>
    </w:p>
    <w:p w14:paraId="01999914" w14:textId="77777777" w:rsidR="004170E0" w:rsidRPr="004672CC" w:rsidRDefault="004170E0" w:rsidP="00BF39A9">
      <w:pPr>
        <w:pStyle w:val="NoSpacing"/>
        <w:numPr>
          <w:ilvl w:val="0"/>
          <w:numId w:val="20"/>
        </w:numPr>
        <w:rPr>
          <w:rFonts w:ascii="Times New Roman" w:hAnsi="Times New Roman" w:cs="Times New Roman"/>
        </w:rPr>
      </w:pPr>
      <w:r w:rsidRPr="004672CC">
        <w:rPr>
          <w:rFonts w:ascii="Times New Roman" w:hAnsi="Times New Roman" w:cs="Times New Roman"/>
        </w:rPr>
        <w:t>MCB staff explained that attendees must work with transition-age students who are blind or visually impaired in school-based settings.</w:t>
      </w:r>
    </w:p>
    <w:p w14:paraId="7C923C46" w14:textId="77777777" w:rsidR="004170E0" w:rsidRPr="004672CC" w:rsidRDefault="004170E0" w:rsidP="00BF39A9">
      <w:pPr>
        <w:pStyle w:val="NoSpacing"/>
        <w:numPr>
          <w:ilvl w:val="0"/>
          <w:numId w:val="20"/>
        </w:numPr>
        <w:rPr>
          <w:rFonts w:ascii="Times New Roman" w:hAnsi="Times New Roman" w:cs="Times New Roman"/>
        </w:rPr>
      </w:pPr>
      <w:r w:rsidRPr="004672CC">
        <w:rPr>
          <w:rFonts w:ascii="Times New Roman" w:hAnsi="Times New Roman" w:cs="Times New Roman"/>
        </w:rPr>
        <w:t>Conference evaluations measure session quality, organization, applicability of content, and participant satisfaction.</w:t>
      </w:r>
    </w:p>
    <w:p w14:paraId="111F497D" w14:textId="77777777" w:rsidR="004170E0" w:rsidRPr="004672CC" w:rsidRDefault="004170E0" w:rsidP="00BF39A9">
      <w:pPr>
        <w:pStyle w:val="NoSpacing"/>
        <w:numPr>
          <w:ilvl w:val="0"/>
          <w:numId w:val="20"/>
        </w:numPr>
        <w:rPr>
          <w:rFonts w:ascii="Times New Roman" w:hAnsi="Times New Roman" w:cs="Times New Roman"/>
        </w:rPr>
      </w:pPr>
      <w:r w:rsidRPr="004672CC">
        <w:rPr>
          <w:rFonts w:ascii="Times New Roman" w:hAnsi="Times New Roman" w:cs="Times New Roman"/>
        </w:rPr>
        <w:t>The conference is provided at no cost to attendees.</w:t>
      </w:r>
    </w:p>
    <w:p w14:paraId="7852E965" w14:textId="77777777" w:rsidR="004170E0" w:rsidRPr="004672CC" w:rsidRDefault="004170E0" w:rsidP="002D774C">
      <w:pPr>
        <w:pStyle w:val="Heading3"/>
      </w:pPr>
      <w:r w:rsidRPr="004672CC">
        <w:t>Employment Trends and Longitudinal Tracking</w:t>
      </w:r>
    </w:p>
    <w:p w14:paraId="1FD0AF3F" w14:textId="77777777" w:rsidR="004170E0" w:rsidRPr="004672CC" w:rsidRDefault="004170E0" w:rsidP="007C7E90">
      <w:pPr>
        <w:pStyle w:val="NoSpacing"/>
        <w:numPr>
          <w:ilvl w:val="0"/>
          <w:numId w:val="21"/>
        </w:numPr>
        <w:rPr>
          <w:rFonts w:ascii="Times New Roman" w:hAnsi="Times New Roman" w:cs="Times New Roman"/>
        </w:rPr>
      </w:pPr>
      <w:r w:rsidRPr="004672CC">
        <w:rPr>
          <w:rFonts w:ascii="Times New Roman" w:hAnsi="Times New Roman" w:cs="Times New Roman"/>
        </w:rPr>
        <w:t>Public comments raised questions regarding how changes in the broader economy and technology may affect employment outcomes for MCB consumers.</w:t>
      </w:r>
    </w:p>
    <w:p w14:paraId="23DFB890" w14:textId="77777777" w:rsidR="004170E0" w:rsidRPr="004672CC" w:rsidRDefault="004170E0" w:rsidP="007C7E90">
      <w:pPr>
        <w:pStyle w:val="NoSpacing"/>
        <w:numPr>
          <w:ilvl w:val="0"/>
          <w:numId w:val="21"/>
        </w:numPr>
        <w:rPr>
          <w:rFonts w:ascii="Times New Roman" w:hAnsi="Times New Roman" w:cs="Times New Roman"/>
        </w:rPr>
      </w:pPr>
      <w:r w:rsidRPr="004672CC">
        <w:rPr>
          <w:rFonts w:ascii="Times New Roman" w:hAnsi="Times New Roman" w:cs="Times New Roman"/>
        </w:rPr>
        <w:t>MCB staff discussed the importance of monitoring successful VR closures, industry trends, and workforce changes over time.</w:t>
      </w:r>
    </w:p>
    <w:p w14:paraId="58B83A63" w14:textId="77777777" w:rsidR="004170E0" w:rsidRPr="004672CC" w:rsidRDefault="004170E0" w:rsidP="007C7E90">
      <w:pPr>
        <w:pStyle w:val="NoSpacing"/>
        <w:numPr>
          <w:ilvl w:val="0"/>
          <w:numId w:val="21"/>
        </w:numPr>
        <w:rPr>
          <w:rFonts w:ascii="Times New Roman" w:hAnsi="Times New Roman" w:cs="Times New Roman"/>
        </w:rPr>
      </w:pPr>
      <w:r w:rsidRPr="004672CC">
        <w:rPr>
          <w:rFonts w:ascii="Times New Roman" w:hAnsi="Times New Roman" w:cs="Times New Roman"/>
        </w:rPr>
        <w:t>Staff indicated they may provide additional employment trend analysis during a future meeting.</w:t>
      </w:r>
    </w:p>
    <w:p w14:paraId="2EA4CC25" w14:textId="77777777" w:rsidR="004170E0" w:rsidRPr="004672CC" w:rsidRDefault="004170E0" w:rsidP="007C7E90">
      <w:pPr>
        <w:pStyle w:val="NoSpacing"/>
        <w:numPr>
          <w:ilvl w:val="0"/>
          <w:numId w:val="21"/>
        </w:numPr>
        <w:rPr>
          <w:rFonts w:ascii="Times New Roman" w:hAnsi="Times New Roman" w:cs="Times New Roman"/>
        </w:rPr>
      </w:pPr>
      <w:r w:rsidRPr="004672CC">
        <w:rPr>
          <w:rFonts w:ascii="Times New Roman" w:hAnsi="Times New Roman" w:cs="Times New Roman"/>
        </w:rPr>
        <w:t>Accessible Medication Labeling Legislation</w:t>
      </w:r>
    </w:p>
    <w:p w14:paraId="03387BAA" w14:textId="77777777" w:rsidR="004170E0" w:rsidRPr="004672CC" w:rsidRDefault="004170E0" w:rsidP="007C7E90">
      <w:pPr>
        <w:pStyle w:val="NoSpacing"/>
        <w:numPr>
          <w:ilvl w:val="0"/>
          <w:numId w:val="21"/>
        </w:numPr>
        <w:rPr>
          <w:rFonts w:ascii="Times New Roman" w:hAnsi="Times New Roman" w:cs="Times New Roman"/>
        </w:rPr>
      </w:pPr>
      <w:r w:rsidRPr="004672CC">
        <w:rPr>
          <w:rFonts w:ascii="Times New Roman" w:hAnsi="Times New Roman" w:cs="Times New Roman"/>
        </w:rPr>
        <w:t>A public comment highlighted proposed legislation supporting accessible medication labels for individuals who are blind, visually impaired, or unable to read English-language labels.</w:t>
      </w:r>
    </w:p>
    <w:p w14:paraId="28ECE287" w14:textId="77777777" w:rsidR="004170E0" w:rsidRPr="004672CC" w:rsidRDefault="004170E0" w:rsidP="007C7E90">
      <w:pPr>
        <w:pStyle w:val="NoSpacing"/>
        <w:numPr>
          <w:ilvl w:val="0"/>
          <w:numId w:val="21"/>
        </w:numPr>
        <w:rPr>
          <w:rFonts w:ascii="Times New Roman" w:hAnsi="Times New Roman" w:cs="Times New Roman"/>
        </w:rPr>
      </w:pPr>
      <w:r w:rsidRPr="004672CC">
        <w:rPr>
          <w:rFonts w:ascii="Times New Roman" w:hAnsi="Times New Roman" w:cs="Times New Roman"/>
        </w:rPr>
        <w:t>The legislation and related advocacy efforts were discussed at recent professional and community events.</w:t>
      </w:r>
    </w:p>
    <w:p w14:paraId="4EFA67DD" w14:textId="77777777" w:rsidR="004672CC" w:rsidRDefault="004672CC" w:rsidP="004170E0">
      <w:pPr>
        <w:pStyle w:val="NoSpacing"/>
        <w:rPr>
          <w:rFonts w:ascii="Times New Roman" w:hAnsi="Times New Roman" w:cs="Times New Roman"/>
        </w:rPr>
      </w:pPr>
    </w:p>
    <w:p w14:paraId="024499CE" w14:textId="286BE9F0" w:rsidR="004170E0" w:rsidRPr="004672CC" w:rsidRDefault="004170E0" w:rsidP="004170E0">
      <w:pPr>
        <w:pStyle w:val="NoSpacing"/>
        <w:rPr>
          <w:rFonts w:ascii="Times New Roman" w:hAnsi="Times New Roman" w:cs="Times New Roman"/>
        </w:rPr>
      </w:pPr>
      <w:r w:rsidRPr="004672CC">
        <w:rPr>
          <w:rFonts w:ascii="Times New Roman" w:hAnsi="Times New Roman" w:cs="Times New Roman"/>
        </w:rPr>
        <w:t>Meeting adjourned.</w:t>
      </w:r>
    </w:p>
    <w:p w14:paraId="4E686ED2" w14:textId="77777777" w:rsidR="00A96D60" w:rsidRPr="004672CC" w:rsidRDefault="00A96D60" w:rsidP="004170E0">
      <w:pPr>
        <w:pStyle w:val="NoSpacing"/>
        <w:rPr>
          <w:rFonts w:ascii="Times New Roman" w:hAnsi="Times New Roman" w:cs="Times New Roman"/>
        </w:rPr>
      </w:pPr>
    </w:p>
    <w:p w14:paraId="0703101F" w14:textId="77777777" w:rsidR="00CF43C8" w:rsidRPr="004672CC" w:rsidRDefault="00CF43C8" w:rsidP="004170E0">
      <w:pPr>
        <w:pStyle w:val="NoSpacing"/>
        <w:rPr>
          <w:rFonts w:ascii="Times New Roman" w:hAnsi="Times New Roman" w:cs="Times New Roman"/>
        </w:rPr>
      </w:pPr>
    </w:p>
    <w:sectPr w:rsidR="00CF43C8" w:rsidRPr="00467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119F"/>
    <w:multiLevelType w:val="hybridMultilevel"/>
    <w:tmpl w:val="26F26638"/>
    <w:lvl w:ilvl="0" w:tplc="3CCCD2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778F0"/>
    <w:multiLevelType w:val="hybridMultilevel"/>
    <w:tmpl w:val="A2D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C2B02"/>
    <w:multiLevelType w:val="hybridMultilevel"/>
    <w:tmpl w:val="630C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20008"/>
    <w:multiLevelType w:val="hybridMultilevel"/>
    <w:tmpl w:val="A2A8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3625B"/>
    <w:multiLevelType w:val="hybridMultilevel"/>
    <w:tmpl w:val="F6DCD864"/>
    <w:lvl w:ilvl="0" w:tplc="3CCCD2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23E3E"/>
    <w:multiLevelType w:val="hybridMultilevel"/>
    <w:tmpl w:val="052229A4"/>
    <w:lvl w:ilvl="0" w:tplc="3CCCD2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C56D8A"/>
    <w:multiLevelType w:val="hybridMultilevel"/>
    <w:tmpl w:val="1354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A38FC"/>
    <w:multiLevelType w:val="hybridMultilevel"/>
    <w:tmpl w:val="D19A9636"/>
    <w:lvl w:ilvl="0" w:tplc="3CCCD2B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D9523E"/>
    <w:multiLevelType w:val="hybridMultilevel"/>
    <w:tmpl w:val="27DA63BC"/>
    <w:lvl w:ilvl="0" w:tplc="3CCCD2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146A1B"/>
    <w:multiLevelType w:val="hybridMultilevel"/>
    <w:tmpl w:val="CE90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23E82"/>
    <w:multiLevelType w:val="hybridMultilevel"/>
    <w:tmpl w:val="9C04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30707"/>
    <w:multiLevelType w:val="hybridMultilevel"/>
    <w:tmpl w:val="F51A8FF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104FB4"/>
    <w:multiLevelType w:val="hybridMultilevel"/>
    <w:tmpl w:val="D6A29F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5B3D0F1E"/>
    <w:multiLevelType w:val="hybridMultilevel"/>
    <w:tmpl w:val="3F284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3347B4"/>
    <w:multiLevelType w:val="hybridMultilevel"/>
    <w:tmpl w:val="384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D80658"/>
    <w:multiLevelType w:val="hybridMultilevel"/>
    <w:tmpl w:val="112C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EF3A09"/>
    <w:multiLevelType w:val="hybridMultilevel"/>
    <w:tmpl w:val="E3420848"/>
    <w:lvl w:ilvl="0" w:tplc="7CC8A0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BB4F7E"/>
    <w:multiLevelType w:val="hybridMultilevel"/>
    <w:tmpl w:val="6C160160"/>
    <w:lvl w:ilvl="0" w:tplc="7CC8A0F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3E4A86"/>
    <w:multiLevelType w:val="hybridMultilevel"/>
    <w:tmpl w:val="D508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8A0476"/>
    <w:multiLevelType w:val="hybridMultilevel"/>
    <w:tmpl w:val="7E809520"/>
    <w:lvl w:ilvl="0" w:tplc="3CCCD2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5852D7"/>
    <w:multiLevelType w:val="hybridMultilevel"/>
    <w:tmpl w:val="ACFE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349154">
    <w:abstractNumId w:val="2"/>
  </w:num>
  <w:num w:numId="2" w16cid:durableId="548807496">
    <w:abstractNumId w:val="16"/>
  </w:num>
  <w:num w:numId="3" w16cid:durableId="849879034">
    <w:abstractNumId w:val="17"/>
  </w:num>
  <w:num w:numId="4" w16cid:durableId="449473518">
    <w:abstractNumId w:val="11"/>
  </w:num>
  <w:num w:numId="5" w16cid:durableId="1073427738">
    <w:abstractNumId w:val="12"/>
  </w:num>
  <w:num w:numId="6" w16cid:durableId="1317104602">
    <w:abstractNumId w:val="13"/>
  </w:num>
  <w:num w:numId="7" w16cid:durableId="1055664564">
    <w:abstractNumId w:val="19"/>
  </w:num>
  <w:num w:numId="8" w16cid:durableId="1310096003">
    <w:abstractNumId w:val="7"/>
  </w:num>
  <w:num w:numId="9" w16cid:durableId="275137123">
    <w:abstractNumId w:val="0"/>
  </w:num>
  <w:num w:numId="10" w16cid:durableId="1335259514">
    <w:abstractNumId w:val="4"/>
  </w:num>
  <w:num w:numId="11" w16cid:durableId="1492216370">
    <w:abstractNumId w:val="8"/>
  </w:num>
  <w:num w:numId="12" w16cid:durableId="704528639">
    <w:abstractNumId w:val="5"/>
  </w:num>
  <w:num w:numId="13" w16cid:durableId="1010451669">
    <w:abstractNumId w:val="14"/>
  </w:num>
  <w:num w:numId="14" w16cid:durableId="1815636814">
    <w:abstractNumId w:val="18"/>
  </w:num>
  <w:num w:numId="15" w16cid:durableId="1463383394">
    <w:abstractNumId w:val="20"/>
  </w:num>
  <w:num w:numId="16" w16cid:durableId="431365112">
    <w:abstractNumId w:val="6"/>
  </w:num>
  <w:num w:numId="17" w16cid:durableId="672339001">
    <w:abstractNumId w:val="1"/>
  </w:num>
  <w:num w:numId="18" w16cid:durableId="1855262191">
    <w:abstractNumId w:val="10"/>
  </w:num>
  <w:num w:numId="19" w16cid:durableId="499661880">
    <w:abstractNumId w:val="15"/>
  </w:num>
  <w:num w:numId="20" w16cid:durableId="2005474946">
    <w:abstractNumId w:val="3"/>
  </w:num>
  <w:num w:numId="21" w16cid:durableId="7934067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87"/>
    <w:rsid w:val="00174F63"/>
    <w:rsid w:val="00176FC4"/>
    <w:rsid w:val="002B7247"/>
    <w:rsid w:val="002D774C"/>
    <w:rsid w:val="002E20A1"/>
    <w:rsid w:val="003A3887"/>
    <w:rsid w:val="004068A2"/>
    <w:rsid w:val="004170E0"/>
    <w:rsid w:val="00417209"/>
    <w:rsid w:val="00432512"/>
    <w:rsid w:val="0045493B"/>
    <w:rsid w:val="004672CC"/>
    <w:rsid w:val="004A1E26"/>
    <w:rsid w:val="004D69D2"/>
    <w:rsid w:val="00506A68"/>
    <w:rsid w:val="006A0E5A"/>
    <w:rsid w:val="007353A8"/>
    <w:rsid w:val="0075548E"/>
    <w:rsid w:val="00763013"/>
    <w:rsid w:val="007A6992"/>
    <w:rsid w:val="007C7E90"/>
    <w:rsid w:val="008C5597"/>
    <w:rsid w:val="009A4922"/>
    <w:rsid w:val="00A64928"/>
    <w:rsid w:val="00A96D60"/>
    <w:rsid w:val="00BF39A9"/>
    <w:rsid w:val="00C652F6"/>
    <w:rsid w:val="00CF43C8"/>
    <w:rsid w:val="00DA7D83"/>
    <w:rsid w:val="00F63BD7"/>
    <w:rsid w:val="00FE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7F40"/>
  <w15:chartTrackingRefBased/>
  <w15:docId w15:val="{43FF861D-E003-44F3-B212-9FD0D869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887"/>
  </w:style>
  <w:style w:type="paragraph" w:styleId="Heading1">
    <w:name w:val="heading 1"/>
    <w:basedOn w:val="Normal"/>
    <w:next w:val="Normal"/>
    <w:link w:val="Heading1Char"/>
    <w:uiPriority w:val="9"/>
    <w:qFormat/>
    <w:rsid w:val="003A38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A38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A38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38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38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38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8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8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8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8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A38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A38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38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38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3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887"/>
    <w:rPr>
      <w:rFonts w:eastAsiaTheme="majorEastAsia" w:cstheme="majorBidi"/>
      <w:color w:val="272727" w:themeColor="text1" w:themeTint="D8"/>
    </w:rPr>
  </w:style>
  <w:style w:type="paragraph" w:styleId="Title">
    <w:name w:val="Title"/>
    <w:basedOn w:val="Normal"/>
    <w:next w:val="Normal"/>
    <w:link w:val="TitleChar"/>
    <w:uiPriority w:val="10"/>
    <w:qFormat/>
    <w:rsid w:val="003A3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887"/>
    <w:pPr>
      <w:spacing w:before="160"/>
      <w:jc w:val="center"/>
    </w:pPr>
    <w:rPr>
      <w:i/>
      <w:iCs/>
      <w:color w:val="404040" w:themeColor="text1" w:themeTint="BF"/>
    </w:rPr>
  </w:style>
  <w:style w:type="character" w:customStyle="1" w:styleId="QuoteChar">
    <w:name w:val="Quote Char"/>
    <w:basedOn w:val="DefaultParagraphFont"/>
    <w:link w:val="Quote"/>
    <w:uiPriority w:val="29"/>
    <w:rsid w:val="003A3887"/>
    <w:rPr>
      <w:i/>
      <w:iCs/>
      <w:color w:val="404040" w:themeColor="text1" w:themeTint="BF"/>
    </w:rPr>
  </w:style>
  <w:style w:type="paragraph" w:styleId="ListParagraph">
    <w:name w:val="List Paragraph"/>
    <w:basedOn w:val="Normal"/>
    <w:uiPriority w:val="34"/>
    <w:qFormat/>
    <w:rsid w:val="003A3887"/>
    <w:pPr>
      <w:ind w:left="720"/>
      <w:contextualSpacing/>
    </w:pPr>
  </w:style>
  <w:style w:type="character" w:styleId="IntenseEmphasis">
    <w:name w:val="Intense Emphasis"/>
    <w:basedOn w:val="DefaultParagraphFont"/>
    <w:uiPriority w:val="21"/>
    <w:qFormat/>
    <w:rsid w:val="003A3887"/>
    <w:rPr>
      <w:i/>
      <w:iCs/>
      <w:color w:val="2F5496" w:themeColor="accent1" w:themeShade="BF"/>
    </w:rPr>
  </w:style>
  <w:style w:type="paragraph" w:styleId="IntenseQuote">
    <w:name w:val="Intense Quote"/>
    <w:basedOn w:val="Normal"/>
    <w:next w:val="Normal"/>
    <w:link w:val="IntenseQuoteChar"/>
    <w:uiPriority w:val="30"/>
    <w:qFormat/>
    <w:rsid w:val="003A38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3887"/>
    <w:rPr>
      <w:i/>
      <w:iCs/>
      <w:color w:val="2F5496" w:themeColor="accent1" w:themeShade="BF"/>
    </w:rPr>
  </w:style>
  <w:style w:type="character" w:styleId="IntenseReference">
    <w:name w:val="Intense Reference"/>
    <w:basedOn w:val="DefaultParagraphFont"/>
    <w:uiPriority w:val="32"/>
    <w:qFormat/>
    <w:rsid w:val="003A3887"/>
    <w:rPr>
      <w:b/>
      <w:bCs/>
      <w:smallCaps/>
      <w:color w:val="2F5496" w:themeColor="accent1" w:themeShade="BF"/>
      <w:spacing w:val="5"/>
    </w:rPr>
  </w:style>
  <w:style w:type="paragraph" w:styleId="NoSpacing">
    <w:name w:val="No Spacing"/>
    <w:uiPriority w:val="1"/>
    <w:qFormat/>
    <w:rsid w:val="003A38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111</TotalTime>
  <Pages>4</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Evangelidis, Lucy (MCB)</dc:creator>
  <cp:keywords/>
  <dc:description/>
  <cp:lastModifiedBy>Evangelidis, Lucy (MCB)</cp:lastModifiedBy>
  <cp:revision>18</cp:revision>
  <dcterms:created xsi:type="dcterms:W3CDTF">2026-05-27T13:47:00Z</dcterms:created>
  <dcterms:modified xsi:type="dcterms:W3CDTF">2026-05-27T19:32:00Z</dcterms:modified>
</cp:coreProperties>
</file>