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935C" w14:textId="77777777" w:rsidR="00292993" w:rsidRPr="00C116B2" w:rsidRDefault="00292993" w:rsidP="00292993">
      <w:pPr>
        <w:spacing w:after="0" w:line="240" w:lineRule="auto"/>
        <w:contextualSpacing/>
        <w:jc w:val="center"/>
        <w:rPr>
          <w:rFonts w:ascii="Times New Roman" w:hAnsi="Times New Roman" w:cs="Times New Roman"/>
        </w:rPr>
      </w:pPr>
      <w:r w:rsidRPr="00C116B2">
        <w:rPr>
          <w:rFonts w:ascii="Times New Roman" w:hAnsi="Times New Roman" w:cs="Times New Roman"/>
        </w:rPr>
        <w:t>Statutory Advisory Board (SAB)</w:t>
      </w:r>
    </w:p>
    <w:p w14:paraId="46E5F20F" w14:textId="4C933F12" w:rsidR="00292993" w:rsidRPr="00C116B2" w:rsidRDefault="00292993" w:rsidP="00292993">
      <w:pPr>
        <w:spacing w:after="0" w:line="240" w:lineRule="auto"/>
        <w:contextualSpacing/>
        <w:jc w:val="center"/>
        <w:rPr>
          <w:rFonts w:ascii="Times New Roman" w:hAnsi="Times New Roman" w:cs="Times New Roman"/>
        </w:rPr>
      </w:pPr>
      <w:r w:rsidRPr="00C116B2">
        <w:rPr>
          <w:rFonts w:ascii="Times New Roman" w:hAnsi="Times New Roman" w:cs="Times New Roman"/>
        </w:rPr>
        <w:t>November 4, 2025</w:t>
      </w:r>
    </w:p>
    <w:p w14:paraId="7E8407C8" w14:textId="77777777" w:rsidR="00292993" w:rsidRPr="00C116B2" w:rsidRDefault="00292993" w:rsidP="00292993">
      <w:pPr>
        <w:spacing w:after="0" w:line="240" w:lineRule="auto"/>
        <w:contextualSpacing/>
        <w:jc w:val="center"/>
        <w:rPr>
          <w:rFonts w:ascii="Times New Roman" w:hAnsi="Times New Roman" w:cs="Times New Roman"/>
          <w:u w:val="single"/>
        </w:rPr>
      </w:pPr>
    </w:p>
    <w:p w14:paraId="2A2B77CC" w14:textId="77777777" w:rsidR="00292993" w:rsidRPr="006C0F65" w:rsidRDefault="00292993" w:rsidP="00292993">
      <w:pPr>
        <w:spacing w:after="0" w:line="240" w:lineRule="auto"/>
        <w:contextualSpacing/>
        <w:jc w:val="center"/>
        <w:rPr>
          <w:rFonts w:ascii="Times New Roman" w:hAnsi="Times New Roman" w:cs="Times New Roman"/>
          <w:b/>
          <w:bCs/>
          <w:u w:val="single"/>
        </w:rPr>
      </w:pPr>
      <w:r w:rsidRPr="006C0F65">
        <w:rPr>
          <w:rFonts w:ascii="Times New Roman" w:hAnsi="Times New Roman" w:cs="Times New Roman"/>
          <w:b/>
          <w:bCs/>
          <w:u w:val="single"/>
        </w:rPr>
        <w:t>Minutes</w:t>
      </w:r>
    </w:p>
    <w:p w14:paraId="609F9590" w14:textId="77777777" w:rsidR="00292993" w:rsidRPr="00C116B2" w:rsidRDefault="00292993" w:rsidP="00292993">
      <w:pPr>
        <w:spacing w:after="0" w:line="240" w:lineRule="auto"/>
        <w:contextualSpacing/>
        <w:rPr>
          <w:rFonts w:ascii="Times New Roman" w:hAnsi="Times New Roman" w:cs="Times New Roman"/>
          <w:u w:val="single"/>
        </w:rPr>
      </w:pPr>
    </w:p>
    <w:p w14:paraId="6539A7F3" w14:textId="77777777" w:rsidR="00292993" w:rsidRPr="00C116B2" w:rsidRDefault="00292993" w:rsidP="00292993">
      <w:pPr>
        <w:spacing w:after="0" w:line="240" w:lineRule="auto"/>
        <w:contextualSpacing/>
        <w:rPr>
          <w:rFonts w:ascii="Times New Roman" w:hAnsi="Times New Roman" w:cs="Times New Roman"/>
        </w:rPr>
      </w:pPr>
      <w:r w:rsidRPr="00C116B2">
        <w:rPr>
          <w:rFonts w:ascii="Times New Roman" w:hAnsi="Times New Roman" w:cs="Times New Roman"/>
        </w:rPr>
        <w:t>SAB Attendees: Brian MacDonald, Blair Wong, Nancy Rumbolt-Trzcinski, Kathy Petkauskos, and Kerlyne Pacombe</w:t>
      </w:r>
    </w:p>
    <w:p w14:paraId="6FED1208" w14:textId="77777777" w:rsidR="00292993" w:rsidRPr="00C116B2" w:rsidRDefault="00292993" w:rsidP="00292993">
      <w:pPr>
        <w:spacing w:after="0" w:line="240" w:lineRule="auto"/>
        <w:contextualSpacing/>
        <w:rPr>
          <w:rFonts w:ascii="Times New Roman" w:hAnsi="Times New Roman" w:cs="Times New Roman"/>
        </w:rPr>
      </w:pPr>
    </w:p>
    <w:p w14:paraId="74D9A74D" w14:textId="77777777" w:rsidR="00292993" w:rsidRPr="00C116B2" w:rsidRDefault="00292993" w:rsidP="00292993">
      <w:pPr>
        <w:spacing w:after="0" w:line="240" w:lineRule="auto"/>
        <w:contextualSpacing/>
        <w:rPr>
          <w:rFonts w:ascii="Times New Roman" w:hAnsi="Times New Roman" w:cs="Times New Roman"/>
        </w:rPr>
      </w:pPr>
      <w:r w:rsidRPr="00C116B2">
        <w:rPr>
          <w:rFonts w:ascii="Times New Roman" w:hAnsi="Times New Roman" w:cs="Times New Roman"/>
        </w:rPr>
        <w:t>MCB Staff Attendees: John Oliveira, Justine Muir, Nathan Skrocki, and Lucy Evangelidis</w:t>
      </w:r>
    </w:p>
    <w:p w14:paraId="5CF4327A" w14:textId="77777777" w:rsidR="00292993" w:rsidRPr="00C116B2" w:rsidRDefault="00292993" w:rsidP="00292993">
      <w:pPr>
        <w:spacing w:after="0" w:line="240" w:lineRule="auto"/>
        <w:contextualSpacing/>
        <w:rPr>
          <w:rFonts w:ascii="Times New Roman" w:hAnsi="Times New Roman" w:cs="Times New Roman"/>
        </w:rPr>
      </w:pPr>
    </w:p>
    <w:p w14:paraId="1F4155C1" w14:textId="77777777" w:rsidR="00292993" w:rsidRPr="00C116B2" w:rsidRDefault="00292993" w:rsidP="00292993">
      <w:pPr>
        <w:spacing w:after="0" w:line="240" w:lineRule="auto"/>
        <w:contextualSpacing/>
        <w:rPr>
          <w:rFonts w:ascii="Times New Roman" w:hAnsi="Times New Roman" w:cs="Times New Roman"/>
        </w:rPr>
      </w:pPr>
      <w:r w:rsidRPr="00C116B2">
        <w:rPr>
          <w:rFonts w:ascii="Times New Roman" w:hAnsi="Times New Roman" w:cs="Times New Roman"/>
        </w:rPr>
        <w:t>Meeting held via Zoom, recording available to the public on the MCB YouTube channel</w:t>
      </w:r>
    </w:p>
    <w:p w14:paraId="28838204" w14:textId="77777777" w:rsidR="00292993" w:rsidRPr="00C116B2" w:rsidRDefault="00292993" w:rsidP="00292993">
      <w:pPr>
        <w:spacing w:after="0" w:line="240" w:lineRule="auto"/>
        <w:contextualSpacing/>
        <w:rPr>
          <w:rFonts w:ascii="Times New Roman" w:hAnsi="Times New Roman" w:cs="Times New Roman"/>
        </w:rPr>
      </w:pPr>
    </w:p>
    <w:p w14:paraId="581F9012" w14:textId="77777777" w:rsidR="00292993" w:rsidRPr="00C116B2" w:rsidRDefault="00292993" w:rsidP="00292993">
      <w:pPr>
        <w:spacing w:after="0" w:line="240" w:lineRule="auto"/>
        <w:contextualSpacing/>
        <w:rPr>
          <w:rFonts w:ascii="Times New Roman" w:hAnsi="Times New Roman" w:cs="Times New Roman"/>
        </w:rPr>
      </w:pPr>
      <w:r w:rsidRPr="00C116B2">
        <w:rPr>
          <w:rFonts w:ascii="Times New Roman" w:hAnsi="Times New Roman" w:cs="Times New Roman"/>
        </w:rPr>
        <w:t>Public invited to participate through Q&amp;A at the end of the meeting</w:t>
      </w:r>
    </w:p>
    <w:p w14:paraId="4DE6DA5B" w14:textId="77777777" w:rsidR="00292993" w:rsidRPr="00C116B2" w:rsidRDefault="00292993" w:rsidP="00292993">
      <w:pPr>
        <w:spacing w:after="0" w:line="240" w:lineRule="auto"/>
        <w:contextualSpacing/>
        <w:rPr>
          <w:rFonts w:ascii="Times New Roman" w:hAnsi="Times New Roman" w:cs="Times New Roman"/>
        </w:rPr>
      </w:pPr>
    </w:p>
    <w:p w14:paraId="2C53AA67" w14:textId="77777777" w:rsidR="00292993" w:rsidRPr="00C116B2" w:rsidRDefault="00292993" w:rsidP="00292993">
      <w:pPr>
        <w:spacing w:after="0" w:line="240" w:lineRule="auto"/>
        <w:contextualSpacing/>
        <w:rPr>
          <w:rFonts w:ascii="Times New Roman" w:hAnsi="Times New Roman" w:cs="Times New Roman"/>
          <w:u w:val="single"/>
        </w:rPr>
      </w:pPr>
    </w:p>
    <w:p w14:paraId="20BD06FD" w14:textId="77777777" w:rsidR="00292993" w:rsidRPr="00C116B2" w:rsidRDefault="00292993" w:rsidP="00292993">
      <w:pPr>
        <w:spacing w:after="0" w:line="240" w:lineRule="auto"/>
        <w:contextualSpacing/>
        <w:rPr>
          <w:rFonts w:ascii="Times New Roman" w:hAnsi="Times New Roman" w:cs="Times New Roman"/>
          <w:u w:val="single"/>
        </w:rPr>
      </w:pPr>
      <w:r w:rsidRPr="00C116B2">
        <w:rPr>
          <w:rFonts w:ascii="Times New Roman" w:hAnsi="Times New Roman" w:cs="Times New Roman"/>
          <w:u w:val="single"/>
        </w:rPr>
        <w:t>Minutes</w:t>
      </w:r>
    </w:p>
    <w:p w14:paraId="37255114" w14:textId="48B44935" w:rsidR="00B22B25" w:rsidRPr="00C116B2" w:rsidRDefault="00292993" w:rsidP="00292993">
      <w:pPr>
        <w:spacing w:after="0" w:line="240" w:lineRule="auto"/>
        <w:rPr>
          <w:rFonts w:ascii="Times New Roman" w:hAnsi="Times New Roman" w:cs="Times New Roman"/>
        </w:rPr>
      </w:pPr>
      <w:r w:rsidRPr="00C116B2">
        <w:rPr>
          <w:rFonts w:ascii="Times New Roman" w:hAnsi="Times New Roman" w:cs="Times New Roman"/>
        </w:rPr>
        <w:br/>
        <w:t xml:space="preserve">A quorum was reached. Motion to approve </w:t>
      </w:r>
      <w:proofErr w:type="gramStart"/>
      <w:r w:rsidRPr="00C116B2">
        <w:rPr>
          <w:rFonts w:ascii="Times New Roman" w:hAnsi="Times New Roman" w:cs="Times New Roman"/>
        </w:rPr>
        <w:t>the October</w:t>
      </w:r>
      <w:proofErr w:type="gramEnd"/>
      <w:r w:rsidRPr="00C116B2">
        <w:rPr>
          <w:rFonts w:ascii="Times New Roman" w:hAnsi="Times New Roman" w:cs="Times New Roman"/>
        </w:rPr>
        <w:t xml:space="preserve"> 7, </w:t>
      </w:r>
      <w:proofErr w:type="gramStart"/>
      <w:r w:rsidRPr="00C116B2">
        <w:rPr>
          <w:rFonts w:ascii="Times New Roman" w:hAnsi="Times New Roman" w:cs="Times New Roman"/>
        </w:rPr>
        <w:t>2025</w:t>
      </w:r>
      <w:proofErr w:type="gramEnd"/>
      <w:r w:rsidR="00A92B25" w:rsidRPr="00C116B2">
        <w:rPr>
          <w:rFonts w:ascii="Times New Roman" w:hAnsi="Times New Roman" w:cs="Times New Roman"/>
        </w:rPr>
        <w:t xml:space="preserve"> </w:t>
      </w:r>
      <w:r w:rsidRPr="00C116B2">
        <w:rPr>
          <w:rFonts w:ascii="Times New Roman" w:hAnsi="Times New Roman" w:cs="Times New Roman"/>
        </w:rPr>
        <w:t>minutes was made by Blair and seconded by Kathy. The motion passed unanimously</w:t>
      </w:r>
      <w:r w:rsidR="00D41D82">
        <w:rPr>
          <w:rFonts w:ascii="Times New Roman" w:hAnsi="Times New Roman" w:cs="Times New Roman"/>
        </w:rPr>
        <w:t>.</w:t>
      </w:r>
    </w:p>
    <w:p w14:paraId="2C52B258" w14:textId="77777777" w:rsidR="00292993" w:rsidRPr="00C116B2" w:rsidRDefault="00292993" w:rsidP="00292993">
      <w:pPr>
        <w:spacing w:after="0" w:line="240" w:lineRule="auto"/>
        <w:rPr>
          <w:rFonts w:ascii="Times New Roman" w:hAnsi="Times New Roman" w:cs="Times New Roman"/>
        </w:rPr>
      </w:pPr>
    </w:p>
    <w:p w14:paraId="0D50243E" w14:textId="347B7C7E" w:rsidR="00292993" w:rsidRPr="006C0F65" w:rsidRDefault="003B2B07" w:rsidP="00292993">
      <w:pPr>
        <w:spacing w:after="0" w:line="240" w:lineRule="auto"/>
        <w:rPr>
          <w:rFonts w:ascii="Times New Roman" w:hAnsi="Times New Roman" w:cs="Times New Roman"/>
          <w:b/>
          <w:bCs/>
        </w:rPr>
      </w:pPr>
      <w:r w:rsidRPr="006C0F65">
        <w:rPr>
          <w:rFonts w:ascii="Times New Roman" w:hAnsi="Times New Roman" w:cs="Times New Roman"/>
          <w:b/>
          <w:bCs/>
        </w:rPr>
        <w:t>Commissioner Update – John Oliveira</w:t>
      </w:r>
    </w:p>
    <w:p w14:paraId="333AED48" w14:textId="77777777" w:rsidR="0077353E" w:rsidRPr="00C116B2" w:rsidRDefault="0077353E" w:rsidP="000E01A1">
      <w:pPr>
        <w:spacing w:after="0"/>
        <w:rPr>
          <w:rFonts w:ascii="Times New Roman" w:hAnsi="Times New Roman" w:cs="Times New Roman"/>
        </w:rPr>
      </w:pPr>
      <w:r w:rsidRPr="00C116B2">
        <w:rPr>
          <w:rFonts w:ascii="Times New Roman" w:hAnsi="Times New Roman" w:cs="Times New Roman"/>
        </w:rPr>
        <w:t>Commissioner Oliveira discussed ongoing federal uncertainty and the impacts of the government shutdown:</w:t>
      </w:r>
    </w:p>
    <w:p w14:paraId="76ADA397" w14:textId="77777777" w:rsidR="0077353E" w:rsidRPr="0077353E" w:rsidRDefault="0077353E" w:rsidP="0077353E">
      <w:pPr>
        <w:pStyle w:val="ListParagraph"/>
        <w:numPr>
          <w:ilvl w:val="0"/>
          <w:numId w:val="1"/>
        </w:numPr>
        <w:spacing w:after="0"/>
        <w:rPr>
          <w:rFonts w:ascii="Times New Roman" w:hAnsi="Times New Roman" w:cs="Times New Roman"/>
        </w:rPr>
      </w:pPr>
      <w:r w:rsidRPr="0077353E">
        <w:rPr>
          <w:rFonts w:ascii="Times New Roman" w:hAnsi="Times New Roman" w:cs="Times New Roman"/>
        </w:rPr>
        <w:t>Approximately 4,000 MCB consumers receive SNAP benefits; some have experienced temporary delays in funding.</w:t>
      </w:r>
    </w:p>
    <w:p w14:paraId="7E69E026" w14:textId="77777777" w:rsidR="0077353E" w:rsidRPr="0077353E" w:rsidRDefault="0077353E" w:rsidP="0077353E">
      <w:pPr>
        <w:pStyle w:val="ListParagraph"/>
        <w:numPr>
          <w:ilvl w:val="0"/>
          <w:numId w:val="1"/>
        </w:numPr>
        <w:spacing w:after="0"/>
        <w:rPr>
          <w:rFonts w:ascii="Times New Roman" w:hAnsi="Times New Roman" w:cs="Times New Roman"/>
        </w:rPr>
      </w:pPr>
      <w:r w:rsidRPr="0077353E">
        <w:rPr>
          <w:rFonts w:ascii="Times New Roman" w:hAnsi="Times New Roman" w:cs="Times New Roman"/>
        </w:rPr>
        <w:t>MCB distributed a statewide spreadsheet of community food resources and pantries to regional directors to assist consumers in need.</w:t>
      </w:r>
    </w:p>
    <w:p w14:paraId="3EC8FB3B" w14:textId="77777777" w:rsidR="0077353E" w:rsidRPr="0077353E" w:rsidRDefault="0077353E" w:rsidP="0077353E">
      <w:pPr>
        <w:pStyle w:val="ListParagraph"/>
        <w:numPr>
          <w:ilvl w:val="0"/>
          <w:numId w:val="1"/>
        </w:numPr>
        <w:spacing w:after="0"/>
        <w:rPr>
          <w:rFonts w:ascii="Times New Roman" w:hAnsi="Times New Roman" w:cs="Times New Roman"/>
        </w:rPr>
      </w:pPr>
      <w:r w:rsidRPr="0077353E">
        <w:rPr>
          <w:rFonts w:ascii="Times New Roman" w:hAnsi="Times New Roman" w:cs="Times New Roman"/>
        </w:rPr>
        <w:t>Despite the federal situation, MCB remains financially stable and has sufficient state funds to operate through the end of the year.</w:t>
      </w:r>
    </w:p>
    <w:p w14:paraId="3F5ACFCA" w14:textId="5FAC1D8E" w:rsidR="0077353E" w:rsidRPr="0077353E" w:rsidRDefault="0077353E" w:rsidP="0077353E">
      <w:pPr>
        <w:pStyle w:val="ListParagraph"/>
        <w:numPr>
          <w:ilvl w:val="0"/>
          <w:numId w:val="1"/>
        </w:numPr>
        <w:spacing w:after="0"/>
        <w:rPr>
          <w:rFonts w:ascii="Times New Roman" w:hAnsi="Times New Roman" w:cs="Times New Roman"/>
        </w:rPr>
      </w:pPr>
      <w:r w:rsidRPr="0077353E">
        <w:rPr>
          <w:rFonts w:ascii="Times New Roman" w:hAnsi="Times New Roman" w:cs="Times New Roman"/>
        </w:rPr>
        <w:t>The agency continues to manage FY25 and state FY26 funds to meet required grant matches (21.5%).</w:t>
      </w:r>
    </w:p>
    <w:p w14:paraId="19E24B8E" w14:textId="5A5E83B2" w:rsidR="0077353E" w:rsidRPr="0077353E" w:rsidRDefault="0077353E" w:rsidP="0077353E">
      <w:pPr>
        <w:pStyle w:val="ListParagraph"/>
        <w:numPr>
          <w:ilvl w:val="0"/>
          <w:numId w:val="1"/>
        </w:numPr>
        <w:spacing w:after="0"/>
        <w:rPr>
          <w:rFonts w:ascii="Times New Roman" w:hAnsi="Times New Roman" w:cs="Times New Roman"/>
        </w:rPr>
      </w:pPr>
      <w:r w:rsidRPr="0077353E">
        <w:rPr>
          <w:rFonts w:ascii="Times New Roman" w:hAnsi="Times New Roman" w:cs="Times New Roman"/>
        </w:rPr>
        <w:t>Federal RSA operations are currently furloughed, though three to four essential staff remain active to process fiscal filings.</w:t>
      </w:r>
    </w:p>
    <w:p w14:paraId="197951E4" w14:textId="77777777" w:rsidR="0077353E" w:rsidRPr="0077353E" w:rsidRDefault="0077353E" w:rsidP="0077353E">
      <w:pPr>
        <w:pStyle w:val="ListParagraph"/>
        <w:numPr>
          <w:ilvl w:val="0"/>
          <w:numId w:val="1"/>
        </w:numPr>
        <w:spacing w:after="0"/>
        <w:rPr>
          <w:rFonts w:ascii="Times New Roman" w:hAnsi="Times New Roman" w:cs="Times New Roman"/>
        </w:rPr>
      </w:pPr>
      <w:r w:rsidRPr="0077353E">
        <w:rPr>
          <w:rFonts w:ascii="Times New Roman" w:hAnsi="Times New Roman" w:cs="Times New Roman"/>
        </w:rPr>
        <w:t>MCB has submitted all required reports on time, maintaining access to federal funds and avoiding service disruptions.</w:t>
      </w:r>
    </w:p>
    <w:p w14:paraId="5E47605B" w14:textId="77777777" w:rsidR="0077353E" w:rsidRPr="0077353E" w:rsidRDefault="0077353E" w:rsidP="0077353E">
      <w:pPr>
        <w:pStyle w:val="ListParagraph"/>
        <w:numPr>
          <w:ilvl w:val="0"/>
          <w:numId w:val="1"/>
        </w:numPr>
        <w:spacing w:after="0"/>
        <w:rPr>
          <w:rFonts w:ascii="Times New Roman" w:hAnsi="Times New Roman" w:cs="Times New Roman"/>
        </w:rPr>
      </w:pPr>
      <w:r w:rsidRPr="0077353E">
        <w:rPr>
          <w:rFonts w:ascii="Times New Roman" w:hAnsi="Times New Roman" w:cs="Times New Roman"/>
        </w:rPr>
        <w:t>Speculation continues regarding whether RSA will move under the Department of Labor or Health and Human Services, but no decision has been made.</w:t>
      </w:r>
    </w:p>
    <w:p w14:paraId="3D51F2C1" w14:textId="1BE03551" w:rsidR="003B2B07" w:rsidRPr="00C116B2" w:rsidRDefault="006F6F3C" w:rsidP="0077353E">
      <w:pPr>
        <w:pStyle w:val="ListParagraph"/>
        <w:numPr>
          <w:ilvl w:val="0"/>
          <w:numId w:val="1"/>
        </w:numPr>
        <w:spacing w:after="0"/>
        <w:rPr>
          <w:rFonts w:ascii="Times New Roman" w:hAnsi="Times New Roman" w:cs="Times New Roman"/>
        </w:rPr>
      </w:pPr>
      <w:r w:rsidRPr="00C116B2">
        <w:rPr>
          <w:rFonts w:ascii="Times New Roman" w:hAnsi="Times New Roman" w:cs="Times New Roman"/>
        </w:rPr>
        <w:t xml:space="preserve">Commissioner </w:t>
      </w:r>
      <w:r w:rsidR="0077353E" w:rsidRPr="0077353E">
        <w:rPr>
          <w:rFonts w:ascii="Times New Roman" w:hAnsi="Times New Roman" w:cs="Times New Roman"/>
        </w:rPr>
        <w:t xml:space="preserve">Oliveira confirmed that </w:t>
      </w:r>
      <w:r w:rsidR="00AD0BC8" w:rsidRPr="00C116B2">
        <w:rPr>
          <w:rFonts w:ascii="Times New Roman" w:hAnsi="Times New Roman" w:cs="Times New Roman"/>
        </w:rPr>
        <w:t xml:space="preserve">MCB </w:t>
      </w:r>
      <w:r w:rsidR="0077353E" w:rsidRPr="0077353E">
        <w:rPr>
          <w:rFonts w:ascii="Times New Roman" w:hAnsi="Times New Roman" w:cs="Times New Roman"/>
        </w:rPr>
        <w:t>services, staffing, and programs remain unaffected.</w:t>
      </w:r>
    </w:p>
    <w:p w14:paraId="3F3CED45" w14:textId="277A3E97" w:rsidR="001B3F3B" w:rsidRPr="00C116B2" w:rsidRDefault="001B3F3B" w:rsidP="0077353E">
      <w:pPr>
        <w:pStyle w:val="ListParagraph"/>
        <w:numPr>
          <w:ilvl w:val="0"/>
          <w:numId w:val="1"/>
        </w:numPr>
        <w:spacing w:after="0"/>
        <w:rPr>
          <w:rFonts w:ascii="Times New Roman" w:hAnsi="Times New Roman" w:cs="Times New Roman"/>
        </w:rPr>
      </w:pPr>
      <w:r w:rsidRPr="00C116B2">
        <w:rPr>
          <w:rFonts w:ascii="Times New Roman" w:hAnsi="Times New Roman" w:cs="Times New Roman"/>
        </w:rPr>
        <w:t>Earmark funding for vendors including the Carroll Center and MABVI has been approved, allowing for continued technology, housing, and service support. Radio reading services will also receive funding in two installments.</w:t>
      </w:r>
    </w:p>
    <w:p w14:paraId="1BCCE06F" w14:textId="77777777" w:rsidR="00AD0BC8" w:rsidRPr="00C116B2" w:rsidRDefault="00AD0BC8" w:rsidP="00AD0BC8">
      <w:pPr>
        <w:spacing w:after="0"/>
        <w:rPr>
          <w:rFonts w:ascii="Times New Roman" w:hAnsi="Times New Roman" w:cs="Times New Roman"/>
        </w:rPr>
      </w:pPr>
    </w:p>
    <w:p w14:paraId="32618B5D" w14:textId="77777777" w:rsidR="0086140D" w:rsidRPr="006C0F65" w:rsidRDefault="0086140D" w:rsidP="0086140D">
      <w:pPr>
        <w:spacing w:after="0" w:line="240" w:lineRule="auto"/>
        <w:rPr>
          <w:rFonts w:ascii="Times New Roman" w:hAnsi="Times New Roman" w:cs="Times New Roman"/>
          <w:b/>
          <w:bCs/>
        </w:rPr>
      </w:pPr>
      <w:r w:rsidRPr="006C0F65">
        <w:rPr>
          <w:rFonts w:ascii="Times New Roman" w:hAnsi="Times New Roman" w:cs="Times New Roman"/>
          <w:b/>
          <w:bCs/>
        </w:rPr>
        <w:lastRenderedPageBreak/>
        <w:t>Programs &amp; Services Update – Justine Muir</w:t>
      </w:r>
    </w:p>
    <w:p w14:paraId="65D8EA9E" w14:textId="77777777" w:rsidR="003A26E7" w:rsidRPr="003A26E7" w:rsidRDefault="003A26E7" w:rsidP="003A26E7">
      <w:pPr>
        <w:spacing w:after="0"/>
        <w:rPr>
          <w:rFonts w:ascii="Times New Roman" w:hAnsi="Times New Roman" w:cs="Times New Roman"/>
        </w:rPr>
      </w:pPr>
      <w:r w:rsidRPr="003A26E7">
        <w:rPr>
          <w:rFonts w:ascii="Times New Roman" w:hAnsi="Times New Roman" w:cs="Times New Roman"/>
        </w:rPr>
        <w:t>Justine reported that October was an especially active month across programs and services:</w:t>
      </w:r>
    </w:p>
    <w:p w14:paraId="4DAD9659" w14:textId="77777777" w:rsidR="003A26E7" w:rsidRPr="003A26E7" w:rsidRDefault="003A26E7" w:rsidP="003A26E7">
      <w:pPr>
        <w:numPr>
          <w:ilvl w:val="0"/>
          <w:numId w:val="4"/>
        </w:numPr>
        <w:spacing w:after="0"/>
        <w:rPr>
          <w:rFonts w:ascii="Times New Roman" w:hAnsi="Times New Roman" w:cs="Times New Roman"/>
        </w:rPr>
      </w:pPr>
      <w:r w:rsidRPr="003A26E7">
        <w:rPr>
          <w:rFonts w:ascii="Times New Roman" w:hAnsi="Times New Roman" w:cs="Times New Roman"/>
        </w:rPr>
        <w:t>Reverse Virtual Job Fairs:</w:t>
      </w:r>
    </w:p>
    <w:p w14:paraId="176DC434"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Two sessions were held.</w:t>
      </w:r>
    </w:p>
    <w:p w14:paraId="690CB9A2"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Day 1: 29 employers and 18 consumers participated; 4 employers have since connected with 6 consumers, including 1 candidate who completed an interview.</w:t>
      </w:r>
    </w:p>
    <w:p w14:paraId="283A6547"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 xml:space="preserve">Day 2: 30 </w:t>
      </w:r>
      <w:proofErr w:type="gramStart"/>
      <w:r w:rsidRPr="003A26E7">
        <w:rPr>
          <w:rFonts w:ascii="Times New Roman" w:hAnsi="Times New Roman" w:cs="Times New Roman"/>
        </w:rPr>
        <w:t>employers</w:t>
      </w:r>
      <w:proofErr w:type="gramEnd"/>
      <w:r w:rsidRPr="003A26E7">
        <w:rPr>
          <w:rFonts w:ascii="Times New Roman" w:hAnsi="Times New Roman" w:cs="Times New Roman"/>
        </w:rPr>
        <w:t xml:space="preserve"> and 16 consumers participated; 9 </w:t>
      </w:r>
      <w:proofErr w:type="gramStart"/>
      <w:r w:rsidRPr="003A26E7">
        <w:rPr>
          <w:rFonts w:ascii="Times New Roman" w:hAnsi="Times New Roman" w:cs="Times New Roman"/>
        </w:rPr>
        <w:t>employers initiated</w:t>
      </w:r>
      <w:proofErr w:type="gramEnd"/>
      <w:r w:rsidRPr="003A26E7">
        <w:rPr>
          <w:rFonts w:ascii="Times New Roman" w:hAnsi="Times New Roman" w:cs="Times New Roman"/>
        </w:rPr>
        <w:t xml:space="preserve"> follow-ups with 9 consumers.</w:t>
      </w:r>
    </w:p>
    <w:p w14:paraId="634C1E12"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Even for participants not immediately hired, the fairs provided valuable interview practice and networking opportunities.</w:t>
      </w:r>
    </w:p>
    <w:p w14:paraId="7A2A8B1A" w14:textId="77777777" w:rsidR="003A26E7" w:rsidRPr="003A26E7" w:rsidRDefault="003A26E7" w:rsidP="003A26E7">
      <w:pPr>
        <w:numPr>
          <w:ilvl w:val="0"/>
          <w:numId w:val="4"/>
        </w:numPr>
        <w:spacing w:after="0"/>
        <w:rPr>
          <w:rFonts w:ascii="Times New Roman" w:hAnsi="Times New Roman" w:cs="Times New Roman"/>
        </w:rPr>
      </w:pPr>
      <w:r w:rsidRPr="003A26E7">
        <w:rPr>
          <w:rFonts w:ascii="Times New Roman" w:hAnsi="Times New Roman" w:cs="Times New Roman"/>
        </w:rPr>
        <w:t>College Information Session:</w:t>
      </w:r>
    </w:p>
    <w:p w14:paraId="4D275A3B"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Attendance nearly doubled from last year with 38 participants (students, families, and staff).</w:t>
      </w:r>
    </w:p>
    <w:p w14:paraId="79BD77F3"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Featured a student panel of three current college students sharing experiences, challenges, and self-advocacy strategies.</w:t>
      </w:r>
    </w:p>
    <w:p w14:paraId="10F656D0" w14:textId="77777777" w:rsidR="003A26E7" w:rsidRPr="003A26E7" w:rsidRDefault="003A26E7" w:rsidP="003A26E7">
      <w:pPr>
        <w:numPr>
          <w:ilvl w:val="0"/>
          <w:numId w:val="4"/>
        </w:numPr>
        <w:spacing w:after="0"/>
        <w:rPr>
          <w:rFonts w:ascii="Times New Roman" w:hAnsi="Times New Roman" w:cs="Times New Roman"/>
        </w:rPr>
      </w:pPr>
      <w:r w:rsidRPr="003A26E7">
        <w:rPr>
          <w:rFonts w:ascii="Times New Roman" w:hAnsi="Times New Roman" w:cs="Times New Roman"/>
        </w:rPr>
        <w:t>White Cane Awareness Day Celebration:</w:t>
      </w:r>
    </w:p>
    <w:p w14:paraId="556D13BF"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Held at the Massachusetts State House with over 300 attendees.</w:t>
      </w:r>
    </w:p>
    <w:p w14:paraId="549B6A57"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Event feedback described it as empowering, moving, and unifying.</w:t>
      </w:r>
    </w:p>
    <w:p w14:paraId="694B7148" w14:textId="77777777" w:rsidR="003A26E7" w:rsidRPr="003A26E7" w:rsidRDefault="003A26E7" w:rsidP="003A26E7">
      <w:pPr>
        <w:numPr>
          <w:ilvl w:val="1"/>
          <w:numId w:val="4"/>
        </w:numPr>
        <w:spacing w:after="0"/>
        <w:rPr>
          <w:rFonts w:ascii="Times New Roman" w:hAnsi="Times New Roman" w:cs="Times New Roman"/>
        </w:rPr>
      </w:pPr>
      <w:proofErr w:type="gramStart"/>
      <w:r w:rsidRPr="003A26E7">
        <w:rPr>
          <w:rFonts w:ascii="Times New Roman" w:hAnsi="Times New Roman" w:cs="Times New Roman"/>
        </w:rPr>
        <w:t>Thanks</w:t>
      </w:r>
      <w:proofErr w:type="gramEnd"/>
      <w:r w:rsidRPr="003A26E7">
        <w:rPr>
          <w:rFonts w:ascii="Times New Roman" w:hAnsi="Times New Roman" w:cs="Times New Roman"/>
        </w:rPr>
        <w:t xml:space="preserve"> extended to the Carroll Center for sponsoring refreshments and TIC for broadcasting.</w:t>
      </w:r>
    </w:p>
    <w:p w14:paraId="0E45C3A8"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WGBH published a feature article; both that and MCB’s own coverage are available online.</w:t>
      </w:r>
    </w:p>
    <w:p w14:paraId="256FB81C" w14:textId="7E02B580" w:rsidR="003A26E7" w:rsidRPr="003A26E7" w:rsidRDefault="003A26E7" w:rsidP="003A26E7">
      <w:pPr>
        <w:numPr>
          <w:ilvl w:val="0"/>
          <w:numId w:val="4"/>
        </w:numPr>
        <w:spacing w:after="0"/>
        <w:rPr>
          <w:rFonts w:ascii="Times New Roman" w:hAnsi="Times New Roman" w:cs="Times New Roman"/>
        </w:rPr>
      </w:pPr>
      <w:r w:rsidRPr="003A26E7">
        <w:rPr>
          <w:rFonts w:ascii="Times New Roman" w:hAnsi="Times New Roman" w:cs="Times New Roman"/>
        </w:rPr>
        <w:t>Pre-ETS Programs</w:t>
      </w:r>
      <w:r w:rsidR="0024613F" w:rsidRPr="00C116B2">
        <w:rPr>
          <w:rFonts w:ascii="Times New Roman" w:hAnsi="Times New Roman" w:cs="Times New Roman"/>
        </w:rPr>
        <w:t xml:space="preserve"> (ages 14-22)</w:t>
      </w:r>
      <w:r w:rsidRPr="003A26E7">
        <w:rPr>
          <w:rFonts w:ascii="Times New Roman" w:hAnsi="Times New Roman" w:cs="Times New Roman"/>
        </w:rPr>
        <w:t>:</w:t>
      </w:r>
    </w:p>
    <w:p w14:paraId="49F6C6DD"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Fall sessions are underway with providers such as LEAP (Vermont), Perkins, and the Polus Center.</w:t>
      </w:r>
    </w:p>
    <w:p w14:paraId="1B37EB12"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Carroll Center continues offering high-demand programs such as workplace computing for VR consumers.</w:t>
      </w:r>
    </w:p>
    <w:p w14:paraId="4B41E2C3" w14:textId="77777777" w:rsidR="003A26E7" w:rsidRPr="003A26E7" w:rsidRDefault="003A26E7" w:rsidP="003A26E7">
      <w:pPr>
        <w:numPr>
          <w:ilvl w:val="0"/>
          <w:numId w:val="4"/>
        </w:numPr>
        <w:spacing w:after="0"/>
        <w:rPr>
          <w:rFonts w:ascii="Times New Roman" w:hAnsi="Times New Roman" w:cs="Times New Roman"/>
        </w:rPr>
      </w:pPr>
      <w:r w:rsidRPr="003A26E7">
        <w:rPr>
          <w:rFonts w:ascii="Times New Roman" w:hAnsi="Times New Roman" w:cs="Times New Roman"/>
        </w:rPr>
        <w:t>Staffing Updates:</w:t>
      </w:r>
    </w:p>
    <w:p w14:paraId="39A528C9" w14:textId="77777777" w:rsidR="003A26E7" w:rsidRPr="003A26E7" w:rsidRDefault="003A26E7" w:rsidP="003A26E7">
      <w:pPr>
        <w:numPr>
          <w:ilvl w:val="1"/>
          <w:numId w:val="4"/>
        </w:numPr>
        <w:spacing w:after="0"/>
        <w:rPr>
          <w:rFonts w:ascii="Times New Roman" w:hAnsi="Times New Roman" w:cs="Times New Roman"/>
        </w:rPr>
      </w:pPr>
      <w:proofErr w:type="gramStart"/>
      <w:r w:rsidRPr="003A26E7">
        <w:rPr>
          <w:rFonts w:ascii="Times New Roman" w:hAnsi="Times New Roman" w:cs="Times New Roman"/>
        </w:rPr>
        <w:t>A retirement</w:t>
      </w:r>
      <w:proofErr w:type="gramEnd"/>
      <w:r w:rsidRPr="003A26E7">
        <w:rPr>
          <w:rFonts w:ascii="Times New Roman" w:hAnsi="Times New Roman" w:cs="Times New Roman"/>
        </w:rPr>
        <w:t xml:space="preserve"> </w:t>
      </w:r>
      <w:proofErr w:type="gramStart"/>
      <w:r w:rsidRPr="003A26E7">
        <w:rPr>
          <w:rFonts w:ascii="Times New Roman" w:hAnsi="Times New Roman" w:cs="Times New Roman"/>
        </w:rPr>
        <w:t>in</w:t>
      </w:r>
      <w:proofErr w:type="gramEnd"/>
      <w:r w:rsidRPr="003A26E7">
        <w:rPr>
          <w:rFonts w:ascii="Times New Roman" w:hAnsi="Times New Roman" w:cs="Times New Roman"/>
        </w:rPr>
        <w:t xml:space="preserve"> the OIB program (Regions 4 &amp; 5) has been filled with a new hire bringing extensive experience.</w:t>
      </w:r>
    </w:p>
    <w:p w14:paraId="101A679C" w14:textId="27615F11"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Carle</w:t>
      </w:r>
      <w:r w:rsidR="00DA123B" w:rsidRPr="00C116B2">
        <w:rPr>
          <w:rFonts w:ascii="Times New Roman" w:hAnsi="Times New Roman" w:cs="Times New Roman"/>
        </w:rPr>
        <w:t>e</w:t>
      </w:r>
      <w:r w:rsidR="00B741B1" w:rsidRPr="00C116B2">
        <w:rPr>
          <w:rFonts w:ascii="Times New Roman" w:hAnsi="Times New Roman" w:cs="Times New Roman"/>
        </w:rPr>
        <w:t>n</w:t>
      </w:r>
      <w:r w:rsidRPr="003A26E7">
        <w:rPr>
          <w:rFonts w:ascii="Times New Roman" w:hAnsi="Times New Roman" w:cs="Times New Roman"/>
        </w:rPr>
        <w:t xml:space="preserve"> Boyd was promoted to SR Supervisor for Region 4.</w:t>
      </w:r>
    </w:p>
    <w:p w14:paraId="6005952D" w14:textId="77777777" w:rsidR="003A26E7" w:rsidRPr="003A26E7" w:rsidRDefault="003A26E7" w:rsidP="003A26E7">
      <w:pPr>
        <w:numPr>
          <w:ilvl w:val="1"/>
          <w:numId w:val="4"/>
        </w:numPr>
        <w:spacing w:after="0"/>
        <w:rPr>
          <w:rFonts w:ascii="Times New Roman" w:hAnsi="Times New Roman" w:cs="Times New Roman"/>
        </w:rPr>
      </w:pPr>
      <w:r w:rsidRPr="003A26E7">
        <w:rPr>
          <w:rFonts w:ascii="Times New Roman" w:hAnsi="Times New Roman" w:cs="Times New Roman"/>
        </w:rPr>
        <w:t>A Region 3 SR position is now open and moving through the screening phase, with plans to fill by December.</w:t>
      </w:r>
    </w:p>
    <w:p w14:paraId="161D9190" w14:textId="77777777" w:rsidR="00AD0BC8" w:rsidRPr="00C116B2" w:rsidRDefault="00AD0BC8" w:rsidP="003A26E7">
      <w:pPr>
        <w:spacing w:after="0"/>
        <w:rPr>
          <w:rFonts w:ascii="Times New Roman" w:hAnsi="Times New Roman" w:cs="Times New Roman"/>
        </w:rPr>
      </w:pPr>
    </w:p>
    <w:p w14:paraId="043FC20B" w14:textId="77777777" w:rsidR="00731DBB" w:rsidRPr="006C0F65" w:rsidRDefault="00731DBB" w:rsidP="00731DBB">
      <w:pPr>
        <w:spacing w:after="0" w:line="240" w:lineRule="auto"/>
        <w:rPr>
          <w:rFonts w:ascii="Times New Roman" w:hAnsi="Times New Roman" w:cs="Times New Roman"/>
          <w:b/>
          <w:bCs/>
        </w:rPr>
      </w:pPr>
      <w:r w:rsidRPr="006C0F65">
        <w:rPr>
          <w:rFonts w:ascii="Times New Roman" w:hAnsi="Times New Roman" w:cs="Times New Roman"/>
          <w:b/>
          <w:bCs/>
        </w:rPr>
        <w:t>Dashboard Update – Nathan Skrocki</w:t>
      </w:r>
    </w:p>
    <w:p w14:paraId="61EEC218" w14:textId="77777777" w:rsidR="00722073" w:rsidRPr="00722073" w:rsidRDefault="00722073" w:rsidP="00722073">
      <w:pPr>
        <w:spacing w:after="0"/>
        <w:rPr>
          <w:rFonts w:ascii="Times New Roman" w:hAnsi="Times New Roman" w:cs="Times New Roman"/>
        </w:rPr>
      </w:pPr>
      <w:r w:rsidRPr="00722073">
        <w:rPr>
          <w:rFonts w:ascii="Times New Roman" w:hAnsi="Times New Roman" w:cs="Times New Roman"/>
        </w:rPr>
        <w:t>Nate provided current consumer and program statistics:</w:t>
      </w:r>
    </w:p>
    <w:p w14:paraId="1F98FC4C" w14:textId="77777777" w:rsidR="00722073" w:rsidRPr="00722073" w:rsidRDefault="00722073" w:rsidP="00722073">
      <w:pPr>
        <w:numPr>
          <w:ilvl w:val="0"/>
          <w:numId w:val="6"/>
        </w:numPr>
        <w:spacing w:after="0"/>
        <w:rPr>
          <w:rFonts w:ascii="Times New Roman" w:hAnsi="Times New Roman" w:cs="Times New Roman"/>
        </w:rPr>
      </w:pPr>
      <w:r w:rsidRPr="00722073">
        <w:rPr>
          <w:rFonts w:ascii="Times New Roman" w:hAnsi="Times New Roman" w:cs="Times New Roman"/>
        </w:rPr>
        <w:t>Open Cases:</w:t>
      </w:r>
    </w:p>
    <w:p w14:paraId="4B13A076"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SR Children: ~900</w:t>
      </w:r>
    </w:p>
    <w:p w14:paraId="4AFFB931"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SR Adults: ~3,300</w:t>
      </w:r>
    </w:p>
    <w:p w14:paraId="4F705CF9"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VR Youth: ~200</w:t>
      </w:r>
    </w:p>
    <w:p w14:paraId="24ABA3EF"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lastRenderedPageBreak/>
        <w:t>VR Adults: ~750</w:t>
      </w:r>
    </w:p>
    <w:p w14:paraId="67BCDBBE" w14:textId="77777777" w:rsidR="00722073" w:rsidRPr="00722073" w:rsidRDefault="00722073" w:rsidP="00722073">
      <w:pPr>
        <w:numPr>
          <w:ilvl w:val="0"/>
          <w:numId w:val="6"/>
        </w:numPr>
        <w:spacing w:after="0"/>
        <w:rPr>
          <w:rFonts w:ascii="Times New Roman" w:hAnsi="Times New Roman" w:cs="Times New Roman"/>
        </w:rPr>
      </w:pPr>
      <w:r w:rsidRPr="00722073">
        <w:rPr>
          <w:rFonts w:ascii="Times New Roman" w:hAnsi="Times New Roman" w:cs="Times New Roman"/>
        </w:rPr>
        <w:t>Closures (since July 1):</w:t>
      </w:r>
    </w:p>
    <w:p w14:paraId="5346F2A5"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SR: 240 total closures, including 92 children.</w:t>
      </w:r>
    </w:p>
    <w:p w14:paraId="63D78FFC"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VR: 51 successful and 34 unsuccessful closures.</w:t>
      </w:r>
    </w:p>
    <w:p w14:paraId="5FBBB3E6" w14:textId="6794758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 xml:space="preserve">47 cases are currently in employment status </w:t>
      </w:r>
      <w:r w:rsidR="00EB1556" w:rsidRPr="00C116B2">
        <w:rPr>
          <w:rFonts w:ascii="Times New Roman" w:hAnsi="Times New Roman" w:cs="Times New Roman"/>
        </w:rPr>
        <w:t>awaiting</w:t>
      </w:r>
      <w:r w:rsidRPr="00722073">
        <w:rPr>
          <w:rFonts w:ascii="Times New Roman" w:hAnsi="Times New Roman" w:cs="Times New Roman"/>
        </w:rPr>
        <w:t xml:space="preserve"> the 90-day mark for successful closure.</w:t>
      </w:r>
    </w:p>
    <w:p w14:paraId="3EF17A56" w14:textId="77777777" w:rsidR="00722073" w:rsidRPr="00722073" w:rsidRDefault="00722073" w:rsidP="00722073">
      <w:pPr>
        <w:numPr>
          <w:ilvl w:val="0"/>
          <w:numId w:val="6"/>
        </w:numPr>
        <w:spacing w:after="0"/>
        <w:rPr>
          <w:rFonts w:ascii="Times New Roman" w:hAnsi="Times New Roman" w:cs="Times New Roman"/>
        </w:rPr>
      </w:pPr>
      <w:r w:rsidRPr="00722073">
        <w:rPr>
          <w:rFonts w:ascii="Times New Roman" w:hAnsi="Times New Roman" w:cs="Times New Roman"/>
        </w:rPr>
        <w:t>Registrations and Documents:</w:t>
      </w:r>
    </w:p>
    <w:p w14:paraId="50EF11C7"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~7,300 Certificates of Blindness issued YTD.</w:t>
      </w:r>
    </w:p>
    <w:p w14:paraId="7E89E5A4" w14:textId="4B4B44FC"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 xml:space="preserve">Nearly 1,000 new MCB IDs </w:t>
      </w:r>
      <w:proofErr w:type="gramStart"/>
      <w:r w:rsidR="00FC1EDE" w:rsidRPr="00C116B2">
        <w:rPr>
          <w:rFonts w:ascii="Times New Roman" w:hAnsi="Times New Roman" w:cs="Times New Roman"/>
        </w:rPr>
        <w:t>issued</w:t>
      </w:r>
      <w:proofErr w:type="gramEnd"/>
      <w:r w:rsidRPr="00722073">
        <w:rPr>
          <w:rFonts w:ascii="Times New Roman" w:hAnsi="Times New Roman" w:cs="Times New Roman"/>
        </w:rPr>
        <w:t>.</w:t>
      </w:r>
    </w:p>
    <w:p w14:paraId="0B3BC96E" w14:textId="77777777" w:rsidR="00722073" w:rsidRPr="00722073" w:rsidRDefault="00722073" w:rsidP="00722073">
      <w:pPr>
        <w:numPr>
          <w:ilvl w:val="1"/>
          <w:numId w:val="6"/>
        </w:numPr>
        <w:spacing w:after="0"/>
        <w:rPr>
          <w:rFonts w:ascii="Times New Roman" w:hAnsi="Times New Roman" w:cs="Times New Roman"/>
        </w:rPr>
      </w:pPr>
      <w:r w:rsidRPr="00722073">
        <w:rPr>
          <w:rFonts w:ascii="Times New Roman" w:hAnsi="Times New Roman" w:cs="Times New Roman"/>
        </w:rPr>
        <w:t>1,531 new registrations this year, expected to reach 1,800 by year’s end.</w:t>
      </w:r>
    </w:p>
    <w:p w14:paraId="1937EA09" w14:textId="77777777" w:rsidR="003F1666" w:rsidRPr="00C116B2" w:rsidRDefault="003F1666" w:rsidP="00722073">
      <w:pPr>
        <w:spacing w:after="0"/>
        <w:rPr>
          <w:rFonts w:ascii="Times New Roman" w:hAnsi="Times New Roman" w:cs="Times New Roman"/>
        </w:rPr>
      </w:pPr>
    </w:p>
    <w:p w14:paraId="6CBF5EA5" w14:textId="25BB3FCA" w:rsidR="00BE72D0" w:rsidRPr="006C0F65" w:rsidRDefault="00BE72D0" w:rsidP="00722073">
      <w:pPr>
        <w:spacing w:after="0"/>
        <w:rPr>
          <w:rFonts w:ascii="Times New Roman" w:hAnsi="Times New Roman" w:cs="Times New Roman"/>
          <w:b/>
          <w:bCs/>
        </w:rPr>
      </w:pPr>
      <w:r w:rsidRPr="006C0F65">
        <w:rPr>
          <w:rFonts w:ascii="Times New Roman" w:hAnsi="Times New Roman" w:cs="Times New Roman"/>
          <w:b/>
          <w:bCs/>
        </w:rPr>
        <w:t>Discussion Highlights</w:t>
      </w:r>
    </w:p>
    <w:p w14:paraId="4A36886F" w14:textId="77777777" w:rsidR="00075230" w:rsidRDefault="00C116B2" w:rsidP="00075230">
      <w:pPr>
        <w:pStyle w:val="ListParagraph"/>
        <w:numPr>
          <w:ilvl w:val="0"/>
          <w:numId w:val="7"/>
        </w:numPr>
        <w:spacing w:after="0"/>
        <w:rPr>
          <w:rFonts w:ascii="Times New Roman" w:hAnsi="Times New Roman" w:cs="Times New Roman"/>
        </w:rPr>
      </w:pPr>
      <w:r w:rsidRPr="00C116B2">
        <w:rPr>
          <w:rFonts w:ascii="Times New Roman" w:hAnsi="Times New Roman" w:cs="Times New Roman"/>
        </w:rPr>
        <w:t>College Panel:</w:t>
      </w:r>
      <w:r w:rsidR="00075230">
        <w:rPr>
          <w:rFonts w:ascii="Times New Roman" w:hAnsi="Times New Roman" w:cs="Times New Roman"/>
        </w:rPr>
        <w:t xml:space="preserve"> </w:t>
      </w:r>
      <w:r w:rsidR="00075230" w:rsidRPr="00075230">
        <w:rPr>
          <w:rFonts w:ascii="Times New Roman" w:hAnsi="Times New Roman" w:cs="Times New Roman"/>
        </w:rPr>
        <w:t>Question from the public</w:t>
      </w:r>
      <w:r w:rsidRPr="00075230">
        <w:rPr>
          <w:rFonts w:ascii="Times New Roman" w:hAnsi="Times New Roman" w:cs="Times New Roman"/>
        </w:rPr>
        <w:t xml:space="preserve"> about student panel</w:t>
      </w:r>
      <w:r w:rsidR="0068377A" w:rsidRPr="00075230">
        <w:rPr>
          <w:rFonts w:ascii="Times New Roman" w:hAnsi="Times New Roman" w:cs="Times New Roman"/>
        </w:rPr>
        <w:t>ist</w:t>
      </w:r>
      <w:r w:rsidRPr="00075230">
        <w:rPr>
          <w:rFonts w:ascii="Times New Roman" w:hAnsi="Times New Roman" w:cs="Times New Roman"/>
        </w:rPr>
        <w:t xml:space="preserve"> experiences and challenges.</w:t>
      </w:r>
    </w:p>
    <w:p w14:paraId="15875337" w14:textId="3DD810A3" w:rsidR="00075230" w:rsidRDefault="00C116B2" w:rsidP="00075230">
      <w:pPr>
        <w:pStyle w:val="ListParagraph"/>
        <w:numPr>
          <w:ilvl w:val="1"/>
          <w:numId w:val="7"/>
        </w:numPr>
        <w:spacing w:after="0"/>
        <w:rPr>
          <w:rFonts w:ascii="Times New Roman" w:hAnsi="Times New Roman" w:cs="Times New Roman"/>
        </w:rPr>
      </w:pPr>
      <w:r w:rsidRPr="00075230">
        <w:rPr>
          <w:rFonts w:ascii="Times New Roman" w:hAnsi="Times New Roman" w:cs="Times New Roman"/>
        </w:rPr>
        <w:t>Justine noted that common</w:t>
      </w:r>
      <w:r w:rsidR="00A61836">
        <w:rPr>
          <w:rFonts w:ascii="Times New Roman" w:hAnsi="Times New Roman" w:cs="Times New Roman"/>
        </w:rPr>
        <w:t xml:space="preserve"> college student</w:t>
      </w:r>
      <w:r w:rsidRPr="00075230">
        <w:rPr>
          <w:rFonts w:ascii="Times New Roman" w:hAnsi="Times New Roman" w:cs="Times New Roman"/>
        </w:rPr>
        <w:t xml:space="preserve"> issues included navigating accommodations, educating professors about accessibility, and balancing independence.</w:t>
      </w:r>
    </w:p>
    <w:p w14:paraId="3CB64F57" w14:textId="20E8F0CD" w:rsidR="00BE72D0" w:rsidRPr="00075230" w:rsidRDefault="00C116B2" w:rsidP="00075230">
      <w:pPr>
        <w:pStyle w:val="ListParagraph"/>
        <w:numPr>
          <w:ilvl w:val="1"/>
          <w:numId w:val="7"/>
        </w:numPr>
        <w:spacing w:after="0"/>
        <w:rPr>
          <w:rFonts w:ascii="Times New Roman" w:hAnsi="Times New Roman" w:cs="Times New Roman"/>
        </w:rPr>
      </w:pPr>
      <w:r w:rsidRPr="00075230">
        <w:rPr>
          <w:rFonts w:ascii="Times New Roman" w:hAnsi="Times New Roman" w:cs="Times New Roman"/>
        </w:rPr>
        <w:t>Students</w:t>
      </w:r>
      <w:r w:rsidR="00A61836">
        <w:rPr>
          <w:rFonts w:ascii="Times New Roman" w:hAnsi="Times New Roman" w:cs="Times New Roman"/>
        </w:rPr>
        <w:t xml:space="preserve"> on the panel</w:t>
      </w:r>
      <w:r w:rsidRPr="00075230">
        <w:rPr>
          <w:rFonts w:ascii="Times New Roman" w:hAnsi="Times New Roman" w:cs="Times New Roman"/>
        </w:rPr>
        <w:t xml:space="preserve"> emphasized the importance of self-advocacy, connecting with disability services</w:t>
      </w:r>
      <w:r w:rsidR="00AD050F" w:rsidRPr="00075230">
        <w:rPr>
          <w:rFonts w:ascii="Times New Roman" w:hAnsi="Times New Roman" w:cs="Times New Roman"/>
        </w:rPr>
        <w:t xml:space="preserve"> and campus </w:t>
      </w:r>
      <w:r w:rsidR="00140FB5" w:rsidRPr="00075230">
        <w:rPr>
          <w:rFonts w:ascii="Times New Roman" w:hAnsi="Times New Roman" w:cs="Times New Roman"/>
        </w:rPr>
        <w:t>security</w:t>
      </w:r>
      <w:r w:rsidRPr="00075230">
        <w:rPr>
          <w:rFonts w:ascii="Times New Roman" w:hAnsi="Times New Roman" w:cs="Times New Roman"/>
        </w:rPr>
        <w:t>, and building peer networks.</w:t>
      </w:r>
    </w:p>
    <w:p w14:paraId="42D6E32C" w14:textId="5E2BD243" w:rsidR="00FA0D13" w:rsidRPr="00075230" w:rsidRDefault="00FA0D13" w:rsidP="00075230">
      <w:pPr>
        <w:pStyle w:val="ListParagraph"/>
        <w:numPr>
          <w:ilvl w:val="0"/>
          <w:numId w:val="7"/>
        </w:numPr>
        <w:spacing w:after="0"/>
        <w:rPr>
          <w:rFonts w:ascii="Times New Roman" w:hAnsi="Times New Roman" w:cs="Times New Roman"/>
        </w:rPr>
      </w:pPr>
      <w:r w:rsidRPr="00FA0D13">
        <w:rPr>
          <w:rFonts w:ascii="Times New Roman" w:hAnsi="Times New Roman" w:cs="Times New Roman"/>
        </w:rPr>
        <w:t>Autonomous Vehicles and Advocacy:</w:t>
      </w:r>
      <w:r w:rsidR="00075230">
        <w:rPr>
          <w:rFonts w:ascii="Times New Roman" w:hAnsi="Times New Roman" w:cs="Times New Roman"/>
        </w:rPr>
        <w:t xml:space="preserve"> </w:t>
      </w:r>
      <w:r w:rsidR="00075230" w:rsidRPr="00075230">
        <w:rPr>
          <w:rFonts w:ascii="Times New Roman" w:hAnsi="Times New Roman" w:cs="Times New Roman"/>
        </w:rPr>
        <w:t>Question from the public regarding</w:t>
      </w:r>
      <w:r w:rsidRPr="00075230">
        <w:rPr>
          <w:rFonts w:ascii="Times New Roman" w:hAnsi="Times New Roman" w:cs="Times New Roman"/>
        </w:rPr>
        <w:t xml:space="preserve"> advocacy around autonomous vehicle legislation.</w:t>
      </w:r>
    </w:p>
    <w:p w14:paraId="48D5E5FA" w14:textId="77777777" w:rsidR="00FA0D13" w:rsidRPr="00FA0D13" w:rsidRDefault="00FA0D13" w:rsidP="00FA0D13">
      <w:pPr>
        <w:numPr>
          <w:ilvl w:val="0"/>
          <w:numId w:val="8"/>
        </w:numPr>
        <w:tabs>
          <w:tab w:val="num" w:pos="720"/>
        </w:tabs>
        <w:spacing w:after="0"/>
        <w:rPr>
          <w:rFonts w:ascii="Times New Roman" w:hAnsi="Times New Roman" w:cs="Times New Roman"/>
        </w:rPr>
      </w:pPr>
      <w:r w:rsidRPr="00FA0D13">
        <w:rPr>
          <w:rFonts w:ascii="Times New Roman" w:hAnsi="Times New Roman" w:cs="Times New Roman"/>
        </w:rPr>
        <w:t>Commissioner Oliveira and Nate clarified that MCB can inform policymakers but cannot lobby or endorse specific technologies.</w:t>
      </w:r>
    </w:p>
    <w:p w14:paraId="44F10EB8" w14:textId="024D9E6C" w:rsidR="00A04E72" w:rsidRDefault="00E3193E" w:rsidP="00A04E72">
      <w:pPr>
        <w:numPr>
          <w:ilvl w:val="0"/>
          <w:numId w:val="8"/>
        </w:numPr>
        <w:tabs>
          <w:tab w:val="num" w:pos="720"/>
        </w:tabs>
        <w:spacing w:after="0"/>
        <w:rPr>
          <w:rFonts w:ascii="Times New Roman" w:hAnsi="Times New Roman" w:cs="Times New Roman"/>
        </w:rPr>
      </w:pPr>
      <w:r>
        <w:rPr>
          <w:rFonts w:ascii="Times New Roman" w:hAnsi="Times New Roman" w:cs="Times New Roman"/>
        </w:rPr>
        <w:t>Public also</w:t>
      </w:r>
      <w:r w:rsidR="00FA0D13" w:rsidRPr="00FA0D13">
        <w:rPr>
          <w:rFonts w:ascii="Times New Roman" w:hAnsi="Times New Roman" w:cs="Times New Roman"/>
        </w:rPr>
        <w:t xml:space="preserve"> asked about hosting informational sessions with companies like Waymo; leadership agreed this could be considered as a public informational event.</w:t>
      </w:r>
    </w:p>
    <w:p w14:paraId="68FE95B4" w14:textId="297760CE" w:rsidR="00A04E72" w:rsidRPr="00075230" w:rsidRDefault="00A04E72" w:rsidP="00A04E72">
      <w:pPr>
        <w:pStyle w:val="ListParagraph"/>
        <w:numPr>
          <w:ilvl w:val="0"/>
          <w:numId w:val="7"/>
        </w:numPr>
        <w:spacing w:after="0"/>
        <w:rPr>
          <w:rFonts w:ascii="Times New Roman" w:hAnsi="Times New Roman" w:cs="Times New Roman"/>
        </w:rPr>
      </w:pPr>
      <w:r>
        <w:rPr>
          <w:rFonts w:ascii="Times New Roman" w:hAnsi="Times New Roman" w:cs="Times New Roman"/>
        </w:rPr>
        <w:t>Regional Advocacy and Funding</w:t>
      </w:r>
      <w:r w:rsidRPr="00FA0D13">
        <w:rPr>
          <w:rFonts w:ascii="Times New Roman" w:hAnsi="Times New Roman" w:cs="Times New Roman"/>
        </w:rPr>
        <w:t>:</w:t>
      </w:r>
      <w:r>
        <w:rPr>
          <w:rFonts w:ascii="Times New Roman" w:hAnsi="Times New Roman" w:cs="Times New Roman"/>
        </w:rPr>
        <w:t xml:space="preserve"> </w:t>
      </w:r>
      <w:r w:rsidRPr="00075230">
        <w:rPr>
          <w:rFonts w:ascii="Times New Roman" w:hAnsi="Times New Roman" w:cs="Times New Roman"/>
        </w:rPr>
        <w:t xml:space="preserve">Question from the public </w:t>
      </w:r>
      <w:r w:rsidR="00CE4AC3" w:rsidRPr="00CE4AC3">
        <w:rPr>
          <w:rFonts w:ascii="Times New Roman" w:hAnsi="Times New Roman" w:cs="Times New Roman"/>
        </w:rPr>
        <w:t>about whether regional advisory councils can collectively advocate or apply for grants.</w:t>
      </w:r>
    </w:p>
    <w:p w14:paraId="18F18CC9" w14:textId="68B9CC8F" w:rsidR="00A12174" w:rsidRPr="00A12174" w:rsidRDefault="00CE4AC3" w:rsidP="00A12174">
      <w:pPr>
        <w:numPr>
          <w:ilvl w:val="0"/>
          <w:numId w:val="8"/>
        </w:numPr>
        <w:tabs>
          <w:tab w:val="num" w:pos="720"/>
        </w:tabs>
        <w:spacing w:after="0"/>
        <w:rPr>
          <w:rFonts w:ascii="Times New Roman" w:hAnsi="Times New Roman" w:cs="Times New Roman"/>
        </w:rPr>
      </w:pPr>
      <w:r w:rsidRPr="00CE4AC3">
        <w:rPr>
          <w:rFonts w:ascii="Times New Roman" w:hAnsi="Times New Roman" w:cs="Times New Roman"/>
        </w:rPr>
        <w:t>Commissioner Oliveira stated that legal counsel will review whether RACs may formally engage in advocacy or fundraising, noting potential complexities around financial handling and state audit requirements.</w:t>
      </w:r>
    </w:p>
    <w:p w14:paraId="12BABCF2" w14:textId="4129BB8B" w:rsidR="00A12174" w:rsidRPr="00075230" w:rsidRDefault="00A12174" w:rsidP="00A12174">
      <w:pPr>
        <w:pStyle w:val="ListParagraph"/>
        <w:numPr>
          <w:ilvl w:val="0"/>
          <w:numId w:val="7"/>
        </w:numPr>
        <w:spacing w:after="0"/>
        <w:rPr>
          <w:rFonts w:ascii="Times New Roman" w:hAnsi="Times New Roman" w:cs="Times New Roman"/>
        </w:rPr>
      </w:pPr>
      <w:r>
        <w:rPr>
          <w:rFonts w:ascii="Times New Roman" w:hAnsi="Times New Roman" w:cs="Times New Roman"/>
        </w:rPr>
        <w:t>Legislative Awareness</w:t>
      </w:r>
      <w:r w:rsidRPr="00FA0D13">
        <w:rPr>
          <w:rFonts w:ascii="Times New Roman" w:hAnsi="Times New Roman" w:cs="Times New Roman"/>
        </w:rPr>
        <w:t>:</w:t>
      </w:r>
      <w:r>
        <w:rPr>
          <w:rFonts w:ascii="Times New Roman" w:hAnsi="Times New Roman" w:cs="Times New Roman"/>
        </w:rPr>
        <w:t xml:space="preserve"> </w:t>
      </w:r>
      <w:r w:rsidRPr="00075230">
        <w:rPr>
          <w:rFonts w:ascii="Times New Roman" w:hAnsi="Times New Roman" w:cs="Times New Roman"/>
        </w:rPr>
        <w:t xml:space="preserve">Question from the public </w:t>
      </w:r>
      <w:r w:rsidRPr="00CE4AC3">
        <w:rPr>
          <w:rFonts w:ascii="Times New Roman" w:hAnsi="Times New Roman" w:cs="Times New Roman"/>
        </w:rPr>
        <w:t xml:space="preserve">about </w:t>
      </w:r>
      <w:r w:rsidR="00E90295" w:rsidRPr="00E90295">
        <w:rPr>
          <w:rFonts w:ascii="Times New Roman" w:hAnsi="Times New Roman" w:cs="Times New Roman"/>
        </w:rPr>
        <w:t>adding a “Legislative Corner” or advocacy resource links on MCB’s website</w:t>
      </w:r>
      <w:r w:rsidRPr="00CE4AC3">
        <w:rPr>
          <w:rFonts w:ascii="Times New Roman" w:hAnsi="Times New Roman" w:cs="Times New Roman"/>
        </w:rPr>
        <w:t>.</w:t>
      </w:r>
    </w:p>
    <w:p w14:paraId="24314F45" w14:textId="0170BC53" w:rsidR="00A12174" w:rsidRDefault="00A12174" w:rsidP="00A12174">
      <w:pPr>
        <w:numPr>
          <w:ilvl w:val="0"/>
          <w:numId w:val="8"/>
        </w:numPr>
        <w:tabs>
          <w:tab w:val="num" w:pos="720"/>
        </w:tabs>
        <w:spacing w:after="0"/>
        <w:rPr>
          <w:rFonts w:ascii="Times New Roman" w:hAnsi="Times New Roman" w:cs="Times New Roman"/>
        </w:rPr>
      </w:pPr>
      <w:r w:rsidRPr="00CE4AC3">
        <w:rPr>
          <w:rFonts w:ascii="Times New Roman" w:hAnsi="Times New Roman" w:cs="Times New Roman"/>
        </w:rPr>
        <w:t xml:space="preserve">Commissioner Oliveira </w:t>
      </w:r>
      <w:r w:rsidR="00E90295" w:rsidRPr="00E90295">
        <w:rPr>
          <w:rFonts w:ascii="Times New Roman" w:hAnsi="Times New Roman" w:cs="Times New Roman"/>
        </w:rPr>
        <w:t>and others discussed potential collaboration with consumer groups such as the Bay State Council of the Blind and NFB of MA, which already monitor and share legislative updates.</w:t>
      </w:r>
    </w:p>
    <w:p w14:paraId="4BB9E1AD" w14:textId="77777777" w:rsidR="00AD4886" w:rsidRDefault="00AD4886" w:rsidP="00AD4886">
      <w:pPr>
        <w:spacing w:after="0"/>
        <w:rPr>
          <w:rFonts w:ascii="Times New Roman" w:hAnsi="Times New Roman" w:cs="Times New Roman"/>
        </w:rPr>
      </w:pPr>
    </w:p>
    <w:p w14:paraId="51D6E769" w14:textId="77777777" w:rsidR="00AD4886" w:rsidRPr="00AD4886" w:rsidRDefault="00AD4886" w:rsidP="00AD4886">
      <w:pPr>
        <w:spacing w:after="0"/>
        <w:rPr>
          <w:rFonts w:ascii="Times New Roman" w:hAnsi="Times New Roman" w:cs="Times New Roman"/>
          <w:b/>
          <w:bCs/>
        </w:rPr>
      </w:pPr>
      <w:r w:rsidRPr="00AD4886">
        <w:rPr>
          <w:rFonts w:ascii="Times New Roman" w:hAnsi="Times New Roman" w:cs="Times New Roman"/>
          <w:b/>
          <w:bCs/>
        </w:rPr>
        <w:t>Next Meeting</w:t>
      </w:r>
    </w:p>
    <w:p w14:paraId="4B44EADD" w14:textId="46F32D53" w:rsidR="00AD4886" w:rsidRPr="00E90295" w:rsidRDefault="00AD4886" w:rsidP="00AD4886">
      <w:pPr>
        <w:spacing w:after="0"/>
        <w:rPr>
          <w:rFonts w:ascii="Times New Roman" w:hAnsi="Times New Roman" w:cs="Times New Roman"/>
        </w:rPr>
      </w:pPr>
      <w:r w:rsidRPr="00AD4886">
        <w:rPr>
          <w:rFonts w:ascii="Times New Roman" w:hAnsi="Times New Roman" w:cs="Times New Roman"/>
        </w:rPr>
        <w:t>The next SAB meeting is scheduled for December 2, 2025.</w:t>
      </w:r>
      <w:r w:rsidR="00811D9D">
        <w:rPr>
          <w:rFonts w:ascii="Times New Roman" w:hAnsi="Times New Roman" w:cs="Times New Roman"/>
        </w:rPr>
        <w:t xml:space="preserve"> </w:t>
      </w:r>
      <w:r w:rsidRPr="00AD4886">
        <w:rPr>
          <w:rFonts w:ascii="Times New Roman" w:hAnsi="Times New Roman" w:cs="Times New Roman"/>
          <w:b/>
          <w:bCs/>
        </w:rPr>
        <w:t>Meeting adjourned.</w:t>
      </w:r>
    </w:p>
    <w:sectPr w:rsidR="00AD4886" w:rsidRPr="00E90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49F"/>
    <w:multiLevelType w:val="multilevel"/>
    <w:tmpl w:val="A8E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77BFA"/>
    <w:multiLevelType w:val="multilevel"/>
    <w:tmpl w:val="014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303"/>
    <w:multiLevelType w:val="hybridMultilevel"/>
    <w:tmpl w:val="80F2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172BF"/>
    <w:multiLevelType w:val="multilevel"/>
    <w:tmpl w:val="B428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501A2"/>
    <w:multiLevelType w:val="hybridMultilevel"/>
    <w:tmpl w:val="9B50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C26F8"/>
    <w:multiLevelType w:val="multilevel"/>
    <w:tmpl w:val="5DDAC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16792"/>
    <w:multiLevelType w:val="hybridMultilevel"/>
    <w:tmpl w:val="2940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23E36"/>
    <w:multiLevelType w:val="multilevel"/>
    <w:tmpl w:val="A91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87123"/>
    <w:multiLevelType w:val="multilevel"/>
    <w:tmpl w:val="A120F75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70E1336E"/>
    <w:multiLevelType w:val="hybridMultilevel"/>
    <w:tmpl w:val="82C2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0102">
    <w:abstractNumId w:val="2"/>
  </w:num>
  <w:num w:numId="2" w16cid:durableId="124741066">
    <w:abstractNumId w:val="7"/>
  </w:num>
  <w:num w:numId="3" w16cid:durableId="652102438">
    <w:abstractNumId w:val="6"/>
  </w:num>
  <w:num w:numId="4" w16cid:durableId="428626334">
    <w:abstractNumId w:val="5"/>
  </w:num>
  <w:num w:numId="5" w16cid:durableId="1533348099">
    <w:abstractNumId w:val="9"/>
  </w:num>
  <w:num w:numId="6" w16cid:durableId="723678863">
    <w:abstractNumId w:val="3"/>
  </w:num>
  <w:num w:numId="7" w16cid:durableId="1600872374">
    <w:abstractNumId w:val="4"/>
  </w:num>
  <w:num w:numId="8" w16cid:durableId="833035489">
    <w:abstractNumId w:val="8"/>
  </w:num>
  <w:num w:numId="9" w16cid:durableId="932249763">
    <w:abstractNumId w:val="0"/>
  </w:num>
  <w:num w:numId="10" w16cid:durableId="165074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93"/>
    <w:rsid w:val="00075230"/>
    <w:rsid w:val="000B59AC"/>
    <w:rsid w:val="000E01A1"/>
    <w:rsid w:val="000F11CC"/>
    <w:rsid w:val="00140FB5"/>
    <w:rsid w:val="001B3F3B"/>
    <w:rsid w:val="0024613F"/>
    <w:rsid w:val="00292993"/>
    <w:rsid w:val="002E3EED"/>
    <w:rsid w:val="00346B59"/>
    <w:rsid w:val="003A26E7"/>
    <w:rsid w:val="003B2B07"/>
    <w:rsid w:val="003F1666"/>
    <w:rsid w:val="0068377A"/>
    <w:rsid w:val="006C0F65"/>
    <w:rsid w:val="006F6F3C"/>
    <w:rsid w:val="00722073"/>
    <w:rsid w:val="007271FE"/>
    <w:rsid w:val="00731DBB"/>
    <w:rsid w:val="0077353E"/>
    <w:rsid w:val="00811D9D"/>
    <w:rsid w:val="0081457D"/>
    <w:rsid w:val="0086140D"/>
    <w:rsid w:val="00883A7A"/>
    <w:rsid w:val="009A2F0E"/>
    <w:rsid w:val="00A04E72"/>
    <w:rsid w:val="00A12174"/>
    <w:rsid w:val="00A61836"/>
    <w:rsid w:val="00A92B25"/>
    <w:rsid w:val="00AD050F"/>
    <w:rsid w:val="00AD0BC8"/>
    <w:rsid w:val="00AD4886"/>
    <w:rsid w:val="00B22B25"/>
    <w:rsid w:val="00B741B1"/>
    <w:rsid w:val="00BE72D0"/>
    <w:rsid w:val="00C116B2"/>
    <w:rsid w:val="00CE4AC3"/>
    <w:rsid w:val="00D41D82"/>
    <w:rsid w:val="00DA123B"/>
    <w:rsid w:val="00DA74C0"/>
    <w:rsid w:val="00E3193E"/>
    <w:rsid w:val="00E70B64"/>
    <w:rsid w:val="00E90295"/>
    <w:rsid w:val="00EB1556"/>
    <w:rsid w:val="00FA0D13"/>
    <w:rsid w:val="00FC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ABA4"/>
  <w15:chartTrackingRefBased/>
  <w15:docId w15:val="{F0F9C29C-F9F1-48B1-B476-4723768A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93"/>
  </w:style>
  <w:style w:type="paragraph" w:styleId="Heading1">
    <w:name w:val="heading 1"/>
    <w:basedOn w:val="Normal"/>
    <w:next w:val="Normal"/>
    <w:link w:val="Heading1Char"/>
    <w:uiPriority w:val="9"/>
    <w:qFormat/>
    <w:rsid w:val="00292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993"/>
    <w:rPr>
      <w:rFonts w:eastAsiaTheme="majorEastAsia" w:cstheme="majorBidi"/>
      <w:color w:val="272727" w:themeColor="text1" w:themeTint="D8"/>
    </w:rPr>
  </w:style>
  <w:style w:type="paragraph" w:styleId="Title">
    <w:name w:val="Title"/>
    <w:basedOn w:val="Normal"/>
    <w:next w:val="Normal"/>
    <w:link w:val="TitleChar"/>
    <w:uiPriority w:val="10"/>
    <w:qFormat/>
    <w:rsid w:val="00292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993"/>
    <w:pPr>
      <w:spacing w:before="160"/>
      <w:jc w:val="center"/>
    </w:pPr>
    <w:rPr>
      <w:i/>
      <w:iCs/>
      <w:color w:val="404040" w:themeColor="text1" w:themeTint="BF"/>
    </w:rPr>
  </w:style>
  <w:style w:type="character" w:customStyle="1" w:styleId="QuoteChar">
    <w:name w:val="Quote Char"/>
    <w:basedOn w:val="DefaultParagraphFont"/>
    <w:link w:val="Quote"/>
    <w:uiPriority w:val="29"/>
    <w:rsid w:val="00292993"/>
    <w:rPr>
      <w:i/>
      <w:iCs/>
      <w:color w:val="404040" w:themeColor="text1" w:themeTint="BF"/>
    </w:rPr>
  </w:style>
  <w:style w:type="paragraph" w:styleId="ListParagraph">
    <w:name w:val="List Paragraph"/>
    <w:basedOn w:val="Normal"/>
    <w:uiPriority w:val="34"/>
    <w:qFormat/>
    <w:rsid w:val="00292993"/>
    <w:pPr>
      <w:ind w:left="720"/>
      <w:contextualSpacing/>
    </w:pPr>
  </w:style>
  <w:style w:type="character" w:styleId="IntenseEmphasis">
    <w:name w:val="Intense Emphasis"/>
    <w:basedOn w:val="DefaultParagraphFont"/>
    <w:uiPriority w:val="21"/>
    <w:qFormat/>
    <w:rsid w:val="00292993"/>
    <w:rPr>
      <w:i/>
      <w:iCs/>
      <w:color w:val="0F4761" w:themeColor="accent1" w:themeShade="BF"/>
    </w:rPr>
  </w:style>
  <w:style w:type="paragraph" w:styleId="IntenseQuote">
    <w:name w:val="Intense Quote"/>
    <w:basedOn w:val="Normal"/>
    <w:next w:val="Normal"/>
    <w:link w:val="IntenseQuoteChar"/>
    <w:uiPriority w:val="30"/>
    <w:qFormat/>
    <w:rsid w:val="00292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993"/>
    <w:rPr>
      <w:i/>
      <w:iCs/>
      <w:color w:val="0F4761" w:themeColor="accent1" w:themeShade="BF"/>
    </w:rPr>
  </w:style>
  <w:style w:type="character" w:styleId="IntenseReference">
    <w:name w:val="Intense Reference"/>
    <w:basedOn w:val="DefaultParagraphFont"/>
    <w:uiPriority w:val="32"/>
    <w:qFormat/>
    <w:rsid w:val="00292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08922">
      <w:bodyDiv w:val="1"/>
      <w:marLeft w:val="0"/>
      <w:marRight w:val="0"/>
      <w:marTop w:val="0"/>
      <w:marBottom w:val="0"/>
      <w:divBdr>
        <w:top w:val="none" w:sz="0" w:space="0" w:color="auto"/>
        <w:left w:val="none" w:sz="0" w:space="0" w:color="auto"/>
        <w:bottom w:val="none" w:sz="0" w:space="0" w:color="auto"/>
        <w:right w:val="none" w:sz="0" w:space="0" w:color="auto"/>
      </w:divBdr>
    </w:div>
    <w:div w:id="557319997">
      <w:bodyDiv w:val="1"/>
      <w:marLeft w:val="0"/>
      <w:marRight w:val="0"/>
      <w:marTop w:val="0"/>
      <w:marBottom w:val="0"/>
      <w:divBdr>
        <w:top w:val="none" w:sz="0" w:space="0" w:color="auto"/>
        <w:left w:val="none" w:sz="0" w:space="0" w:color="auto"/>
        <w:bottom w:val="none" w:sz="0" w:space="0" w:color="auto"/>
        <w:right w:val="none" w:sz="0" w:space="0" w:color="auto"/>
      </w:divBdr>
    </w:div>
    <w:div w:id="704986304">
      <w:bodyDiv w:val="1"/>
      <w:marLeft w:val="0"/>
      <w:marRight w:val="0"/>
      <w:marTop w:val="0"/>
      <w:marBottom w:val="0"/>
      <w:divBdr>
        <w:top w:val="none" w:sz="0" w:space="0" w:color="auto"/>
        <w:left w:val="none" w:sz="0" w:space="0" w:color="auto"/>
        <w:bottom w:val="none" w:sz="0" w:space="0" w:color="auto"/>
        <w:right w:val="none" w:sz="0" w:space="0" w:color="auto"/>
      </w:divBdr>
    </w:div>
    <w:div w:id="803550039">
      <w:bodyDiv w:val="1"/>
      <w:marLeft w:val="0"/>
      <w:marRight w:val="0"/>
      <w:marTop w:val="0"/>
      <w:marBottom w:val="0"/>
      <w:divBdr>
        <w:top w:val="none" w:sz="0" w:space="0" w:color="auto"/>
        <w:left w:val="none" w:sz="0" w:space="0" w:color="auto"/>
        <w:bottom w:val="none" w:sz="0" w:space="0" w:color="auto"/>
        <w:right w:val="none" w:sz="0" w:space="0" w:color="auto"/>
      </w:divBdr>
    </w:div>
    <w:div w:id="899706202">
      <w:bodyDiv w:val="1"/>
      <w:marLeft w:val="0"/>
      <w:marRight w:val="0"/>
      <w:marTop w:val="0"/>
      <w:marBottom w:val="0"/>
      <w:divBdr>
        <w:top w:val="none" w:sz="0" w:space="0" w:color="auto"/>
        <w:left w:val="none" w:sz="0" w:space="0" w:color="auto"/>
        <w:bottom w:val="none" w:sz="0" w:space="0" w:color="auto"/>
        <w:right w:val="none" w:sz="0" w:space="0" w:color="auto"/>
      </w:divBdr>
    </w:div>
    <w:div w:id="1029919148">
      <w:bodyDiv w:val="1"/>
      <w:marLeft w:val="0"/>
      <w:marRight w:val="0"/>
      <w:marTop w:val="0"/>
      <w:marBottom w:val="0"/>
      <w:divBdr>
        <w:top w:val="none" w:sz="0" w:space="0" w:color="auto"/>
        <w:left w:val="none" w:sz="0" w:space="0" w:color="auto"/>
        <w:bottom w:val="none" w:sz="0" w:space="0" w:color="auto"/>
        <w:right w:val="none" w:sz="0" w:space="0" w:color="auto"/>
      </w:divBdr>
    </w:div>
    <w:div w:id="1043136543">
      <w:bodyDiv w:val="1"/>
      <w:marLeft w:val="0"/>
      <w:marRight w:val="0"/>
      <w:marTop w:val="0"/>
      <w:marBottom w:val="0"/>
      <w:divBdr>
        <w:top w:val="none" w:sz="0" w:space="0" w:color="auto"/>
        <w:left w:val="none" w:sz="0" w:space="0" w:color="auto"/>
        <w:bottom w:val="none" w:sz="0" w:space="0" w:color="auto"/>
        <w:right w:val="none" w:sz="0" w:space="0" w:color="auto"/>
      </w:divBdr>
    </w:div>
    <w:div w:id="1119639261">
      <w:bodyDiv w:val="1"/>
      <w:marLeft w:val="0"/>
      <w:marRight w:val="0"/>
      <w:marTop w:val="0"/>
      <w:marBottom w:val="0"/>
      <w:divBdr>
        <w:top w:val="none" w:sz="0" w:space="0" w:color="auto"/>
        <w:left w:val="none" w:sz="0" w:space="0" w:color="auto"/>
        <w:bottom w:val="none" w:sz="0" w:space="0" w:color="auto"/>
        <w:right w:val="none" w:sz="0" w:space="0" w:color="auto"/>
      </w:divBdr>
    </w:div>
    <w:div w:id="1341810599">
      <w:bodyDiv w:val="1"/>
      <w:marLeft w:val="0"/>
      <w:marRight w:val="0"/>
      <w:marTop w:val="0"/>
      <w:marBottom w:val="0"/>
      <w:divBdr>
        <w:top w:val="none" w:sz="0" w:space="0" w:color="auto"/>
        <w:left w:val="none" w:sz="0" w:space="0" w:color="auto"/>
        <w:bottom w:val="none" w:sz="0" w:space="0" w:color="auto"/>
        <w:right w:val="none" w:sz="0" w:space="0" w:color="auto"/>
      </w:divBdr>
    </w:div>
    <w:div w:id="1400131640">
      <w:bodyDiv w:val="1"/>
      <w:marLeft w:val="0"/>
      <w:marRight w:val="0"/>
      <w:marTop w:val="0"/>
      <w:marBottom w:val="0"/>
      <w:divBdr>
        <w:top w:val="none" w:sz="0" w:space="0" w:color="auto"/>
        <w:left w:val="none" w:sz="0" w:space="0" w:color="auto"/>
        <w:bottom w:val="none" w:sz="0" w:space="0" w:color="auto"/>
        <w:right w:val="none" w:sz="0" w:space="0" w:color="auto"/>
      </w:divBdr>
    </w:div>
    <w:div w:id="1443527408">
      <w:bodyDiv w:val="1"/>
      <w:marLeft w:val="0"/>
      <w:marRight w:val="0"/>
      <w:marTop w:val="0"/>
      <w:marBottom w:val="0"/>
      <w:divBdr>
        <w:top w:val="none" w:sz="0" w:space="0" w:color="auto"/>
        <w:left w:val="none" w:sz="0" w:space="0" w:color="auto"/>
        <w:bottom w:val="none" w:sz="0" w:space="0" w:color="auto"/>
        <w:right w:val="none" w:sz="0" w:space="0" w:color="auto"/>
      </w:divBdr>
    </w:div>
    <w:div w:id="1899436924">
      <w:bodyDiv w:val="1"/>
      <w:marLeft w:val="0"/>
      <w:marRight w:val="0"/>
      <w:marTop w:val="0"/>
      <w:marBottom w:val="0"/>
      <w:divBdr>
        <w:top w:val="none" w:sz="0" w:space="0" w:color="auto"/>
        <w:left w:val="none" w:sz="0" w:space="0" w:color="auto"/>
        <w:bottom w:val="none" w:sz="0" w:space="0" w:color="auto"/>
        <w:right w:val="none" w:sz="0" w:space="0" w:color="auto"/>
      </w:divBdr>
    </w:div>
    <w:div w:id="1959604803">
      <w:bodyDiv w:val="1"/>
      <w:marLeft w:val="0"/>
      <w:marRight w:val="0"/>
      <w:marTop w:val="0"/>
      <w:marBottom w:val="0"/>
      <w:divBdr>
        <w:top w:val="none" w:sz="0" w:space="0" w:color="auto"/>
        <w:left w:val="none" w:sz="0" w:space="0" w:color="auto"/>
        <w:bottom w:val="none" w:sz="0" w:space="0" w:color="auto"/>
        <w:right w:val="none" w:sz="0" w:space="0" w:color="auto"/>
      </w:divBdr>
    </w:div>
    <w:div w:id="2012177191">
      <w:bodyDiv w:val="1"/>
      <w:marLeft w:val="0"/>
      <w:marRight w:val="0"/>
      <w:marTop w:val="0"/>
      <w:marBottom w:val="0"/>
      <w:divBdr>
        <w:top w:val="none" w:sz="0" w:space="0" w:color="auto"/>
        <w:left w:val="none" w:sz="0" w:space="0" w:color="auto"/>
        <w:bottom w:val="none" w:sz="0" w:space="0" w:color="auto"/>
        <w:right w:val="none" w:sz="0" w:space="0" w:color="auto"/>
      </w:divBdr>
    </w:div>
    <w:div w:id="2081706409">
      <w:bodyDiv w:val="1"/>
      <w:marLeft w:val="0"/>
      <w:marRight w:val="0"/>
      <w:marTop w:val="0"/>
      <w:marBottom w:val="0"/>
      <w:divBdr>
        <w:top w:val="none" w:sz="0" w:space="0" w:color="auto"/>
        <w:left w:val="none" w:sz="0" w:space="0" w:color="auto"/>
        <w:bottom w:val="none" w:sz="0" w:space="0" w:color="auto"/>
        <w:right w:val="none" w:sz="0" w:space="0" w:color="auto"/>
      </w:divBdr>
    </w:div>
    <w:div w:id="20835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4850</Characters>
  <Application>Microsoft Office Word</Application>
  <DocSecurity>4</DocSecurity>
  <Lines>40</Lines>
  <Paragraphs>11</Paragraphs>
  <ScaleCrop>false</ScaleCrop>
  <Company>Commonwealth of Massachusetts</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Kunen, Alexandra (MCB)</dc:creator>
  <cp:keywords/>
  <dc:description/>
  <cp:lastModifiedBy>Evangelidis, Lucy (MCB)</cp:lastModifiedBy>
  <cp:revision>2</cp:revision>
  <dcterms:created xsi:type="dcterms:W3CDTF">2025-11-12T18:06:00Z</dcterms:created>
  <dcterms:modified xsi:type="dcterms:W3CDTF">2025-11-12T18:06:00Z</dcterms:modified>
</cp:coreProperties>
</file>